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21"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143"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5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January 31, 2023</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Waste Management,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Charter)</w:t>
      </w:r>
    </w:p>
    <w:p>
      <w:pPr>
        <w:sectPr>
          <w:pgSz w:w="11900" w:h="16838" w:orient="portrait"/>
          <w:cols w:equalWidth="0" w:num="1">
            <w:col w:w="11308"/>
          </w:cols>
          <w:pgMar w:left="292" w:top="553" w:right="299" w:bottom="1440" w:gutter="0" w:footer="0" w:header="0"/>
        </w:sectPr>
      </w:pPr>
    </w:p>
    <w:p>
      <w:pPr>
        <w:spacing w:after="0" w:line="136" w:lineRule="exact"/>
        <w:rPr>
          <w:sz w:val="24"/>
          <w:szCs w:val="24"/>
          <w:color w:val="auto"/>
        </w:rPr>
      </w:pPr>
    </w:p>
    <w:p>
      <w:pPr>
        <w:ind w:left="1688"/>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268"/>
        <w:spacing w:after="0"/>
        <w:rPr>
          <w:sz w:val="20"/>
          <w:szCs w:val="20"/>
          <w:color w:val="auto"/>
        </w:rPr>
      </w:pPr>
      <w:r>
        <w:rPr>
          <w:rFonts w:ascii="Arial" w:cs="Arial" w:eastAsia="Arial" w:hAnsi="Arial"/>
          <w:sz w:val="10"/>
          <w:szCs w:val="10"/>
          <w:color w:val="auto"/>
        </w:rPr>
        <w:t>(State or Other Jurisdiction</w:t>
      </w:r>
    </w:p>
    <w:p>
      <w:pPr>
        <w:spacing w:after="0" w:line="29" w:lineRule="exact"/>
        <w:rPr>
          <w:sz w:val="24"/>
          <w:szCs w:val="24"/>
          <w:color w:val="auto"/>
        </w:rPr>
      </w:pPr>
    </w:p>
    <w:p>
      <w:pPr>
        <w:ind w:left="1508"/>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880"/>
        <w:spacing w:after="0"/>
        <w:rPr>
          <w:sz w:val="20"/>
          <w:szCs w:val="20"/>
          <w:color w:val="auto"/>
        </w:rPr>
      </w:pPr>
      <w:r>
        <w:rPr>
          <w:rFonts w:ascii="Arial" w:cs="Arial" w:eastAsia="Arial" w:hAnsi="Arial"/>
          <w:sz w:val="12"/>
          <w:szCs w:val="12"/>
          <w:b w:val="1"/>
          <w:bCs w:val="1"/>
          <w:color w:val="auto"/>
        </w:rPr>
        <w:t>1-12154</w:t>
      </w:r>
    </w:p>
    <w:p>
      <w:pPr>
        <w:spacing w:after="0" w:line="19" w:lineRule="exact"/>
        <w:rPr>
          <w:sz w:val="24"/>
          <w:szCs w:val="24"/>
          <w:color w:val="auto"/>
        </w:rPr>
      </w:pPr>
    </w:p>
    <w:p>
      <w:pPr>
        <w:jc w:val="center"/>
        <w:ind w:right="188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73-1309529</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48" w:lineRule="exact"/>
        <w:rPr>
          <w:sz w:val="24"/>
          <w:szCs w:val="24"/>
          <w:color w:val="auto"/>
        </w:rPr>
      </w:pPr>
    </w:p>
    <w:p>
      <w:pPr>
        <w:sectPr>
          <w:pgSz w:w="11900" w:h="16838" w:orient="portrait"/>
          <w:cols w:equalWidth="0" w:num="3">
            <w:col w:w="4388" w:space="720"/>
            <w:col w:w="3220" w:space="720"/>
            <w:col w:w="2260"/>
          </w:cols>
          <w:pgMar w:left="292" w:top="553" w:right="299" w:bottom="1440" w:gutter="0" w:footer="0" w:header="0"/>
          <w:type w:val="continuous"/>
        </w:sectPr>
      </w:pPr>
    </w:p>
    <w:p>
      <w:pPr>
        <w:ind w:left="1648"/>
        <w:spacing w:after="0"/>
        <w:rPr>
          <w:sz w:val="20"/>
          <w:szCs w:val="20"/>
          <w:color w:val="auto"/>
        </w:rPr>
      </w:pPr>
      <w:r>
        <w:rPr>
          <w:rFonts w:ascii="Arial" w:cs="Arial" w:eastAsia="Arial" w:hAnsi="Arial"/>
          <w:sz w:val="10"/>
          <w:szCs w:val="10"/>
          <w:b w:val="1"/>
          <w:bCs w:val="1"/>
          <w:color w:val="auto"/>
        </w:rPr>
        <w:t>800 Capitol Street, Suite 3000, Houston, Texas</w:t>
      </w:r>
    </w:p>
    <w:p>
      <w:pPr>
        <w:spacing w:after="0" w:line="42" w:lineRule="exact"/>
        <w:rPr>
          <w:sz w:val="24"/>
          <w:szCs w:val="24"/>
          <w:color w:val="auto"/>
        </w:rPr>
      </w:pPr>
    </w:p>
    <w:p>
      <w:pPr>
        <w:ind w:left="1848"/>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2"/>
          <w:szCs w:val="12"/>
          <w:b w:val="1"/>
          <w:bCs w:val="1"/>
          <w:color w:val="auto"/>
        </w:rPr>
        <w:t>77002</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48" w:lineRule="exact"/>
        <w:rPr>
          <w:sz w:val="24"/>
          <w:szCs w:val="24"/>
          <w:color w:val="auto"/>
        </w:rPr>
      </w:pPr>
    </w:p>
    <w:p>
      <w:pPr>
        <w:sectPr>
          <w:pgSz w:w="11900" w:h="16838" w:orient="portrait"/>
          <w:cols w:equalWidth="0" w:num="2">
            <w:col w:w="7548" w:space="720"/>
            <w:col w:w="3040"/>
          </w:cols>
          <w:pgMar w:left="292" w:top="553" w:right="299" w:bottom="1440" w:gutter="0" w:footer="0" w:header="0"/>
          <w:type w:val="continuous"/>
        </w:sectPr>
      </w:pPr>
    </w:p>
    <w:p>
      <w:pPr>
        <w:jc w:val="center"/>
        <w:ind w:right="-7"/>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126365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24"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39"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3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Title of each class</w:t>
            </w:r>
          </w:p>
        </w:tc>
        <w:tc>
          <w:tcPr>
            <w:tcW w:w="3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Trading Symbol(s)</w:t>
            </w:r>
          </w:p>
        </w:tc>
        <w:tc>
          <w:tcPr>
            <w:tcW w:w="3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3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color w:val="auto"/>
              </w:rPr>
              <w:t>Common Stock, $0.01 par value</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WM</w:t>
            </w: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New York Stock Exchange</w:t>
            </w:r>
          </w:p>
        </w:tc>
      </w:tr>
      <w:tr>
        <w:trPr>
          <w:trHeight w:val="90"/>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r>
    </w:tbl>
    <w:p>
      <w:pPr>
        <w:spacing w:after="0" w:line="135" w:lineRule="exact"/>
        <w:rPr>
          <w:sz w:val="24"/>
          <w:szCs w:val="24"/>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jc w:val="both"/>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410210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53"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Waste Management, Inc. (the “Company”) issued a press release today announcing its financial results for the fourth quarter and full year ended December 31, 2022, a copy of which is furnished as Exhibit 99.1 to this Form 8-</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K. The Company is conducting an audio webcast to discuss these results beginning at 9:00 a.m. Central Time on February 1, 2023. </w:t>
      </w:r>
      <w:r>
        <w:rPr>
          <w:rFonts w:ascii="Arial" w:cs="Arial" w:eastAsia="Arial" w:hAnsi="Arial"/>
          <w:sz w:val="11"/>
          <w:szCs w:val="11"/>
          <w:color w:val="0A0A0A"/>
        </w:rPr>
        <w:t>Listeners can access the live audio webcast by visiting investors.wm.com and selecting “Events &amp;</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0A0A0A"/>
        </w:rPr>
        <w:t>Presentations” from the website menu. A replay of the audio webcast will be available at the same location.</w:t>
      </w:r>
    </w:p>
    <w:p>
      <w:pPr>
        <w:spacing w:after="0" w:line="14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11"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the financial results press release issued today, the Company also published information about its multi-year plan for investments in its renewable energy and recycling businesses on its website at investors.wm.com, a copy of which is furnished as Exhibit 99.2 to this Form 8-K. The Company announced that it plans to host a virtual information session for investors on April 5, 2023 to provide more insight into these growth plans. Instructions to join the virtual information session will be posted on investors.wm.com under “Events &amp; Presentations” when available.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10600" w:type="dxa"/>
            <w:vAlign w:val="bottom"/>
            <w:gridSpan w:val="7"/>
          </w:tcPr>
          <w:p>
            <w:pPr>
              <w:ind w:left="16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88"/>
        </w:trPr>
        <w:tc>
          <w:tcPr>
            <w:tcW w:w="70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20" w:type="dxa"/>
            <w:vAlign w:val="bottom"/>
            <w:gridSpan w:val="2"/>
          </w:tcPr>
          <w:p>
            <w:pPr>
              <w:jc w:val="center"/>
              <w:ind w:right="5320"/>
              <w:spacing w:after="0"/>
              <w:rPr>
                <w:sz w:val="20"/>
                <w:szCs w:val="20"/>
                <w:color w:val="auto"/>
              </w:rPr>
            </w:pPr>
            <w:r>
              <w:rPr>
                <w:rFonts w:ascii="Arial" w:cs="Arial" w:eastAsia="Arial" w:hAnsi="Arial"/>
                <w:sz w:val="12"/>
                <w:szCs w:val="12"/>
                <w:b w:val="1"/>
                <w:bCs w:val="1"/>
                <w:color w:val="auto"/>
                <w:w w:val="93"/>
              </w:rPr>
              <w:t>Exhibit Index</w:t>
            </w:r>
          </w:p>
        </w:tc>
      </w:tr>
      <w:tr>
        <w:trPr>
          <w:trHeight w:val="282"/>
        </w:trPr>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r>
        <w:trPr>
          <w:trHeight w:val="157"/>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Number</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Description</w:t>
            </w:r>
          </w:p>
        </w:tc>
      </w:tr>
      <w:tr>
        <w:trPr>
          <w:trHeight w:val="268"/>
        </w:trPr>
        <w:tc>
          <w:tcPr>
            <w:tcW w:w="200" w:type="dxa"/>
            <w:vAlign w:val="bottom"/>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1</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80" w:type="dxa"/>
            <w:vAlign w:val="bottom"/>
            <w:gridSpan w:val="5"/>
          </w:tcPr>
          <w:p>
            <w:pPr>
              <w:spacing w:after="0"/>
              <w:rPr>
                <w:sz w:val="20"/>
                <w:szCs w:val="20"/>
                <w:color w:val="auto"/>
              </w:rPr>
            </w:pPr>
            <w:r>
              <w:rPr>
                <w:rFonts w:ascii="Arial" w:cs="Arial" w:eastAsia="Arial" w:hAnsi="Arial"/>
                <w:sz w:val="12"/>
                <w:szCs w:val="12"/>
                <w:color w:val="0000EE"/>
              </w:rPr>
              <w:t>Press Release dated January 31, 2023</w:t>
            </w: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6"/>
              </w:rPr>
              <w:t>99.</w:t>
            </w:r>
            <w:r>
              <w:rPr>
                <w:rFonts w:ascii="Arial" w:cs="Arial" w:eastAsia="Arial" w:hAnsi="Arial"/>
                <w:sz w:val="12"/>
                <w:szCs w:val="12"/>
                <w:u w:val="single" w:color="auto"/>
                <w:color w:val="0000EE"/>
                <w:w w:val="76"/>
              </w:rPr>
              <w:t>2</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Supplemental Presentation dated January 31, 2023</w:t>
            </w:r>
          </w:p>
        </w:tc>
        <w:tc>
          <w:tcPr>
            <w:tcW w:w="7680" w:type="dxa"/>
            <w:vAlign w:val="bottom"/>
            <w:gridSpan w:val="3"/>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Arial" w:cs="Arial" w:eastAsia="Arial" w:hAnsi="Arial"/>
                <w:sz w:val="12"/>
                <w:szCs w:val="12"/>
                <w:color w:val="auto"/>
                <w:w w:val="89"/>
              </w:rPr>
              <w:t>104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r>
      <w:tr>
        <w:trPr>
          <w:trHeight w:val="432"/>
        </w:trPr>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2"/>
                <w:szCs w:val="12"/>
                <w:color w:val="auto"/>
              </w:rPr>
              <w:t>2</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WASTE MANAGEMENT, INC.</w:t>
      </w:r>
    </w:p>
    <w:p>
      <w:pPr>
        <w:spacing w:after="0" w:line="168" w:lineRule="exact"/>
        <w:rPr>
          <w:sz w:val="20"/>
          <w:szCs w:val="20"/>
          <w:color w:val="auto"/>
        </w:rPr>
      </w:pPr>
    </w:p>
    <w:p>
      <w:pPr>
        <w:spacing w:after="0"/>
        <w:tabs>
          <w:tab w:leader="none" w:pos="5640" w:val="left"/>
          <w:tab w:leader="none" w:pos="5960" w:val="left"/>
        </w:tabs>
        <w:rPr>
          <w:sz w:val="20"/>
          <w:szCs w:val="20"/>
          <w:color w:val="auto"/>
        </w:rPr>
      </w:pPr>
      <w:r>
        <w:rPr>
          <w:rFonts w:ascii="Arial" w:cs="Arial" w:eastAsia="Arial" w:hAnsi="Arial"/>
          <w:sz w:val="12"/>
          <w:szCs w:val="12"/>
          <w:color w:val="auto"/>
        </w:rPr>
        <w:t>Date: January 31,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15240</wp:posOffset>
            </wp:positionV>
            <wp:extent cx="3371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Charles C. Boettcher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0"/>
          <w:szCs w:val="10"/>
          <w:color w:val="auto"/>
        </w:rPr>
        <w:t>Executive Vice President, Corporate Development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808080"/>
        </w:rPr>
        <w:t>EXHIBIT 99.1</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00693C"/>
        </w:rPr>
        <w:t>FOR IMMEDIATE RELEASE</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26"/>
          <w:szCs w:val="26"/>
          <w:color w:val="7AB800"/>
        </w:rPr>
        <w:t>WM Announces Fourth Quarter and Full-Year 2022 Earnings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7000" w:type="dxa"/>
            <w:vAlign w:val="bottom"/>
            <w:gridSpan w:val="21"/>
          </w:tcPr>
          <w:p>
            <w:pPr>
              <w:jc w:val="right"/>
              <w:ind w:right="506"/>
              <w:spacing w:after="0"/>
              <w:rPr>
                <w:sz w:val="20"/>
                <w:szCs w:val="20"/>
                <w:color w:val="auto"/>
              </w:rPr>
            </w:pPr>
            <w:r>
              <w:rPr>
                <w:rFonts w:ascii="Arial" w:cs="Arial" w:eastAsia="Arial" w:hAnsi="Arial"/>
                <w:sz w:val="12"/>
                <w:szCs w:val="12"/>
                <w:color w:val="auto"/>
                <w:w w:val="99"/>
              </w:rPr>
              <w:t>Full-Year Results Delivered Double-Digit Growth in Income from Operations, Net Income, and Diluted Earnings Per Share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00693C"/>
              </w:rPr>
              <w:t>FOR MORE</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00693C"/>
              </w:rPr>
              <w:t>INFORMATION</w:t>
            </w:r>
          </w:p>
        </w:tc>
        <w:tc>
          <w:tcPr>
            <w:tcW w:w="0" w:type="dxa"/>
            <w:vAlign w:val="bottom"/>
          </w:tcPr>
          <w:p>
            <w:pPr>
              <w:spacing w:after="0"/>
              <w:rPr>
                <w:sz w:val="1"/>
                <w:szCs w:val="1"/>
                <w:color w:val="auto"/>
              </w:rPr>
            </w:pPr>
          </w:p>
        </w:tc>
      </w:tr>
      <w:tr>
        <w:trPr>
          <w:trHeight w:val="187"/>
        </w:trPr>
        <w:tc>
          <w:tcPr>
            <w:tcW w:w="8260" w:type="dxa"/>
            <w:vAlign w:val="bottom"/>
            <w:gridSpan w:val="22"/>
          </w:tcPr>
          <w:p>
            <w:pPr>
              <w:spacing w:after="0"/>
              <w:rPr>
                <w:sz w:val="20"/>
                <w:szCs w:val="20"/>
                <w:color w:val="auto"/>
              </w:rPr>
            </w:pPr>
            <w:r>
              <w:rPr>
                <w:rFonts w:ascii="Arial" w:cs="Arial" w:eastAsia="Arial" w:hAnsi="Arial"/>
                <w:sz w:val="12"/>
                <w:szCs w:val="12"/>
                <w:b w:val="1"/>
                <w:bCs w:val="1"/>
                <w:color w:val="auto"/>
                <w:w w:val="99"/>
              </w:rPr>
              <w:t xml:space="preserve">Houston — Jan. 31, 2023 </w:t>
            </w:r>
            <w:r>
              <w:rPr>
                <w:rFonts w:ascii="Arial" w:cs="Arial" w:eastAsia="Arial" w:hAnsi="Arial"/>
                <w:sz w:val="12"/>
                <w:szCs w:val="12"/>
                <w:color w:val="auto"/>
                <w:w w:val="99"/>
              </w:rPr>
              <w:t>— Waste Management, Inc. (NYSE: WM) today announced financial results for the quarter and year ended December 31, 2022.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Waste</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Management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1"/>
                <w:szCs w:val="11"/>
                <w:b w:val="1"/>
                <w:bCs w:val="1"/>
                <w:color w:val="auto"/>
                <w:w w:val="95"/>
              </w:rPr>
              <w:t>Three Months Ended</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w w:val="95"/>
              </w:rPr>
              <w:t>Year Ended</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Web site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808080"/>
              </w:rPr>
              <w:t>www.wm.com</w:t>
            </w:r>
          </w:p>
        </w:tc>
        <w:tc>
          <w:tcPr>
            <w:tcW w:w="0" w:type="dxa"/>
            <w:vAlign w:val="bottom"/>
          </w:tcPr>
          <w:p>
            <w:pPr>
              <w:spacing w:after="0" w:line="20" w:lineRule="exact"/>
              <w:rPr>
                <w:sz w:val="1"/>
                <w:szCs w:val="1"/>
                <w:color w:val="auto"/>
              </w:rPr>
            </w:pPr>
          </w:p>
        </w:tc>
      </w:tr>
      <w:tr>
        <w:trPr>
          <w:trHeight w:val="115"/>
        </w:trPr>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5"/>
          </w:tcPr>
          <w:p>
            <w:pPr>
              <w:jc w:val="right"/>
              <w:ind w:right="400"/>
              <w:spacing w:after="0" w:line="115" w:lineRule="exact"/>
              <w:rPr>
                <w:sz w:val="20"/>
                <w:szCs w:val="20"/>
                <w:color w:val="auto"/>
              </w:rPr>
            </w:pPr>
            <w:r>
              <w:rPr>
                <w:rFonts w:ascii="Arial" w:cs="Arial" w:eastAsia="Arial" w:hAnsi="Arial"/>
                <w:sz w:val="11"/>
                <w:szCs w:val="11"/>
                <w:b w:val="1"/>
                <w:bCs w:val="1"/>
                <w:color w:val="auto"/>
                <w:w w:val="94"/>
              </w:rPr>
              <w:t>December 31, 2022</w:t>
            </w:r>
          </w:p>
        </w:tc>
        <w:tc>
          <w:tcPr>
            <w:tcW w:w="220" w:type="dxa"/>
            <w:vAlign w:val="bottom"/>
          </w:tcPr>
          <w:p>
            <w:pPr>
              <w:spacing w:after="0"/>
              <w:rPr>
                <w:sz w:val="10"/>
                <w:szCs w:val="10"/>
                <w:color w:val="auto"/>
              </w:rPr>
            </w:pPr>
          </w:p>
        </w:tc>
        <w:tc>
          <w:tcPr>
            <w:tcW w:w="1500" w:type="dxa"/>
            <w:vAlign w:val="bottom"/>
            <w:gridSpan w:val="6"/>
          </w:tcPr>
          <w:p>
            <w:pPr>
              <w:spacing w:after="0" w:line="115" w:lineRule="exact"/>
              <w:rPr>
                <w:sz w:val="20"/>
                <w:szCs w:val="20"/>
                <w:color w:val="auto"/>
              </w:rPr>
            </w:pPr>
            <w:r>
              <w:rPr>
                <w:rFonts w:ascii="Arial" w:cs="Arial" w:eastAsia="Arial" w:hAnsi="Arial"/>
                <w:sz w:val="11"/>
                <w:szCs w:val="11"/>
                <w:b w:val="1"/>
                <w:bCs w:val="1"/>
                <w:color w:val="auto"/>
              </w:rPr>
              <w:t>December 31, 2021</w:t>
            </w:r>
          </w:p>
        </w:tc>
        <w:tc>
          <w:tcPr>
            <w:tcW w:w="320" w:type="dxa"/>
            <w:vAlign w:val="bottom"/>
          </w:tcPr>
          <w:p>
            <w:pPr>
              <w:spacing w:after="0"/>
              <w:rPr>
                <w:sz w:val="10"/>
                <w:szCs w:val="10"/>
                <w:color w:val="auto"/>
              </w:rPr>
            </w:pPr>
          </w:p>
        </w:tc>
        <w:tc>
          <w:tcPr>
            <w:tcW w:w="1360" w:type="dxa"/>
            <w:vAlign w:val="bottom"/>
            <w:gridSpan w:val="4"/>
          </w:tcPr>
          <w:p>
            <w:pPr>
              <w:jc w:val="right"/>
              <w:ind w:right="346"/>
              <w:spacing w:after="0" w:line="115" w:lineRule="exact"/>
              <w:rPr>
                <w:sz w:val="20"/>
                <w:szCs w:val="20"/>
                <w:color w:val="auto"/>
              </w:rPr>
            </w:pPr>
            <w:r>
              <w:rPr>
                <w:rFonts w:ascii="Arial" w:cs="Arial" w:eastAsia="Arial" w:hAnsi="Arial"/>
                <w:sz w:val="11"/>
                <w:szCs w:val="11"/>
                <w:b w:val="1"/>
                <w:bCs w:val="1"/>
                <w:color w:val="auto"/>
                <w:w w:val="94"/>
              </w:rPr>
              <w:t>December 31, 2022</w:t>
            </w:r>
          </w:p>
        </w:tc>
        <w:tc>
          <w:tcPr>
            <w:tcW w:w="200" w:type="dxa"/>
            <w:vAlign w:val="bottom"/>
          </w:tcPr>
          <w:p>
            <w:pPr>
              <w:spacing w:after="0"/>
              <w:rPr>
                <w:sz w:val="10"/>
                <w:szCs w:val="10"/>
                <w:color w:val="auto"/>
              </w:rPr>
            </w:pPr>
          </w:p>
        </w:tc>
        <w:tc>
          <w:tcPr>
            <w:tcW w:w="1280" w:type="dxa"/>
            <w:vAlign w:val="bottom"/>
            <w:gridSpan w:val="4"/>
          </w:tcPr>
          <w:p>
            <w:pPr>
              <w:jc w:val="right"/>
              <w:ind w:right="300"/>
              <w:spacing w:after="0" w:line="115" w:lineRule="exact"/>
              <w:rPr>
                <w:sz w:val="20"/>
                <w:szCs w:val="20"/>
                <w:color w:val="auto"/>
              </w:rPr>
            </w:pPr>
            <w:r>
              <w:rPr>
                <w:rFonts w:ascii="Arial" w:cs="Arial" w:eastAsia="Arial" w:hAnsi="Arial"/>
                <w:sz w:val="11"/>
                <w:szCs w:val="11"/>
                <w:b w:val="1"/>
                <w:bCs w:val="1"/>
                <w:color w:val="auto"/>
                <w:w w:val="96"/>
              </w:rPr>
              <w:t>December 31, 2021</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8"/>
          </w:tcPr>
          <w:p>
            <w:pPr>
              <w:spacing w:after="0"/>
              <w:rPr>
                <w:sz w:val="20"/>
                <w:szCs w:val="20"/>
                <w:color w:val="auto"/>
              </w:rPr>
            </w:pPr>
            <w:r>
              <w:rPr>
                <w:rFonts w:ascii="Arial" w:cs="Arial" w:eastAsia="Arial" w:hAnsi="Arial"/>
                <w:sz w:val="11"/>
                <w:szCs w:val="11"/>
                <w:b w:val="1"/>
                <w:bCs w:val="1"/>
                <w:color w:val="auto"/>
                <w:w w:val="97"/>
              </w:rPr>
              <w:t>(in millions, except per share amounts)</w:t>
            </w:r>
          </w:p>
        </w:tc>
        <w:tc>
          <w:tcPr>
            <w:tcW w:w="80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580"/>
              <w:spacing w:after="0"/>
              <w:rPr>
                <w:sz w:val="20"/>
                <w:szCs w:val="20"/>
                <w:color w:val="auto"/>
              </w:rPr>
            </w:pPr>
            <w:r>
              <w:rPr>
                <w:rFonts w:ascii="Arial" w:cs="Arial" w:eastAsia="Arial" w:hAnsi="Arial"/>
                <w:sz w:val="11"/>
                <w:szCs w:val="11"/>
                <w:b w:val="1"/>
                <w:bCs w:val="1"/>
                <w:color w:val="auto"/>
                <w:w w:val="96"/>
              </w:rPr>
              <w:t>(in millions, except per share amounts)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jc w:val="center"/>
              <w:ind w:right="46"/>
              <w:spacing w:after="0"/>
              <w:rPr>
                <w:sz w:val="20"/>
                <w:szCs w:val="20"/>
                <w:color w:val="auto"/>
              </w:rPr>
            </w:pPr>
            <w:r>
              <w:rPr>
                <w:rFonts w:ascii="Arial" w:cs="Arial" w:eastAsia="Arial" w:hAnsi="Arial"/>
                <w:sz w:val="11"/>
                <w:szCs w:val="11"/>
                <w:color w:val="auto"/>
                <w:w w:val="93"/>
              </w:rPr>
              <w:t>As</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1"/>
                <w:szCs w:val="11"/>
                <w:color w:val="auto"/>
              </w:rPr>
              <w:t>As</w:t>
            </w: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1"/>
                <w:szCs w:val="11"/>
                <w:color w:val="auto"/>
                <w:w w:val="93"/>
              </w:rPr>
              <w:t>As</w:t>
            </w:r>
          </w:p>
        </w:tc>
        <w:tc>
          <w:tcPr>
            <w:tcW w:w="160" w:type="dxa"/>
            <w:vAlign w:val="bottom"/>
            <w:tcBorders>
              <w:top w:val="single" w:sz="8" w:color="auto"/>
            </w:tcBorders>
          </w:tcPr>
          <w:p>
            <w:pPr>
              <w:spacing w:after="0"/>
              <w:rPr>
                <w:sz w:val="14"/>
                <w:szCs w:val="14"/>
                <w:color w:val="auto"/>
              </w:rPr>
            </w:pPr>
          </w:p>
        </w:tc>
        <w:tc>
          <w:tcPr>
            <w:tcW w:w="800" w:type="dxa"/>
            <w:vAlign w:val="bottom"/>
            <w:gridSpan w:val="3"/>
          </w:tcPr>
          <w:p>
            <w:pPr>
              <w:jc w:val="center"/>
              <w:ind w:right="440"/>
              <w:spacing w:after="0"/>
              <w:rPr>
                <w:sz w:val="20"/>
                <w:szCs w:val="20"/>
                <w:color w:val="auto"/>
              </w:rPr>
            </w:pPr>
            <w:r>
              <w:rPr>
                <w:rFonts w:ascii="Arial" w:cs="Arial" w:eastAsia="Arial" w:hAnsi="Arial"/>
                <w:sz w:val="11"/>
                <w:szCs w:val="11"/>
                <w:color w:val="auto"/>
                <w:w w:val="93"/>
              </w:rPr>
              <w:t>As</w:t>
            </w:r>
          </w:p>
        </w:tc>
        <w:tc>
          <w:tcPr>
            <w:tcW w:w="320" w:type="dxa"/>
            <w:vAlign w:val="bottom"/>
          </w:tcPr>
          <w:p>
            <w:pPr>
              <w:spacing w:after="0"/>
              <w:rPr>
                <w:sz w:val="14"/>
                <w:szCs w:val="14"/>
                <w:color w:val="auto"/>
              </w:rPr>
            </w:pPr>
          </w:p>
        </w:tc>
        <w:tc>
          <w:tcPr>
            <w:tcW w:w="260" w:type="dxa"/>
            <w:vAlign w:val="bottom"/>
          </w:tcPr>
          <w:p>
            <w:pPr>
              <w:jc w:val="center"/>
              <w:ind w:right="46"/>
              <w:spacing w:after="0"/>
              <w:rPr>
                <w:sz w:val="20"/>
                <w:szCs w:val="20"/>
                <w:color w:val="auto"/>
              </w:rPr>
            </w:pPr>
            <w:r>
              <w:rPr>
                <w:rFonts w:ascii="Arial" w:cs="Arial" w:eastAsia="Arial" w:hAnsi="Arial"/>
                <w:sz w:val="11"/>
                <w:szCs w:val="11"/>
                <w:color w:val="auto"/>
                <w:w w:val="93"/>
              </w:rPr>
              <w:t>As</w:t>
            </w: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366"/>
              <w:spacing w:after="0"/>
              <w:rPr>
                <w:sz w:val="20"/>
                <w:szCs w:val="20"/>
                <w:color w:val="auto"/>
              </w:rPr>
            </w:pPr>
            <w:r>
              <w:rPr>
                <w:rFonts w:ascii="Arial" w:cs="Arial" w:eastAsia="Arial" w:hAnsi="Arial"/>
                <w:sz w:val="11"/>
                <w:szCs w:val="11"/>
                <w:color w:val="auto"/>
              </w:rPr>
              <w:t>As</w:t>
            </w: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color w:val="auto"/>
              </w:rPr>
              <w:t>As</w:t>
            </w:r>
          </w:p>
        </w:tc>
        <w:tc>
          <w:tcPr>
            <w:tcW w:w="140" w:type="dxa"/>
            <w:vAlign w:val="bottom"/>
            <w:tcBorders>
              <w:top w:val="single" w:sz="8" w:color="auto"/>
            </w:tcBorders>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1"/>
                <w:szCs w:val="11"/>
                <w:color w:val="auto"/>
              </w:rPr>
              <w:t>As</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Analysts</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gridSpan w:val="3"/>
          </w:tcPr>
          <w:p>
            <w:pPr>
              <w:jc w:val="center"/>
              <w:ind w:right="6"/>
              <w:spacing w:after="0"/>
              <w:rPr>
                <w:sz w:val="20"/>
                <w:szCs w:val="20"/>
                <w:color w:val="auto"/>
              </w:rPr>
            </w:pPr>
            <w:r>
              <w:rPr>
                <w:rFonts w:ascii="Arial" w:cs="Arial" w:eastAsia="Arial" w:hAnsi="Arial"/>
                <w:sz w:val="11"/>
                <w:szCs w:val="11"/>
                <w:color w:val="auto"/>
                <w:w w:val="97"/>
              </w:rPr>
              <w:t>Reported</w:t>
            </w:r>
          </w:p>
        </w:tc>
        <w:tc>
          <w:tcPr>
            <w:tcW w:w="820" w:type="dxa"/>
            <w:vAlign w:val="bottom"/>
            <w:gridSpan w:val="3"/>
          </w:tcPr>
          <w:p>
            <w:pPr>
              <w:jc w:val="right"/>
              <w:ind w:right="220"/>
              <w:spacing w:after="0" w:line="158" w:lineRule="exact"/>
              <w:rPr>
                <w:sz w:val="20"/>
                <w:szCs w:val="20"/>
                <w:color w:val="auto"/>
              </w:rPr>
            </w:pPr>
            <w:r>
              <w:rPr>
                <w:rFonts w:ascii="Arial" w:cs="Arial" w:eastAsia="Arial" w:hAnsi="Arial"/>
                <w:sz w:val="11"/>
                <w:szCs w:val="11"/>
                <w:color w:val="auto"/>
              </w:rPr>
              <w:t>Adjusted</w:t>
            </w:r>
            <w:r>
              <w:rPr>
                <w:rFonts w:ascii="Arial" w:cs="Arial" w:eastAsia="Arial" w:hAnsi="Arial"/>
                <w:sz w:val="17"/>
                <w:szCs w:val="17"/>
                <w:color w:val="auto"/>
                <w:vertAlign w:val="superscript"/>
              </w:rPr>
              <w:t>(a)</w:t>
            </w:r>
          </w:p>
        </w:tc>
        <w:tc>
          <w:tcPr>
            <w:tcW w:w="760" w:type="dxa"/>
            <w:vAlign w:val="bottom"/>
            <w:gridSpan w:val="3"/>
          </w:tcPr>
          <w:p>
            <w:pPr>
              <w:jc w:val="right"/>
              <w:ind w:right="240"/>
              <w:spacing w:after="0"/>
              <w:rPr>
                <w:sz w:val="20"/>
                <w:szCs w:val="20"/>
                <w:color w:val="auto"/>
              </w:rPr>
            </w:pPr>
            <w:r>
              <w:rPr>
                <w:rFonts w:ascii="Arial" w:cs="Arial" w:eastAsia="Arial" w:hAnsi="Arial"/>
                <w:sz w:val="11"/>
                <w:szCs w:val="11"/>
                <w:color w:val="auto"/>
              </w:rPr>
              <w:t>Reported</w:t>
            </w:r>
          </w:p>
        </w:tc>
        <w:tc>
          <w:tcPr>
            <w:tcW w:w="960" w:type="dxa"/>
            <w:vAlign w:val="bottom"/>
            <w:gridSpan w:val="4"/>
          </w:tcPr>
          <w:p>
            <w:pPr>
              <w:jc w:val="center"/>
              <w:ind w:right="280"/>
              <w:spacing w:after="0" w:line="158" w:lineRule="exact"/>
              <w:rPr>
                <w:sz w:val="20"/>
                <w:szCs w:val="20"/>
                <w:color w:val="auto"/>
              </w:rPr>
            </w:pPr>
            <w:r>
              <w:rPr>
                <w:rFonts w:ascii="Arial" w:cs="Arial" w:eastAsia="Arial" w:hAnsi="Arial"/>
                <w:sz w:val="11"/>
                <w:szCs w:val="11"/>
                <w:color w:val="auto"/>
                <w:w w:val="91"/>
              </w:rPr>
              <w:t>Adjusted</w:t>
            </w:r>
            <w:r>
              <w:rPr>
                <w:rFonts w:ascii="Arial" w:cs="Arial" w:eastAsia="Arial" w:hAnsi="Arial"/>
                <w:sz w:val="17"/>
                <w:szCs w:val="17"/>
                <w:color w:val="auto"/>
                <w:w w:val="91"/>
                <w:vertAlign w:val="superscript"/>
              </w:rPr>
              <w:t>(a)</w:t>
            </w:r>
          </w:p>
        </w:tc>
        <w:tc>
          <w:tcPr>
            <w:tcW w:w="860" w:type="dxa"/>
            <w:vAlign w:val="bottom"/>
            <w:gridSpan w:val="3"/>
          </w:tcPr>
          <w:p>
            <w:pPr>
              <w:jc w:val="center"/>
              <w:ind w:right="6"/>
              <w:spacing w:after="0"/>
              <w:rPr>
                <w:sz w:val="20"/>
                <w:szCs w:val="20"/>
                <w:color w:val="auto"/>
              </w:rPr>
            </w:pPr>
            <w:r>
              <w:rPr>
                <w:rFonts w:ascii="Arial" w:cs="Arial" w:eastAsia="Arial" w:hAnsi="Arial"/>
                <w:sz w:val="11"/>
                <w:szCs w:val="11"/>
                <w:color w:val="auto"/>
                <w:w w:val="97"/>
              </w:rPr>
              <w:t>Reported</w:t>
            </w:r>
          </w:p>
        </w:tc>
        <w:tc>
          <w:tcPr>
            <w:tcW w:w="820" w:type="dxa"/>
            <w:vAlign w:val="bottom"/>
            <w:gridSpan w:val="2"/>
          </w:tcPr>
          <w:p>
            <w:pPr>
              <w:jc w:val="right"/>
              <w:ind w:right="166"/>
              <w:spacing w:after="0" w:line="158" w:lineRule="exact"/>
              <w:rPr>
                <w:sz w:val="20"/>
                <w:szCs w:val="20"/>
                <w:color w:val="auto"/>
              </w:rPr>
            </w:pPr>
            <w:r>
              <w:rPr>
                <w:rFonts w:ascii="Arial" w:cs="Arial" w:eastAsia="Arial" w:hAnsi="Arial"/>
                <w:sz w:val="11"/>
                <w:szCs w:val="11"/>
                <w:color w:val="auto"/>
              </w:rPr>
              <w:t>Adjusted</w:t>
            </w:r>
            <w:r>
              <w:rPr>
                <w:rFonts w:ascii="Arial" w:cs="Arial" w:eastAsia="Arial" w:hAnsi="Arial"/>
                <w:sz w:val="17"/>
                <w:szCs w:val="17"/>
                <w:color w:val="auto"/>
                <w:vertAlign w:val="superscript"/>
              </w:rPr>
              <w:t>(a)</w:t>
            </w:r>
          </w:p>
        </w:tc>
        <w:tc>
          <w:tcPr>
            <w:tcW w:w="760" w:type="dxa"/>
            <w:vAlign w:val="bottom"/>
            <w:gridSpan w:val="2"/>
          </w:tcPr>
          <w:p>
            <w:pPr>
              <w:jc w:val="right"/>
              <w:ind w:right="186"/>
              <w:spacing w:after="0"/>
              <w:rPr>
                <w:sz w:val="20"/>
                <w:szCs w:val="20"/>
                <w:color w:val="auto"/>
              </w:rPr>
            </w:pPr>
            <w:r>
              <w:rPr>
                <w:rFonts w:ascii="Arial" w:cs="Arial" w:eastAsia="Arial" w:hAnsi="Arial"/>
                <w:sz w:val="11"/>
                <w:szCs w:val="11"/>
                <w:color w:val="auto"/>
              </w:rPr>
              <w:t>Reported</w:t>
            </w:r>
          </w:p>
        </w:tc>
        <w:tc>
          <w:tcPr>
            <w:tcW w:w="720" w:type="dxa"/>
            <w:vAlign w:val="bottom"/>
            <w:gridSpan w:val="3"/>
          </w:tcPr>
          <w:p>
            <w:pPr>
              <w:jc w:val="right"/>
              <w:ind w:right="140"/>
              <w:spacing w:after="0" w:line="158" w:lineRule="exact"/>
              <w:rPr>
                <w:sz w:val="20"/>
                <w:szCs w:val="20"/>
                <w:color w:val="auto"/>
              </w:rPr>
            </w:pPr>
            <w:r>
              <w:rPr>
                <w:rFonts w:ascii="Arial" w:cs="Arial" w:eastAsia="Arial" w:hAnsi="Arial"/>
                <w:sz w:val="11"/>
                <w:szCs w:val="11"/>
                <w:color w:val="auto"/>
                <w:w w:val="98"/>
              </w:rPr>
              <w:t>Adjusted</w:t>
            </w:r>
            <w:r>
              <w:rPr>
                <w:rFonts w:ascii="Arial" w:cs="Arial" w:eastAsia="Arial" w:hAnsi="Arial"/>
                <w:sz w:val="17"/>
                <w:szCs w:val="17"/>
                <w:color w:val="auto"/>
                <w:w w:val="98"/>
                <w:vertAlign w:val="superscript"/>
              </w:rPr>
              <w:t>(a)</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57584F"/>
              </w:rPr>
              <w:t>Ed Egl</w:t>
            </w: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Pr>
          <w:p>
            <w:pPr>
              <w:ind w:left="60"/>
              <w:spacing w:after="0" w:line="115" w:lineRule="exact"/>
              <w:rPr>
                <w:sz w:val="20"/>
                <w:szCs w:val="20"/>
                <w:color w:val="auto"/>
              </w:rPr>
            </w:pPr>
            <w:r>
              <w:rPr>
                <w:rFonts w:ascii="Arial" w:cs="Arial" w:eastAsia="Arial" w:hAnsi="Arial"/>
                <w:sz w:val="12"/>
                <w:szCs w:val="12"/>
                <w:color w:val="57584F"/>
              </w:rPr>
              <w:t>713.265.1656</w:t>
            </w:r>
          </w:p>
        </w:tc>
        <w:tc>
          <w:tcPr>
            <w:tcW w:w="0" w:type="dxa"/>
            <w:vAlign w:val="bottom"/>
          </w:tcPr>
          <w:p>
            <w:pPr>
              <w:spacing w:after="0"/>
              <w:rPr>
                <w:sz w:val="1"/>
                <w:szCs w:val="1"/>
                <w:color w:val="auto"/>
              </w:rPr>
            </w:pPr>
          </w:p>
        </w:tc>
      </w:tr>
      <w:tr>
        <w:trPr>
          <w:trHeight w:val="145"/>
        </w:trPr>
        <w:tc>
          <w:tcPr>
            <w:tcW w:w="1260" w:type="dxa"/>
            <w:vAlign w:val="bottom"/>
          </w:tcPr>
          <w:p>
            <w:pPr>
              <w:spacing w:after="0"/>
              <w:rPr>
                <w:sz w:val="20"/>
                <w:szCs w:val="20"/>
                <w:color w:val="auto"/>
              </w:rPr>
            </w:pPr>
            <w:r>
              <w:rPr>
                <w:rFonts w:ascii="Arial" w:cs="Arial" w:eastAsia="Arial" w:hAnsi="Arial"/>
                <w:sz w:val="11"/>
                <w:szCs w:val="11"/>
                <w:color w:val="auto"/>
              </w:rPr>
              <w:t>Revenue</w:t>
            </w: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$4,935</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$4,935</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$4,678</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$4,678</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$19,698</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$19,698</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$17,931</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$17,931</w:t>
            </w:r>
          </w:p>
        </w:tc>
        <w:tc>
          <w:tcPr>
            <w:tcW w:w="960" w:type="dxa"/>
            <w:vAlign w:val="bottom"/>
          </w:tcPr>
          <w:p>
            <w:pPr>
              <w:ind w:left="60"/>
              <w:spacing w:after="0"/>
              <w:rPr>
                <w:sz w:val="20"/>
                <w:szCs w:val="20"/>
                <w:color w:val="auto"/>
              </w:rPr>
            </w:pPr>
            <w:r>
              <w:rPr>
                <w:rFonts w:ascii="Arial" w:cs="Arial" w:eastAsia="Arial" w:hAnsi="Arial"/>
                <w:sz w:val="12"/>
                <w:szCs w:val="12"/>
                <w:color w:val="57584F"/>
              </w:rPr>
              <w:t>eegl@wm.com</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0"/>
                <w:szCs w:val="20"/>
                <w:color w:val="auto"/>
              </w:rPr>
            </w:pPr>
            <w:r>
              <w:rPr>
                <w:rFonts w:ascii="Arial" w:cs="Arial" w:eastAsia="Arial" w:hAnsi="Arial"/>
                <w:sz w:val="11"/>
                <w:szCs w:val="11"/>
                <w:color w:val="auto"/>
              </w:rPr>
              <w:t>Income from Operations</w:t>
            </w: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$765</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$814</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$718</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$739</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$3,365</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$3,474</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$2,965</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$3,033</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Media</w:t>
            </w:r>
          </w:p>
        </w:tc>
        <w:tc>
          <w:tcPr>
            <w:tcW w:w="0" w:type="dxa"/>
            <w:vAlign w:val="bottom"/>
          </w:tcPr>
          <w:p>
            <w:pPr>
              <w:spacing w:after="0"/>
              <w:rPr>
                <w:sz w:val="1"/>
                <w:szCs w:val="1"/>
                <w:color w:val="auto"/>
              </w:rPr>
            </w:pPr>
          </w:p>
        </w:tc>
      </w:tr>
      <w:tr>
        <w:trPr>
          <w:trHeight w:val="144"/>
        </w:trPr>
        <w:tc>
          <w:tcPr>
            <w:tcW w:w="1260" w:type="dxa"/>
            <w:vAlign w:val="bottom"/>
            <w:vMerge w:val="restart"/>
          </w:tcPr>
          <w:p>
            <w:pPr>
              <w:spacing w:after="0"/>
              <w:rPr>
                <w:sz w:val="20"/>
                <w:szCs w:val="20"/>
                <w:color w:val="auto"/>
              </w:rPr>
            </w:pPr>
            <w:r>
              <w:rPr>
                <w:rFonts w:ascii="Arial" w:cs="Arial" w:eastAsia="Arial" w:hAnsi="Arial"/>
                <w:sz w:val="11"/>
                <w:szCs w:val="11"/>
                <w:color w:val="auto"/>
              </w:rPr>
              <w:t>Operating EBITDA</w:t>
            </w:r>
            <w:r>
              <w:rPr>
                <w:rFonts w:ascii="Arial" w:cs="Arial" w:eastAsia="Arial" w:hAnsi="Arial"/>
                <w:sz w:val="17"/>
                <w:szCs w:val="17"/>
                <w:color w:val="auto"/>
                <w:vertAlign w:val="superscript"/>
              </w:rPr>
              <w:t>(b)</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Arial" w:cs="Arial" w:eastAsia="Arial" w:hAnsi="Arial"/>
                <w:sz w:val="12"/>
                <w:szCs w:val="12"/>
                <w:color w:val="auto"/>
              </w:rPr>
              <w:t>Toni Werner</w:t>
            </w:r>
          </w:p>
        </w:tc>
        <w:tc>
          <w:tcPr>
            <w:tcW w:w="0" w:type="dxa"/>
            <w:vAlign w:val="bottom"/>
          </w:tcPr>
          <w:p>
            <w:pPr>
              <w:spacing w:after="0"/>
              <w:rPr>
                <w:sz w:val="1"/>
                <w:szCs w:val="1"/>
                <w:color w:val="auto"/>
              </w:rPr>
            </w:pPr>
          </w:p>
        </w:tc>
      </w:tr>
      <w:tr>
        <w:trPr>
          <w:trHeight w:val="221"/>
        </w:trPr>
        <w:tc>
          <w:tcPr>
            <w:tcW w:w="1260" w:type="dxa"/>
            <w:vAlign w:val="bottom"/>
            <w:vMerge w:val="continue"/>
          </w:tcPr>
          <w:p>
            <w:pPr>
              <w:spacing w:after="0"/>
              <w:rPr>
                <w:sz w:val="19"/>
                <w:szCs w:val="19"/>
                <w:color w:val="auto"/>
              </w:rPr>
            </w:pP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$1,310</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$1,359</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$1,228</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$1,249</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$5,403</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$5,512</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$4,964</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$5,032</w:t>
            </w:r>
          </w:p>
        </w:tc>
        <w:tc>
          <w:tcPr>
            <w:tcW w:w="960" w:type="dxa"/>
            <w:vAlign w:val="bottom"/>
          </w:tcPr>
          <w:p>
            <w:pPr>
              <w:ind w:left="60"/>
              <w:spacing w:after="0"/>
              <w:rPr>
                <w:sz w:val="20"/>
                <w:szCs w:val="20"/>
                <w:color w:val="auto"/>
              </w:rPr>
            </w:pPr>
            <w:r>
              <w:rPr>
                <w:rFonts w:ascii="Arial" w:cs="Arial" w:eastAsia="Arial" w:hAnsi="Arial"/>
                <w:sz w:val="12"/>
                <w:szCs w:val="12"/>
                <w:color w:val="auto"/>
                <w:w w:val="98"/>
              </w:rPr>
              <w:t>media@wm.com</w:t>
            </w:r>
          </w:p>
        </w:tc>
        <w:tc>
          <w:tcPr>
            <w:tcW w:w="0" w:type="dxa"/>
            <w:vAlign w:val="bottom"/>
          </w:tcPr>
          <w:p>
            <w:pPr>
              <w:spacing w:after="0"/>
              <w:rPr>
                <w:sz w:val="1"/>
                <w:szCs w:val="1"/>
                <w:color w:val="auto"/>
              </w:rPr>
            </w:pPr>
          </w:p>
        </w:tc>
      </w:tr>
      <w:tr>
        <w:trPr>
          <w:trHeight w:val="181"/>
        </w:trPr>
        <w:tc>
          <w:tcPr>
            <w:tcW w:w="1260" w:type="dxa"/>
            <w:vAlign w:val="bottom"/>
          </w:tcPr>
          <w:p>
            <w:pPr>
              <w:spacing w:after="0"/>
              <w:rPr>
                <w:sz w:val="20"/>
                <w:szCs w:val="20"/>
                <w:color w:val="auto"/>
              </w:rPr>
            </w:pPr>
            <w:r>
              <w:rPr>
                <w:rFonts w:ascii="Arial" w:cs="Arial" w:eastAsia="Arial" w:hAnsi="Arial"/>
                <w:sz w:val="11"/>
                <w:szCs w:val="11"/>
                <w:color w:val="auto"/>
                <w:w w:val="97"/>
              </w:rPr>
              <w:t>Operating EBITDA Margin</w:t>
            </w: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26.5%</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27.5%</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26.3%</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26.7%</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27.4%</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28.0%</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27.7%</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28.1%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Arial" w:cs="Arial" w:eastAsia="Arial" w:hAnsi="Arial"/>
                <w:sz w:val="11"/>
                <w:szCs w:val="11"/>
                <w:color w:val="auto"/>
              </w:rPr>
              <w:t>Net Income</w:t>
            </w:r>
            <w:r>
              <w:rPr>
                <w:rFonts w:ascii="Arial" w:cs="Arial" w:eastAsia="Arial" w:hAnsi="Arial"/>
                <w:sz w:val="17"/>
                <w:szCs w:val="17"/>
                <w:color w:val="auto"/>
                <w:vertAlign w:val="superscript"/>
              </w:rPr>
              <w:t>(c)</w:t>
            </w: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$499</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$537</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$506</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$528</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$2,238</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$2,321</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$1,816</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$2,046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260" w:type="dxa"/>
            <w:vAlign w:val="bottom"/>
          </w:tcPr>
          <w:p>
            <w:pPr>
              <w:spacing w:after="0"/>
              <w:rPr>
                <w:sz w:val="20"/>
                <w:szCs w:val="20"/>
                <w:color w:val="auto"/>
              </w:rPr>
            </w:pPr>
            <w:r>
              <w:rPr>
                <w:rFonts w:ascii="Arial" w:cs="Arial" w:eastAsia="Arial" w:hAnsi="Arial"/>
                <w:sz w:val="11"/>
                <w:szCs w:val="11"/>
                <w:color w:val="auto"/>
              </w:rPr>
              <w:t>Diluted EPS</w:t>
            </w:r>
          </w:p>
        </w:tc>
        <w:tc>
          <w:tcPr>
            <w:tcW w:w="2020" w:type="dxa"/>
            <w:vAlign w:val="bottom"/>
            <w:gridSpan w:val="4"/>
          </w:tcPr>
          <w:p>
            <w:pPr>
              <w:jc w:val="right"/>
              <w:ind w:right="6"/>
              <w:spacing w:after="0"/>
              <w:rPr>
                <w:sz w:val="20"/>
                <w:szCs w:val="20"/>
                <w:color w:val="auto"/>
              </w:rPr>
            </w:pPr>
            <w:r>
              <w:rPr>
                <w:rFonts w:ascii="Arial" w:cs="Arial" w:eastAsia="Arial" w:hAnsi="Arial"/>
                <w:sz w:val="11"/>
                <w:szCs w:val="11"/>
                <w:color w:val="auto"/>
              </w:rPr>
              <w:t>$1.21</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$1.30</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color w:val="auto"/>
              </w:rPr>
              <w:t>$1.20</w:t>
            </w:r>
          </w:p>
        </w:tc>
        <w:tc>
          <w:tcPr>
            <w:tcW w:w="960" w:type="dxa"/>
            <w:vAlign w:val="bottom"/>
            <w:gridSpan w:val="4"/>
          </w:tcPr>
          <w:p>
            <w:pPr>
              <w:jc w:val="right"/>
              <w:ind w:right="220"/>
              <w:spacing w:after="0"/>
              <w:rPr>
                <w:sz w:val="20"/>
                <w:szCs w:val="20"/>
                <w:color w:val="auto"/>
              </w:rPr>
            </w:pPr>
            <w:r>
              <w:rPr>
                <w:rFonts w:ascii="Arial" w:cs="Arial" w:eastAsia="Arial" w:hAnsi="Arial"/>
                <w:sz w:val="11"/>
                <w:szCs w:val="11"/>
                <w:color w:val="auto"/>
              </w:rPr>
              <w:t>$1.26</w:t>
            </w:r>
          </w:p>
        </w:tc>
        <w:tc>
          <w:tcPr>
            <w:tcW w:w="860" w:type="dxa"/>
            <w:vAlign w:val="bottom"/>
            <w:gridSpan w:val="3"/>
          </w:tcPr>
          <w:p>
            <w:pPr>
              <w:jc w:val="right"/>
              <w:ind w:right="6"/>
              <w:spacing w:after="0"/>
              <w:rPr>
                <w:sz w:val="20"/>
                <w:szCs w:val="20"/>
                <w:color w:val="auto"/>
              </w:rPr>
            </w:pPr>
            <w:r>
              <w:rPr>
                <w:rFonts w:ascii="Arial" w:cs="Arial" w:eastAsia="Arial" w:hAnsi="Arial"/>
                <w:sz w:val="11"/>
                <w:szCs w:val="11"/>
                <w:color w:val="auto"/>
              </w:rPr>
              <w:t>$5.39</w:t>
            </w:r>
          </w:p>
        </w:tc>
        <w:tc>
          <w:tcPr>
            <w:tcW w:w="820" w:type="dxa"/>
            <w:vAlign w:val="bottom"/>
            <w:gridSpan w:val="2"/>
          </w:tcPr>
          <w:p>
            <w:pPr>
              <w:jc w:val="right"/>
              <w:ind w:right="26"/>
              <w:spacing w:after="0"/>
              <w:rPr>
                <w:sz w:val="20"/>
                <w:szCs w:val="20"/>
                <w:color w:val="auto"/>
              </w:rPr>
            </w:pPr>
            <w:r>
              <w:rPr>
                <w:rFonts w:ascii="Arial" w:cs="Arial" w:eastAsia="Arial" w:hAnsi="Arial"/>
                <w:sz w:val="11"/>
                <w:szCs w:val="11"/>
                <w:color w:val="auto"/>
              </w:rPr>
              <w:t>$5.59</w:t>
            </w:r>
          </w:p>
        </w:tc>
        <w:tc>
          <w:tcPr>
            <w:tcW w:w="760" w:type="dxa"/>
            <w:vAlign w:val="bottom"/>
            <w:gridSpan w:val="2"/>
          </w:tcPr>
          <w:p>
            <w:pPr>
              <w:jc w:val="right"/>
              <w:ind w:right="6"/>
              <w:spacing w:after="0"/>
              <w:rPr>
                <w:sz w:val="20"/>
                <w:szCs w:val="20"/>
                <w:color w:val="auto"/>
              </w:rPr>
            </w:pPr>
            <w:r>
              <w:rPr>
                <w:rFonts w:ascii="Arial" w:cs="Arial" w:eastAsia="Arial" w:hAnsi="Arial"/>
                <w:sz w:val="11"/>
                <w:szCs w:val="11"/>
                <w:color w:val="auto"/>
              </w:rPr>
              <w:t>$4.29</w:t>
            </w:r>
          </w:p>
        </w:tc>
        <w:tc>
          <w:tcPr>
            <w:tcW w:w="720" w:type="dxa"/>
            <w:vAlign w:val="bottom"/>
            <w:gridSpan w:val="3"/>
          </w:tcPr>
          <w:p>
            <w:pPr>
              <w:jc w:val="right"/>
              <w:ind w:right="40"/>
              <w:spacing w:after="0"/>
              <w:rPr>
                <w:sz w:val="20"/>
                <w:szCs w:val="20"/>
                <w:color w:val="auto"/>
              </w:rPr>
            </w:pPr>
            <w:r>
              <w:rPr>
                <w:rFonts w:ascii="Arial" w:cs="Arial" w:eastAsia="Arial" w:hAnsi="Arial"/>
                <w:sz w:val="11"/>
                <w:szCs w:val="11"/>
                <w:color w:val="auto"/>
              </w:rPr>
              <w:t>$4.84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2260"/>
        <w:spacing w:after="0" w:line="234" w:lineRule="auto"/>
        <w:rPr>
          <w:sz w:val="20"/>
          <w:szCs w:val="20"/>
          <w:color w:val="auto"/>
        </w:rPr>
      </w:pPr>
      <w:r>
        <w:rPr>
          <w:rFonts w:ascii="Arial" w:cs="Arial" w:eastAsia="Arial" w:hAnsi="Arial"/>
          <w:sz w:val="12"/>
          <w:szCs w:val="12"/>
          <w:color w:val="auto"/>
        </w:rPr>
        <w:t>“In 2022 WM delivered another year of strong financial growth, particularly in our collection and disposal business,” said Jim Fish, WM’s President and Chief Executive Officer. “The collection and disposal business exceeded expectations and overcame high inflation and a tight labor market to deliver double-digit adjusted operating EBITDA growth in both the fourth quarter and for the full year. This translated into total Company adjusted operating EBITDA growth of 8.8% in the fourth quarter and</w:t>
      </w:r>
    </w:p>
    <w:p>
      <w:pPr>
        <w:spacing w:after="0" w:line="1" w:lineRule="exact"/>
        <w:rPr>
          <w:sz w:val="20"/>
          <w:szCs w:val="20"/>
          <w:color w:val="auto"/>
        </w:rPr>
      </w:pPr>
    </w:p>
    <w:p>
      <w:pPr>
        <w:jc w:val="both"/>
        <w:ind w:right="2260"/>
        <w:spacing w:after="0" w:line="206" w:lineRule="auto"/>
        <w:rPr>
          <w:sz w:val="20"/>
          <w:szCs w:val="20"/>
          <w:color w:val="auto"/>
        </w:rPr>
      </w:pPr>
      <w:r>
        <w:rPr>
          <w:rFonts w:ascii="Arial" w:cs="Arial" w:eastAsia="Arial" w:hAnsi="Arial"/>
          <w:sz w:val="12"/>
          <w:szCs w:val="12"/>
          <w:color w:val="auto"/>
        </w:rPr>
        <w:t>more than 9.5% growth for the full-year.</w:t>
      </w:r>
      <w:r>
        <w:rPr>
          <w:rFonts w:ascii="Arial" w:cs="Arial" w:eastAsia="Arial" w:hAnsi="Arial"/>
          <w:sz w:val="19"/>
          <w:szCs w:val="19"/>
          <w:color w:val="auto"/>
          <w:vertAlign w:val="superscript"/>
        </w:rPr>
        <w:t>(a)</w:t>
      </w:r>
      <w:r>
        <w:rPr>
          <w:rFonts w:ascii="Arial" w:cs="Arial" w:eastAsia="Arial" w:hAnsi="Arial"/>
          <w:sz w:val="12"/>
          <w:szCs w:val="12"/>
          <w:color w:val="auto"/>
        </w:rPr>
        <w:t xml:space="preserve"> Throughout the year, we also advanced our strategic priorities—enhancing employee engagement, improving our operations through the use of technology, and investing in sustainability leadership and growth.”</w:t>
      </w:r>
    </w:p>
    <w:p>
      <w:pPr>
        <w:spacing w:after="0" w:line="126" w:lineRule="exact"/>
        <w:rPr>
          <w:sz w:val="20"/>
          <w:szCs w:val="20"/>
          <w:color w:val="auto"/>
        </w:rPr>
      </w:pPr>
    </w:p>
    <w:p>
      <w:pPr>
        <w:jc w:val="both"/>
        <w:ind w:right="2280"/>
        <w:spacing w:after="0" w:line="256" w:lineRule="auto"/>
        <w:rPr>
          <w:sz w:val="20"/>
          <w:szCs w:val="20"/>
          <w:color w:val="auto"/>
        </w:rPr>
      </w:pPr>
      <w:r>
        <w:rPr>
          <w:rFonts w:ascii="Arial" w:cs="Arial" w:eastAsia="Arial" w:hAnsi="Arial"/>
          <w:sz w:val="11"/>
          <w:szCs w:val="11"/>
          <w:color w:val="auto"/>
        </w:rPr>
        <w:t>Fish continued, “We expect 2023 performance to be driven by another strong year in our collection and disposal business that builds upon our outstanding 2022 results. This robust performance is expected to generate total Company adjusted operating EBITDA growth of 7% at the midpoint of our guidance, which is at the upper end of our</w:t>
      </w:r>
    </w:p>
    <w:p>
      <w:pPr>
        <w:jc w:val="both"/>
        <w:ind w:right="2260"/>
        <w:spacing w:after="0" w:line="231" w:lineRule="auto"/>
        <w:rPr>
          <w:sz w:val="20"/>
          <w:szCs w:val="20"/>
          <w:color w:val="auto"/>
        </w:rPr>
      </w:pPr>
      <w:r>
        <w:rPr>
          <w:rFonts w:ascii="Arial" w:cs="Arial" w:eastAsia="Arial" w:hAnsi="Arial"/>
          <w:sz w:val="12"/>
          <w:szCs w:val="12"/>
          <w:color w:val="auto"/>
        </w:rPr>
        <w:t>long-term operating EBITDA growth expectations.</w:t>
      </w:r>
      <w:r>
        <w:rPr>
          <w:rFonts w:ascii="Arial" w:cs="Arial" w:eastAsia="Arial" w:hAnsi="Arial"/>
          <w:sz w:val="19"/>
          <w:szCs w:val="19"/>
          <w:color w:val="auto"/>
          <w:vertAlign w:val="superscript"/>
        </w:rPr>
        <w:t>(a)</w:t>
      </w:r>
      <w:r>
        <w:rPr>
          <w:rFonts w:ascii="Arial" w:cs="Arial" w:eastAsia="Arial" w:hAnsi="Arial"/>
          <w:sz w:val="12"/>
          <w:szCs w:val="12"/>
          <w:color w:val="auto"/>
        </w:rPr>
        <w:t xml:space="preserve"> At the same time, we continue to invest in automation technology to further differentiate WM’s service offerings and drive future performance, and we continue to make large investments to grow our sustainability businesses. Today, we published additional information about our multi-year plan for significant investments in our renewable energy and recycling businesses in a supplemental presentation on our website including announcing that we will be hosting a virtual information session for investors on April 5 to provide more insight into these growth plans.”</w:t>
      </w:r>
      <w:r>
        <w:rPr>
          <w:rFonts w:ascii="Arial" w:cs="Arial" w:eastAsia="Arial" w:hAnsi="Arial"/>
          <w:sz w:val="19"/>
          <w:szCs w:val="1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KEY HIGHLIGHTS FOR THE FOURTH QUARTER AND THE FULL YEAR 2022</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u w:val="single" w:color="auto"/>
          <w:color w:val="auto"/>
        </w:rPr>
        <w:t>Revenue</w:t>
      </w:r>
    </w:p>
    <w:p>
      <w:pPr>
        <w:spacing w:after="0" w:line="32" w:lineRule="exact"/>
        <w:rPr>
          <w:sz w:val="20"/>
          <w:szCs w:val="20"/>
          <w:color w:val="auto"/>
        </w:rPr>
      </w:pPr>
    </w:p>
    <w:p>
      <w:pPr>
        <w:ind w:left="420" w:hanging="212"/>
        <w:spacing w:after="0"/>
        <w:tabs>
          <w:tab w:leader="none" w:pos="420" w:val="left"/>
        </w:tabs>
        <w:numPr>
          <w:ilvl w:val="0"/>
          <w:numId w:val="2"/>
        </w:numPr>
        <w:rPr>
          <w:rFonts w:ascii="Arial" w:cs="Arial" w:eastAsia="Arial" w:hAnsi="Arial"/>
          <w:sz w:val="24"/>
          <w:szCs w:val="24"/>
          <w:color w:val="auto"/>
          <w:vertAlign w:val="superscript"/>
        </w:rPr>
      </w:pPr>
      <w:r>
        <w:rPr>
          <w:rFonts w:ascii="Arial" w:cs="Arial" w:eastAsia="Arial" w:hAnsi="Arial"/>
          <w:sz w:val="12"/>
          <w:szCs w:val="12"/>
          <w:color w:val="auto"/>
        </w:rPr>
        <w:t>Core price for the fourth quarter of 2022 was 8.1% compared to 5.1% in the fourth quarter of 2021. For the full year, core price was 7.8% in 2022 compared to 4.8% in 2021.</w:t>
      </w:r>
      <w:r>
        <w:rPr>
          <w:rFonts w:ascii="Arial" w:cs="Arial" w:eastAsia="Arial" w:hAnsi="Arial"/>
          <w:sz w:val="19"/>
          <w:szCs w:val="19"/>
          <w:color w:val="auto"/>
          <w:vertAlign w:val="superscript"/>
        </w:rPr>
        <w:t>(e)</w:t>
      </w:r>
    </w:p>
    <w:p>
      <w:pPr>
        <w:ind w:left="4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Collection and disposal yield was 7.7% in the fourth quarter of 2022 compared to 3.7% in the fourth quarter of 2021. For the full year, collection and disposal yield was 6.7% in 2022 compared to 3.5% in 2021.</w:t>
      </w:r>
    </w:p>
    <w:p>
      <w:pPr>
        <w:ind w:left="4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Company volumes decreased 0.7% in the fourth quarter of 2022, or a decline of 0.4% on a workday adjusted basis, compared to an increase of 2.8% in the fourth quarter of 2021, or 2.3% on a workday adjusted basis. For the full year, total Company volumes increased 1.3% in 2022 compared to 2.8% in 2021. There were negligible workday differences for the full year.</w:t>
      </w:r>
    </w:p>
    <w:p>
      <w:pPr>
        <w:ind w:left="420" w:hanging="212"/>
        <w:spacing w:after="0" w:line="24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Collection and disposal volumes decreased 0.5% in the fourth quarter of 2022, or a decline of 0.3% on a workday adjusted basis, compared to an increase of 3.2% in the fourth quarter of 2021, or 2.8% on a workday adjusted basis. For the full year, collection and disposal volumes increased 1.8% in 2022 compared to 3.0% in 2021. There were negligible workday differences for the full year.</w:t>
      </w:r>
    </w:p>
    <w:p>
      <w:pPr>
        <w:spacing w:after="0" w:line="10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b w:val="1"/>
          <w:bCs w:val="1"/>
          <w:u w:val="single" w:color="auto"/>
          <w:color w:val="auto"/>
        </w:rPr>
        <w:t>Cost Management</w:t>
      </w:r>
    </w:p>
    <w:p>
      <w:pPr>
        <w:spacing w:after="0" w:line="146" w:lineRule="exact"/>
        <w:rPr>
          <w:rFonts w:ascii="Arial" w:cs="Arial" w:eastAsia="Arial" w:hAnsi="Arial"/>
          <w:sz w:val="12"/>
          <w:szCs w:val="12"/>
          <w:color w:val="auto"/>
        </w:rPr>
      </w:pPr>
    </w:p>
    <w:p>
      <w:pPr>
        <w:jc w:val="both"/>
        <w:ind w:left="420" w:hanging="212"/>
        <w:spacing w:after="0" w:line="225"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Operating expenses as a percentage of revenue were 62.7% in the fourth quarter of 2022 compared to 63.2%, or 63.0% on an adjusted basis, in the fourth quarter of 2021. The improvement in this measure was driven by the collection and disposal business where pricing and operating efficiencies worked to overcome inflationary cost pressures. An estimated 100 basis point improvement from collection and disposal operations was partially offset by a 40 basis point impact from higher fuel prices and a 30 basis point impact from our recycling business. For the full year, operating expenses as a percentage of revenue were 62.4% in 2022 compared to 62.0%, or 61.9% on an adjusted basis, in 2021.</w:t>
      </w:r>
      <w:r>
        <w:rPr>
          <w:rFonts w:ascii="Arial" w:cs="Arial" w:eastAsia="Arial" w:hAnsi="Arial"/>
          <w:sz w:val="19"/>
          <w:szCs w:val="19"/>
          <w:color w:val="auto"/>
          <w:vertAlign w:val="superscript"/>
        </w:rPr>
        <w:t>(a)</w:t>
      </w:r>
    </w:p>
    <w:p>
      <w:pPr>
        <w:spacing w:after="0" w:line="1" w:lineRule="exact"/>
        <w:rPr>
          <w:rFonts w:ascii="Arial" w:cs="Arial" w:eastAsia="Arial" w:hAnsi="Arial"/>
          <w:sz w:val="12"/>
          <w:szCs w:val="12"/>
          <w:color w:val="auto"/>
        </w:rPr>
      </w:pPr>
    </w:p>
    <w:p>
      <w:pPr>
        <w:ind w:left="420" w:hanging="212"/>
        <w:spacing w:after="0" w:line="189" w:lineRule="auto"/>
        <w:tabs>
          <w:tab w:leader="none" w:pos="420" w:val="left"/>
        </w:tabs>
        <w:numPr>
          <w:ilvl w:val="0"/>
          <w:numId w:val="2"/>
        </w:numPr>
        <w:rPr>
          <w:rFonts w:ascii="Arial" w:cs="Arial" w:eastAsia="Arial" w:hAnsi="Arial"/>
          <w:sz w:val="24"/>
          <w:szCs w:val="24"/>
          <w:color w:val="auto"/>
          <w:vertAlign w:val="superscript"/>
        </w:rPr>
      </w:pPr>
      <w:r>
        <w:rPr>
          <w:rFonts w:ascii="Arial" w:cs="Arial" w:eastAsia="Arial" w:hAnsi="Arial"/>
          <w:sz w:val="12"/>
          <w:szCs w:val="12"/>
          <w:color w:val="auto"/>
        </w:rPr>
        <w:t>SG&amp;A expenses were 9.9% of revenue, or 9.8% on adjusted basis, in the fourth quarter of 2022 compared to 10.5%, or 10.3% on an adjusted basis, in the fourth quarter of 2021.</w:t>
      </w:r>
      <w:r>
        <w:rPr>
          <w:rFonts w:ascii="Arial" w:cs="Arial" w:eastAsia="Arial" w:hAnsi="Arial"/>
          <w:sz w:val="19"/>
          <w:szCs w:val="19"/>
          <w:color w:val="auto"/>
          <w:vertAlign w:val="superscript"/>
        </w:rPr>
        <w:t>(a)</w:t>
      </w:r>
      <w:r>
        <w:rPr>
          <w:rFonts w:ascii="Arial" w:cs="Arial" w:eastAsia="Arial" w:hAnsi="Arial"/>
          <w:sz w:val="12"/>
          <w:szCs w:val="12"/>
          <w:color w:val="auto"/>
        </w:rPr>
        <w:t xml:space="preserve"> For the full year, SG&amp;A expenses were 9.8% of revenue, or 9.6% on an adjusted basis, in 2022 compared to 10.4%, or 10.0% on an adjusted basis, in 2021.</w:t>
      </w:r>
      <w:r>
        <w:rPr>
          <w:rFonts w:ascii="Arial" w:cs="Arial" w:eastAsia="Arial" w:hAnsi="Arial"/>
          <w:sz w:val="19"/>
          <w:szCs w:val="19"/>
          <w:color w:val="auto"/>
          <w:vertAlign w:val="superscript"/>
        </w:rPr>
        <w:t>(a)</w:t>
      </w:r>
    </w:p>
    <w:p>
      <w:pPr>
        <w:spacing w:after="0" w:line="28" w:lineRule="exact"/>
        <w:rPr>
          <w:rFonts w:ascii="Arial" w:cs="Arial" w:eastAsia="Arial" w:hAnsi="Arial"/>
          <w:sz w:val="24"/>
          <w:szCs w:val="24"/>
          <w:color w:val="auto"/>
          <w:vertAlign w:val="superscript"/>
        </w:rPr>
      </w:pPr>
    </w:p>
    <w:p>
      <w:pPr>
        <w:ind w:left="420"/>
        <w:spacing w:after="0"/>
        <w:rPr>
          <w:rFonts w:ascii="Arial" w:cs="Arial" w:eastAsia="Arial" w:hAnsi="Arial"/>
          <w:sz w:val="24"/>
          <w:szCs w:val="24"/>
          <w:color w:val="auto"/>
          <w:vertAlign w:val="superscript"/>
        </w:rPr>
      </w:pPr>
      <w:r>
        <w:rPr>
          <w:rFonts w:ascii="Arial" w:cs="Arial" w:eastAsia="Arial" w:hAnsi="Arial"/>
          <w:sz w:val="12"/>
          <w:szCs w:val="12"/>
          <w:b w:val="1"/>
          <w:bCs w:val="1"/>
          <w:u w:val="single" w:color="auto"/>
          <w:color w:val="auto"/>
        </w:rPr>
        <w:t>Profitability</w:t>
      </w:r>
    </w:p>
    <w:p>
      <w:pPr>
        <w:spacing w:after="0" w:line="146" w:lineRule="exact"/>
        <w:rPr>
          <w:rFonts w:ascii="Arial" w:cs="Arial" w:eastAsia="Arial" w:hAnsi="Arial"/>
          <w:sz w:val="24"/>
          <w:szCs w:val="24"/>
          <w:color w:val="auto"/>
          <w:vertAlign w:val="superscript"/>
        </w:rPr>
      </w:pPr>
    </w:p>
    <w:p>
      <w:pPr>
        <w:ind w:left="4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Company adjusted operating EBITDA was $1.36 billion, or 27.5% of revenue, for the fourth quarter of 2022, compared to $1.25 billion, or 26.7% of revenue for the fourth quarter of 2021. For the full year 2022, operating EBITDA was $5.51 billion, or 28.0% of revenue, compared to $5.03 billion, or 28.1% of revenue for the full year 2021.</w:t>
      </w:r>
    </w:p>
    <w:p>
      <w:pPr>
        <w:jc w:val="both"/>
        <w:ind w:left="420" w:right="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Operating EBITDA in the Company’s collection and disposal business, adjusted on the same basis as total Company operating EBITDA, was $1.55 billion, or 31.2% of revenue, for the fourth quarter of 2022, compared to $1.39 billion, or 30.8% of revenue, for the fourth quarter of 2021. For the full year 2022, operating EBITDA in the Company’s collection and disposal business, adjusted on the same basis as total Company operating EBITDA, was $6.07 billion, or 31.4% of revenue, compared to $5.52 billion, or 31.6% of revenue for the full year 2021.</w:t>
      </w:r>
    </w:p>
    <w:p>
      <w:pPr>
        <w:spacing w:after="0" w:line="1" w:lineRule="exact"/>
        <w:rPr>
          <w:rFonts w:ascii="Arial" w:cs="Arial" w:eastAsia="Arial" w:hAnsi="Arial"/>
          <w:sz w:val="12"/>
          <w:szCs w:val="12"/>
          <w:color w:val="auto"/>
        </w:rPr>
      </w:pPr>
    </w:p>
    <w:p>
      <w:pPr>
        <w:jc w:val="both"/>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the fourth quarter of 2022, operating EBITDA in WM’s recycling business decreased by $51 million compared to the fourth quarter of 2021. For the full year, operating EBITDA in the Company’s recycling business decreased by $59 million compared to 2021. The decline in both periods was primarily driven by a sharp decline in market prices for recycled commodities in the fourth quarter and persistent inflationary pressures on operating costs, particularly for labor at non-automated facilities,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5" w:name="page6"/>
    <w:bookmarkEnd w:id="5"/>
    <w:p>
      <w:pPr>
        <w:ind w:left="420" w:right="20" w:hanging="212"/>
        <w:spacing w:after="0" w:line="24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fourth quarter of 2022, operating EBITDA in the Company’s renewable energy business declined $5 million compared to the fourth quarter of 2021. For the full year, operating EBITDA in the Company’s renewable energy line of business increased by $19 million compared to 2021 driven by improved pricing for electricity and renewable natural gas.</w:t>
      </w:r>
    </w:p>
    <w:p>
      <w:pPr>
        <w:sectPr>
          <w:pgSz w:w="11900" w:h="16838" w:orient="portrait"/>
          <w:cols w:equalWidth="0" w:num="1">
            <w:col w:w="11300"/>
          </w:cols>
          <w:pgMar w:left="300" w:top="652" w:right="299" w:bottom="1440" w:gutter="0" w:footer="0" w:header="0"/>
        </w:sectPr>
      </w:pP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b w:val="1"/>
          <w:bCs w:val="1"/>
          <w:u w:val="single" w:color="auto"/>
          <w:color w:val="auto"/>
        </w:rPr>
        <w:t>Free Cash Flow &amp; Capital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Net cash provided by 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Capital expenditures, excluding sustainability growth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Proceeds from divestitures of businesses and other assets, net of cash divested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Free cash flow without sustainability growth investments</w:t>
      </w:r>
      <w:r>
        <w:rPr>
          <w:rFonts w:ascii="Arial" w:cs="Arial" w:eastAsia="Arial" w:hAnsi="Arial"/>
          <w:sz w:val="19"/>
          <w:szCs w:val="19"/>
          <w:b w:val="1"/>
          <w:bCs w:val="1"/>
          <w:color w:val="auto"/>
          <w:vertAlign w:val="superscript"/>
        </w:rPr>
        <w:t>(a)</w:t>
      </w:r>
    </w:p>
    <w:p>
      <w:pPr>
        <w:spacing w:after="0"/>
        <w:rPr>
          <w:sz w:val="20"/>
          <w:szCs w:val="20"/>
          <w:color w:val="auto"/>
        </w:rPr>
      </w:pPr>
      <w:r>
        <w:rPr>
          <w:rFonts w:ascii="Arial" w:cs="Arial" w:eastAsia="Arial" w:hAnsi="Arial"/>
          <w:sz w:val="12"/>
          <w:szCs w:val="12"/>
          <w:color w:val="auto"/>
        </w:rPr>
        <w:t>Capital expenditures – sustainability growth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Free Cash Flow</w:t>
      </w:r>
      <w:r>
        <w:rPr>
          <w:rFonts w:ascii="Arial" w:cs="Arial" w:eastAsia="Arial" w:hAnsi="Arial"/>
          <w:sz w:val="19"/>
          <w:szCs w:val="19"/>
          <w:b w:val="1"/>
          <w:bCs w:val="1"/>
          <w:color w:val="auto"/>
          <w:vertAlign w:val="superscript"/>
        </w:rPr>
        <w:t>(a)</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160" w:type="dxa"/>
            <w:vAlign w:val="bottom"/>
            <w:gridSpan w:val="9"/>
          </w:tcPr>
          <w:p>
            <w:pPr>
              <w:jc w:val="center"/>
              <w:ind w:right="200"/>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6"/>
          </w:tcPr>
          <w:p>
            <w:pPr>
              <w:ind w:left="80"/>
              <w:spacing w:after="0"/>
              <w:rPr>
                <w:sz w:val="20"/>
                <w:szCs w:val="20"/>
                <w:color w:val="auto"/>
              </w:rPr>
            </w:pPr>
            <w:r>
              <w:rPr>
                <w:rFonts w:ascii="Arial" w:cs="Arial" w:eastAsia="Arial" w:hAnsi="Arial"/>
                <w:sz w:val="12"/>
                <w:szCs w:val="12"/>
                <w:b w:val="1"/>
                <w:bCs w:val="1"/>
                <w:color w:val="auto"/>
              </w:rPr>
              <w:t>Year Ended</w:t>
            </w:r>
          </w:p>
        </w:tc>
      </w:tr>
      <w:tr>
        <w:trPr>
          <w:trHeight w:val="135"/>
        </w:trPr>
        <w:tc>
          <w:tcPr>
            <w:tcW w:w="14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December 31, 2022</w:t>
            </w:r>
          </w:p>
        </w:tc>
        <w:tc>
          <w:tcPr>
            <w:tcW w:w="168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December 31, 2021</w:t>
            </w:r>
          </w:p>
        </w:tc>
        <w:tc>
          <w:tcPr>
            <w:tcW w:w="14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December 31, 2022</w:t>
            </w:r>
          </w:p>
        </w:tc>
        <w:tc>
          <w:tcPr>
            <w:tcW w:w="150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December 31, 2021</w:t>
            </w:r>
          </w:p>
        </w:tc>
      </w:tr>
      <w:tr>
        <w:trPr>
          <w:trHeight w:val="159"/>
        </w:trPr>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7"/>
          </w:tcPr>
          <w:p>
            <w:pPr>
              <w:jc w:val="center"/>
              <w:ind w:right="1300"/>
              <w:spacing w:after="0"/>
              <w:rPr>
                <w:sz w:val="20"/>
                <w:szCs w:val="20"/>
                <w:color w:val="auto"/>
              </w:rPr>
            </w:pPr>
            <w:r>
              <w:rPr>
                <w:rFonts w:ascii="Arial" w:cs="Arial" w:eastAsia="Arial" w:hAnsi="Arial"/>
                <w:sz w:val="12"/>
                <w:szCs w:val="12"/>
                <w:b w:val="1"/>
                <w:bCs w:val="1"/>
                <w:color w:val="auto"/>
              </w:rPr>
              <w:t>(in millions)</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ind w:left="80"/>
              <w:spacing w:after="0"/>
              <w:rPr>
                <w:sz w:val="20"/>
                <w:szCs w:val="20"/>
                <w:color w:val="auto"/>
              </w:rPr>
            </w:pPr>
            <w:r>
              <w:rPr>
                <w:rFonts w:ascii="Arial" w:cs="Arial" w:eastAsia="Arial" w:hAnsi="Arial"/>
                <w:sz w:val="12"/>
                <w:szCs w:val="12"/>
                <w:b w:val="1"/>
                <w:bCs w:val="1"/>
                <w:color w:val="auto"/>
              </w:rPr>
              <w:t>(in millions)</w:t>
            </w:r>
          </w:p>
        </w:tc>
      </w:tr>
      <w:tr>
        <w:trPr>
          <w:trHeight w:val="126"/>
        </w:trPr>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68"/>
        </w:trPr>
        <w:tc>
          <w:tcPr>
            <w:tcW w:w="1220" w:type="dxa"/>
            <w:vAlign w:val="bottom"/>
            <w:gridSpan w:val="3"/>
          </w:tcPr>
          <w:p>
            <w:pPr>
              <w:jc w:val="right"/>
              <w:spacing w:after="0"/>
              <w:rPr>
                <w:sz w:val="20"/>
                <w:szCs w:val="20"/>
                <w:color w:val="auto"/>
              </w:rPr>
            </w:pPr>
            <w:r>
              <w:rPr>
                <w:rFonts w:ascii="Arial" w:cs="Arial" w:eastAsia="Arial" w:hAnsi="Arial"/>
                <w:sz w:val="12"/>
                <w:szCs w:val="12"/>
                <w:color w:val="auto"/>
              </w:rPr>
              <w:t>$1,049</w:t>
            </w:r>
          </w:p>
        </w:tc>
        <w:tc>
          <w:tcPr>
            <w:tcW w:w="260" w:type="dxa"/>
            <w:vAlign w:val="bottom"/>
          </w:tcPr>
          <w:p>
            <w:pPr>
              <w:spacing w:after="0"/>
              <w:rPr>
                <w:sz w:val="23"/>
                <w:szCs w:val="23"/>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23"/>
                <w:szCs w:val="23"/>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2"/>
                <w:szCs w:val="12"/>
                <w:color w:val="auto"/>
              </w:rPr>
              <w:t>$4,536</w:t>
            </w:r>
          </w:p>
        </w:tc>
        <w:tc>
          <w:tcPr>
            <w:tcW w:w="1500" w:type="dxa"/>
            <w:vAlign w:val="bottom"/>
            <w:gridSpan w:val="4"/>
          </w:tcPr>
          <w:p>
            <w:pPr>
              <w:jc w:val="right"/>
              <w:ind w:right="400"/>
              <w:spacing w:after="0"/>
              <w:rPr>
                <w:sz w:val="20"/>
                <w:szCs w:val="20"/>
                <w:color w:val="auto"/>
              </w:rPr>
            </w:pPr>
            <w:r>
              <w:rPr>
                <w:rFonts w:ascii="Arial" w:cs="Arial" w:eastAsia="Arial" w:hAnsi="Arial"/>
                <w:sz w:val="12"/>
                <w:szCs w:val="12"/>
                <w:color w:val="auto"/>
              </w:rPr>
              <w:t>$4,338</w:t>
            </w:r>
          </w:p>
        </w:tc>
      </w:tr>
      <w:tr>
        <w:trPr>
          <w:trHeight w:val="270"/>
        </w:trPr>
        <w:tc>
          <w:tcPr>
            <w:tcW w:w="1220" w:type="dxa"/>
            <w:vAlign w:val="bottom"/>
            <w:gridSpan w:val="3"/>
          </w:tcPr>
          <w:p>
            <w:pPr>
              <w:jc w:val="right"/>
              <w:spacing w:after="0"/>
              <w:rPr>
                <w:sz w:val="20"/>
                <w:szCs w:val="20"/>
                <w:color w:val="auto"/>
              </w:rPr>
            </w:pPr>
            <w:r>
              <w:rPr>
                <w:rFonts w:ascii="Arial" w:cs="Arial" w:eastAsia="Arial" w:hAnsi="Arial"/>
                <w:sz w:val="12"/>
                <w:szCs w:val="12"/>
                <w:color w:val="auto"/>
              </w:rPr>
              <w:t>(623)</w:t>
            </w:r>
          </w:p>
        </w:tc>
        <w:tc>
          <w:tcPr>
            <w:tcW w:w="260" w:type="dxa"/>
            <w:vAlign w:val="bottom"/>
          </w:tcPr>
          <w:p>
            <w:pPr>
              <w:spacing w:after="0"/>
              <w:rPr>
                <w:sz w:val="23"/>
                <w:szCs w:val="23"/>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2"/>
                <w:szCs w:val="12"/>
                <w:color w:val="auto"/>
              </w:rPr>
              <w:t>(571)</w:t>
            </w:r>
          </w:p>
        </w:tc>
        <w:tc>
          <w:tcPr>
            <w:tcW w:w="220" w:type="dxa"/>
            <w:vAlign w:val="bottom"/>
          </w:tcPr>
          <w:p>
            <w:pPr>
              <w:spacing w:after="0"/>
              <w:rPr>
                <w:sz w:val="23"/>
                <w:szCs w:val="23"/>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2"/>
                <w:szCs w:val="12"/>
                <w:color w:val="auto"/>
              </w:rPr>
              <w:t>(2,026)</w:t>
            </w:r>
          </w:p>
        </w:tc>
        <w:tc>
          <w:tcPr>
            <w:tcW w:w="1500" w:type="dxa"/>
            <w:vAlign w:val="bottom"/>
            <w:gridSpan w:val="4"/>
          </w:tcPr>
          <w:p>
            <w:pPr>
              <w:jc w:val="right"/>
              <w:ind w:right="400"/>
              <w:spacing w:after="0"/>
              <w:rPr>
                <w:sz w:val="20"/>
                <w:szCs w:val="20"/>
                <w:color w:val="auto"/>
              </w:rPr>
            </w:pPr>
            <w:r>
              <w:rPr>
                <w:rFonts w:ascii="Arial" w:cs="Arial" w:eastAsia="Arial" w:hAnsi="Arial"/>
                <w:sz w:val="12"/>
                <w:szCs w:val="12"/>
                <w:color w:val="auto"/>
              </w:rPr>
              <w:t>(1,665)</w:t>
            </w:r>
          </w:p>
        </w:tc>
      </w:tr>
      <w:tr>
        <w:trPr>
          <w:trHeight w:val="243"/>
        </w:trPr>
        <w:tc>
          <w:tcPr>
            <w:tcW w:w="1140" w:type="dxa"/>
            <w:vAlign w:val="bottom"/>
            <w:gridSpan w:val="2"/>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9</w:t>
            </w:r>
          </w:p>
        </w:tc>
        <w:tc>
          <w:tcPr>
            <w:tcW w:w="260" w:type="dxa"/>
            <w:vAlign w:val="bottom"/>
          </w:tcPr>
          <w:p>
            <w:pPr>
              <w:spacing w:after="0"/>
              <w:rPr>
                <w:sz w:val="21"/>
                <w:szCs w:val="21"/>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21"/>
                <w:szCs w:val="21"/>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2"/>
                <w:szCs w:val="12"/>
                <w:color w:val="auto"/>
              </w:rPr>
              <w:t>27</w:t>
            </w:r>
          </w:p>
        </w:tc>
        <w:tc>
          <w:tcPr>
            <w:tcW w:w="1500" w:type="dxa"/>
            <w:vAlign w:val="bottom"/>
            <w:gridSpan w:val="4"/>
          </w:tcPr>
          <w:p>
            <w:pPr>
              <w:jc w:val="right"/>
              <w:ind w:right="400"/>
              <w:spacing w:after="0"/>
              <w:rPr>
                <w:sz w:val="20"/>
                <w:szCs w:val="20"/>
                <w:color w:val="auto"/>
              </w:rPr>
            </w:pPr>
            <w:r>
              <w:rPr>
                <w:rFonts w:ascii="Arial" w:cs="Arial" w:eastAsia="Arial" w:hAnsi="Arial"/>
                <w:sz w:val="12"/>
                <w:szCs w:val="12"/>
                <w:color w:val="auto"/>
              </w:rPr>
              <w:t>96</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1220" w:type="dxa"/>
            <w:vAlign w:val="bottom"/>
            <w:gridSpan w:val="3"/>
          </w:tcPr>
          <w:p>
            <w:pPr>
              <w:jc w:val="right"/>
              <w:spacing w:after="0"/>
              <w:rPr>
                <w:sz w:val="20"/>
                <w:szCs w:val="20"/>
                <w:color w:val="auto"/>
              </w:rPr>
            </w:pPr>
            <w:r>
              <w:rPr>
                <w:rFonts w:ascii="Arial" w:cs="Arial" w:eastAsia="Arial" w:hAnsi="Arial"/>
                <w:sz w:val="12"/>
                <w:szCs w:val="12"/>
                <w:b w:val="1"/>
                <w:bCs w:val="1"/>
                <w:color w:val="auto"/>
              </w:rPr>
              <w:t>435</w:t>
            </w:r>
          </w:p>
        </w:tc>
        <w:tc>
          <w:tcPr>
            <w:tcW w:w="260" w:type="dxa"/>
            <w:vAlign w:val="bottom"/>
          </w:tcPr>
          <w:p>
            <w:pPr>
              <w:spacing w:after="0"/>
              <w:rPr>
                <w:sz w:val="24"/>
                <w:szCs w:val="24"/>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446</w:t>
            </w:r>
          </w:p>
        </w:tc>
        <w:tc>
          <w:tcPr>
            <w:tcW w:w="220" w:type="dxa"/>
            <w:vAlign w:val="bottom"/>
          </w:tcPr>
          <w:p>
            <w:pPr>
              <w:spacing w:after="0"/>
              <w:rPr>
                <w:sz w:val="24"/>
                <w:szCs w:val="2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2,537</w:t>
            </w:r>
          </w:p>
        </w:tc>
        <w:tc>
          <w:tcPr>
            <w:tcW w:w="150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2,769</w:t>
            </w:r>
          </w:p>
        </w:tc>
      </w:tr>
      <w:tr>
        <w:trPr>
          <w:trHeight w:val="126"/>
        </w:trPr>
        <w:tc>
          <w:tcPr>
            <w:tcW w:w="122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(239)</w:t>
            </w:r>
          </w:p>
        </w:tc>
        <w:tc>
          <w:tcPr>
            <w:tcW w:w="260" w:type="dxa"/>
            <w:vAlign w:val="bottom"/>
          </w:tcPr>
          <w:p>
            <w:pPr>
              <w:spacing w:after="0"/>
              <w:rPr>
                <w:sz w:val="10"/>
                <w:szCs w:val="10"/>
                <w:color w:val="auto"/>
              </w:rPr>
            </w:pPr>
          </w:p>
        </w:tc>
        <w:tc>
          <w:tcPr>
            <w:tcW w:w="1460" w:type="dxa"/>
            <w:vAlign w:val="bottom"/>
            <w:gridSpan w:val="4"/>
          </w:tcPr>
          <w:p>
            <w:pPr>
              <w:jc w:val="right"/>
              <w:ind w:right="440"/>
              <w:spacing w:after="0" w:line="126" w:lineRule="exact"/>
              <w:rPr>
                <w:sz w:val="20"/>
                <w:szCs w:val="20"/>
                <w:color w:val="auto"/>
              </w:rPr>
            </w:pPr>
            <w:r>
              <w:rPr>
                <w:rFonts w:ascii="Arial" w:cs="Arial" w:eastAsia="Arial" w:hAnsi="Arial"/>
                <w:sz w:val="12"/>
                <w:szCs w:val="12"/>
                <w:color w:val="auto"/>
              </w:rPr>
              <w:t>(203)</w:t>
            </w:r>
          </w:p>
        </w:tc>
        <w:tc>
          <w:tcPr>
            <w:tcW w:w="220" w:type="dxa"/>
            <w:vAlign w:val="bottom"/>
          </w:tcPr>
          <w:p>
            <w:pPr>
              <w:spacing w:after="0"/>
              <w:rPr>
                <w:sz w:val="10"/>
                <w:szCs w:val="10"/>
                <w:color w:val="auto"/>
              </w:rPr>
            </w:pPr>
          </w:p>
        </w:tc>
        <w:tc>
          <w:tcPr>
            <w:tcW w:w="1480" w:type="dxa"/>
            <w:vAlign w:val="bottom"/>
            <w:gridSpan w:val="4"/>
          </w:tcPr>
          <w:p>
            <w:pPr>
              <w:jc w:val="right"/>
              <w:ind w:right="260"/>
              <w:spacing w:after="0" w:line="126" w:lineRule="exact"/>
              <w:rPr>
                <w:sz w:val="20"/>
                <w:szCs w:val="20"/>
                <w:color w:val="auto"/>
              </w:rPr>
            </w:pPr>
            <w:r>
              <w:rPr>
                <w:rFonts w:ascii="Arial" w:cs="Arial" w:eastAsia="Arial" w:hAnsi="Arial"/>
                <w:sz w:val="12"/>
                <w:szCs w:val="12"/>
                <w:color w:val="auto"/>
              </w:rPr>
              <w:t>(561)</w:t>
            </w:r>
          </w:p>
        </w:tc>
        <w:tc>
          <w:tcPr>
            <w:tcW w:w="1500" w:type="dxa"/>
            <w:vAlign w:val="bottom"/>
            <w:gridSpan w:val="4"/>
          </w:tcPr>
          <w:p>
            <w:pPr>
              <w:jc w:val="right"/>
              <w:ind w:right="400"/>
              <w:spacing w:after="0" w:line="126" w:lineRule="exact"/>
              <w:rPr>
                <w:sz w:val="20"/>
                <w:szCs w:val="20"/>
                <w:color w:val="auto"/>
              </w:rPr>
            </w:pPr>
            <w:r>
              <w:rPr>
                <w:rFonts w:ascii="Arial" w:cs="Arial" w:eastAsia="Arial" w:hAnsi="Arial"/>
                <w:sz w:val="12"/>
                <w:szCs w:val="12"/>
                <w:color w:val="auto"/>
              </w:rPr>
              <w:t>(239)</w:t>
            </w:r>
          </w:p>
        </w:tc>
      </w:tr>
      <w:tr>
        <w:trPr>
          <w:trHeight w:val="20"/>
        </w:trPr>
        <w:tc>
          <w:tcPr>
            <w:tcW w:w="9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9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$196</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w w:val="97"/>
              </w:rPr>
              <w:t>$243</w:t>
            </w:r>
          </w:p>
        </w:tc>
        <w:tc>
          <w:tcPr>
            <w:tcW w:w="220" w:type="dxa"/>
            <w:vAlign w:val="bottom"/>
          </w:tcPr>
          <w:p>
            <w:pPr>
              <w:spacing w:after="0"/>
              <w:rPr>
                <w:sz w:val="24"/>
                <w:szCs w:val="2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$1,976</w:t>
            </w:r>
          </w:p>
        </w:tc>
        <w:tc>
          <w:tcPr>
            <w:tcW w:w="150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$2,530</w:t>
            </w:r>
          </w:p>
        </w:tc>
      </w:tr>
    </w:tbl>
    <w:p>
      <w:pPr>
        <w:spacing w:after="0" w:line="142" w:lineRule="exact"/>
        <w:rPr>
          <w:sz w:val="20"/>
          <w:szCs w:val="20"/>
          <w:color w:val="auto"/>
        </w:rPr>
      </w:pPr>
    </w:p>
    <w:p>
      <w:pPr>
        <w:sectPr>
          <w:pgSz w:w="11900" w:h="16838" w:orient="portrait"/>
          <w:cols w:equalWidth="0" w:num="2">
            <w:col w:w="4440" w:space="720"/>
            <w:col w:w="6140"/>
          </w:cols>
          <w:pgMar w:left="300" w:top="652" w:right="299" w:bottom="1440" w:gutter="0" w:footer="0" w:header="0"/>
          <w:type w:val="continuous"/>
        </w:sectPr>
      </w:pPr>
    </w:p>
    <w:p>
      <w:pPr>
        <w:ind w:left="420" w:hanging="212"/>
        <w:spacing w:after="0" w:line="246"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During the fourth quarter of 2022, $705 million was returned to shareholders, including $439 million of share repurchases and $266 million of cash dividends. For the full year 2022, $2.58 billion was returned to shareholders, including $1.5 billion of share repurchases and $1.08 billion of cash dividends.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2023 OUTLOOK</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u w:val="single" w:color="auto"/>
          <w:color w:val="auto"/>
        </w:rPr>
        <w:t>Revenue Growth &amp; Profitability</w:t>
      </w:r>
    </w:p>
    <w:p>
      <w:pPr>
        <w:spacing w:after="0" w:line="146" w:lineRule="exact"/>
        <w:rPr>
          <w:sz w:val="20"/>
          <w:szCs w:val="20"/>
          <w:color w:val="auto"/>
        </w:rPr>
      </w:pPr>
    </w:p>
    <w:p>
      <w:pPr>
        <w:jc w:val="both"/>
        <w:ind w:left="420" w:hanging="212"/>
        <w:spacing w:after="0" w:line="234"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Company revenue is expected to grow between 4% and 5.5%, which includes organic revenue growth from the collection and disposal business, excluding fuel, of approximately 5.5%. The Company’s disciplined pricing programs are expected to result in core price of between 6.5% and 7.0% and collection and disposal yield approaching 5.5%. Collection and disposal volume is expected to be flat to 2022.</w:t>
      </w:r>
    </w:p>
    <w:p>
      <w:pPr>
        <w:spacing w:after="0" w:line="1" w:lineRule="exact"/>
        <w:rPr>
          <w:rFonts w:ascii="Arial" w:cs="Arial" w:eastAsia="Arial" w:hAnsi="Arial"/>
          <w:sz w:val="12"/>
          <w:szCs w:val="12"/>
          <w:color w:val="auto"/>
        </w:rPr>
      </w:pPr>
    </w:p>
    <w:p>
      <w:pPr>
        <w:ind w:left="420" w:hanging="212"/>
        <w:spacing w:after="0" w:line="199"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company adjusted operating EBITDA is expected to be in the range of $5.825 to $5.975 billion for the full year, compared to $5.512 billion in 2022, which is an increase of about $390 million at the midpoint of the range.</w:t>
      </w:r>
      <w:r>
        <w:rPr>
          <w:rFonts w:ascii="Arial" w:cs="Arial" w:eastAsia="Arial" w:hAnsi="Arial"/>
          <w:sz w:val="19"/>
          <w:szCs w:val="19"/>
          <w:color w:val="auto"/>
          <w:vertAlign w:val="superscript"/>
        </w:rPr>
        <w:t>(a)</w:t>
      </w:r>
    </w:p>
    <w:p>
      <w:pPr>
        <w:spacing w:after="0" w:line="1" w:lineRule="exact"/>
        <w:rPr>
          <w:rFonts w:ascii="Arial" w:cs="Arial" w:eastAsia="Arial" w:hAnsi="Arial"/>
          <w:sz w:val="12"/>
          <w:szCs w:val="12"/>
          <w:color w:val="auto"/>
        </w:rPr>
      </w:pPr>
    </w:p>
    <w:p>
      <w:pPr>
        <w:ind w:left="420" w:right="20" w:hanging="212"/>
        <w:spacing w:after="0" w:line="199"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operating EBITDA in the Company’s recycling business is expected to decline approximately $40 to $50 million when compared to the full year 2022. An expected decline in recycled commodity prices is the primary driver of the decrease in operating EBITDA.</w:t>
      </w:r>
      <w:r>
        <w:rPr>
          <w:rFonts w:ascii="Arial" w:cs="Arial" w:eastAsia="Arial" w:hAnsi="Arial"/>
          <w:sz w:val="19"/>
          <w:szCs w:val="19"/>
          <w:color w:val="auto"/>
          <w:vertAlign w:val="superscript"/>
        </w:rPr>
        <w:t>(a)(f)</w:t>
      </w:r>
    </w:p>
    <w:p>
      <w:pPr>
        <w:spacing w:after="0" w:line="1" w:lineRule="exact"/>
        <w:rPr>
          <w:rFonts w:ascii="Arial" w:cs="Arial" w:eastAsia="Arial" w:hAnsi="Arial"/>
          <w:sz w:val="12"/>
          <w:szCs w:val="12"/>
          <w:color w:val="auto"/>
        </w:rPr>
      </w:pPr>
    </w:p>
    <w:p>
      <w:pPr>
        <w:ind w:left="420" w:hanging="212"/>
        <w:spacing w:after="0" w:line="278"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operating EBITDA in the Company’s renewable energy business is expected to decline approximately $30 to $50 million when compared to the full year 2022. An expected decline in market prices for electricity and renewable fuel standard credits are the primary drivers of the decrease in operating EBITDA.</w:t>
      </w:r>
      <w:r>
        <w:rPr>
          <w:rFonts w:ascii="Arial" w:cs="Arial" w:eastAsia="Arial" w:hAnsi="Arial"/>
          <w:sz w:val="19"/>
          <w:szCs w:val="19"/>
          <w:color w:val="auto"/>
          <w:vertAlign w:val="superscript"/>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type w:val="continuous"/>
        </w:sectPr>
      </w:pPr>
    </w:p>
    <w:bookmarkStart w:id="6" w:name="page7"/>
    <w:bookmarkEnd w:id="6"/>
    <w:p>
      <w:pPr>
        <w:ind w:left="420"/>
        <w:spacing w:after="0"/>
        <w:rPr>
          <w:sz w:val="20"/>
          <w:szCs w:val="20"/>
          <w:color w:val="auto"/>
        </w:rPr>
      </w:pPr>
      <w:r>
        <w:rPr>
          <w:rFonts w:ascii="Arial" w:cs="Arial" w:eastAsia="Arial" w:hAnsi="Arial"/>
          <w:sz w:val="12"/>
          <w:szCs w:val="12"/>
          <w:b w:val="1"/>
          <w:bCs w:val="1"/>
          <w:u w:val="single" w:color="auto"/>
          <w:color w:val="auto"/>
        </w:rPr>
        <w:t>Free Cash Flow &amp; Capital Allocation</w:t>
      </w:r>
    </w:p>
    <w:p>
      <w:pPr>
        <w:spacing w:after="0" w:line="143"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WM expects to spend in the range of $2.0 to $2.1 billion on capital expenditures to support its normal business activities.</w:t>
      </w:r>
    </w:p>
    <w:p>
      <w:pPr>
        <w:ind w:left="420" w:hanging="212"/>
        <w:spacing w:after="0" w:line="234"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outlined in today’s supplemental presentation, WM intends to invest approximately $980 million for capital expenditures on high-return growth projects in its recycling and renewable energy businesses. Additionally, the Company expects to invest about $125 million of capital expenditures to develop infrastructure to grow its plastic film recycling business.</w:t>
      </w:r>
    </w:p>
    <w:p>
      <w:pPr>
        <w:ind w:left="420" w:hanging="212"/>
        <w:spacing w:after="0" w:line="218"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Free cash flow before these targeted sustainability and automation focused capital investments is projected to be between $2.6 and $2.7 billion. Free cash flow is projected to be between $1.5 and $1.6 billion including the sustainability growth investments.</w:t>
      </w:r>
      <w:r>
        <w:rPr>
          <w:rFonts w:ascii="Arial" w:cs="Arial" w:eastAsia="Arial" w:hAnsi="Arial"/>
          <w:sz w:val="19"/>
          <w:szCs w:val="19"/>
          <w:color w:val="auto"/>
          <w:vertAlign w:val="superscript"/>
        </w:rPr>
        <w:t>(a)</w:t>
      </w:r>
    </w:p>
    <w:p>
      <w:pPr>
        <w:ind w:left="420" w:hanging="212"/>
        <w:spacing w:after="0" w:line="187" w:lineRule="auto"/>
        <w:tabs>
          <w:tab w:leader="none" w:pos="420" w:val="left"/>
        </w:tabs>
        <w:numPr>
          <w:ilvl w:val="0"/>
          <w:numId w:val="6"/>
        </w:numPr>
        <w:rPr>
          <w:rFonts w:ascii="Arial" w:cs="Arial" w:eastAsia="Arial" w:hAnsi="Arial"/>
          <w:sz w:val="20"/>
          <w:szCs w:val="20"/>
          <w:color w:val="auto"/>
          <w:vertAlign w:val="superscript"/>
        </w:rPr>
      </w:pPr>
      <w:r>
        <w:rPr>
          <w:rFonts w:ascii="Arial" w:cs="Arial" w:eastAsia="Arial" w:hAnsi="Arial"/>
          <w:sz w:val="10"/>
          <w:szCs w:val="10"/>
          <w:color w:val="auto"/>
        </w:rPr>
        <w:t>The Board of Directors has indicated its intention to increase the annual dividend by $0.20 per share to $2.80, increasing estimated annual dividends paid to shareholders to $1.1 billion. This will be the 20</w:t>
      </w:r>
      <w:r>
        <w:rPr>
          <w:rFonts w:ascii="Arial" w:cs="Arial" w:eastAsia="Arial" w:hAnsi="Arial"/>
          <w:sz w:val="16"/>
          <w:szCs w:val="16"/>
          <w:color w:val="auto"/>
          <w:vertAlign w:val="superscript"/>
        </w:rPr>
        <w:t>th</w:t>
      </w:r>
      <w:r>
        <w:rPr>
          <w:rFonts w:ascii="Arial" w:cs="Arial" w:eastAsia="Arial" w:hAnsi="Arial"/>
          <w:sz w:val="10"/>
          <w:szCs w:val="10"/>
          <w:color w:val="auto"/>
        </w:rPr>
        <w:t xml:space="preserve"> consecutive year of increases in the Company’s per share dividend. The Board of Directors must separately approve and declare each dividend.</w:t>
      </w:r>
    </w:p>
    <w:p>
      <w:pPr>
        <w:spacing w:after="0" w:line="1" w:lineRule="exact"/>
        <w:rPr>
          <w:rFonts w:ascii="Arial" w:cs="Arial" w:eastAsia="Arial" w:hAnsi="Arial"/>
          <w:sz w:val="20"/>
          <w:szCs w:val="20"/>
          <w:color w:val="auto"/>
          <w:vertAlign w:val="superscript"/>
        </w:rPr>
      </w:pPr>
    </w:p>
    <w:p>
      <w:pPr>
        <w:ind w:left="420" w:hanging="212"/>
        <w:spacing w:after="0" w:line="24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December 2022, the Board of Directors refreshed the Company’s share repurchase authorization, providing for the repurchase of up to $1.5 billion of the Company’s common stock, signaling confidence in the Company’s cash flow outlook and financial position.</w:t>
      </w:r>
    </w:p>
    <w:p>
      <w:pPr>
        <w:spacing w:after="0" w:line="122" w:lineRule="exact"/>
        <w:rPr>
          <w:sz w:val="20"/>
          <w:szCs w:val="20"/>
          <w:color w:val="auto"/>
        </w:rPr>
      </w:pPr>
    </w:p>
    <w:p>
      <w:pPr>
        <w:ind w:right="20"/>
        <w:spacing w:after="0" w:line="218" w:lineRule="auto"/>
        <w:rPr>
          <w:sz w:val="20"/>
          <w:szCs w:val="20"/>
          <w:color w:val="auto"/>
        </w:rPr>
      </w:pPr>
      <w:r>
        <w:rPr>
          <w:rFonts w:ascii="Arial" w:cs="Arial" w:eastAsia="Arial" w:hAnsi="Arial"/>
          <w:sz w:val="12"/>
          <w:szCs w:val="12"/>
          <w:color w:val="auto"/>
        </w:rPr>
        <w:t>“Our 2022 results established a strong foundation for continued growth in 2023. We expect operational efficiencies and management of discretionary costs, combined with our revenue growth, to deliver 40-80 basis points of adjusted operating EBITDA margin expansion in 2023,” Fish continued.</w:t>
      </w:r>
      <w:r>
        <w:rPr>
          <w:rFonts w:ascii="Arial" w:cs="Arial" w:eastAsia="Arial" w:hAnsi="Arial"/>
          <w:sz w:val="19"/>
          <w:szCs w:val="19"/>
          <w:color w:val="auto"/>
          <w:vertAlign w:val="superscript"/>
        </w:rPr>
        <w:t>(a)</w:t>
      </w:r>
      <w:r>
        <w:rPr>
          <w:rFonts w:ascii="Arial" w:cs="Arial" w:eastAsia="Arial" w:hAnsi="Arial"/>
          <w:sz w:val="12"/>
          <w:szCs w:val="12"/>
          <w:color w:val="auto"/>
        </w:rPr>
        <w:t xml:space="preserve"> “Our operating EBITDA growth is again expected to generate significant cash from operations, positioning us to step up our level of investment in sustainability growth opportunities while continuing to return cash to our shareholders through our recently announced 7.7% increase in the planned dividend rate for the year ahead and refreshed share repurchase authorization.”</w:t>
      </w:r>
    </w:p>
    <w:p>
      <w:pPr>
        <w:spacing w:after="0" w:line="272" w:lineRule="exact"/>
        <w:rPr>
          <w:sz w:val="20"/>
          <w:szCs w:val="20"/>
          <w:color w:val="auto"/>
        </w:rPr>
      </w:pPr>
    </w:p>
    <w:p>
      <w:pPr>
        <w:ind w:left="420" w:hanging="212"/>
        <w:spacing w:after="0" w:line="24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22" w:lineRule="exact"/>
        <w:rPr>
          <w:rFonts w:ascii="Arial" w:cs="Arial" w:eastAsia="Arial" w:hAnsi="Arial"/>
          <w:sz w:val="12"/>
          <w:szCs w:val="12"/>
          <w:color w:val="auto"/>
        </w:rPr>
      </w:pPr>
    </w:p>
    <w:p>
      <w:pPr>
        <w:ind w:left="420" w:hanging="212"/>
        <w:spacing w:after="0" w:line="24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Management defines operating EBITDA as GAAP income from operations before depreciation and amortization; this measure may not be comparable to similarly titled measures reported by other companies.</w:t>
      </w:r>
    </w:p>
    <w:p>
      <w:pPr>
        <w:spacing w:after="0" w:line="122"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purposes of this press release, all references to "Net income" refer to the financial statement line item "Net income attributable to Waste Management, Inc."</w:t>
      </w:r>
    </w:p>
    <w:p>
      <w:pPr>
        <w:spacing w:after="0" w:line="132" w:lineRule="exact"/>
        <w:rPr>
          <w:rFonts w:ascii="Arial" w:cs="Arial" w:eastAsia="Arial" w:hAnsi="Arial"/>
          <w:sz w:val="12"/>
          <w:szCs w:val="12"/>
          <w:color w:val="auto"/>
        </w:rPr>
      </w:pPr>
    </w:p>
    <w:p>
      <w:pPr>
        <w:jc w:val="both"/>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 may announce information using SEC filings, press releases, public conference calls, webcasts, and the investors.wm.com page of its website. It is possible that information posted on such website (including the supplemental presentation referenced in this press release) could be deemed to be material information, and management encourages investors, other stakeholders and the media to review the information posted to its website. Except to the extent explicitly stated otherwise, documents and information on the Company’s website are not incorporated herein by reference.</w:t>
      </w:r>
    </w:p>
    <w:p>
      <w:pPr>
        <w:spacing w:after="0" w:line="126" w:lineRule="exact"/>
        <w:rPr>
          <w:rFonts w:ascii="Arial" w:cs="Arial" w:eastAsia="Arial" w:hAnsi="Arial"/>
          <w:sz w:val="12"/>
          <w:szCs w:val="12"/>
          <w:color w:val="auto"/>
        </w:rPr>
      </w:pPr>
    </w:p>
    <w:p>
      <w:pPr>
        <w:ind w:left="420" w:right="4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26" w:lineRule="exact"/>
        <w:rPr>
          <w:rFonts w:ascii="Arial" w:cs="Arial" w:eastAsia="Arial" w:hAnsi="Arial"/>
          <w:sz w:val="12"/>
          <w:szCs w:val="12"/>
          <w:color w:val="auto"/>
        </w:rPr>
      </w:pPr>
    </w:p>
    <w:p>
      <w:pPr>
        <w:ind w:left="420" w:right="300" w:hanging="212"/>
        <w:spacing w:after="0" w:line="24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Company’s 2023 outlook includes an average recycled commodity price of about $70 per ton in 2023, a year-over-year decline of more than 30%. In the renewable energy business, the Company expects an average value of renewable fuel standard credits of approximately $2.30, a year-over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7" w:name="page8"/>
    <w:bookmarkEnd w:id="7"/>
    <w:p>
      <w:pPr>
        <w:ind w:left="420"/>
        <w:spacing w:after="0" w:line="246" w:lineRule="auto"/>
        <w:rPr>
          <w:sz w:val="20"/>
          <w:szCs w:val="20"/>
          <w:color w:val="auto"/>
        </w:rPr>
      </w:pPr>
      <w:r>
        <w:rPr>
          <w:rFonts w:ascii="Arial" w:cs="Arial" w:eastAsia="Arial" w:hAnsi="Arial"/>
          <w:sz w:val="12"/>
          <w:szCs w:val="12"/>
          <w:color w:val="auto"/>
        </w:rPr>
        <w:t>year decline of more than 25%; an average natural gas price of about $3.60 per MMBtu, a year-over-year decline of nearly 40%; and an average electricity price of about $70 per megawatt hour, a year-over-year decline of about 5%.</w:t>
      </w:r>
    </w:p>
    <w:p>
      <w:pPr>
        <w:spacing w:after="0" w:line="122"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The Company will host a conference call at 10 a.m. ET on February 1, 2023 to discuss the fourth quarter and full-year 2022 results. Information contained within this press release will be referenced and should be considered in conjunction with the call.</w:t>
      </w:r>
    </w:p>
    <w:p>
      <w:pPr>
        <w:spacing w:after="0" w:line="122" w:lineRule="exact"/>
        <w:rPr>
          <w:sz w:val="20"/>
          <w:szCs w:val="20"/>
          <w:color w:val="auto"/>
        </w:rPr>
      </w:pPr>
    </w:p>
    <w:p>
      <w:pPr>
        <w:ind w:right="160"/>
        <w:spacing w:after="0" w:line="246" w:lineRule="auto"/>
        <w:rPr>
          <w:sz w:val="20"/>
          <w:szCs w:val="20"/>
          <w:color w:val="auto"/>
        </w:rPr>
      </w:pPr>
      <w:r>
        <w:rPr>
          <w:rFonts w:ascii="Arial" w:cs="Arial" w:eastAsia="Arial" w:hAnsi="Arial"/>
          <w:sz w:val="12"/>
          <w:szCs w:val="12"/>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122" w:lineRule="exact"/>
        <w:rPr>
          <w:sz w:val="20"/>
          <w:szCs w:val="20"/>
          <w:color w:val="auto"/>
        </w:rPr>
      </w:pPr>
    </w:p>
    <w:p>
      <w:pPr>
        <w:ind w:right="1660"/>
        <w:spacing w:after="0" w:line="352" w:lineRule="auto"/>
        <w:rPr>
          <w:sz w:val="20"/>
          <w:szCs w:val="20"/>
          <w:color w:val="auto"/>
        </w:rPr>
      </w:pPr>
      <w:r>
        <w:rPr>
          <w:rFonts w:ascii="Arial" w:cs="Arial" w:eastAsia="Arial" w:hAnsi="Arial"/>
          <w:sz w:val="12"/>
          <w:szCs w:val="12"/>
          <w:color w:val="auto"/>
        </w:rPr>
        <w:t xml:space="preserve">Conference call participants must register to obtain their dial in and passcode details. This new, streamlined process improves security and eliminates wait times when joining the call. </w:t>
      </w:r>
      <w:r>
        <w:rPr>
          <w:rFonts w:ascii="Arial" w:cs="Arial" w:eastAsia="Arial" w:hAnsi="Arial"/>
          <w:sz w:val="12"/>
          <w:szCs w:val="12"/>
          <w:b w:val="1"/>
          <w:bCs w:val="1"/>
          <w:color w:val="auto"/>
        </w:rPr>
        <w:t>ABOUT WM</w:t>
      </w:r>
    </w:p>
    <w:p>
      <w:pPr>
        <w:jc w:val="both"/>
        <w:spacing w:after="0" w:line="237" w:lineRule="auto"/>
        <w:rPr>
          <w:sz w:val="20"/>
          <w:szCs w:val="20"/>
          <w:color w:val="auto"/>
        </w:rPr>
      </w:pPr>
      <w:r>
        <w:rPr>
          <w:rFonts w:ascii="Arial" w:cs="Arial" w:eastAsia="Arial" w:hAnsi="Arial"/>
          <w:sz w:val="12"/>
          <w:szCs w:val="12"/>
          <w:color w:val="auto"/>
        </w:rPr>
        <w:t>WM (WM.com) is North America's largest comprehensive waste management environmental solutions provider.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reuse of landfill gas, with a growing network of renewable natural gas plants and the most gas-to-electricity plants in North America. WM's fleet includes nearly 11,000 natural gas trucks – the largest heavy-duty natural gas truck fleet of its kind in North America – where more than half are fueled by renewable natural gas. To learn more about WM and the company's sustainability progress and solutions, visit Sustainability.WM.com.</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“2023 Outlook”, as well as all statements regarding future performance or financial results of our business; execution of strategic priorities; future capital expenditures, investments and results and returns from such expenditures and investments; future cost structure, cost management and operational efficiencies; results from pricing programs; future market conditions and prices; future dividends and share repurchases; future cash generation; and future sustainability growth opportunities and efforts.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COVID-19 resurgence or similar pandemic conditions; macroeconomic conditions, geopolitical conflict and market disruption resulting in labor, supply chain and transportation constraints, inflationary cost pressures and fluctuations in commodity prices, fuel and other energy costs; increased competition;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2"/>
          <w:szCs w:val="12"/>
          <w:color w:val="auto"/>
        </w:rPr>
        <w:t>actions; impacts from international trade restrictions; competitive disposal alternatives, diversion of waste from landfills and declining waste volumes; weakness in general economic conditions and capital markets, including potential for an economic recession;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and subsequent Form 10-Qs,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for 2023.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2"/>
          <w:szCs w:val="12"/>
          <w:color w:val="auto"/>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Operating revenues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Costs and expenses: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Operating</w:t>
      </w:r>
    </w:p>
    <w:p>
      <w:pPr>
        <w:spacing w:after="0" w:line="6" w:lineRule="exact"/>
        <w:rPr>
          <w:sz w:val="20"/>
          <w:szCs w:val="20"/>
          <w:color w:val="auto"/>
        </w:rPr>
      </w:pPr>
    </w:p>
    <w:p>
      <w:pPr>
        <w:ind w:left="60" w:right="1440"/>
        <w:spacing w:after="0" w:line="250" w:lineRule="auto"/>
        <w:rPr>
          <w:sz w:val="20"/>
          <w:szCs w:val="20"/>
          <w:color w:val="auto"/>
        </w:rPr>
      </w:pPr>
      <w:r>
        <w:rPr>
          <w:rFonts w:ascii="Arial" w:cs="Arial" w:eastAsia="Arial" w:hAnsi="Arial"/>
          <w:sz w:val="12"/>
          <w:szCs w:val="12"/>
          <w:color w:val="auto"/>
        </w:rPr>
        <w:t>Selling, general and administrative Depreciation, depletion and amortization Restructuring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0"/>
          <w:szCs w:val="10"/>
          <w:color w:val="auto"/>
        </w:rPr>
        <w:t>(Gain) loss from divestitures, asset impairments and unusual items,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960" w:type="dxa"/>
            <w:vAlign w:val="bottom"/>
            <w:gridSpan w:val="4"/>
          </w:tcPr>
          <w:p>
            <w:pPr>
              <w:jc w:val="center"/>
              <w:ind w:left="600"/>
              <w:spacing w:after="0"/>
              <w:rPr>
                <w:sz w:val="20"/>
                <w:szCs w:val="20"/>
                <w:color w:val="auto"/>
              </w:rPr>
            </w:pPr>
            <w:r>
              <w:rPr>
                <w:rFonts w:ascii="Arial" w:cs="Arial" w:eastAsia="Arial" w:hAnsi="Arial"/>
                <w:sz w:val="12"/>
                <w:szCs w:val="12"/>
                <w:b w:val="1"/>
                <w:bCs w:val="1"/>
                <w:color w:val="auto"/>
              </w:rPr>
              <w:t>WASTE MANAGEMENT, INC.</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5"/>
        </w:trPr>
        <w:tc>
          <w:tcPr>
            <w:tcW w:w="4540" w:type="dxa"/>
            <w:vAlign w:val="bottom"/>
            <w:gridSpan w:val="7"/>
          </w:tcPr>
          <w:p>
            <w:pPr>
              <w:jc w:val="center"/>
              <w:ind w:right="940"/>
              <w:spacing w:after="0"/>
              <w:rPr>
                <w:sz w:val="20"/>
                <w:szCs w:val="20"/>
                <w:color w:val="auto"/>
              </w:rPr>
            </w:pPr>
            <w:r>
              <w:rPr>
                <w:rFonts w:ascii="Arial" w:cs="Arial" w:eastAsia="Arial" w:hAnsi="Arial"/>
                <w:sz w:val="12"/>
                <w:szCs w:val="12"/>
                <w:b w:val="1"/>
                <w:bCs w:val="1"/>
                <w:color w:val="auto"/>
                <w:w w:val="99"/>
              </w:rPr>
              <w:t>CONDENSED CONSOLIDATED STATEMENTS OF OPERATIONS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4"/>
        </w:trPr>
        <w:tc>
          <w:tcPr>
            <w:tcW w:w="2960" w:type="dxa"/>
            <w:vAlign w:val="bottom"/>
            <w:gridSpan w:val="4"/>
          </w:tcPr>
          <w:p>
            <w:pPr>
              <w:jc w:val="center"/>
              <w:ind w:left="580"/>
              <w:spacing w:after="0"/>
              <w:rPr>
                <w:sz w:val="20"/>
                <w:szCs w:val="20"/>
                <w:color w:val="auto"/>
              </w:rPr>
            </w:pPr>
            <w:r>
              <w:rPr>
                <w:rFonts w:ascii="Arial" w:cs="Arial" w:eastAsia="Arial" w:hAnsi="Arial"/>
                <w:sz w:val="12"/>
                <w:szCs w:val="12"/>
                <w:b w:val="1"/>
                <w:bCs w:val="1"/>
                <w:color w:val="auto"/>
                <w:w w:val="91"/>
              </w:rPr>
              <w:t>(In Millions, Except per Share Amounts)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2"/>
              </w:rPr>
              <w:t>(Unaudited)</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center"/>
              <w:ind w:left="660"/>
              <w:spacing w:after="0"/>
              <w:rPr>
                <w:sz w:val="20"/>
                <w:szCs w:val="20"/>
                <w:color w:val="auto"/>
              </w:rPr>
            </w:pPr>
            <w:r>
              <w:rPr>
                <w:rFonts w:ascii="Arial" w:cs="Arial" w:eastAsia="Arial" w:hAnsi="Arial"/>
                <w:sz w:val="12"/>
                <w:szCs w:val="12"/>
                <w:b w:val="1"/>
                <w:bCs w:val="1"/>
                <w:color w:val="auto"/>
                <w:w w:val="92"/>
              </w:rPr>
              <w:t>Three Months Ended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93"/>
              </w:rPr>
              <w:t>Year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1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2"/>
                <w:szCs w:val="12"/>
                <w:b w:val="1"/>
                <w:bCs w:val="1"/>
                <w:color w:val="auto"/>
                <w:w w:val="89"/>
              </w:rPr>
              <w:t>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2"/>
                <w:szCs w:val="12"/>
                <w:b w:val="1"/>
                <w:bCs w:val="1"/>
                <w:color w:val="auto"/>
                <w:w w:val="89"/>
              </w:rPr>
              <w:t>December 31,</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3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13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4,935</w:t>
            </w:r>
          </w:p>
        </w:tc>
        <w:tc>
          <w:tcPr>
            <w:tcW w:w="340" w:type="dxa"/>
            <w:vAlign w:val="bottom"/>
          </w:tcPr>
          <w:p>
            <w:pPr>
              <w:spacing w:after="0"/>
              <w:rPr>
                <w:sz w:val="11"/>
                <w:szCs w:val="11"/>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4,678</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19,698</w:t>
            </w:r>
          </w:p>
        </w:tc>
        <w:tc>
          <w:tcPr>
            <w:tcW w:w="340" w:type="dxa"/>
            <w:vAlign w:val="bottom"/>
          </w:tcPr>
          <w:p>
            <w:pPr>
              <w:spacing w:after="0"/>
              <w:rPr>
                <w:sz w:val="11"/>
                <w:szCs w:val="11"/>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17,931</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68"/>
        </w:trPr>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3,093</w:t>
            </w:r>
          </w:p>
        </w:tc>
        <w:tc>
          <w:tcPr>
            <w:tcW w:w="440" w:type="dxa"/>
            <w:vAlign w:val="bottom"/>
          </w:tcPr>
          <w:p>
            <w:pPr>
              <w:spacing w:after="0"/>
              <w:rPr>
                <w:sz w:val="23"/>
                <w:szCs w:val="23"/>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2,955</w:t>
            </w:r>
          </w:p>
        </w:tc>
        <w:tc>
          <w:tcPr>
            <w:tcW w:w="280" w:type="dxa"/>
            <w:vAlign w:val="bottom"/>
          </w:tcPr>
          <w:p>
            <w:pPr>
              <w:spacing w:after="0"/>
              <w:rPr>
                <w:sz w:val="23"/>
                <w:szCs w:val="2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12,294</w:t>
            </w:r>
          </w:p>
        </w:tc>
        <w:tc>
          <w:tcPr>
            <w:tcW w:w="34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11,111</w:t>
            </w:r>
          </w:p>
        </w:tc>
        <w:tc>
          <w:tcPr>
            <w:tcW w:w="20" w:type="dxa"/>
            <w:vAlign w:val="bottom"/>
          </w:tcPr>
          <w:p>
            <w:pPr>
              <w:spacing w:after="0"/>
              <w:rPr>
                <w:sz w:val="23"/>
                <w:szCs w:val="23"/>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487</w:t>
            </w:r>
          </w:p>
        </w:tc>
        <w:tc>
          <w:tcPr>
            <w:tcW w:w="44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492</w:t>
            </w:r>
          </w:p>
        </w:tc>
        <w:tc>
          <w:tcPr>
            <w:tcW w:w="280" w:type="dxa"/>
            <w:vAlign w:val="bottom"/>
          </w:tcPr>
          <w:p>
            <w:pPr>
              <w:spacing w:after="0"/>
              <w:rPr>
                <w:sz w:val="12"/>
                <w:szCs w:val="1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1,938</w:t>
            </w:r>
          </w:p>
        </w:tc>
        <w:tc>
          <w:tcPr>
            <w:tcW w:w="34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1,864</w:t>
            </w:r>
          </w:p>
        </w:tc>
        <w:tc>
          <w:tcPr>
            <w:tcW w:w="2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545</w:t>
            </w:r>
          </w:p>
        </w:tc>
        <w:tc>
          <w:tcPr>
            <w:tcW w:w="44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510</w:t>
            </w:r>
          </w:p>
        </w:tc>
        <w:tc>
          <w:tcPr>
            <w:tcW w:w="280" w:type="dxa"/>
            <w:vAlign w:val="bottom"/>
          </w:tcPr>
          <w:p>
            <w:pPr>
              <w:spacing w:after="0"/>
              <w:rPr>
                <w:sz w:val="12"/>
                <w:szCs w:val="1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2,038</w:t>
            </w:r>
          </w:p>
        </w:tc>
        <w:tc>
          <w:tcPr>
            <w:tcW w:w="34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1,999</w:t>
            </w:r>
          </w:p>
        </w:tc>
        <w:tc>
          <w:tcPr>
            <w:tcW w:w="2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2</w:t>
            </w:r>
          </w:p>
        </w:tc>
        <w:tc>
          <w:tcPr>
            <w:tcW w:w="280" w:type="dxa"/>
            <w:vAlign w:val="bottom"/>
          </w:tcPr>
          <w:p>
            <w:pPr>
              <w:spacing w:after="0"/>
              <w:rPr>
                <w:sz w:val="12"/>
                <w:szCs w:val="1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34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2"/>
                <w:szCs w:val="12"/>
                <w:color w:val="auto"/>
              </w:rPr>
            </w:pPr>
          </w:p>
        </w:tc>
      </w:tr>
      <w:tr>
        <w:trPr>
          <w:trHeight w:val="162"/>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45</w:t>
            </w:r>
          </w:p>
        </w:tc>
        <w:tc>
          <w:tcPr>
            <w:tcW w:w="44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-656590</wp:posOffset>
            </wp:positionV>
            <wp:extent cx="717804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-462280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-279400</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-96520</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380"/>
            <w:col w:w="7460"/>
          </w:cols>
          <w:pgMar w:left="300" w:top="640" w:right="299" w:bottom="1440" w:gutter="0" w:footer="0" w:header="0"/>
        </w:sectPr>
      </w:pPr>
    </w:p>
    <w:tbl>
      <w:tblPr>
        <w:tblLayout w:type="fixed"/>
        <w:tblInd w:w="0" w:type="dxa"/>
        <w:tblCellMar>
          <w:top w:w="0" w:type="dxa"/>
          <w:left w:w="0" w:type="dxa"/>
          <w:bottom w:w="0" w:type="dxa"/>
          <w:right w:w="0" w:type="dxa"/>
        </w:tblCellMar>
      </w:tblPr>
      <w:tr>
        <w:trPr>
          <w:trHeight w:val="20"/>
        </w:trPr>
        <w:tc>
          <w:tcPr>
            <w:tcW w:w="5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2"/>
                <w:szCs w:val="12"/>
                <w:color w:val="auto"/>
              </w:rPr>
              <w:t>4,170</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2"/>
                <w:szCs w:val="12"/>
                <w:color w:val="auto"/>
              </w:rPr>
              <w:t>3,960</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gridSpan w:val="2"/>
          </w:tcPr>
          <w:p>
            <w:pPr>
              <w:jc w:val="right"/>
              <w:ind w:right="340"/>
              <w:spacing w:after="0" w:line="113" w:lineRule="exact"/>
              <w:rPr>
                <w:sz w:val="20"/>
                <w:szCs w:val="20"/>
                <w:color w:val="auto"/>
              </w:rPr>
            </w:pPr>
            <w:r>
              <w:rPr>
                <w:rFonts w:ascii="Arial" w:cs="Arial" w:eastAsia="Arial" w:hAnsi="Arial"/>
                <w:sz w:val="12"/>
                <w:szCs w:val="12"/>
                <w:color w:val="auto"/>
              </w:rPr>
              <w:t>16,333</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Arial" w:cs="Arial" w:eastAsia="Arial" w:hAnsi="Arial"/>
                <w:sz w:val="12"/>
                <w:szCs w:val="12"/>
                <w:color w:val="auto"/>
              </w:rPr>
              <w:t>14,966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Income from operations</w:t>
            </w: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765</w:t>
            </w: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718</w:t>
            </w: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3,365</w:t>
            </w:r>
          </w:p>
        </w:tc>
        <w:tc>
          <w:tcPr>
            <w:tcW w:w="3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2,965</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color w:val="auto"/>
              </w:rPr>
              <w:t>Other income (expense):</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Interest expense, net</w:t>
            </w: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(109)</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(83)</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(378)</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44"/>
        </w:trPr>
        <w:tc>
          <w:tcPr>
            <w:tcW w:w="5200" w:type="dxa"/>
            <w:vAlign w:val="bottom"/>
          </w:tcPr>
          <w:p>
            <w:pPr>
              <w:ind w:left="60"/>
              <w:spacing w:after="0"/>
              <w:rPr>
                <w:sz w:val="20"/>
                <w:szCs w:val="20"/>
                <w:color w:val="auto"/>
              </w:rPr>
            </w:pPr>
            <w:r>
              <w:rPr>
                <w:rFonts w:ascii="Arial" w:cs="Arial" w:eastAsia="Arial" w:hAnsi="Arial"/>
                <w:sz w:val="12"/>
                <w:szCs w:val="12"/>
                <w:color w:val="auto"/>
              </w:rPr>
              <w:t>Loss on early extinguishment of debt, net</w:t>
            </w:r>
          </w:p>
        </w:tc>
        <w:tc>
          <w:tcPr>
            <w:tcW w:w="52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Equity in net losses of unconsolidated entities</w:t>
            </w: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(67)</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5200" w:type="dxa"/>
            <w:vAlign w:val="bottom"/>
          </w:tcPr>
          <w:p>
            <w:pPr>
              <w:ind w:left="60"/>
              <w:spacing w:after="0"/>
              <w:rPr>
                <w:sz w:val="20"/>
                <w:szCs w:val="20"/>
                <w:color w:val="auto"/>
              </w:rPr>
            </w:pPr>
            <w:r>
              <w:rPr>
                <w:rFonts w:ascii="Arial" w:cs="Arial" w:eastAsia="Arial" w:hAnsi="Arial"/>
                <w:sz w:val="12"/>
                <w:szCs w:val="12"/>
                <w:color w:val="auto"/>
              </w:rPr>
              <w:t>Other, net</w:t>
            </w:r>
          </w:p>
        </w:tc>
        <w:tc>
          <w:tcPr>
            <w:tcW w:w="5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5</w:t>
            </w:r>
          </w:p>
        </w:tc>
        <w:tc>
          <w:tcPr>
            <w:tcW w:w="520" w:type="dxa"/>
            <w:vAlign w:val="bottom"/>
          </w:tcPr>
          <w:p>
            <w:pPr>
              <w:spacing w:after="0"/>
              <w:rPr>
                <w:sz w:val="13"/>
                <w:szCs w:val="1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2"/>
                <w:szCs w:val="12"/>
                <w:color w:val="auto"/>
              </w:rPr>
              <w:t>9</w:t>
            </w:r>
          </w:p>
        </w:tc>
        <w:tc>
          <w:tcPr>
            <w:tcW w:w="5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(122)</w:t>
            </w: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w:t>
            </w:r>
          </w:p>
        </w:tc>
        <w:tc>
          <w:tcPr>
            <w:tcW w:w="3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(447)</w:t>
            </w:r>
          </w:p>
        </w:tc>
        <w:tc>
          <w:tcPr>
            <w:tcW w:w="3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(616)</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color w:val="auto"/>
              </w:rPr>
              <w:t>Income before income taxes</w:t>
            </w:r>
          </w:p>
        </w:tc>
        <w:tc>
          <w:tcPr>
            <w:tcW w:w="5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643</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642</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2,918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2,349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5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143</w:t>
            </w:r>
          </w:p>
        </w:tc>
        <w:tc>
          <w:tcPr>
            <w:tcW w:w="5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136</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678</w:t>
            </w: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line="133" w:lineRule="exact"/>
              <w:rPr>
                <w:sz w:val="20"/>
                <w:szCs w:val="20"/>
                <w:color w:val="auto"/>
              </w:rPr>
            </w:pPr>
            <w:r>
              <w:rPr>
                <w:rFonts w:ascii="Arial" w:cs="Arial" w:eastAsia="Arial" w:hAnsi="Arial"/>
                <w:sz w:val="12"/>
                <w:szCs w:val="12"/>
                <w:color w:val="auto"/>
              </w:rPr>
              <w:t>Consolidated net income</w:t>
            </w:r>
          </w:p>
        </w:tc>
        <w:tc>
          <w:tcPr>
            <w:tcW w:w="5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500</w:t>
            </w:r>
          </w:p>
        </w:tc>
        <w:tc>
          <w:tcPr>
            <w:tcW w:w="3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506</w:t>
            </w: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2,240</w:t>
            </w:r>
          </w:p>
        </w:tc>
        <w:tc>
          <w:tcPr>
            <w:tcW w:w="3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Less: Net income (loss) attributable to noncontrolling interests</w:t>
            </w: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w:t>
            </w: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color w:val="auto"/>
              </w:rPr>
              <w:t>Net income attributable to Waste Management, Inc.</w:t>
            </w: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00" w:type="dxa"/>
            <w:vAlign w:val="bottom"/>
            <w:vMerge w:val="continue"/>
          </w:tcPr>
          <w:p>
            <w:pPr>
              <w:spacing w:after="0"/>
              <w:rPr>
                <w:sz w:val="12"/>
                <w:szCs w:val="12"/>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499</w:t>
            </w:r>
          </w:p>
        </w:tc>
        <w:tc>
          <w:tcPr>
            <w:tcW w:w="340" w:type="dxa"/>
            <w:vAlign w:val="bottom"/>
          </w:tcPr>
          <w:p>
            <w:pPr>
              <w:spacing w:after="0"/>
              <w:rPr>
                <w:sz w:val="12"/>
                <w:szCs w:val="12"/>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506</w:t>
            </w:r>
          </w:p>
        </w:tc>
        <w:tc>
          <w:tcPr>
            <w:tcW w:w="320" w:type="dxa"/>
            <w:vAlign w:val="bottom"/>
          </w:tcPr>
          <w:p>
            <w:pPr>
              <w:spacing w:after="0"/>
              <w:rPr>
                <w:sz w:val="12"/>
                <w:szCs w:val="12"/>
                <w:color w:val="auto"/>
              </w:rPr>
            </w:pP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2,238</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20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Basic earnings per common share</w:t>
            </w:r>
          </w:p>
        </w:tc>
        <w:tc>
          <w:tcPr>
            <w:tcW w:w="5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w:t>
            </w:r>
          </w:p>
        </w:tc>
        <w:tc>
          <w:tcPr>
            <w:tcW w:w="12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0" w:type="dxa"/>
            <w:vAlign w:val="bottom"/>
            <w:tcBorders>
              <w:bottom w:val="single" w:sz="8" w:color="CCEEFF"/>
            </w:tcBorders>
          </w:tcPr>
          <w:p>
            <w:pPr>
              <w:spacing w:after="0" w:line="131" w:lineRule="exact"/>
              <w:rPr>
                <w:sz w:val="20"/>
                <w:szCs w:val="20"/>
                <w:color w:val="auto"/>
              </w:rPr>
            </w:pPr>
            <w:r>
              <w:rPr>
                <w:rFonts w:ascii="Arial" w:cs="Arial" w:eastAsia="Arial" w:hAnsi="Arial"/>
                <w:sz w:val="12"/>
                <w:szCs w:val="12"/>
                <w:color w:val="auto"/>
              </w:rPr>
              <w:t>Diluted earnings per common share</w:t>
            </w: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1.21</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1.20</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5.39</w:t>
            </w:r>
          </w:p>
        </w:tc>
        <w:tc>
          <w:tcPr>
            <w:tcW w:w="3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4.29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2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Weighted average basic common shares outstanding</w:t>
            </w: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409.2</w:t>
            </w:r>
          </w:p>
        </w:tc>
        <w:tc>
          <w:tcPr>
            <w:tcW w:w="3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417.9</w:t>
            </w: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412.8</w:t>
            </w:r>
          </w:p>
        </w:tc>
        <w:tc>
          <w:tcPr>
            <w:tcW w:w="3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420.4</w:t>
            </w: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0" w:type="dxa"/>
            <w:vAlign w:val="bottom"/>
          </w:tcPr>
          <w:p>
            <w:pPr>
              <w:spacing w:after="0" w:line="131" w:lineRule="exact"/>
              <w:rPr>
                <w:sz w:val="20"/>
                <w:szCs w:val="20"/>
                <w:color w:val="auto"/>
              </w:rPr>
            </w:pPr>
            <w:r>
              <w:rPr>
                <w:rFonts w:ascii="Arial" w:cs="Arial" w:eastAsia="Arial" w:hAnsi="Arial"/>
                <w:sz w:val="12"/>
                <w:szCs w:val="12"/>
                <w:color w:val="auto"/>
              </w:rPr>
              <w:t>Weighted average diluted common shares outstanding</w:t>
            </w: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411.5</w:t>
            </w:r>
          </w:p>
        </w:tc>
        <w:tc>
          <w:tcPr>
            <w:tcW w:w="3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420.6</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415.0</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422.9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5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0" w:right="29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6100" w:type="dxa"/>
            <w:vAlign w:val="bottom"/>
            <w:gridSpan w:val="2"/>
          </w:tcPr>
          <w:p>
            <w:pPr>
              <w:jc w:val="center"/>
              <w:ind w:right="940"/>
              <w:spacing w:after="0"/>
              <w:rPr>
                <w:sz w:val="20"/>
                <w:szCs w:val="20"/>
                <w:color w:val="auto"/>
              </w:rPr>
            </w:pPr>
            <w:r>
              <w:rPr>
                <w:rFonts w:ascii="Arial" w:cs="Arial" w:eastAsia="Arial" w:hAnsi="Arial"/>
                <w:sz w:val="12"/>
                <w:szCs w:val="12"/>
                <w:b w:val="1"/>
                <w:bCs w:val="1"/>
                <w:color w:val="auto"/>
              </w:rPr>
              <w:t>WASTE MANAGEMENT, INC.</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100" w:type="dxa"/>
            <w:vAlign w:val="bottom"/>
          </w:tcPr>
          <w:p>
            <w:pPr>
              <w:spacing w:after="0"/>
              <w:rPr>
                <w:sz w:val="23"/>
                <w:szCs w:val="23"/>
                <w:color w:val="auto"/>
              </w:rPr>
            </w:pPr>
          </w:p>
        </w:tc>
        <w:tc>
          <w:tcPr>
            <w:tcW w:w="6100" w:type="dxa"/>
            <w:vAlign w:val="bottom"/>
            <w:gridSpan w:val="2"/>
          </w:tcPr>
          <w:p>
            <w:pPr>
              <w:jc w:val="center"/>
              <w:ind w:right="94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6100" w:type="dxa"/>
            <w:vAlign w:val="bottom"/>
            <w:gridSpan w:val="2"/>
          </w:tcPr>
          <w:p>
            <w:pPr>
              <w:jc w:val="center"/>
              <w:ind w:right="960"/>
              <w:spacing w:after="0"/>
              <w:rPr>
                <w:sz w:val="20"/>
                <w:szCs w:val="20"/>
                <w:color w:val="auto"/>
              </w:rPr>
            </w:pPr>
            <w:r>
              <w:rPr>
                <w:rFonts w:ascii="Arial" w:cs="Arial" w:eastAsia="Arial" w:hAnsi="Arial"/>
                <w:sz w:val="12"/>
                <w:szCs w:val="12"/>
                <w:b w:val="1"/>
                <w:bCs w:val="1"/>
                <w:color w:val="auto"/>
                <w:w w:val="95"/>
              </w:rPr>
              <w:t>(In Millions)</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6100" w:type="dxa"/>
            <w:vAlign w:val="bottom"/>
            <w:gridSpan w:val="2"/>
          </w:tcPr>
          <w:p>
            <w:pPr>
              <w:jc w:val="center"/>
              <w:ind w:right="940"/>
              <w:spacing w:after="0"/>
              <w:rPr>
                <w:sz w:val="20"/>
                <w:szCs w:val="20"/>
                <w:color w:val="auto"/>
              </w:rPr>
            </w:pPr>
            <w:r>
              <w:rPr>
                <w:rFonts w:ascii="Arial" w:cs="Arial" w:eastAsia="Arial" w:hAnsi="Arial"/>
                <w:sz w:val="12"/>
                <w:szCs w:val="12"/>
                <w:b w:val="1"/>
                <w:bCs w:val="1"/>
                <w:color w:val="auto"/>
                <w:w w:val="92"/>
              </w:rPr>
              <w:t>(Unaudited)</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4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00" w:type="dxa"/>
            <w:vAlign w:val="bottom"/>
            <w:shd w:val="clear" w:color="auto" w:fill="CCEEFF"/>
          </w:tcPr>
          <w:p>
            <w:pPr>
              <w:spacing w:after="0"/>
              <w:rPr>
                <w:sz w:val="11"/>
                <w:szCs w:val="11"/>
                <w:color w:val="auto"/>
              </w:rPr>
            </w:pPr>
          </w:p>
        </w:tc>
        <w:tc>
          <w:tcPr>
            <w:tcW w:w="5280" w:type="dxa"/>
            <w:vAlign w:val="bottom"/>
            <w:shd w:val="clear" w:color="auto" w:fill="CCEEFF"/>
          </w:tcPr>
          <w:p>
            <w:pPr>
              <w:jc w:val="center"/>
              <w:ind w:right="3300"/>
              <w:spacing w:after="0" w:line="133" w:lineRule="exact"/>
              <w:rPr>
                <w:sz w:val="20"/>
                <w:szCs w:val="20"/>
                <w:color w:val="auto"/>
              </w:rPr>
            </w:pPr>
            <w:r>
              <w:rPr>
                <w:rFonts w:ascii="Arial" w:cs="Arial" w:eastAsia="Arial" w:hAnsi="Arial"/>
                <w:sz w:val="12"/>
                <w:szCs w:val="12"/>
                <w:b w:val="1"/>
                <w:bCs w:val="1"/>
                <w:color w:val="auto"/>
                <w:w w:val="91"/>
              </w:rPr>
              <w:t>ASSETS</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Current assets:</w:t>
            </w:r>
          </w:p>
        </w:tc>
        <w:tc>
          <w:tcPr>
            <w:tcW w:w="5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and cash equivalents</w:t>
            </w:r>
          </w:p>
        </w:tc>
        <w:tc>
          <w:tcPr>
            <w:tcW w:w="61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351</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60"/>
              <w:spacing w:after="0"/>
              <w:rPr>
                <w:sz w:val="20"/>
                <w:szCs w:val="20"/>
                <w:color w:val="auto"/>
              </w:rPr>
            </w:pPr>
            <w:r>
              <w:rPr>
                <w:rFonts w:ascii="Arial" w:cs="Arial" w:eastAsia="Arial" w:hAnsi="Arial"/>
                <w:sz w:val="12"/>
                <w:szCs w:val="12"/>
                <w:color w:val="auto"/>
              </w:rPr>
              <w:t>Receivables, net</w:t>
            </w:r>
          </w:p>
        </w:tc>
        <w:tc>
          <w:tcPr>
            <w:tcW w:w="5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2,752</w:t>
            </w:r>
          </w:p>
        </w:tc>
        <w:tc>
          <w:tcPr>
            <w:tcW w:w="3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w:t>
            </w:r>
          </w:p>
        </w:tc>
        <w:tc>
          <w:tcPr>
            <w:tcW w:w="5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448</w:t>
            </w:r>
          </w:p>
        </w:tc>
        <w:tc>
          <w:tcPr>
            <w:tcW w:w="32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Pr>
          <w:p>
            <w:pPr>
              <w:ind w:left="140"/>
              <w:spacing w:after="0" w:line="133" w:lineRule="exact"/>
              <w:rPr>
                <w:sz w:val="20"/>
                <w:szCs w:val="20"/>
                <w:color w:val="auto"/>
              </w:rPr>
            </w:pPr>
            <w:r>
              <w:rPr>
                <w:rFonts w:ascii="Arial" w:cs="Arial" w:eastAsia="Arial" w:hAnsi="Arial"/>
                <w:sz w:val="12"/>
                <w:szCs w:val="12"/>
                <w:color w:val="auto"/>
              </w:rPr>
              <w:t>Total current assets</w:t>
            </w:r>
          </w:p>
        </w:tc>
        <w:tc>
          <w:tcPr>
            <w:tcW w:w="5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3,551</w:t>
            </w:r>
          </w:p>
        </w:tc>
        <w:tc>
          <w:tcPr>
            <w:tcW w:w="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15,719</w:t>
            </w:r>
          </w:p>
        </w:tc>
        <w:tc>
          <w:tcPr>
            <w:tcW w:w="3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14,419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Goodwill</w:t>
            </w:r>
          </w:p>
        </w:tc>
        <w:tc>
          <w:tcPr>
            <w:tcW w:w="5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9,323</w:t>
            </w:r>
          </w:p>
        </w:tc>
        <w:tc>
          <w:tcPr>
            <w:tcW w:w="3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5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827</w:t>
            </w:r>
          </w:p>
        </w:tc>
        <w:tc>
          <w:tcPr>
            <w:tcW w:w="3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Arial" w:cs="Arial" w:eastAsia="Arial" w:hAnsi="Arial"/>
                <w:sz w:val="12"/>
                <w:szCs w:val="12"/>
                <w:color w:val="auto"/>
              </w:rPr>
              <w:t>Other</w:t>
            </w:r>
          </w:p>
        </w:tc>
        <w:tc>
          <w:tcPr>
            <w:tcW w:w="5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1,947</w:t>
            </w: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rPr>
              <w:t>Total assets</w:t>
            </w:r>
          </w:p>
        </w:tc>
        <w:tc>
          <w:tcPr>
            <w:tcW w:w="5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vMerge w:val="continue"/>
            <w:shd w:val="clear" w:color="auto" w:fill="CCEEFF"/>
          </w:tcPr>
          <w:p>
            <w:pPr>
              <w:spacing w:after="0"/>
              <w:rPr>
                <w:sz w:val="14"/>
                <w:szCs w:val="14"/>
                <w:color w:val="auto"/>
              </w:rPr>
            </w:pPr>
          </w:p>
        </w:tc>
        <w:tc>
          <w:tcPr>
            <w:tcW w:w="61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31,367</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29,097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00" w:type="dxa"/>
            <w:vAlign w:val="bottom"/>
            <w:tcBorders>
              <w:top w:val="single" w:sz="8" w:color="CCEEFF"/>
            </w:tcBorders>
          </w:tcPr>
          <w:p>
            <w:pPr>
              <w:spacing w:after="0"/>
              <w:rPr>
                <w:sz w:val="11"/>
                <w:szCs w:val="11"/>
                <w:color w:val="auto"/>
              </w:rPr>
            </w:pPr>
          </w:p>
        </w:tc>
        <w:tc>
          <w:tcPr>
            <w:tcW w:w="5280" w:type="dxa"/>
            <w:vAlign w:val="bottom"/>
            <w:tcBorders>
              <w:top w:val="single" w:sz="8" w:color="CCEEFF"/>
            </w:tcBorders>
          </w:tcPr>
          <w:p>
            <w:pPr>
              <w:jc w:val="center"/>
              <w:ind w:right="3280"/>
              <w:spacing w:after="0" w:line="131" w:lineRule="exact"/>
              <w:rPr>
                <w:sz w:val="20"/>
                <w:szCs w:val="20"/>
                <w:color w:val="auto"/>
              </w:rPr>
            </w:pPr>
            <w:r>
              <w:rPr>
                <w:rFonts w:ascii="Arial" w:cs="Arial" w:eastAsia="Arial" w:hAnsi="Arial"/>
                <w:sz w:val="12"/>
                <w:szCs w:val="12"/>
                <w:b w:val="1"/>
                <w:bCs w:val="1"/>
                <w:color w:val="auto"/>
              </w:rPr>
              <w:t>LIABILITIES AND EQUITY</w:t>
            </w: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5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60"/>
              <w:spacing w:after="0"/>
              <w:rPr>
                <w:sz w:val="20"/>
                <w:szCs w:val="20"/>
                <w:color w:val="auto"/>
              </w:rPr>
            </w:pPr>
            <w:r>
              <w:rPr>
                <w:rFonts w:ascii="Arial" w:cs="Arial" w:eastAsia="Arial" w:hAnsi="Arial"/>
                <w:sz w:val="12"/>
                <w:szCs w:val="12"/>
                <w:color w:val="auto"/>
                <w:w w:val="95"/>
              </w:rPr>
              <w:t>Accounts payable, accrued liabilities and deferred revenues</w:t>
            </w:r>
          </w:p>
        </w:tc>
        <w:tc>
          <w:tcPr>
            <w:tcW w:w="61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3,980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Current portion of long-term debt</w:t>
            </w:r>
          </w:p>
        </w:tc>
        <w:tc>
          <w:tcPr>
            <w:tcW w:w="5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414</w:t>
            </w:r>
          </w:p>
        </w:tc>
        <w:tc>
          <w:tcPr>
            <w:tcW w:w="32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Pr>
          <w:p>
            <w:pPr>
              <w:ind w:left="140"/>
              <w:spacing w:after="0" w:line="133" w:lineRule="exact"/>
              <w:rPr>
                <w:sz w:val="20"/>
                <w:szCs w:val="20"/>
                <w:color w:val="auto"/>
              </w:rPr>
            </w:pPr>
            <w:r>
              <w:rPr>
                <w:rFonts w:ascii="Arial" w:cs="Arial" w:eastAsia="Arial" w:hAnsi="Arial"/>
                <w:sz w:val="12"/>
                <w:szCs w:val="12"/>
                <w:color w:val="auto"/>
              </w:rPr>
              <w:t>Total current liabilities</w:t>
            </w:r>
          </w:p>
        </w:tc>
        <w:tc>
          <w:tcPr>
            <w:tcW w:w="5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4,394</w:t>
            </w:r>
          </w:p>
        </w:tc>
        <w:tc>
          <w:tcPr>
            <w:tcW w:w="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4,082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Long-term debt, less current portion</w:t>
            </w:r>
          </w:p>
        </w:tc>
        <w:tc>
          <w:tcPr>
            <w:tcW w:w="5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14,570</w:t>
            </w:r>
          </w:p>
        </w:tc>
        <w:tc>
          <w:tcPr>
            <w:tcW w:w="3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Arial" w:cs="Arial" w:eastAsia="Arial" w:hAnsi="Arial"/>
                <w:sz w:val="12"/>
                <w:szCs w:val="12"/>
                <w:color w:val="auto"/>
              </w:rPr>
              <w:t>Other</w:t>
            </w:r>
          </w:p>
        </w:tc>
        <w:tc>
          <w:tcPr>
            <w:tcW w:w="5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5,539</w:t>
            </w: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5,192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liabilities</w:t>
            </w:r>
          </w:p>
        </w:tc>
        <w:tc>
          <w:tcPr>
            <w:tcW w:w="52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24,503</w:t>
            </w:r>
          </w:p>
        </w:tc>
        <w:tc>
          <w:tcPr>
            <w:tcW w:w="3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21,971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line="133" w:lineRule="exact"/>
              <w:rPr>
                <w:sz w:val="20"/>
                <w:szCs w:val="20"/>
                <w:color w:val="auto"/>
              </w:rPr>
            </w:pPr>
            <w:r>
              <w:rPr>
                <w:rFonts w:ascii="Arial" w:cs="Arial" w:eastAsia="Arial" w:hAnsi="Arial"/>
                <w:sz w:val="12"/>
                <w:szCs w:val="12"/>
                <w:color w:val="auto"/>
              </w:rPr>
              <w:t>Equity:</w:t>
            </w:r>
          </w:p>
        </w:tc>
        <w:tc>
          <w:tcPr>
            <w:tcW w:w="5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60"/>
              <w:spacing w:after="0"/>
              <w:rPr>
                <w:sz w:val="20"/>
                <w:szCs w:val="20"/>
                <w:color w:val="auto"/>
              </w:rPr>
            </w:pPr>
            <w:r>
              <w:rPr>
                <w:rFonts w:ascii="Arial" w:cs="Arial" w:eastAsia="Arial" w:hAnsi="Arial"/>
                <w:sz w:val="12"/>
                <w:szCs w:val="12"/>
                <w:color w:val="auto"/>
              </w:rPr>
              <w:t>Waste Management, Inc. stockholders’ equity</w:t>
            </w:r>
          </w:p>
        </w:tc>
        <w:tc>
          <w:tcPr>
            <w:tcW w:w="5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6,849</w:t>
            </w:r>
          </w:p>
        </w:tc>
        <w:tc>
          <w:tcPr>
            <w:tcW w:w="3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60"/>
              <w:spacing w:after="0"/>
              <w:rPr>
                <w:sz w:val="20"/>
                <w:szCs w:val="20"/>
                <w:color w:val="auto"/>
              </w:rPr>
            </w:pPr>
            <w:r>
              <w:rPr>
                <w:rFonts w:ascii="Arial" w:cs="Arial" w:eastAsia="Arial" w:hAnsi="Arial"/>
                <w:sz w:val="12"/>
                <w:szCs w:val="12"/>
                <w:color w:val="auto"/>
              </w:rPr>
              <w:t>Noncontrolling interests</w:t>
            </w:r>
          </w:p>
        </w:tc>
        <w:tc>
          <w:tcPr>
            <w:tcW w:w="5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15</w:t>
            </w: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10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equity</w:t>
            </w:r>
          </w:p>
        </w:tc>
        <w:tc>
          <w:tcPr>
            <w:tcW w:w="52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6,864</w:t>
            </w:r>
          </w:p>
        </w:tc>
        <w:tc>
          <w:tcPr>
            <w:tcW w:w="3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7,126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200"/>
              <w:spacing w:after="0" w:line="133" w:lineRule="exact"/>
              <w:rPr>
                <w:sz w:val="20"/>
                <w:szCs w:val="20"/>
                <w:color w:val="auto"/>
              </w:rPr>
            </w:pPr>
            <w:r>
              <w:rPr>
                <w:rFonts w:ascii="Arial" w:cs="Arial" w:eastAsia="Arial" w:hAnsi="Arial"/>
                <w:sz w:val="12"/>
                <w:szCs w:val="12"/>
                <w:color w:val="auto"/>
              </w:rPr>
              <w:t>Total liabilities and equity</w:t>
            </w:r>
          </w:p>
        </w:tc>
        <w:tc>
          <w:tcPr>
            <w:tcW w:w="61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31,367</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29,097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3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9"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380" w:type="dxa"/>
            <w:vAlign w:val="bottom"/>
          </w:tcPr>
          <w:p>
            <w:pPr>
              <w:jc w:val="center"/>
              <w:ind w:left="2860"/>
              <w:spacing w:after="0"/>
              <w:rPr>
                <w:sz w:val="20"/>
                <w:szCs w:val="20"/>
                <w:color w:val="auto"/>
              </w:rPr>
            </w:pPr>
            <w:r>
              <w:rPr>
                <w:rFonts w:ascii="Arial" w:cs="Arial" w:eastAsia="Arial" w:hAnsi="Arial"/>
                <w:sz w:val="12"/>
                <w:szCs w:val="12"/>
                <w:b w:val="1"/>
                <w:bCs w:val="1"/>
                <w:color w:val="auto"/>
              </w:rPr>
              <w:t>WASTE MANAGEMENT, INC.</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380" w:type="dxa"/>
            <w:vAlign w:val="bottom"/>
          </w:tcPr>
          <w:p>
            <w:pPr>
              <w:jc w:val="center"/>
              <w:ind w:left="284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8380" w:type="dxa"/>
            <w:vAlign w:val="bottom"/>
          </w:tcPr>
          <w:p>
            <w:pPr>
              <w:jc w:val="center"/>
              <w:ind w:left="2840"/>
              <w:spacing w:after="0"/>
              <w:rPr>
                <w:sz w:val="20"/>
                <w:szCs w:val="20"/>
                <w:color w:val="auto"/>
              </w:rPr>
            </w:pPr>
            <w:r>
              <w:rPr>
                <w:rFonts w:ascii="Arial" w:cs="Arial" w:eastAsia="Arial" w:hAnsi="Arial"/>
                <w:sz w:val="12"/>
                <w:szCs w:val="12"/>
                <w:b w:val="1"/>
                <w:bCs w:val="1"/>
                <w:color w:val="auto"/>
                <w:w w:val="95"/>
              </w:rPr>
              <w:t>(In Millions)</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380" w:type="dxa"/>
            <w:vAlign w:val="bottom"/>
          </w:tcPr>
          <w:p>
            <w:pPr>
              <w:jc w:val="center"/>
              <w:ind w:left="2860"/>
              <w:spacing w:after="0"/>
              <w:rPr>
                <w:sz w:val="20"/>
                <w:szCs w:val="20"/>
                <w:color w:val="auto"/>
              </w:rPr>
            </w:pPr>
            <w:r>
              <w:rPr>
                <w:rFonts w:ascii="Arial" w:cs="Arial" w:eastAsia="Arial" w:hAnsi="Arial"/>
                <w:sz w:val="12"/>
                <w:szCs w:val="12"/>
                <w:b w:val="1"/>
                <w:bCs w:val="1"/>
                <w:color w:val="auto"/>
                <w:w w:val="92"/>
              </w:rPr>
              <w:t>(Unaudited)</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8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Year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3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rPr>
              <w:t>2022</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3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2,240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Depreciation, depletion and amortization</w:t>
            </w:r>
          </w:p>
        </w:tc>
        <w:tc>
          <w:tcPr>
            <w:tcW w:w="8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2,038</w:t>
            </w:r>
          </w:p>
        </w:tc>
        <w:tc>
          <w:tcPr>
            <w:tcW w:w="3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Loss on early extinguishment of debt, net</w:t>
            </w:r>
          </w:p>
        </w:tc>
        <w:tc>
          <w:tcPr>
            <w:tcW w:w="8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Other</w:t>
            </w:r>
          </w:p>
        </w:tc>
        <w:tc>
          <w:tcPr>
            <w:tcW w:w="8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403</w:t>
            </w:r>
          </w:p>
        </w:tc>
        <w:tc>
          <w:tcPr>
            <w:tcW w:w="3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(145)</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3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8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4,536</w:t>
            </w:r>
          </w:p>
        </w:tc>
        <w:tc>
          <w:tcPr>
            <w:tcW w:w="34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4,338</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investing activities: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Acquisitions of businesses, net of cash acquired</w:t>
            </w:r>
          </w:p>
        </w:tc>
        <w:tc>
          <w:tcPr>
            <w:tcW w:w="84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(377)</w:t>
            </w:r>
          </w:p>
        </w:tc>
        <w:tc>
          <w:tcPr>
            <w:tcW w:w="320" w:type="dxa"/>
            <w:vAlign w:val="bottom"/>
          </w:tcPr>
          <w:p>
            <w:pPr>
              <w:spacing w:after="0"/>
              <w:rPr>
                <w:sz w:val="12"/>
                <w:szCs w:val="1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Capital expenditures</w:t>
            </w:r>
          </w:p>
        </w:tc>
        <w:tc>
          <w:tcPr>
            <w:tcW w:w="8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(2,587)</w:t>
            </w:r>
          </w:p>
        </w:tc>
        <w:tc>
          <w:tcPr>
            <w:tcW w:w="3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(1,904)</w:t>
            </w: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Proceeds from divestitures of businesses and other assets, net of cash divested</w:t>
            </w:r>
          </w:p>
        </w:tc>
        <w:tc>
          <w:tcPr>
            <w:tcW w:w="8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27</w:t>
            </w:r>
          </w:p>
        </w:tc>
        <w:tc>
          <w:tcPr>
            <w:tcW w:w="3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net</w:t>
            </w:r>
          </w:p>
        </w:tc>
        <w:tc>
          <w:tcPr>
            <w:tcW w:w="8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(126)</w:t>
            </w:r>
          </w:p>
        </w:tc>
        <w:tc>
          <w:tcPr>
            <w:tcW w:w="3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3"/>
        </w:trPr>
        <w:tc>
          <w:tcPr>
            <w:tcW w:w="83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cash used in investing activities</w:t>
            </w:r>
          </w:p>
        </w:tc>
        <w:tc>
          <w:tcPr>
            <w:tcW w:w="8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(3,063)</w:t>
            </w:r>
          </w:p>
        </w:tc>
        <w:tc>
          <w:tcPr>
            <w:tcW w:w="34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(1,894)</w:t>
            </w:r>
          </w:p>
        </w:tc>
        <w:tc>
          <w:tcPr>
            <w:tcW w:w="12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New borrowings</w:t>
            </w:r>
          </w:p>
        </w:tc>
        <w:tc>
          <w:tcPr>
            <w:tcW w:w="8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8,688</w:t>
            </w:r>
          </w:p>
        </w:tc>
        <w:tc>
          <w:tcPr>
            <w:tcW w:w="3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7,948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Debt repayments</w:t>
            </w:r>
          </w:p>
        </w:tc>
        <w:tc>
          <w:tcPr>
            <w:tcW w:w="8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(7,328)</w:t>
            </w:r>
          </w:p>
        </w:tc>
        <w:tc>
          <w:tcPr>
            <w:tcW w:w="3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(8,404)</w:t>
            </w: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Premiums and other paid on early extinguishment of debt</w:t>
            </w:r>
          </w:p>
        </w:tc>
        <w:tc>
          <w:tcPr>
            <w:tcW w:w="8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Common stock repurchase program</w:t>
            </w:r>
          </w:p>
        </w:tc>
        <w:tc>
          <w:tcPr>
            <w:tcW w:w="8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(1,500)</w:t>
            </w:r>
          </w:p>
        </w:tc>
        <w:tc>
          <w:tcPr>
            <w:tcW w:w="3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(1,350)</w:t>
            </w: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Cash dividends</w:t>
            </w:r>
          </w:p>
        </w:tc>
        <w:tc>
          <w:tcPr>
            <w:tcW w:w="84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(1,077)</w:t>
            </w:r>
          </w:p>
        </w:tc>
        <w:tc>
          <w:tcPr>
            <w:tcW w:w="320" w:type="dxa"/>
            <w:vAlign w:val="bottom"/>
          </w:tcPr>
          <w:p>
            <w:pPr>
              <w:spacing w:after="0"/>
              <w:rPr>
                <w:sz w:val="12"/>
                <w:szCs w:val="1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2"/>
                <w:szCs w:val="12"/>
                <w:color w:val="auto"/>
              </w:rPr>
              <w:t>(970)</w:t>
            </w:r>
          </w:p>
        </w:tc>
        <w:tc>
          <w:tcPr>
            <w:tcW w:w="0" w:type="dxa"/>
            <w:vAlign w:val="bottom"/>
          </w:tcPr>
          <w:p>
            <w:pPr>
              <w:spacing w:after="0"/>
              <w:rPr>
                <w:sz w:val="1"/>
                <w:szCs w:val="1"/>
                <w:color w:val="auto"/>
              </w:rPr>
            </w:pPr>
          </w:p>
        </w:tc>
      </w:tr>
      <w:tr>
        <w:trPr>
          <w:trHeight w:val="144"/>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Exercise of common stock options</w:t>
            </w:r>
          </w:p>
        </w:tc>
        <w:tc>
          <w:tcPr>
            <w:tcW w:w="8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44</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380" w:type="dxa"/>
            <w:vAlign w:val="bottom"/>
          </w:tcPr>
          <w:p>
            <w:pPr>
              <w:ind w:left="60"/>
              <w:spacing w:after="0"/>
              <w:rPr>
                <w:sz w:val="20"/>
                <w:szCs w:val="20"/>
                <w:color w:val="auto"/>
              </w:rPr>
            </w:pPr>
            <w:r>
              <w:rPr>
                <w:rFonts w:ascii="Arial" w:cs="Arial" w:eastAsia="Arial" w:hAnsi="Arial"/>
                <w:sz w:val="12"/>
                <w:szCs w:val="12"/>
                <w:color w:val="auto"/>
              </w:rPr>
              <w:t>Tax payments associated with equity-based compensation transactions</w:t>
            </w:r>
          </w:p>
        </w:tc>
        <w:tc>
          <w:tcPr>
            <w:tcW w:w="84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(39)</w:t>
            </w:r>
          </w:p>
        </w:tc>
        <w:tc>
          <w:tcPr>
            <w:tcW w:w="320" w:type="dxa"/>
            <w:vAlign w:val="bottom"/>
          </w:tcPr>
          <w:p>
            <w:pPr>
              <w:spacing w:after="0"/>
              <w:rPr>
                <w:sz w:val="12"/>
                <w:szCs w:val="1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8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net</w:t>
            </w:r>
          </w:p>
        </w:tc>
        <w:tc>
          <w:tcPr>
            <w:tcW w:w="8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3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cash used in financing activities</w:t>
            </w:r>
          </w:p>
        </w:tc>
        <w:tc>
          <w:tcPr>
            <w:tcW w:w="8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(1,216)</w:t>
            </w:r>
          </w:p>
        </w:tc>
        <w:tc>
          <w:tcPr>
            <w:tcW w:w="34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(2,900)</w:t>
            </w:r>
          </w:p>
        </w:tc>
        <w:tc>
          <w:tcPr>
            <w:tcW w:w="12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Effect of exchange rate changes on cash, cash equivalents and restricted cash and cash equivalents</w:t>
            </w:r>
          </w:p>
        </w:tc>
        <w:tc>
          <w:tcPr>
            <w:tcW w:w="8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(6)</w:t>
            </w: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380" w:type="dxa"/>
            <w:vAlign w:val="bottom"/>
          </w:tcPr>
          <w:p>
            <w:pPr>
              <w:spacing w:after="0" w:line="133" w:lineRule="exact"/>
              <w:rPr>
                <w:sz w:val="20"/>
                <w:szCs w:val="20"/>
                <w:color w:val="auto"/>
              </w:rPr>
            </w:pPr>
            <w:r>
              <w:rPr>
                <w:rFonts w:ascii="Arial" w:cs="Arial" w:eastAsia="Arial" w:hAnsi="Arial"/>
                <w:sz w:val="12"/>
                <w:szCs w:val="12"/>
                <w:color w:val="auto"/>
              </w:rPr>
              <w:t>Increase (decrease) in cash, cash equivalents and restricted cash and cash equivalents</w:t>
            </w: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251</w:t>
            </w:r>
          </w:p>
        </w:tc>
        <w:tc>
          <w:tcPr>
            <w:tcW w:w="3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(454)</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and cash equivalents at beginning of period</w:t>
            </w:r>
          </w:p>
        </w:tc>
        <w:tc>
          <w:tcPr>
            <w:tcW w:w="8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194</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2"/>
                <w:szCs w:val="12"/>
                <w:color w:val="auto"/>
              </w:rPr>
              <w:t>Cash, cash equivalents and restricted cash and cash equivalents at end of period</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80" w:type="dxa"/>
            <w:vAlign w:val="bottom"/>
            <w:vMerge w:val="continue"/>
          </w:tcPr>
          <w:p>
            <w:pPr>
              <w:spacing w:after="0"/>
              <w:rPr>
                <w:sz w:val="12"/>
                <w:szCs w:val="12"/>
                <w:color w:val="auto"/>
              </w:rPr>
            </w:pP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445</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838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9" w:right="299" w:bottom="1440" w:gutter="0" w:footer="0" w:header="0"/>
        </w:sectPr>
      </w:pPr>
    </w:p>
    <w:bookmarkStart w:id="12" w:name="page13"/>
    <w:bookmarkEnd w:id="1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8"/>
          </w:tcPr>
          <w:p>
            <w:pPr>
              <w:jc w:val="center"/>
              <w:ind w:left="180"/>
              <w:spacing w:after="0"/>
              <w:rPr>
                <w:sz w:val="20"/>
                <w:szCs w:val="20"/>
                <w:color w:val="auto"/>
              </w:rPr>
            </w:pPr>
            <w:r>
              <w:rPr>
                <w:rFonts w:ascii="Arial" w:cs="Arial" w:eastAsia="Arial" w:hAnsi="Arial"/>
                <w:sz w:val="12"/>
                <w:szCs w:val="12"/>
                <w:b w:val="1"/>
                <w:bCs w:val="1"/>
                <w:color w:val="auto"/>
              </w:rPr>
              <w:t>WASTE MANAGEMENT, INC.</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gridSpan w:val="8"/>
          </w:tcPr>
          <w:p>
            <w:pPr>
              <w:jc w:val="center"/>
              <w:ind w:left="180"/>
              <w:spacing w:after="0"/>
              <w:rPr>
                <w:sz w:val="20"/>
                <w:szCs w:val="20"/>
                <w:color w:val="auto"/>
              </w:rPr>
            </w:pPr>
            <w:r>
              <w:rPr>
                <w:rFonts w:ascii="Arial" w:cs="Arial" w:eastAsia="Arial" w:hAnsi="Arial"/>
                <w:sz w:val="12"/>
                <w:szCs w:val="12"/>
                <w:b w:val="1"/>
                <w:bCs w:val="1"/>
                <w:color w:val="auto"/>
                <w:w w:val="99"/>
              </w:rPr>
              <w:t>SUMMARY DATA SHEET</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jc w:val="center"/>
              <w:ind w:right="732"/>
              <w:spacing w:after="0"/>
              <w:rPr>
                <w:sz w:val="20"/>
                <w:szCs w:val="20"/>
                <w:color w:val="auto"/>
              </w:rPr>
            </w:pPr>
            <w:r>
              <w:rPr>
                <w:rFonts w:ascii="Arial" w:cs="Arial" w:eastAsia="Arial" w:hAnsi="Arial"/>
                <w:sz w:val="12"/>
                <w:szCs w:val="12"/>
                <w:b w:val="1"/>
                <w:bCs w:val="1"/>
                <w:color w:val="auto"/>
                <w:w w:val="95"/>
              </w:rPr>
              <w:t>(In Millions)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center"/>
              <w:ind w:right="712"/>
              <w:spacing w:after="0"/>
              <w:rPr>
                <w:sz w:val="20"/>
                <w:szCs w:val="20"/>
                <w:color w:val="auto"/>
              </w:rPr>
            </w:pPr>
            <w:r>
              <w:rPr>
                <w:rFonts w:ascii="Arial" w:cs="Arial" w:eastAsia="Arial" w:hAnsi="Arial"/>
                <w:sz w:val="12"/>
                <w:szCs w:val="12"/>
                <w:b w:val="1"/>
                <w:bCs w:val="1"/>
                <w:color w:val="auto"/>
                <w:w w:val="92"/>
              </w:rPr>
              <w:t>(Unaudited)</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340" w:type="dxa"/>
            <w:vAlign w:val="bottom"/>
            <w:gridSpan w:val="2"/>
          </w:tcPr>
          <w:p>
            <w:pPr>
              <w:spacing w:after="0"/>
              <w:rPr>
                <w:sz w:val="20"/>
                <w:szCs w:val="20"/>
                <w:color w:val="auto"/>
              </w:rPr>
            </w:pPr>
            <w:r>
              <w:rPr>
                <w:rFonts w:ascii="Arial" w:cs="Arial" w:eastAsia="Arial" w:hAnsi="Arial"/>
                <w:sz w:val="12"/>
                <w:szCs w:val="12"/>
                <w:b w:val="1"/>
                <w:bCs w:val="1"/>
                <w:color w:val="auto"/>
                <w:w w:val="99"/>
              </w:rPr>
              <w:t>Operating Revenues by Line of Business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Year Ended</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2"/>
                <w:szCs w:val="12"/>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Commercial</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color w:val="auto"/>
              </w:rPr>
              <w:t>1,416</w:t>
            </w:r>
          </w:p>
        </w:tc>
        <w:tc>
          <w:tcPr>
            <w:tcW w:w="2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3"/>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1,237</w:t>
            </w:r>
          </w:p>
        </w:tc>
        <w:tc>
          <w:tcPr>
            <w:tcW w:w="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ind w:right="34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5,450</w:t>
            </w:r>
          </w:p>
        </w:tc>
        <w:tc>
          <w:tcPr>
            <w:tcW w:w="1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4,760</w:t>
            </w:r>
          </w:p>
        </w:tc>
        <w:tc>
          <w:tcPr>
            <w:tcW w:w="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Arial" w:cs="Arial" w:eastAsia="Arial" w:hAnsi="Arial"/>
                <w:sz w:val="12"/>
                <w:szCs w:val="12"/>
                <w:color w:val="auto"/>
              </w:rPr>
              <w:t>Industrial</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2"/>
                <w:szCs w:val="12"/>
                <w:color w:val="auto"/>
              </w:rPr>
              <w:t>937</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2"/>
                <w:szCs w:val="12"/>
                <w:color w:val="auto"/>
              </w:rPr>
              <w:t>827</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3,681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Residential</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856</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801</w:t>
            </w: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3,339</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Arial" w:cs="Arial" w:eastAsia="Arial" w:hAnsi="Arial"/>
                <w:sz w:val="12"/>
                <w:szCs w:val="12"/>
                <w:color w:val="auto"/>
              </w:rPr>
              <w:t>Other collection</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2"/>
                <w:szCs w:val="12"/>
                <w:color w:val="auto"/>
              </w:rPr>
              <w:t>178</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2"/>
                <w:szCs w:val="12"/>
                <w:color w:val="auto"/>
              </w:rPr>
              <w:t>142</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699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Total collection</w:t>
            </w:r>
          </w:p>
        </w:tc>
        <w:tc>
          <w:tcPr>
            <w:tcW w:w="7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left w:val="single" w:sz="8" w:color="CCEEFF"/>
            </w:tcBorders>
            <w:shd w:val="clear" w:color="auto" w:fill="CCEEFF"/>
          </w:tcPr>
          <w:p>
            <w:pPr>
              <w:spacing w:after="0"/>
              <w:rPr>
                <w:sz w:val="11"/>
                <w:szCs w:val="11"/>
                <w:color w:val="auto"/>
              </w:rPr>
            </w:pPr>
          </w:p>
        </w:tc>
        <w:tc>
          <w:tcPr>
            <w:tcW w:w="1140" w:type="dxa"/>
            <w:vAlign w:val="bottom"/>
            <w:tcBorders>
              <w:top w:val="single" w:sz="8" w:color="auto"/>
            </w:tcBorders>
            <w:gridSpan w:val="4"/>
            <w:shd w:val="clear" w:color="auto" w:fill="CCEEFF"/>
          </w:tcPr>
          <w:p>
            <w:pPr>
              <w:jc w:val="right"/>
              <w:spacing w:after="0" w:line="133" w:lineRule="exact"/>
              <w:rPr>
                <w:sz w:val="20"/>
                <w:szCs w:val="20"/>
                <w:color w:val="auto"/>
              </w:rPr>
            </w:pPr>
            <w:r>
              <w:rPr>
                <w:rFonts w:ascii="Arial" w:cs="Arial" w:eastAsia="Arial" w:hAnsi="Arial"/>
                <w:sz w:val="12"/>
                <w:szCs w:val="12"/>
                <w:color w:val="auto"/>
              </w:rPr>
              <w:t>3,387</w:t>
            </w: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3,007</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13,169</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11,675</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Arial" w:cs="Arial" w:eastAsia="Arial" w:hAnsi="Arial"/>
                <w:sz w:val="12"/>
                <w:szCs w:val="12"/>
                <w:color w:val="auto"/>
              </w:rPr>
              <w:t>Landfill</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2"/>
                <w:szCs w:val="12"/>
                <w:color w:val="auto"/>
              </w:rPr>
              <w:t>1,158</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2"/>
                <w:szCs w:val="12"/>
                <w:color w:val="auto"/>
              </w:rPr>
              <w:t>1,063</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4,600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4,153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Transfer</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541</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525</w:t>
            </w: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2,143</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2,072</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Arial" w:cs="Arial" w:eastAsia="Arial" w:hAnsi="Arial"/>
                <w:sz w:val="12"/>
                <w:szCs w:val="12"/>
                <w:color w:val="auto"/>
              </w:rPr>
              <w:t>Recycling</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2"/>
                <w:szCs w:val="12"/>
                <w:color w:val="auto"/>
              </w:rPr>
              <w:t>360</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2"/>
                <w:szCs w:val="12"/>
                <w:color w:val="auto"/>
              </w:rPr>
              <w:t>478</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1,701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620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571</w:t>
            </w: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2,405</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2,112</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line="180" w:lineRule="exact"/>
              <w:rPr>
                <w:sz w:val="20"/>
                <w:szCs w:val="20"/>
                <w:color w:val="auto"/>
              </w:rPr>
            </w:pPr>
            <w:r>
              <w:rPr>
                <w:rFonts w:ascii="Arial" w:cs="Arial" w:eastAsia="Arial" w:hAnsi="Arial"/>
                <w:sz w:val="12"/>
                <w:szCs w:val="12"/>
                <w:color w:val="auto"/>
              </w:rPr>
              <w:t xml:space="preserve">Intercompany </w:t>
            </w:r>
            <w:r>
              <w:rPr>
                <w:rFonts w:ascii="Arial" w:cs="Arial" w:eastAsia="Arial" w:hAnsi="Arial"/>
                <w:sz w:val="19"/>
                <w:szCs w:val="19"/>
                <w:color w:val="auto"/>
                <w:vertAlign w:val="superscript"/>
              </w:rPr>
              <w:t>(a)</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2"/>
                <w:szCs w:val="12"/>
                <w:color w:val="auto"/>
              </w:rPr>
              <w:t>(1,131)</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Arial" w:cs="Arial" w:eastAsia="Arial" w:hAnsi="Arial"/>
                <w:sz w:val="12"/>
                <w:szCs w:val="12"/>
                <w:color w:val="auto"/>
              </w:rPr>
              <w:t>(966)</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(4,320)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8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4,935</w:t>
            </w:r>
          </w:p>
        </w:tc>
        <w:tc>
          <w:tcPr>
            <w:tcW w:w="2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03"/>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4,678</w:t>
            </w:r>
          </w:p>
        </w:tc>
        <w:tc>
          <w:tcPr>
            <w:tcW w:w="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ind w:right="34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19,698</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17,931</w:t>
            </w:r>
          </w:p>
        </w:tc>
        <w:tc>
          <w:tcPr>
            <w:tcW w:w="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15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Internal Revenue Growth</w:t>
            </w:r>
          </w:p>
        </w:tc>
        <w:tc>
          <w:tcPr>
            <w:tcW w:w="7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1"/>
              </w:rPr>
              <w:t>Period-to-Period Change for the</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gridSpan w:val="10"/>
          </w:tcPr>
          <w:p>
            <w:pPr>
              <w:jc w:val="center"/>
              <w:ind w:left="603"/>
              <w:spacing w:after="0"/>
              <w:rPr>
                <w:sz w:val="20"/>
                <w:szCs w:val="20"/>
                <w:color w:val="auto"/>
              </w:rPr>
            </w:pPr>
            <w:r>
              <w:rPr>
                <w:rFonts w:ascii="Arial" w:cs="Arial" w:eastAsia="Arial" w:hAnsi="Arial"/>
                <w:sz w:val="12"/>
                <w:szCs w:val="12"/>
                <w:b w:val="1"/>
                <w:bCs w:val="1"/>
                <w:color w:val="auto"/>
                <w:w w:val="91"/>
              </w:rPr>
              <w:t>Period-to-Period Change for the</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92"/>
              </w:rPr>
              <w:t>Three Months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472"/>
              <w:spacing w:after="0"/>
              <w:rPr>
                <w:sz w:val="20"/>
                <w:szCs w:val="20"/>
                <w:color w:val="auto"/>
              </w:rPr>
            </w:pPr>
            <w:r>
              <w:rPr>
                <w:rFonts w:ascii="Arial" w:cs="Arial" w:eastAsia="Arial" w:hAnsi="Arial"/>
                <w:sz w:val="12"/>
                <w:szCs w:val="12"/>
                <w:b w:val="1"/>
                <w:bCs w:val="1"/>
                <w:color w:val="auto"/>
                <w:w w:val="90"/>
              </w:rPr>
              <w:t>Year 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2"/>
                <w:szCs w:val="12"/>
                <w:b w:val="1"/>
                <w:bCs w:val="1"/>
                <w:color w:val="auto"/>
                <w:w w:val="88"/>
              </w:rPr>
              <w:t>December 31, 2022 vs. 2021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8"/>
          </w:tcPr>
          <w:p>
            <w:pPr>
              <w:jc w:val="center"/>
              <w:ind w:right="152"/>
              <w:spacing w:after="0"/>
              <w:rPr>
                <w:sz w:val="20"/>
                <w:szCs w:val="20"/>
                <w:color w:val="auto"/>
              </w:rPr>
            </w:pPr>
            <w:r>
              <w:rPr>
                <w:rFonts w:ascii="Arial" w:cs="Arial" w:eastAsia="Arial" w:hAnsi="Arial"/>
                <w:sz w:val="12"/>
                <w:szCs w:val="12"/>
                <w:b w:val="1"/>
                <w:bCs w:val="1"/>
                <w:color w:val="auto"/>
                <w:w w:val="88"/>
              </w:rPr>
              <w:t>December 31, 2022 vs. 2021</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As a % of</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tcPr>
          <w:p>
            <w:pPr>
              <w:jc w:val="center"/>
              <w:ind w:right="352"/>
              <w:spacing w:after="0" w:line="120" w:lineRule="exact"/>
              <w:rPr>
                <w:sz w:val="20"/>
                <w:szCs w:val="20"/>
                <w:color w:val="auto"/>
              </w:rPr>
            </w:pPr>
            <w:r>
              <w:rPr>
                <w:rFonts w:ascii="Arial" w:cs="Arial" w:eastAsia="Arial" w:hAnsi="Arial"/>
                <w:sz w:val="12"/>
                <w:szCs w:val="12"/>
                <w:b w:val="1"/>
                <w:bCs w:val="1"/>
                <w:color w:val="auto"/>
                <w:w w:val="92"/>
              </w:rPr>
              <w:t>As a % of</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20"/>
              <w:spacing w:after="0" w:line="120" w:lineRule="exact"/>
              <w:rPr>
                <w:sz w:val="20"/>
                <w:szCs w:val="20"/>
                <w:color w:val="auto"/>
              </w:rPr>
            </w:pPr>
            <w:r>
              <w:rPr>
                <w:rFonts w:ascii="Arial" w:cs="Arial" w:eastAsia="Arial" w:hAnsi="Arial"/>
                <w:sz w:val="12"/>
                <w:szCs w:val="12"/>
                <w:b w:val="1"/>
                <w:bCs w:val="1"/>
                <w:color w:val="auto"/>
                <w:w w:val="92"/>
              </w:rPr>
              <w:t>As a %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jc w:val="center"/>
              <w:ind w:right="552"/>
              <w:spacing w:after="0" w:line="120" w:lineRule="exact"/>
              <w:rPr>
                <w:sz w:val="20"/>
                <w:szCs w:val="20"/>
                <w:color w:val="auto"/>
              </w:rPr>
            </w:pPr>
            <w:r>
              <w:rPr>
                <w:rFonts w:ascii="Arial" w:cs="Arial" w:eastAsia="Arial" w:hAnsi="Arial"/>
                <w:sz w:val="12"/>
                <w:szCs w:val="12"/>
                <w:b w:val="1"/>
                <w:bCs w:val="1"/>
                <w:color w:val="auto"/>
                <w:w w:val="92"/>
              </w:rPr>
              <w:t>As a % of</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332"/>
              <w:spacing w:after="0"/>
              <w:rPr>
                <w:sz w:val="20"/>
                <w:szCs w:val="20"/>
                <w:color w:val="auto"/>
              </w:rPr>
            </w:pPr>
            <w:r>
              <w:rPr>
                <w:rFonts w:ascii="Arial" w:cs="Arial" w:eastAsia="Arial" w:hAnsi="Arial"/>
                <w:sz w:val="12"/>
                <w:szCs w:val="12"/>
                <w:b w:val="1"/>
                <w:bCs w:val="1"/>
                <w:color w:val="auto"/>
                <w:w w:val="92"/>
              </w:rPr>
              <w:t>Related</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372"/>
              <w:spacing w:after="0"/>
              <w:rPr>
                <w:sz w:val="20"/>
                <w:szCs w:val="20"/>
                <w:color w:val="auto"/>
              </w:rPr>
            </w:pPr>
            <w:r>
              <w:rPr>
                <w:rFonts w:ascii="Arial" w:cs="Arial" w:eastAsia="Arial" w:hAnsi="Arial"/>
                <w:sz w:val="12"/>
                <w:szCs w:val="12"/>
                <w:b w:val="1"/>
                <w:bCs w:val="1"/>
                <w:color w:val="auto"/>
                <w:w w:val="90"/>
              </w:rPr>
              <w:t>Total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652"/>
              <w:spacing w:after="0"/>
              <w:rPr>
                <w:sz w:val="20"/>
                <w:szCs w:val="20"/>
                <w:color w:val="auto"/>
              </w:rPr>
            </w:pPr>
            <w:r>
              <w:rPr>
                <w:rFonts w:ascii="Arial" w:cs="Arial" w:eastAsia="Arial" w:hAnsi="Arial"/>
                <w:sz w:val="12"/>
                <w:szCs w:val="12"/>
                <w:b w:val="1"/>
                <w:bCs w:val="1"/>
                <w:color w:val="auto"/>
                <w:w w:val="92"/>
              </w:rPr>
              <w:t>Related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Business(b)</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Company(c)</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2"/>
                <w:szCs w:val="12"/>
                <w:b w:val="1"/>
                <w:bCs w:val="1"/>
                <w:color w:val="auto"/>
                <w:w w:val="84"/>
              </w:rPr>
              <w:t>Business(b)</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Company(c)</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Collection and disposal</w:t>
            </w:r>
          </w:p>
        </w:tc>
        <w:tc>
          <w:tcPr>
            <w:tcW w:w="760" w:type="dxa"/>
            <w:vAlign w:val="bottom"/>
            <w:shd w:val="clear" w:color="auto" w:fill="CCEEFF"/>
          </w:tcPr>
          <w:p>
            <w:pPr>
              <w:jc w:val="right"/>
              <w:ind w:right="646"/>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303</w:t>
            </w:r>
          </w:p>
        </w:tc>
        <w:tc>
          <w:tcPr>
            <w:tcW w:w="2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7.7%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1,025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6.7%</w:t>
            </w:r>
          </w:p>
        </w:tc>
        <w:tc>
          <w:tcPr>
            <w:tcW w:w="1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line="171" w:lineRule="exact"/>
              <w:rPr>
                <w:sz w:val="20"/>
                <w:szCs w:val="20"/>
                <w:color w:val="auto"/>
              </w:rPr>
            </w:pPr>
            <w:r>
              <w:rPr>
                <w:rFonts w:ascii="Arial" w:cs="Arial" w:eastAsia="Arial" w:hAnsi="Arial"/>
                <w:sz w:val="12"/>
                <w:szCs w:val="12"/>
                <w:color w:val="auto"/>
              </w:rPr>
              <w:t xml:space="preserve">Recycling </w:t>
            </w:r>
            <w:r>
              <w:rPr>
                <w:rFonts w:ascii="Arial" w:cs="Arial" w:eastAsia="Arial" w:hAnsi="Arial"/>
                <w:sz w:val="19"/>
                <w:szCs w:val="19"/>
                <w:color w:val="auto"/>
                <w:vertAlign w:val="superscript"/>
              </w:rPr>
              <w:t>(d)</w:t>
            </w:r>
          </w:p>
        </w:tc>
        <w:tc>
          <w:tcPr>
            <w:tcW w:w="76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(139)</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(29.7)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1.2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w w:val="98"/>
              </w:rPr>
              <w:t xml:space="preserve">Fuel surcharges and other </w:t>
            </w:r>
            <w:r>
              <w:rPr>
                <w:rFonts w:ascii="Arial" w:cs="Arial" w:eastAsia="Arial" w:hAnsi="Arial"/>
                <w:sz w:val="19"/>
                <w:szCs w:val="19"/>
                <w:color w:val="auto"/>
                <w:w w:val="98"/>
                <w:vertAlign w:val="superscript"/>
              </w:rPr>
              <w:t>(e)</w:t>
            </w: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51.7</w:t>
            </w: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tcPr>
          <w:p>
            <w:pPr>
              <w:ind w:left="60"/>
              <w:spacing w:after="0" w:line="151" w:lineRule="exact"/>
              <w:rPr>
                <w:sz w:val="20"/>
                <w:szCs w:val="20"/>
                <w:color w:val="auto"/>
              </w:rPr>
            </w:pPr>
            <w:r>
              <w:rPr>
                <w:rFonts w:ascii="Arial" w:cs="Arial" w:eastAsia="Arial" w:hAnsi="Arial"/>
                <w:sz w:val="11"/>
                <w:szCs w:val="11"/>
                <w:color w:val="auto"/>
              </w:rPr>
              <w:t xml:space="preserve">Total average yield </w:t>
            </w:r>
            <w:r>
              <w:rPr>
                <w:rFonts w:ascii="Arial" w:cs="Arial" w:eastAsia="Arial" w:hAnsi="Arial"/>
                <w:sz w:val="17"/>
                <w:szCs w:val="17"/>
                <w:color w:val="auto"/>
                <w:vertAlign w:val="superscript"/>
              </w:rPr>
              <w:t>(f)</w:t>
            </w:r>
          </w:p>
        </w:tc>
        <w:tc>
          <w:tcPr>
            <w:tcW w:w="7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tcPr>
          <w:p>
            <w:pPr>
              <w:jc w:val="right"/>
              <w:ind w:right="52"/>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263</w:t>
            </w:r>
          </w:p>
        </w:tc>
        <w:tc>
          <w:tcPr>
            <w:tcW w:w="120" w:type="dxa"/>
            <w:vAlign w:val="bottom"/>
          </w:tcPr>
          <w:p>
            <w:pPr>
              <w:spacing w:after="0"/>
              <w:rPr>
                <w:sz w:val="13"/>
                <w:szCs w:val="13"/>
                <w:color w:val="auto"/>
              </w:rPr>
            </w:pPr>
          </w:p>
        </w:tc>
        <w:tc>
          <w:tcPr>
            <w:tcW w:w="1360" w:type="dxa"/>
            <w:vAlign w:val="bottom"/>
            <w:gridSpan w:val="5"/>
          </w:tcPr>
          <w:p>
            <w:pPr>
              <w:jc w:val="right"/>
              <w:ind w:right="120"/>
              <w:spacing w:after="0"/>
              <w:rPr>
                <w:sz w:val="20"/>
                <w:szCs w:val="20"/>
                <w:color w:val="auto"/>
              </w:rPr>
            </w:pPr>
            <w:r>
              <w:rPr>
                <w:rFonts w:ascii="Arial" w:cs="Arial" w:eastAsia="Arial" w:hAnsi="Arial"/>
                <w:sz w:val="12"/>
                <w:szCs w:val="12"/>
                <w:color w:val="auto"/>
              </w:rPr>
              <w:t>5.6%</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right"/>
              <w:ind w:right="7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1,518</w:t>
            </w:r>
          </w:p>
        </w:tc>
        <w:tc>
          <w:tcPr>
            <w:tcW w:w="200" w:type="dxa"/>
            <w:vAlign w:val="bottom"/>
          </w:tcPr>
          <w:p>
            <w:pPr>
              <w:spacing w:after="0"/>
              <w:rPr>
                <w:sz w:val="13"/>
                <w:szCs w:val="13"/>
                <w:color w:val="auto"/>
              </w:rPr>
            </w:pPr>
          </w:p>
        </w:tc>
        <w:tc>
          <w:tcPr>
            <w:tcW w:w="1020" w:type="dxa"/>
            <w:vAlign w:val="bottom"/>
            <w:gridSpan w:val="2"/>
          </w:tcPr>
          <w:p>
            <w:pPr>
              <w:jc w:val="right"/>
              <w:spacing w:after="0" w:line="151" w:lineRule="exact"/>
              <w:rPr>
                <w:sz w:val="20"/>
                <w:szCs w:val="20"/>
                <w:color w:val="auto"/>
              </w:rPr>
            </w:pPr>
            <w:r>
              <w:rPr>
                <w:rFonts w:ascii="Arial" w:cs="Arial" w:eastAsia="Arial" w:hAnsi="Arial"/>
                <w:sz w:val="10"/>
                <w:szCs w:val="10"/>
                <w:color w:val="auto"/>
              </w:rPr>
              <w:t>8.5</w:t>
            </w:r>
            <w:r>
              <w:rPr>
                <w:rFonts w:ascii="Arial" w:cs="Arial" w:eastAsia="Arial" w:hAnsi="Arial"/>
                <w:sz w:val="17"/>
                <w:szCs w:val="17"/>
                <w:color w:val="auto"/>
                <w:vertAlign w:val="superscript"/>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60"/>
              <w:spacing w:after="0" w:line="171" w:lineRule="exact"/>
              <w:rPr>
                <w:sz w:val="20"/>
                <w:szCs w:val="20"/>
                <w:color w:val="auto"/>
              </w:rPr>
            </w:pPr>
            <w:r>
              <w:rPr>
                <w:rFonts w:ascii="Arial" w:cs="Arial" w:eastAsia="Arial" w:hAnsi="Arial"/>
                <w:sz w:val="12"/>
                <w:szCs w:val="12"/>
                <w:color w:val="auto"/>
              </w:rPr>
              <w:t xml:space="preserve">Volume </w:t>
            </w:r>
            <w:r>
              <w:rPr>
                <w:rFonts w:ascii="Arial" w:cs="Arial" w:eastAsia="Arial" w:hAnsi="Arial"/>
                <w:sz w:val="19"/>
                <w:szCs w:val="19"/>
                <w:color w:val="auto"/>
                <w:vertAlign w:val="superscript"/>
              </w:rPr>
              <w:t>(e)</w:t>
            </w: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tcBorders>
              <w:left w:val="single" w:sz="8" w:color="CCEEFF"/>
            </w:tcBorders>
            <w:shd w:val="clear" w:color="auto" w:fill="CCEEFF"/>
          </w:tcPr>
          <w:p>
            <w:pPr>
              <w:spacing w:after="0"/>
              <w:rPr>
                <w:sz w:val="14"/>
                <w:szCs w:val="14"/>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2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20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60"/>
              <w:spacing w:after="0" w:line="133" w:lineRule="exact"/>
              <w:rPr>
                <w:sz w:val="20"/>
                <w:szCs w:val="20"/>
                <w:color w:val="auto"/>
              </w:rPr>
            </w:pPr>
            <w:r>
              <w:rPr>
                <w:rFonts w:ascii="Arial" w:cs="Arial" w:eastAsia="Arial" w:hAnsi="Arial"/>
                <w:sz w:val="12"/>
                <w:szCs w:val="12"/>
                <w:color w:val="auto"/>
              </w:rPr>
              <w:t>Internal revenue growth</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w w:val="86"/>
              </w:rPr>
              <w:t>1,751</w:t>
            </w:r>
          </w:p>
        </w:tc>
        <w:tc>
          <w:tcPr>
            <w:tcW w:w="200" w:type="dxa"/>
            <w:vAlign w:val="bottom"/>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9.8</w:t>
            </w: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Acquisitions</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ind w:left="60"/>
              <w:spacing w:after="0"/>
              <w:rPr>
                <w:sz w:val="20"/>
                <w:szCs w:val="20"/>
                <w:color w:val="auto"/>
              </w:rPr>
            </w:pPr>
            <w:r>
              <w:rPr>
                <w:rFonts w:ascii="Arial" w:cs="Arial" w:eastAsia="Arial" w:hAnsi="Arial"/>
                <w:sz w:val="12"/>
                <w:szCs w:val="12"/>
                <w:color w:val="auto"/>
              </w:rPr>
              <w:t>Divestitures</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1140" w:type="dxa"/>
            <w:vAlign w:val="bottom"/>
            <w:gridSpan w:val="4"/>
          </w:tcPr>
          <w:p>
            <w:pPr>
              <w:jc w:val="right"/>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2"/>
                <w:szCs w:val="12"/>
                <w:color w:val="auto"/>
              </w:rPr>
              <w:t>(15)</w:t>
            </w:r>
          </w:p>
        </w:tc>
        <w:tc>
          <w:tcPr>
            <w:tcW w:w="960" w:type="dxa"/>
            <w:vAlign w:val="bottom"/>
          </w:tcPr>
          <w:p>
            <w:pPr>
              <w:jc w:val="right"/>
              <w:spacing w:after="0"/>
              <w:rPr>
                <w:sz w:val="20"/>
                <w:szCs w:val="20"/>
                <w:color w:val="auto"/>
              </w:rPr>
            </w:pPr>
            <w:r>
              <w:rPr>
                <w:rFonts w:ascii="Arial" w:cs="Arial" w:eastAsia="Arial" w:hAnsi="Arial"/>
                <w:sz w:val="12"/>
                <w:szCs w:val="12"/>
                <w:color w:val="auto"/>
              </w:rPr>
              <w:t>(0.1</w:t>
            </w: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Foreign currency translation</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(31)</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ind w:left="140"/>
              <w:spacing w:after="0"/>
              <w:rPr>
                <w:sz w:val="20"/>
                <w:szCs w:val="20"/>
                <w:color w:val="auto"/>
              </w:rPr>
            </w:pPr>
            <w:r>
              <w:rPr>
                <w:rFonts w:ascii="Arial" w:cs="Arial" w:eastAsia="Arial" w:hAnsi="Arial"/>
                <w:sz w:val="12"/>
                <w:szCs w:val="12"/>
                <w:color w:val="auto"/>
              </w:rPr>
              <w:t>Total</w:t>
            </w: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257</w:t>
            </w: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260" w:type="dxa"/>
            <w:vAlign w:val="bottom"/>
            <w:gridSpan w:val="4"/>
          </w:tcPr>
          <w:p>
            <w:pPr>
              <w:jc w:val="right"/>
              <w:ind w:right="120"/>
              <w:spacing w:after="0" w:line="133" w:lineRule="exact"/>
              <w:rPr>
                <w:sz w:val="20"/>
                <w:szCs w:val="20"/>
                <w:color w:val="auto"/>
              </w:rPr>
            </w:pPr>
            <w:r>
              <w:rPr>
                <w:rFonts w:ascii="Arial" w:cs="Arial" w:eastAsia="Arial" w:hAnsi="Arial"/>
                <w:sz w:val="12"/>
                <w:szCs w:val="12"/>
                <w:color w:val="auto"/>
              </w:rPr>
              <w:t>5.5%</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gridSpan w:val="2"/>
          </w:tcPr>
          <w:p>
            <w:pPr>
              <w:jc w:val="right"/>
              <w:spacing w:after="0" w:line="133" w:lineRule="exact"/>
              <w:rPr>
                <w:sz w:val="20"/>
                <w:szCs w:val="20"/>
                <w:color w:val="auto"/>
              </w:rPr>
            </w:pPr>
            <w:r>
              <w:rPr>
                <w:rFonts w:ascii="Arial" w:cs="Arial" w:eastAsia="Arial" w:hAnsi="Arial"/>
                <w:sz w:val="12"/>
                <w:szCs w:val="12"/>
                <w:color w:val="auto"/>
                <w:w w:val="86"/>
              </w:rPr>
              <w:t>1,767</w:t>
            </w:r>
          </w:p>
        </w:tc>
        <w:tc>
          <w:tcPr>
            <w:tcW w:w="20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9.9%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right w:val="single" w:sz="8" w:color="auto"/>
            </w:tcBorders>
            <w:gridSpan w:val="2"/>
            <w:shd w:val="clear" w:color="auto" w:fill="000000"/>
          </w:tcPr>
          <w:p>
            <w:pPr>
              <w:spacing w:after="0"/>
              <w:rPr>
                <w:sz w:val="2"/>
                <w:szCs w:val="2"/>
                <w:color w:val="auto"/>
              </w:rPr>
            </w:pPr>
          </w:p>
        </w:tc>
        <w:tc>
          <w:tcPr>
            <w:tcW w:w="340" w:type="dxa"/>
            <w:vAlign w:val="bottom"/>
            <w:tcBorders>
              <w:right w:val="single" w:sz="8" w:color="auto"/>
            </w:tcBorders>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80" w:type="dxa"/>
            <w:vAlign w:val="bottom"/>
            <w:gridSpan w:val="8"/>
          </w:tcPr>
          <w:p>
            <w:pPr>
              <w:jc w:val="center"/>
              <w:ind w:right="720"/>
              <w:spacing w:after="0"/>
              <w:rPr>
                <w:sz w:val="20"/>
                <w:szCs w:val="20"/>
                <w:color w:val="auto"/>
              </w:rPr>
            </w:pPr>
            <w:r>
              <w:rPr>
                <w:rFonts w:ascii="Arial" w:cs="Arial" w:eastAsia="Arial" w:hAnsi="Arial"/>
                <w:sz w:val="12"/>
                <w:szCs w:val="12"/>
                <w:b w:val="1"/>
                <w:bCs w:val="1"/>
                <w:color w:val="auto"/>
                <w:w w:val="91"/>
              </w:rPr>
              <w:t>Period-to-Period Change for the</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0" w:type="dxa"/>
            <w:vAlign w:val="bottom"/>
            <w:gridSpan w:val="8"/>
          </w:tcPr>
          <w:p>
            <w:pPr>
              <w:jc w:val="center"/>
              <w:ind w:right="520"/>
              <w:spacing w:after="0"/>
              <w:rPr>
                <w:sz w:val="20"/>
                <w:szCs w:val="20"/>
                <w:color w:val="auto"/>
              </w:rPr>
            </w:pPr>
            <w:r>
              <w:rPr>
                <w:rFonts w:ascii="Arial" w:cs="Arial" w:eastAsia="Arial" w:hAnsi="Arial"/>
                <w:sz w:val="12"/>
                <w:szCs w:val="12"/>
                <w:b w:val="1"/>
                <w:bCs w:val="1"/>
                <w:color w:val="auto"/>
                <w:w w:val="91"/>
              </w:rPr>
              <w:t>Period-to-Period Change for the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gridSpan w:val="10"/>
          </w:tcPr>
          <w:p>
            <w:pPr>
              <w:jc w:val="center"/>
              <w:ind w:left="260"/>
              <w:spacing w:after="0"/>
              <w:rPr>
                <w:sz w:val="20"/>
                <w:szCs w:val="20"/>
                <w:color w:val="auto"/>
              </w:rPr>
            </w:pPr>
            <w:r>
              <w:rPr>
                <w:rFonts w:ascii="Arial" w:cs="Arial" w:eastAsia="Arial" w:hAnsi="Arial"/>
                <w:sz w:val="12"/>
                <w:szCs w:val="12"/>
                <w:b w:val="1"/>
                <w:bCs w:val="1"/>
                <w:color w:val="auto"/>
                <w:w w:val="90"/>
              </w:rPr>
              <w:t>Three Months Ended December 31, 2022 vs. 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9"/>
          </w:tcPr>
          <w:p>
            <w:pPr>
              <w:jc w:val="center"/>
              <w:ind w:right="40"/>
              <w:spacing w:after="0"/>
              <w:rPr>
                <w:sz w:val="20"/>
                <w:szCs w:val="20"/>
                <w:color w:val="auto"/>
              </w:rPr>
            </w:pPr>
            <w:r>
              <w:rPr>
                <w:rFonts w:ascii="Arial" w:cs="Arial" w:eastAsia="Arial" w:hAnsi="Arial"/>
                <w:sz w:val="12"/>
                <w:szCs w:val="12"/>
                <w:b w:val="1"/>
                <w:bCs w:val="1"/>
                <w:color w:val="auto"/>
                <w:w w:val="89"/>
              </w:rPr>
              <w:t>Year Ended December 31, 2022 vs. 2021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380" w:type="dxa"/>
            <w:vAlign w:val="bottom"/>
            <w:tcBorders>
              <w:top w:val="single" w:sz="8" w:color="auto"/>
              <w:bottom w:val="single" w:sz="8" w:color="auto"/>
            </w:tcBorders>
            <w:gridSpan w:val="8"/>
          </w:tcPr>
          <w:p>
            <w:pPr>
              <w:jc w:val="center"/>
              <w:ind w:right="680"/>
              <w:spacing w:after="0" w:line="133" w:lineRule="exact"/>
              <w:rPr>
                <w:sz w:val="20"/>
                <w:szCs w:val="20"/>
                <w:color w:val="auto"/>
              </w:rPr>
            </w:pPr>
            <w:r>
              <w:rPr>
                <w:rFonts w:ascii="Arial" w:cs="Arial" w:eastAsia="Arial" w:hAnsi="Arial"/>
                <w:sz w:val="12"/>
                <w:szCs w:val="12"/>
                <w:b w:val="1"/>
                <w:bCs w:val="1"/>
                <w:color w:val="auto"/>
                <w:w w:val="89"/>
              </w:rPr>
              <w:t>As a % of Related Business(b)</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2400" w:type="dxa"/>
            <w:vAlign w:val="bottom"/>
            <w:tcBorders>
              <w:top w:val="single" w:sz="8" w:color="auto"/>
              <w:bottom w:val="single" w:sz="8" w:color="auto"/>
            </w:tcBorders>
            <w:gridSpan w:val="8"/>
          </w:tcPr>
          <w:p>
            <w:pPr>
              <w:jc w:val="center"/>
              <w:ind w:right="480"/>
              <w:spacing w:after="0" w:line="133" w:lineRule="exact"/>
              <w:rPr>
                <w:sz w:val="20"/>
                <w:szCs w:val="20"/>
                <w:color w:val="auto"/>
              </w:rPr>
            </w:pPr>
            <w:r>
              <w:rPr>
                <w:rFonts w:ascii="Arial" w:cs="Arial" w:eastAsia="Arial" w:hAnsi="Arial"/>
                <w:sz w:val="12"/>
                <w:szCs w:val="12"/>
                <w:b w:val="1"/>
                <w:bCs w:val="1"/>
                <w:color w:val="auto"/>
                <w:w w:val="89"/>
              </w:rPr>
              <w:t>As a % of Related Business(b)</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Yield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w w:val="95"/>
              </w:rPr>
              <w:t>Volume(g)</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Yield</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88"/>
              </w:rPr>
              <w:t>Volume(g)</w:t>
            </w:r>
          </w:p>
        </w:tc>
        <w:tc>
          <w:tcPr>
            <w:tcW w:w="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Commercial</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0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10.7%</w:t>
            </w:r>
          </w:p>
        </w:tc>
        <w:tc>
          <w:tcPr>
            <w:tcW w:w="1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4"/>
            <w:shd w:val="clear" w:color="auto" w:fill="CCEEFF"/>
          </w:tcPr>
          <w:p>
            <w:pPr>
              <w:ind w:left="140"/>
              <w:spacing w:after="0" w:line="133" w:lineRule="exact"/>
              <w:rPr>
                <w:sz w:val="20"/>
                <w:szCs w:val="20"/>
                <w:color w:val="auto"/>
              </w:rPr>
            </w:pPr>
            <w:r>
              <w:rPr>
                <w:rFonts w:ascii="Arial" w:cs="Arial" w:eastAsia="Arial" w:hAnsi="Arial"/>
                <w:sz w:val="12"/>
                <w:szCs w:val="12"/>
                <w:color w:val="auto"/>
                <w:w w:val="96"/>
              </w:rPr>
              <w:t>(1.2)%</w:t>
            </w:r>
          </w:p>
        </w:tc>
        <w:tc>
          <w:tcPr>
            <w:tcW w:w="2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9.2%</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Arial" w:cs="Arial" w:eastAsia="Arial" w:hAnsi="Arial"/>
                <w:sz w:val="12"/>
                <w:szCs w:val="12"/>
                <w:color w:val="auto"/>
              </w:rPr>
              <w:t>Industrial</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tcPr>
          <w:p>
            <w:pPr>
              <w:ind w:left="140"/>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Residential</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(4.7)</w:t>
            </w:r>
          </w:p>
        </w:tc>
        <w:tc>
          <w:tcPr>
            <w:tcW w:w="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ind w:left="60"/>
              <w:spacing w:after="0"/>
              <w:rPr>
                <w:sz w:val="20"/>
                <w:szCs w:val="20"/>
                <w:color w:val="auto"/>
              </w:rPr>
            </w:pPr>
            <w:r>
              <w:rPr>
                <w:rFonts w:ascii="Arial" w:cs="Arial" w:eastAsia="Arial" w:hAnsi="Arial"/>
                <w:sz w:val="12"/>
                <w:szCs w:val="12"/>
                <w:color w:val="auto"/>
              </w:rPr>
              <w:t>Total collection</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tcPr>
          <w:p>
            <w:pPr>
              <w:ind w:left="1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MSW</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20"/>
                <w:szCs w:val="20"/>
                <w:color w:val="auto"/>
              </w:rPr>
            </w:pPr>
            <w:r>
              <w:rPr>
                <w:rFonts w:ascii="Arial" w:cs="Arial" w:eastAsia="Arial" w:hAnsi="Arial"/>
                <w:sz w:val="12"/>
                <w:szCs w:val="12"/>
                <w:color w:val="auto"/>
              </w:rPr>
              <w:t>Transfer</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3"/>
          </w:tcPr>
          <w:p>
            <w:pPr>
              <w:ind w:left="14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w w:val="91"/>
              </w:rPr>
              <w:t>Total collection and disposal</w:t>
            </w: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7.7%</w:t>
            </w:r>
          </w:p>
        </w:tc>
        <w:tc>
          <w:tcPr>
            <w:tcW w:w="1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ind w:left="140"/>
              <w:spacing w:after="0"/>
              <w:rPr>
                <w:sz w:val="20"/>
                <w:szCs w:val="20"/>
                <w:color w:val="auto"/>
              </w:rPr>
            </w:pPr>
            <w:r>
              <w:rPr>
                <w:rFonts w:ascii="Arial" w:cs="Arial" w:eastAsia="Arial" w:hAnsi="Arial"/>
                <w:sz w:val="12"/>
                <w:szCs w:val="12"/>
                <w:b w:val="1"/>
                <w:bCs w:val="1"/>
                <w:color w:val="auto"/>
                <w:w w:val="96"/>
              </w:rPr>
              <w:t>(0.3)%</w:t>
            </w: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6.7%</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5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Intercompany revenues between lines of business are eliminated in the Condensed Consolidated Financial Statements included herein.</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year period by the prior year period’s related business revenue adjusted to exclude the impacts of divestitures for the current year period.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year period by the prior year period’s total Company revenue adjusted to exclude the impacts of divestitures for the current year period.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combined impact of commodity price variability and changes in fees.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changes in our revenue attributable to our WM Renewable Energy business.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amounts reported herein represent the changes in our revenue attributable to average yield for the total Company.</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20" w:type="dxa"/>
            <w:vAlign w:val="bottom"/>
            <w:gridSpan w:val="4"/>
          </w:tcPr>
          <w:p>
            <w:pPr>
              <w:jc w:val="center"/>
              <w:ind w:left="60"/>
              <w:spacing w:after="0"/>
              <w:rPr>
                <w:sz w:val="20"/>
                <w:szCs w:val="20"/>
                <w:color w:val="auto"/>
              </w:rPr>
            </w:pPr>
            <w:r>
              <w:rPr>
                <w:rFonts w:ascii="Arial" w:cs="Arial" w:eastAsia="Arial" w:hAnsi="Arial"/>
                <w:sz w:val="12"/>
                <w:szCs w:val="12"/>
                <w:b w:val="1"/>
                <w:bCs w:val="1"/>
                <w:color w:val="auto"/>
              </w:rPr>
              <w:t>WASTE MANAGEMENT, INC.</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8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20" w:type="dxa"/>
            <w:vAlign w:val="bottom"/>
            <w:gridSpan w:val="4"/>
          </w:tcPr>
          <w:p>
            <w:pPr>
              <w:jc w:val="center"/>
              <w:ind w:left="60"/>
              <w:spacing w:after="0"/>
              <w:rPr>
                <w:sz w:val="20"/>
                <w:szCs w:val="20"/>
                <w:color w:val="auto"/>
              </w:rPr>
            </w:pPr>
            <w:r>
              <w:rPr>
                <w:rFonts w:ascii="Arial" w:cs="Arial" w:eastAsia="Arial" w:hAnsi="Arial"/>
                <w:sz w:val="12"/>
                <w:szCs w:val="12"/>
                <w:b w:val="1"/>
                <w:bCs w:val="1"/>
                <w:color w:val="auto"/>
                <w:w w:val="99"/>
              </w:rPr>
              <w:t>SUMMARY DATA SHEET</w:t>
            </w: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2"/>
                <w:szCs w:val="12"/>
                <w:b w:val="1"/>
                <w:bCs w:val="1"/>
                <w:color w:val="auto"/>
                <w:w w:val="95"/>
              </w:rPr>
              <w:t>(In Millions)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2"/>
                <w:szCs w:val="12"/>
                <w:b w:val="1"/>
                <w:bCs w:val="1"/>
                <w:color w:val="auto"/>
                <w:w w:val="95"/>
              </w:rPr>
              <w:t>(Unaudited)</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4380" w:type="dxa"/>
            <w:vAlign w:val="bottom"/>
            <w:gridSpan w:val="2"/>
          </w:tcPr>
          <w:p>
            <w:pPr>
              <w:spacing w:after="0"/>
              <w:rPr>
                <w:sz w:val="20"/>
                <w:szCs w:val="20"/>
                <w:color w:val="auto"/>
              </w:rPr>
            </w:pPr>
            <w:r>
              <w:rPr>
                <w:rFonts w:ascii="Arial" w:cs="Arial" w:eastAsia="Arial" w:hAnsi="Arial"/>
                <w:sz w:val="12"/>
                <w:szCs w:val="12"/>
                <w:b w:val="1"/>
                <w:bCs w:val="1"/>
                <w:color w:val="auto"/>
              </w:rPr>
              <w:t>Free Cash Flow</w:t>
            </w:r>
            <w:r>
              <w:rPr>
                <w:rFonts w:ascii="Arial" w:cs="Arial" w:eastAsia="Arial" w:hAnsi="Arial"/>
                <w:sz w:val="19"/>
                <w:szCs w:val="19"/>
                <w:b w:val="1"/>
                <w:bCs w:val="1"/>
                <w:color w:val="auto"/>
                <w:vertAlign w:val="superscript"/>
              </w:rPr>
              <w:t>(a)</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center"/>
              <w:ind w:left="660"/>
              <w:spacing w:after="0"/>
              <w:rPr>
                <w:sz w:val="20"/>
                <w:szCs w:val="20"/>
                <w:color w:val="auto"/>
              </w:rPr>
            </w:pPr>
            <w:r>
              <w:rPr>
                <w:rFonts w:ascii="Arial" w:cs="Arial" w:eastAsia="Arial" w:hAnsi="Arial"/>
                <w:sz w:val="12"/>
                <w:szCs w:val="12"/>
                <w:b w:val="1"/>
                <w:bCs w:val="1"/>
                <w:color w:val="auto"/>
                <w:w w:val="92"/>
              </w:rPr>
              <w:t>Three Months Ended</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93"/>
              </w:rPr>
              <w:t>Year Ended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2"/>
                <w:szCs w:val="12"/>
                <w:b w:val="1"/>
                <w:bCs w:val="1"/>
                <w:color w:val="auto"/>
                <w:w w:val="89"/>
              </w:rPr>
              <w:t>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2"/>
                <w:szCs w:val="12"/>
                <w:b w:val="1"/>
                <w:bCs w:val="1"/>
                <w:color w:val="auto"/>
                <w:w w:val="89"/>
              </w:rPr>
              <w:t>December 31,</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1,049</w:t>
            </w: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991</w:t>
            </w: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4,536</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4,338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80" w:type="dxa"/>
            <w:vAlign w:val="bottom"/>
            <w:gridSpan w:val="2"/>
          </w:tcPr>
          <w:p>
            <w:pPr>
              <w:spacing w:after="0"/>
              <w:rPr>
                <w:sz w:val="20"/>
                <w:szCs w:val="20"/>
                <w:color w:val="auto"/>
              </w:rPr>
            </w:pPr>
            <w:r>
              <w:rPr>
                <w:rFonts w:ascii="Arial" w:cs="Arial" w:eastAsia="Arial" w:hAnsi="Arial"/>
                <w:sz w:val="12"/>
                <w:szCs w:val="12"/>
                <w:color w:val="auto"/>
              </w:rPr>
              <w:t>Capital expenditures, excluding sustainability growth investments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2"/>
                <w:szCs w:val="12"/>
                <w:color w:val="auto"/>
              </w:rPr>
              <w:t>(623)</w:t>
            </w:r>
          </w:p>
        </w:tc>
        <w:tc>
          <w:tcPr>
            <w:tcW w:w="440" w:type="dxa"/>
            <w:vAlign w:val="bottom"/>
          </w:tcPr>
          <w:p>
            <w:pPr>
              <w:spacing w:after="0"/>
              <w:rPr>
                <w:sz w:val="12"/>
                <w:szCs w:val="1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2"/>
                <w:szCs w:val="12"/>
                <w:color w:val="auto"/>
              </w:rPr>
              <w:t>(571)</w:t>
            </w:r>
          </w:p>
        </w:tc>
        <w:tc>
          <w:tcPr>
            <w:tcW w:w="28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2"/>
                <w:szCs w:val="12"/>
                <w:color w:val="auto"/>
              </w:rPr>
              <w:t>(2,026)</w:t>
            </w:r>
          </w:p>
        </w:tc>
        <w:tc>
          <w:tcPr>
            <w:tcW w:w="3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(1,665)</w:t>
            </w:r>
          </w:p>
        </w:tc>
        <w:tc>
          <w:tcPr>
            <w:tcW w:w="0" w:type="dxa"/>
            <w:vAlign w:val="bottom"/>
          </w:tcPr>
          <w:p>
            <w:pPr>
              <w:spacing w:after="0"/>
              <w:rPr>
                <w:sz w:val="1"/>
                <w:szCs w:val="1"/>
                <w:color w:val="auto"/>
              </w:rPr>
            </w:pPr>
          </w:p>
        </w:tc>
      </w:tr>
      <w:tr>
        <w:trPr>
          <w:trHeight w:val="153"/>
        </w:trPr>
        <w:tc>
          <w:tcPr>
            <w:tcW w:w="4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Proceeds from divestitures of businesses and other assets, net of cash divested</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w:t>
            </w:r>
          </w:p>
        </w:tc>
        <w:tc>
          <w:tcPr>
            <w:tcW w:w="4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Free cash flow without sustainability growth investments</w:t>
            </w: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435</w:t>
            </w:r>
          </w:p>
        </w:tc>
        <w:tc>
          <w:tcPr>
            <w:tcW w:w="3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446</w:t>
            </w:r>
          </w:p>
        </w:tc>
        <w:tc>
          <w:tcPr>
            <w:tcW w:w="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2,537</w:t>
            </w:r>
          </w:p>
        </w:tc>
        <w:tc>
          <w:tcPr>
            <w:tcW w:w="3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2,769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Capital expenditures - sustainability growth investments</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(239)</w:t>
            </w:r>
          </w:p>
        </w:tc>
        <w:tc>
          <w:tcPr>
            <w:tcW w:w="4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(203)</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(561)</w:t>
            </w:r>
          </w:p>
        </w:tc>
        <w:tc>
          <w:tcPr>
            <w:tcW w:w="3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Free cash flow</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196</w:t>
            </w:r>
          </w:p>
        </w:tc>
        <w:tc>
          <w:tcPr>
            <w:tcW w:w="34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243</w:t>
            </w:r>
          </w:p>
        </w:tc>
        <w:tc>
          <w:tcPr>
            <w:tcW w:w="32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1,976</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2,530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center"/>
              <w:ind w:left="660"/>
              <w:spacing w:after="0"/>
              <w:rPr>
                <w:sz w:val="20"/>
                <w:szCs w:val="20"/>
                <w:color w:val="auto"/>
              </w:rPr>
            </w:pPr>
            <w:r>
              <w:rPr>
                <w:rFonts w:ascii="Arial" w:cs="Arial" w:eastAsia="Arial" w:hAnsi="Arial"/>
                <w:sz w:val="12"/>
                <w:szCs w:val="12"/>
                <w:b w:val="1"/>
                <w:bCs w:val="1"/>
                <w:color w:val="auto"/>
                <w:w w:val="92"/>
              </w:rPr>
              <w:t>Three Months Ended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93"/>
              </w:rPr>
              <w:t>Year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2"/>
                <w:szCs w:val="12"/>
                <w:b w:val="1"/>
                <w:bCs w:val="1"/>
                <w:color w:val="auto"/>
                <w:w w:val="89"/>
              </w:rPr>
              <w:t>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2"/>
                <w:szCs w:val="12"/>
                <w:b w:val="1"/>
                <w:bCs w:val="1"/>
                <w:color w:val="auto"/>
                <w:w w:val="89"/>
              </w:rPr>
              <w:t>December 31,</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Supplemental Data</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Internalization of waste, based on disposal costs</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68.2%</w:t>
            </w:r>
          </w:p>
        </w:tc>
        <w:tc>
          <w:tcPr>
            <w:tcW w:w="4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68.5%</w:t>
            </w: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68.5%</w:t>
            </w:r>
          </w:p>
        </w:tc>
        <w:tc>
          <w:tcPr>
            <w:tcW w:w="3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68.5%</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Landfill depletable tons (in millions)</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30.8</w:t>
            </w:r>
          </w:p>
        </w:tc>
        <w:tc>
          <w:tcPr>
            <w:tcW w:w="4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31.6</w:t>
            </w:r>
          </w:p>
        </w:tc>
        <w:tc>
          <w:tcPr>
            <w:tcW w:w="2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124.7</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b w:val="1"/>
                <w:bCs w:val="1"/>
                <w:color w:val="auto"/>
              </w:rPr>
              <w:t>Acquisition Summary</w:t>
            </w:r>
            <w:r>
              <w:rPr>
                <w:rFonts w:ascii="Arial" w:cs="Arial" w:eastAsia="Arial" w:hAnsi="Arial"/>
                <w:sz w:val="19"/>
                <w:szCs w:val="19"/>
                <w:b w:val="1"/>
                <w:bCs w:val="1"/>
                <w:color w:val="auto"/>
                <w:vertAlign w:val="superscript"/>
              </w:rPr>
              <w:t>(b)</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5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Gross annualized revenue acquired</w:t>
            </w:r>
            <w:r>
              <w:rPr>
                <w:rFonts w:ascii="Arial" w:cs="Arial" w:eastAsia="Arial" w:hAnsi="Arial"/>
                <w:sz w:val="19"/>
                <w:szCs w:val="19"/>
                <w:color w:val="auto"/>
                <w:vertAlign w:val="superscript"/>
              </w:rPr>
              <w:t>(c)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123</w:t>
            </w: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22</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258</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Total consideration, net of cash acquired</w:t>
            </w:r>
            <w:r>
              <w:rPr>
                <w:rFonts w:ascii="Arial" w:cs="Arial" w:eastAsia="Arial" w:hAnsi="Arial"/>
                <w:sz w:val="19"/>
                <w:szCs w:val="19"/>
                <w:color w:val="auto"/>
                <w:vertAlign w:val="superscript"/>
              </w:rPr>
              <w:t>(c)</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291</w:t>
            </w:r>
          </w:p>
        </w:tc>
        <w:tc>
          <w:tcPr>
            <w:tcW w:w="4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83</w:t>
            </w:r>
          </w:p>
        </w:tc>
        <w:tc>
          <w:tcPr>
            <w:tcW w:w="2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507</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w w:val="99"/>
              </w:rPr>
              <w:t>Cash paid for acquisitions consummated during the period, net of cash acquired</w:t>
            </w:r>
            <w:r>
              <w:rPr>
                <w:rFonts w:ascii="Arial" w:cs="Arial" w:eastAsia="Arial" w:hAnsi="Arial"/>
                <w:sz w:val="19"/>
                <w:szCs w:val="19"/>
                <w:color w:val="auto"/>
                <w:w w:val="99"/>
                <w:vertAlign w:val="superscript"/>
              </w:rPr>
              <w:t>(c)</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170</w:t>
            </w:r>
          </w:p>
        </w:tc>
        <w:tc>
          <w:tcPr>
            <w:tcW w:w="4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64</w:t>
            </w:r>
          </w:p>
        </w:tc>
        <w:tc>
          <w:tcPr>
            <w:tcW w:w="2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372</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460" w:type="dxa"/>
            <w:vAlign w:val="bottom"/>
            <w:gridSpan w:val="3"/>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300" w:type="dxa"/>
            <w:vAlign w:val="bottom"/>
            <w:gridSpan w:val="4"/>
            <w:shd w:val="clear" w:color="auto" w:fill="CCEEFF"/>
          </w:tcPr>
          <w:p>
            <w:pPr>
              <w:spacing w:after="0" w:line="137" w:lineRule="exact"/>
              <w:rPr>
                <w:sz w:val="20"/>
                <w:szCs w:val="20"/>
                <w:color w:val="auto"/>
              </w:rPr>
            </w:pPr>
            <w:r>
              <w:rPr>
                <w:rFonts w:ascii="Arial" w:cs="Arial" w:eastAsia="Arial" w:hAnsi="Arial"/>
                <w:sz w:val="12"/>
                <w:szCs w:val="12"/>
                <w:color w:val="auto"/>
                <w:w w:val="97"/>
              </w:rPr>
              <w:t>Cash paid for acquisitions including contingent consideration and other items from prior periods, net of</w:t>
            </w:r>
          </w:p>
        </w:tc>
        <w:tc>
          <w:tcPr>
            <w:tcW w:w="1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380" w:type="dxa"/>
            <w:vAlign w:val="bottom"/>
            <w:gridSpan w:val="2"/>
            <w:shd w:val="clear" w:color="auto" w:fill="CCEEFF"/>
          </w:tcPr>
          <w:p>
            <w:pPr>
              <w:spacing w:after="0" w:line="178" w:lineRule="exact"/>
              <w:rPr>
                <w:sz w:val="20"/>
                <w:szCs w:val="20"/>
                <w:color w:val="auto"/>
              </w:rPr>
            </w:pPr>
            <w:r>
              <w:rPr>
                <w:rFonts w:ascii="Arial" w:cs="Arial" w:eastAsia="Arial" w:hAnsi="Arial"/>
                <w:sz w:val="12"/>
                <w:szCs w:val="12"/>
                <w:color w:val="auto"/>
              </w:rPr>
              <w:t>cash acquired</w:t>
            </w:r>
            <w:r>
              <w:rPr>
                <w:rFonts w:ascii="Arial" w:cs="Arial" w:eastAsia="Arial" w:hAnsi="Arial"/>
                <w:sz w:val="19"/>
                <w:szCs w:val="19"/>
                <w:color w:val="auto"/>
                <w:vertAlign w:val="superscript"/>
              </w:rPr>
              <w:t>(c)</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170</w:t>
            </w: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65</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377</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4380" w:type="dxa"/>
            <w:vAlign w:val="bottom"/>
            <w:gridSpan w:val="2"/>
          </w:tcPr>
          <w:p>
            <w:pPr>
              <w:spacing w:after="0"/>
              <w:rPr>
                <w:sz w:val="20"/>
                <w:szCs w:val="20"/>
                <w:color w:val="auto"/>
              </w:rPr>
            </w:pPr>
            <w:r>
              <w:rPr>
                <w:rFonts w:ascii="Arial" w:cs="Arial" w:eastAsia="Arial" w:hAnsi="Arial"/>
                <w:sz w:val="12"/>
                <w:szCs w:val="12"/>
                <w:b w:val="1"/>
                <w:bCs w:val="1"/>
                <w:color w:val="auto"/>
              </w:rPr>
              <w:t>Landfill Depletion and Accretion Expenses: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center"/>
              <w:ind w:left="660"/>
              <w:spacing w:after="0"/>
              <w:rPr>
                <w:sz w:val="20"/>
                <w:szCs w:val="20"/>
                <w:color w:val="auto"/>
              </w:rPr>
            </w:pPr>
            <w:r>
              <w:rPr>
                <w:rFonts w:ascii="Arial" w:cs="Arial" w:eastAsia="Arial" w:hAnsi="Arial"/>
                <w:sz w:val="12"/>
                <w:szCs w:val="12"/>
                <w:b w:val="1"/>
                <w:bCs w:val="1"/>
                <w:color w:val="auto"/>
                <w:w w:val="92"/>
              </w:rPr>
              <w:t>Three Months Ended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93"/>
              </w:rPr>
              <w:t>Year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2"/>
                <w:szCs w:val="12"/>
                <w:b w:val="1"/>
                <w:bCs w:val="1"/>
                <w:color w:val="auto"/>
                <w:w w:val="89"/>
              </w:rPr>
              <w:t>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2"/>
                <w:szCs w:val="12"/>
                <w:b w:val="1"/>
                <w:bCs w:val="1"/>
                <w:color w:val="auto"/>
                <w:w w:val="89"/>
              </w:rPr>
              <w:t>December 31,</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2022</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Landfill depletion expense:</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80" w:type="dxa"/>
            <w:vAlign w:val="bottom"/>
            <w:gridSpan w:val="2"/>
          </w:tcPr>
          <w:p>
            <w:pPr>
              <w:ind w:left="60"/>
              <w:spacing w:after="0"/>
              <w:rPr>
                <w:sz w:val="20"/>
                <w:szCs w:val="20"/>
                <w:color w:val="auto"/>
              </w:rPr>
            </w:pPr>
            <w:r>
              <w:rPr>
                <w:rFonts w:ascii="Arial" w:cs="Arial" w:eastAsia="Arial" w:hAnsi="Arial"/>
                <w:sz w:val="12"/>
                <w:szCs w:val="12"/>
                <w:color w:val="auto"/>
              </w:rPr>
              <w:t>Cost basis of landfill assets</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2"/>
                <w:szCs w:val="12"/>
                <w:color w:val="auto"/>
              </w:rPr>
              <w:t>141</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2"/>
                <w:szCs w:val="12"/>
                <w:color w:val="auto"/>
              </w:rPr>
              <w:t>142</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576</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Asset retirement costs</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178</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140"/>
              <w:spacing w:after="0" w:line="171" w:lineRule="exact"/>
              <w:rPr>
                <w:sz w:val="20"/>
                <w:szCs w:val="20"/>
                <w:color w:val="auto"/>
              </w:rPr>
            </w:pPr>
            <w:r>
              <w:rPr>
                <w:rFonts w:ascii="Arial" w:cs="Arial" w:eastAsia="Arial" w:hAnsi="Arial"/>
                <w:sz w:val="12"/>
                <w:szCs w:val="12"/>
                <w:color w:val="auto"/>
              </w:rPr>
              <w:t>Total landfill depletion expense</w:t>
            </w:r>
            <w:r>
              <w:rPr>
                <w:rFonts w:ascii="Arial" w:cs="Arial" w:eastAsia="Arial" w:hAnsi="Arial"/>
                <w:sz w:val="19"/>
                <w:szCs w:val="19"/>
                <w:color w:val="auto"/>
                <w:vertAlign w:val="superscript"/>
              </w:rPr>
              <w:t>(d)</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216</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754</w:t>
            </w:r>
          </w:p>
        </w:tc>
        <w:tc>
          <w:tcPr>
            <w:tcW w:w="34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731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Accretion expense</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112</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60"/>
              <w:spacing w:after="0"/>
              <w:rPr>
                <w:sz w:val="20"/>
                <w:szCs w:val="20"/>
                <w:color w:val="auto"/>
              </w:rPr>
            </w:pPr>
            <w:r>
              <w:rPr>
                <w:rFonts w:ascii="Arial" w:cs="Arial" w:eastAsia="Arial" w:hAnsi="Arial"/>
                <w:sz w:val="12"/>
                <w:szCs w:val="12"/>
                <w:color w:val="auto"/>
              </w:rPr>
              <w:t>Landfill depletion and accretion expense</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244</w:t>
            </w:r>
          </w:p>
        </w:tc>
        <w:tc>
          <w:tcPr>
            <w:tcW w:w="34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219</w:t>
            </w:r>
          </w:p>
        </w:tc>
        <w:tc>
          <w:tcPr>
            <w:tcW w:w="32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866</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840" w:type="dxa"/>
            <w:vAlign w:val="bottom"/>
            <w:tcBorders>
              <w:bottom w:val="single" w:sz="8" w:color="808080"/>
            </w:tcBorders>
          </w:tcPr>
          <w:p>
            <w:pPr>
              <w:spacing w:after="0"/>
              <w:rPr>
                <w:sz w:val="6"/>
                <w:szCs w:val="6"/>
                <w:color w:val="auto"/>
              </w:rPr>
            </w:pPr>
          </w:p>
        </w:tc>
        <w:tc>
          <w:tcPr>
            <w:tcW w:w="1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8" w:right="20" w:hanging="208"/>
        <w:spacing w:after="0" w:line="258"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amounts associated with business acquisitions consummated during the applicable period except where noted.</w:t>
      </w:r>
    </w:p>
    <w:p>
      <w:pPr>
        <w:spacing w:after="0" w:line="6" w:lineRule="exact"/>
        <w:rPr>
          <w:rFonts w:ascii="Arial" w:cs="Arial" w:eastAsia="Arial" w:hAnsi="Arial"/>
          <w:sz w:val="12"/>
          <w:szCs w:val="12"/>
          <w:color w:val="auto"/>
        </w:rPr>
      </w:pPr>
    </w:p>
    <w:p>
      <w:pPr>
        <w:ind w:left="208" w:right="20" w:hanging="208"/>
        <w:spacing w:after="0" w:line="250" w:lineRule="auto"/>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Acquisitions consummated and funded during the fourth quarter of 2021 includes a business that was immediately contributed to a joint venture. The Company does not consolidate the joint venture and, accordingly, the venture's revenues are not included in the measure of revenue acquired.</w:t>
      </w: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both the fourth quarter of 2022 and the year ended December 31, 2022, the increase in landfill depletion was primarily driven by changes in landfill cost estimates at our landfills.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WASTE MANAGEMENT, INC.</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2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120" w:type="dxa"/>
            <w:vAlign w:val="bottom"/>
            <w:gridSpan w:val="7"/>
          </w:tcPr>
          <w:p>
            <w:pPr>
              <w:jc w:val="center"/>
              <w:ind w:right="6"/>
              <w:spacing w:after="0"/>
              <w:rPr>
                <w:sz w:val="20"/>
                <w:szCs w:val="20"/>
                <w:color w:val="auto"/>
              </w:rPr>
            </w:pPr>
            <w:r>
              <w:rPr>
                <w:rFonts w:ascii="Arial" w:cs="Arial" w:eastAsia="Arial" w:hAnsi="Arial"/>
                <w:sz w:val="12"/>
                <w:szCs w:val="12"/>
                <w:b w:val="1"/>
                <w:bCs w:val="1"/>
                <w:color w:val="auto"/>
              </w:rPr>
              <w:t>RECONCILIATION OF CERTAIN NON-GAAP MEASURES</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2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(In Millions, Except Per Share Amounts)</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center"/>
              <w:ind w:right="25"/>
              <w:spacing w:after="0"/>
              <w:rPr>
                <w:sz w:val="20"/>
                <w:szCs w:val="20"/>
                <w:color w:val="auto"/>
              </w:rPr>
            </w:pPr>
            <w:r>
              <w:rPr>
                <w:rFonts w:ascii="Arial" w:cs="Arial" w:eastAsia="Arial" w:hAnsi="Arial"/>
                <w:sz w:val="12"/>
                <w:szCs w:val="12"/>
                <w:b w:val="1"/>
                <w:bCs w:val="1"/>
                <w:color w:val="auto"/>
                <w:w w:val="92"/>
              </w:rPr>
              <w:t>(Unaudited)</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2"/>
                <w:szCs w:val="12"/>
                <w:b w:val="1"/>
                <w:bCs w:val="1"/>
                <w:color w:val="auto"/>
                <w:w w:val="98"/>
              </w:rPr>
              <w:t>Three Months Ended December 31, 2022</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jc w:val="center"/>
              <w:ind w:left="247"/>
              <w:spacing w:after="0" w:line="124" w:lineRule="exact"/>
              <w:rPr>
                <w:sz w:val="20"/>
                <w:szCs w:val="20"/>
                <w:color w:val="auto"/>
              </w:rPr>
            </w:pPr>
            <w:r>
              <w:rPr>
                <w:rFonts w:ascii="Arial" w:cs="Arial" w:eastAsia="Arial" w:hAnsi="Arial"/>
                <w:sz w:val="12"/>
                <w:szCs w:val="12"/>
                <w:b w:val="1"/>
                <w:bCs w:val="1"/>
                <w:color w:val="auto"/>
                <w:w w:val="91"/>
              </w:rPr>
              <w:t>Income from</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ind w:right="65"/>
              <w:spacing w:after="0" w:line="124" w:lineRule="exact"/>
              <w:rPr>
                <w:sz w:val="20"/>
                <w:szCs w:val="20"/>
                <w:color w:val="auto"/>
              </w:rPr>
            </w:pPr>
            <w:r>
              <w:rPr>
                <w:rFonts w:ascii="Arial" w:cs="Arial" w:eastAsia="Arial" w:hAnsi="Arial"/>
                <w:sz w:val="12"/>
                <w:szCs w:val="12"/>
                <w:b w:val="1"/>
                <w:bCs w:val="1"/>
                <w:color w:val="auto"/>
              </w:rPr>
              <w:t>Pre-tax</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left="246"/>
              <w:spacing w:after="0" w:line="124" w:lineRule="exact"/>
              <w:rPr>
                <w:sz w:val="20"/>
                <w:szCs w:val="20"/>
                <w:color w:val="auto"/>
              </w:rPr>
            </w:pPr>
            <w:r>
              <w:rPr>
                <w:rFonts w:ascii="Arial" w:cs="Arial" w:eastAsia="Arial" w:hAnsi="Arial"/>
                <w:sz w:val="12"/>
                <w:szCs w:val="12"/>
                <w:b w:val="1"/>
                <w:bCs w:val="1"/>
                <w:color w:val="auto"/>
                <w:w w:val="96"/>
              </w:rPr>
              <w:t>Tax</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40"/>
              <w:spacing w:after="0" w:line="124"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10"/>
                <w:szCs w:val="10"/>
                <w:color w:val="auto"/>
              </w:rPr>
            </w:pPr>
          </w:p>
        </w:tc>
        <w:tc>
          <w:tcPr>
            <w:tcW w:w="1080" w:type="dxa"/>
            <w:vAlign w:val="bottom"/>
          </w:tcPr>
          <w:p>
            <w:pPr>
              <w:jc w:val="center"/>
              <w:ind w:right="80"/>
              <w:spacing w:after="0" w:line="124" w:lineRule="exact"/>
              <w:rPr>
                <w:sz w:val="20"/>
                <w:szCs w:val="20"/>
                <w:color w:val="auto"/>
              </w:rPr>
            </w:pPr>
            <w:r>
              <w:rPr>
                <w:rFonts w:ascii="Arial" w:cs="Arial" w:eastAsia="Arial" w:hAnsi="Arial"/>
                <w:sz w:val="12"/>
                <w:szCs w:val="12"/>
                <w:b w:val="1"/>
                <w:bCs w:val="1"/>
                <w:color w:val="auto"/>
                <w:w w:val="91"/>
              </w:rPr>
              <w:t>Diluted Per</w:t>
            </w:r>
          </w:p>
        </w:tc>
        <w:tc>
          <w:tcPr>
            <w:tcW w:w="120" w:type="dxa"/>
            <w:vAlign w:val="bottom"/>
          </w:tcPr>
          <w:p>
            <w:pPr>
              <w:spacing w:after="0"/>
              <w:rPr>
                <w:sz w:val="10"/>
                <w:szCs w:val="10"/>
                <w:color w:val="auto"/>
              </w:rPr>
            </w:pPr>
          </w:p>
        </w:tc>
      </w:tr>
      <w:tr>
        <w:trPr>
          <w:trHeight w:val="180"/>
        </w:trPr>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center"/>
              <w:ind w:left="247"/>
              <w:spacing w:after="0"/>
              <w:rPr>
                <w:sz w:val="20"/>
                <w:szCs w:val="20"/>
                <w:color w:val="auto"/>
              </w:rPr>
            </w:pPr>
            <w:r>
              <w:rPr>
                <w:rFonts w:ascii="Arial" w:cs="Arial" w:eastAsia="Arial" w:hAnsi="Arial"/>
                <w:sz w:val="12"/>
                <w:szCs w:val="12"/>
                <w:b w:val="1"/>
                <w:bCs w:val="1"/>
                <w:color w:val="auto"/>
                <w:w w:val="91"/>
              </w:rPr>
              <w:t>Operations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b w:val="1"/>
                <w:bCs w:val="1"/>
                <w:color w:val="auto"/>
              </w:rPr>
              <w:t>Income</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left="246"/>
              <w:spacing w:after="0"/>
              <w:rPr>
                <w:sz w:val="20"/>
                <w:szCs w:val="20"/>
                <w:color w:val="auto"/>
              </w:rPr>
            </w:pPr>
            <w:r>
              <w:rPr>
                <w:rFonts w:ascii="Arial" w:cs="Arial" w:eastAsia="Arial" w:hAnsi="Arial"/>
                <w:sz w:val="12"/>
                <w:szCs w:val="12"/>
                <w:b w:val="1"/>
                <w:bCs w:val="1"/>
                <w:color w:val="auto"/>
                <w:w w:val="89"/>
              </w:rPr>
              <w:t>Expense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540"/>
              <w:spacing w:after="0" w:line="180" w:lineRule="exact"/>
              <w:rPr>
                <w:sz w:val="20"/>
                <w:szCs w:val="20"/>
                <w:color w:val="auto"/>
              </w:rPr>
            </w:pPr>
            <w:r>
              <w:rPr>
                <w:rFonts w:ascii="Arial" w:cs="Arial" w:eastAsia="Arial" w:hAnsi="Arial"/>
                <w:sz w:val="12"/>
                <w:szCs w:val="12"/>
                <w:b w:val="1"/>
                <w:bCs w:val="1"/>
                <w:color w:val="auto"/>
                <w:w w:val="86"/>
              </w:rPr>
              <w:t>Income</w:t>
            </w:r>
            <w:r>
              <w:rPr>
                <w:rFonts w:ascii="Arial" w:cs="Arial" w:eastAsia="Arial" w:hAnsi="Arial"/>
                <w:sz w:val="19"/>
                <w:szCs w:val="19"/>
                <w:b w:val="1"/>
                <w:bCs w:val="1"/>
                <w:color w:val="auto"/>
                <w:w w:val="86"/>
                <w:vertAlign w:val="superscript"/>
              </w:rPr>
              <w:t>(a)</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Share Amount</w:t>
            </w:r>
          </w:p>
        </w:tc>
      </w:tr>
      <w:tr>
        <w:trPr>
          <w:trHeight w:val="133"/>
        </w:trPr>
        <w:tc>
          <w:tcPr>
            <w:tcW w:w="36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 reported amounts</w:t>
            </w:r>
          </w:p>
        </w:tc>
        <w:tc>
          <w:tcPr>
            <w:tcW w:w="96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765</w:t>
            </w:r>
          </w:p>
        </w:tc>
        <w:tc>
          <w:tcPr>
            <w:tcW w:w="3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643</w:t>
            </w:r>
          </w:p>
        </w:tc>
        <w:tc>
          <w:tcPr>
            <w:tcW w:w="3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143</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499</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1.21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6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Enterprise resource planning system implementation-related costs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0"/>
        </w:trPr>
        <w:tc>
          <w:tcPr>
            <w:tcW w:w="3620" w:type="dxa"/>
            <w:vAlign w:val="bottom"/>
            <w:gridSpan w:val="2"/>
          </w:tcPr>
          <w:p>
            <w:pPr>
              <w:ind w:left="60"/>
              <w:spacing w:after="0" w:line="180" w:lineRule="exact"/>
              <w:rPr>
                <w:sz w:val="20"/>
                <w:szCs w:val="20"/>
                <w:color w:val="auto"/>
              </w:rPr>
            </w:pPr>
            <w:r>
              <w:rPr>
                <w:rFonts w:ascii="Arial" w:cs="Arial" w:eastAsia="Arial" w:hAnsi="Arial"/>
                <w:sz w:val="12"/>
                <w:szCs w:val="12"/>
                <w:color w:val="auto"/>
              </w:rPr>
              <w:t>(Gain) loss from divestitures and asset impairments</w:t>
            </w:r>
            <w:r>
              <w:rPr>
                <w:rFonts w:ascii="Arial" w:cs="Arial" w:eastAsia="Arial" w:hAnsi="Arial"/>
                <w:sz w:val="19"/>
                <w:szCs w:val="19"/>
                <w:color w:val="auto"/>
                <w:vertAlign w:val="superscript"/>
              </w:rPr>
              <w:t>(c)</w:t>
            </w:r>
          </w:p>
        </w:tc>
        <w:tc>
          <w:tcPr>
            <w:tcW w:w="96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2"/>
                <w:szCs w:val="12"/>
                <w:color w:val="auto"/>
              </w:rPr>
              <w:t>45</w:t>
            </w:r>
          </w:p>
        </w:tc>
        <w:tc>
          <w:tcPr>
            <w:tcW w:w="94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rPr>
              <w:t>45</w:t>
            </w:r>
          </w:p>
        </w:tc>
        <w:tc>
          <w:tcPr>
            <w:tcW w:w="940" w:type="dxa"/>
            <w:vAlign w:val="bottom"/>
          </w:tcPr>
          <w:p>
            <w:pPr>
              <w:spacing w:after="0"/>
              <w:rPr>
                <w:sz w:val="15"/>
                <w:szCs w:val="15"/>
                <w:color w:val="auto"/>
              </w:rPr>
            </w:pPr>
          </w:p>
        </w:tc>
        <w:tc>
          <w:tcPr>
            <w:tcW w:w="640" w:type="dxa"/>
            <w:vAlign w:val="bottom"/>
            <w:gridSpan w:val="2"/>
          </w:tcPr>
          <w:p>
            <w:pPr>
              <w:jc w:val="right"/>
              <w:ind w:right="290"/>
              <w:spacing w:after="0"/>
              <w:rPr>
                <w:sz w:val="20"/>
                <w:szCs w:val="20"/>
                <w:color w:val="auto"/>
              </w:rPr>
            </w:pPr>
            <w:r>
              <w:rPr>
                <w:rFonts w:ascii="Arial" w:cs="Arial" w:eastAsia="Arial" w:hAnsi="Arial"/>
                <w:sz w:val="12"/>
                <w:szCs w:val="12"/>
                <w:color w:val="auto"/>
              </w:rPr>
              <w:t>10</w:t>
            </w:r>
          </w:p>
        </w:tc>
        <w:tc>
          <w:tcPr>
            <w:tcW w:w="22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3"/>
        </w:trPr>
        <w:tc>
          <w:tcPr>
            <w:tcW w:w="36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 adjusted amounts</w:t>
            </w: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w:t>
            </w:r>
          </w:p>
        </w:tc>
        <w:tc>
          <w:tcPr>
            <w:tcW w:w="3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w:t>
            </w:r>
          </w:p>
        </w:tc>
        <w:tc>
          <w:tcPr>
            <w:tcW w:w="3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0.09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3620" w:type="dxa"/>
            <w:vAlign w:val="bottom"/>
            <w:tcBorders>
              <w:bottom w:val="single" w:sz="8" w:color="CCEEFF"/>
            </w:tcBorders>
            <w:gridSpan w:val="2"/>
          </w:tcPr>
          <w:p>
            <w:pPr>
              <w:spacing w:after="0" w:line="137" w:lineRule="exact"/>
              <w:rPr>
                <w:sz w:val="20"/>
                <w:szCs w:val="20"/>
                <w:color w:val="auto"/>
              </w:rPr>
            </w:pPr>
            <w:r>
              <w:rPr>
                <w:rFonts w:ascii="Arial" w:cs="Arial" w:eastAsia="Arial" w:hAnsi="Arial"/>
                <w:sz w:val="12"/>
                <w:szCs w:val="12"/>
                <w:b w:val="1"/>
                <w:bCs w:val="1"/>
                <w:color w:val="auto"/>
              </w:rPr>
              <w:t>As adjusted amounts</w:t>
            </w:r>
          </w:p>
        </w:tc>
        <w:tc>
          <w:tcPr>
            <w:tcW w:w="960" w:type="dxa"/>
            <w:vAlign w:val="bottom"/>
            <w:tcBorders>
              <w:bottom w:val="single" w:sz="8" w:color="auto"/>
            </w:tcBorders>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814</w:t>
            </w:r>
          </w:p>
        </w:tc>
        <w:tc>
          <w:tcPr>
            <w:tcW w:w="3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825"/>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692</w:t>
            </w:r>
          </w:p>
        </w:tc>
        <w:tc>
          <w:tcPr>
            <w:tcW w:w="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154</w:t>
            </w:r>
          </w:p>
        </w:tc>
        <w:tc>
          <w:tcPr>
            <w:tcW w:w="340" w:type="dxa"/>
            <w:vAlign w:val="bottom"/>
            <w:tcBorders>
              <w:bottom w:val="single" w:sz="8" w:color="CCEEFF"/>
            </w:tcBorders>
          </w:tcPr>
          <w:p>
            <w:pPr>
              <w:jc w:val="right"/>
              <w:ind w:right="170"/>
              <w:spacing w:after="0" w:line="109" w:lineRule="exact"/>
              <w:rPr>
                <w:sz w:val="20"/>
                <w:szCs w:val="20"/>
                <w:color w:val="auto"/>
              </w:rPr>
            </w:pPr>
            <w:r>
              <w:rPr>
                <w:rFonts w:ascii="Arial" w:cs="Arial" w:eastAsia="Arial" w:hAnsi="Arial"/>
                <w:sz w:val="10"/>
                <w:szCs w:val="10"/>
                <w:b w:val="1"/>
                <w:bCs w:val="1"/>
                <w:color w:val="auto"/>
                <w:w w:val="77"/>
              </w:rPr>
              <w:t>(b)</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537</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1.30</w:t>
            </w:r>
          </w:p>
        </w:tc>
        <w:tc>
          <w:tcPr>
            <w:tcW w:w="120" w:type="dxa"/>
            <w:vAlign w:val="bottom"/>
            <w:tcBorders>
              <w:bottom w:val="single" w:sz="8" w:color="CCEEFF"/>
            </w:tcBorders>
          </w:tcPr>
          <w:p>
            <w:pPr>
              <w:spacing w:after="0"/>
              <w:rPr>
                <w:sz w:val="12"/>
                <w:szCs w:val="12"/>
                <w:color w:val="auto"/>
              </w:rPr>
            </w:pPr>
          </w:p>
        </w:tc>
      </w:tr>
      <w:tr>
        <w:trPr>
          <w:trHeight w:val="144"/>
        </w:trPr>
        <w:tc>
          <w:tcPr>
            <w:tcW w:w="36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Depreciation, depletion and amortization</w:t>
            </w:r>
          </w:p>
        </w:tc>
        <w:tc>
          <w:tcPr>
            <w:tcW w:w="9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w:t>
            </w: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62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As adjusted operating EBITDA</w:t>
            </w:r>
          </w:p>
        </w:tc>
        <w:tc>
          <w:tcPr>
            <w:tcW w:w="960" w:type="dxa"/>
            <w:vAlign w:val="bottom"/>
            <w:tcBorders>
              <w:bottom w:val="single" w:sz="8" w:color="auto"/>
            </w:tcBorders>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1,359</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5"/>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2"/>
                <w:szCs w:val="12"/>
                <w:b w:val="1"/>
                <w:bCs w:val="1"/>
                <w:color w:val="auto"/>
                <w:w w:val="98"/>
              </w:rPr>
              <w:t>Three Months Ended December 31, 2021</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jc w:val="center"/>
              <w:ind w:left="247"/>
              <w:spacing w:after="0" w:line="124" w:lineRule="exact"/>
              <w:rPr>
                <w:sz w:val="20"/>
                <w:szCs w:val="20"/>
                <w:color w:val="auto"/>
              </w:rPr>
            </w:pPr>
            <w:r>
              <w:rPr>
                <w:rFonts w:ascii="Arial" w:cs="Arial" w:eastAsia="Arial" w:hAnsi="Arial"/>
                <w:sz w:val="12"/>
                <w:szCs w:val="12"/>
                <w:b w:val="1"/>
                <w:bCs w:val="1"/>
                <w:color w:val="auto"/>
                <w:w w:val="91"/>
              </w:rPr>
              <w:t>Income from</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ind w:right="65"/>
              <w:spacing w:after="0" w:line="124" w:lineRule="exact"/>
              <w:rPr>
                <w:sz w:val="20"/>
                <w:szCs w:val="20"/>
                <w:color w:val="auto"/>
              </w:rPr>
            </w:pPr>
            <w:r>
              <w:rPr>
                <w:rFonts w:ascii="Arial" w:cs="Arial" w:eastAsia="Arial" w:hAnsi="Arial"/>
                <w:sz w:val="12"/>
                <w:szCs w:val="12"/>
                <w:b w:val="1"/>
                <w:bCs w:val="1"/>
                <w:color w:val="auto"/>
              </w:rPr>
              <w:t>Pre-tax</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center"/>
              <w:ind w:left="246"/>
              <w:spacing w:after="0" w:line="124" w:lineRule="exact"/>
              <w:rPr>
                <w:sz w:val="20"/>
                <w:szCs w:val="20"/>
                <w:color w:val="auto"/>
              </w:rPr>
            </w:pPr>
            <w:r>
              <w:rPr>
                <w:rFonts w:ascii="Arial" w:cs="Arial" w:eastAsia="Arial" w:hAnsi="Arial"/>
                <w:sz w:val="12"/>
                <w:szCs w:val="12"/>
                <w:b w:val="1"/>
                <w:bCs w:val="1"/>
                <w:color w:val="auto"/>
                <w:w w:val="96"/>
              </w:rPr>
              <w:t>Tax</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40"/>
              <w:spacing w:after="0" w:line="124"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10"/>
                <w:szCs w:val="10"/>
                <w:color w:val="auto"/>
              </w:rPr>
            </w:pPr>
          </w:p>
        </w:tc>
        <w:tc>
          <w:tcPr>
            <w:tcW w:w="1080" w:type="dxa"/>
            <w:vAlign w:val="bottom"/>
          </w:tcPr>
          <w:p>
            <w:pPr>
              <w:jc w:val="center"/>
              <w:ind w:right="80"/>
              <w:spacing w:after="0" w:line="124" w:lineRule="exact"/>
              <w:rPr>
                <w:sz w:val="20"/>
                <w:szCs w:val="20"/>
                <w:color w:val="auto"/>
              </w:rPr>
            </w:pPr>
            <w:r>
              <w:rPr>
                <w:rFonts w:ascii="Arial" w:cs="Arial" w:eastAsia="Arial" w:hAnsi="Arial"/>
                <w:sz w:val="12"/>
                <w:szCs w:val="12"/>
                <w:b w:val="1"/>
                <w:bCs w:val="1"/>
                <w:color w:val="auto"/>
                <w:w w:val="91"/>
              </w:rPr>
              <w:t>Diluted Per</w:t>
            </w:r>
          </w:p>
        </w:tc>
        <w:tc>
          <w:tcPr>
            <w:tcW w:w="120" w:type="dxa"/>
            <w:vAlign w:val="bottom"/>
          </w:tcPr>
          <w:p>
            <w:pPr>
              <w:spacing w:after="0"/>
              <w:rPr>
                <w:sz w:val="10"/>
                <w:szCs w:val="10"/>
                <w:color w:val="auto"/>
              </w:rPr>
            </w:pPr>
          </w:p>
        </w:tc>
      </w:tr>
      <w:tr>
        <w:trPr>
          <w:trHeight w:val="180"/>
        </w:trPr>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center"/>
              <w:ind w:left="247"/>
              <w:spacing w:after="0"/>
              <w:rPr>
                <w:sz w:val="20"/>
                <w:szCs w:val="20"/>
                <w:color w:val="auto"/>
              </w:rPr>
            </w:pPr>
            <w:r>
              <w:rPr>
                <w:rFonts w:ascii="Arial" w:cs="Arial" w:eastAsia="Arial" w:hAnsi="Arial"/>
                <w:sz w:val="12"/>
                <w:szCs w:val="12"/>
                <w:b w:val="1"/>
                <w:bCs w:val="1"/>
                <w:color w:val="auto"/>
                <w:w w:val="91"/>
              </w:rPr>
              <w:t>Operations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Arial" w:cs="Arial" w:eastAsia="Arial" w:hAnsi="Arial"/>
                <w:sz w:val="12"/>
                <w:szCs w:val="12"/>
                <w:b w:val="1"/>
                <w:bCs w:val="1"/>
                <w:color w:val="auto"/>
              </w:rPr>
              <w:t>Income</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left="246"/>
              <w:spacing w:after="0"/>
              <w:rPr>
                <w:sz w:val="20"/>
                <w:szCs w:val="20"/>
                <w:color w:val="auto"/>
              </w:rPr>
            </w:pPr>
            <w:r>
              <w:rPr>
                <w:rFonts w:ascii="Arial" w:cs="Arial" w:eastAsia="Arial" w:hAnsi="Arial"/>
                <w:sz w:val="12"/>
                <w:szCs w:val="12"/>
                <w:b w:val="1"/>
                <w:bCs w:val="1"/>
                <w:color w:val="auto"/>
                <w:w w:val="89"/>
              </w:rPr>
              <w:t>Expense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540"/>
              <w:spacing w:after="0" w:line="180" w:lineRule="exact"/>
              <w:rPr>
                <w:sz w:val="20"/>
                <w:szCs w:val="20"/>
                <w:color w:val="auto"/>
              </w:rPr>
            </w:pPr>
            <w:r>
              <w:rPr>
                <w:rFonts w:ascii="Arial" w:cs="Arial" w:eastAsia="Arial" w:hAnsi="Arial"/>
                <w:sz w:val="12"/>
                <w:szCs w:val="12"/>
                <w:b w:val="1"/>
                <w:bCs w:val="1"/>
                <w:color w:val="auto"/>
                <w:w w:val="86"/>
              </w:rPr>
              <w:t>Income</w:t>
            </w:r>
            <w:r>
              <w:rPr>
                <w:rFonts w:ascii="Arial" w:cs="Arial" w:eastAsia="Arial" w:hAnsi="Arial"/>
                <w:sz w:val="19"/>
                <w:szCs w:val="19"/>
                <w:b w:val="1"/>
                <w:bCs w:val="1"/>
                <w:color w:val="auto"/>
                <w:w w:val="86"/>
                <w:vertAlign w:val="superscript"/>
              </w:rPr>
              <w:t>(a)</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Share Amount</w:t>
            </w:r>
          </w:p>
        </w:tc>
      </w:tr>
      <w:tr>
        <w:trPr>
          <w:trHeight w:val="133"/>
        </w:trPr>
        <w:tc>
          <w:tcPr>
            <w:tcW w:w="36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 reported amounts</w:t>
            </w:r>
          </w:p>
        </w:tc>
        <w:tc>
          <w:tcPr>
            <w:tcW w:w="96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718</w:t>
            </w:r>
          </w:p>
        </w:tc>
        <w:tc>
          <w:tcPr>
            <w:tcW w:w="3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642</w:t>
            </w:r>
          </w:p>
        </w:tc>
        <w:tc>
          <w:tcPr>
            <w:tcW w:w="3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136</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506</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1.20</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gridSpan w:val="2"/>
          </w:tcPr>
          <w:p>
            <w:pPr>
              <w:spacing w:after="0"/>
              <w:rPr>
                <w:sz w:val="20"/>
                <w:szCs w:val="20"/>
                <w:color w:val="auto"/>
              </w:rPr>
            </w:pPr>
            <w:r>
              <w:rPr>
                <w:rFonts w:ascii="Arial" w:cs="Arial" w:eastAsia="Arial" w:hAnsi="Arial"/>
                <w:sz w:val="12"/>
                <w:szCs w:val="12"/>
                <w:b w:val="1"/>
                <w:bCs w:val="1"/>
                <w:color w:val="auto"/>
              </w:rPr>
              <w:t>Adjustments: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6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Advanced Disposal integration-related costs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w:t>
            </w: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620" w:type="dxa"/>
            <w:vAlign w:val="bottom"/>
            <w:gridSpan w:val="2"/>
          </w:tcPr>
          <w:p>
            <w:pPr>
              <w:ind w:left="60"/>
              <w:spacing w:after="0"/>
              <w:rPr>
                <w:sz w:val="20"/>
                <w:szCs w:val="20"/>
                <w:color w:val="auto"/>
              </w:rPr>
            </w:pPr>
            <w:r>
              <w:rPr>
                <w:rFonts w:ascii="Arial" w:cs="Arial" w:eastAsia="Arial" w:hAnsi="Arial"/>
                <w:sz w:val="12"/>
                <w:szCs w:val="12"/>
                <w:color w:val="auto"/>
              </w:rPr>
              <w:t>Enterprise resource planning system implementation-related costs</w:t>
            </w:r>
          </w:p>
        </w:tc>
        <w:tc>
          <w:tcPr>
            <w:tcW w:w="960" w:type="dxa"/>
            <w:vAlign w:val="bottom"/>
          </w:tcPr>
          <w:p>
            <w:pPr>
              <w:spacing w:after="0"/>
              <w:rPr>
                <w:sz w:val="12"/>
                <w:szCs w:val="12"/>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2"/>
                <w:szCs w:val="12"/>
                <w:color w:val="auto"/>
              </w:rPr>
              <w:t>6</w:t>
            </w:r>
          </w:p>
        </w:tc>
        <w:tc>
          <w:tcPr>
            <w:tcW w:w="9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rPr>
              <w:t>6</w:t>
            </w:r>
          </w:p>
        </w:tc>
        <w:tc>
          <w:tcPr>
            <w:tcW w:w="940" w:type="dxa"/>
            <w:vAlign w:val="bottom"/>
          </w:tcPr>
          <w:p>
            <w:pPr>
              <w:spacing w:after="0"/>
              <w:rPr>
                <w:sz w:val="12"/>
                <w:szCs w:val="12"/>
                <w:color w:val="auto"/>
              </w:rPr>
            </w:pPr>
          </w:p>
        </w:tc>
        <w:tc>
          <w:tcPr>
            <w:tcW w:w="640" w:type="dxa"/>
            <w:vAlign w:val="bottom"/>
            <w:gridSpan w:val="2"/>
          </w:tcPr>
          <w:p>
            <w:pPr>
              <w:jc w:val="right"/>
              <w:ind w:right="290"/>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3620" w:type="dxa"/>
            <w:vAlign w:val="bottom"/>
            <w:gridSpan w:val="2"/>
            <w:shd w:val="clear" w:color="auto" w:fill="CCEEFF"/>
          </w:tcPr>
          <w:p>
            <w:pPr>
              <w:ind w:left="60"/>
              <w:spacing w:after="0" w:line="180" w:lineRule="exact"/>
              <w:rPr>
                <w:sz w:val="20"/>
                <w:szCs w:val="20"/>
                <w:color w:val="auto"/>
              </w:rPr>
            </w:pPr>
            <w:r>
              <w:rPr>
                <w:rFonts w:ascii="Arial" w:cs="Arial" w:eastAsia="Arial" w:hAnsi="Arial"/>
                <w:sz w:val="12"/>
                <w:szCs w:val="12"/>
                <w:color w:val="auto"/>
              </w:rPr>
              <w:t>Other, net</w:t>
            </w:r>
            <w:r>
              <w:rPr>
                <w:rFonts w:ascii="Arial" w:cs="Arial" w:eastAsia="Arial" w:hAnsi="Arial"/>
                <w:sz w:val="19"/>
                <w:szCs w:val="19"/>
                <w:color w:val="auto"/>
                <w:vertAlign w:val="superscript"/>
              </w:rPr>
              <w:t>(d)</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33"/>
        </w:trPr>
        <w:tc>
          <w:tcPr>
            <w:tcW w:w="28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w:t>
            </w:r>
          </w:p>
        </w:tc>
        <w:tc>
          <w:tcPr>
            <w:tcW w:w="36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w:t>
            </w:r>
          </w:p>
        </w:tc>
        <w:tc>
          <w:tcPr>
            <w:tcW w:w="32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w:t>
            </w:r>
          </w:p>
        </w:tc>
        <w:tc>
          <w:tcPr>
            <w:tcW w:w="3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w:t>
            </w:r>
          </w:p>
        </w:tc>
        <w:tc>
          <w:tcPr>
            <w:tcW w:w="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0.06</w:t>
            </w:r>
          </w:p>
        </w:tc>
        <w:tc>
          <w:tcPr>
            <w:tcW w:w="120" w:type="dxa"/>
            <w:vAlign w:val="bottom"/>
            <w:tcBorders>
              <w:bottom w:val="single" w:sz="8" w:color="CCEEFF"/>
            </w:tcBorders>
          </w:tcPr>
          <w:p>
            <w:pPr>
              <w:spacing w:after="0"/>
              <w:rPr>
                <w:sz w:val="11"/>
                <w:szCs w:val="11"/>
                <w:color w:val="auto"/>
              </w:rPr>
            </w:pPr>
          </w:p>
        </w:tc>
      </w:tr>
      <w:tr>
        <w:trPr>
          <w:trHeight w:val="162"/>
        </w:trPr>
        <w:tc>
          <w:tcPr>
            <w:tcW w:w="3620" w:type="dxa"/>
            <w:vAlign w:val="bottom"/>
            <w:tcBorders>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amounts</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739</w:t>
            </w: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652</w:t>
            </w:r>
          </w:p>
        </w:tc>
        <w:tc>
          <w:tcPr>
            <w:tcW w:w="3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124</w:t>
            </w:r>
          </w:p>
        </w:tc>
        <w:tc>
          <w:tcPr>
            <w:tcW w:w="340" w:type="dxa"/>
            <w:vAlign w:val="bottom"/>
            <w:tcBorders>
              <w:bottom w:val="single" w:sz="8" w:color="CCEEFF"/>
            </w:tcBorders>
            <w:shd w:val="clear" w:color="auto" w:fill="CCEEFF"/>
          </w:tcPr>
          <w:p>
            <w:pPr>
              <w:jc w:val="right"/>
              <w:ind w:right="170"/>
              <w:spacing w:after="0" w:line="109" w:lineRule="exact"/>
              <w:rPr>
                <w:sz w:val="20"/>
                <w:szCs w:val="20"/>
                <w:color w:val="auto"/>
              </w:rPr>
            </w:pPr>
            <w:r>
              <w:rPr>
                <w:rFonts w:ascii="Arial" w:cs="Arial" w:eastAsia="Arial" w:hAnsi="Arial"/>
                <w:sz w:val="10"/>
                <w:szCs w:val="10"/>
                <w:b w:val="1"/>
                <w:bCs w:val="1"/>
                <w:color w:val="auto"/>
                <w:w w:val="77"/>
              </w:rPr>
              <w:t>(b)</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528</w:t>
            </w:r>
          </w:p>
        </w:tc>
        <w:tc>
          <w:tcPr>
            <w:tcW w:w="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1.26</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31"/>
        </w:trPr>
        <w:tc>
          <w:tcPr>
            <w:tcW w:w="3620" w:type="dxa"/>
            <w:vAlign w:val="bottom"/>
            <w:tcBorders>
              <w:bottom w:val="single" w:sz="8" w:color="CCEEFF"/>
            </w:tcBorders>
            <w:gridSpan w:val="2"/>
          </w:tcPr>
          <w:p>
            <w:pPr>
              <w:ind w:left="60"/>
              <w:spacing w:after="0" w:line="131" w:lineRule="exact"/>
              <w:rPr>
                <w:sz w:val="20"/>
                <w:szCs w:val="20"/>
                <w:color w:val="auto"/>
              </w:rPr>
            </w:pPr>
            <w:r>
              <w:rPr>
                <w:rFonts w:ascii="Arial" w:cs="Arial" w:eastAsia="Arial" w:hAnsi="Arial"/>
                <w:sz w:val="12"/>
                <w:szCs w:val="12"/>
                <w:color w:val="auto"/>
              </w:rPr>
              <w:t>Depreciation, depletion and amortization</w:t>
            </w: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510</w:t>
            </w:r>
          </w:p>
        </w:tc>
        <w:tc>
          <w:tcPr>
            <w:tcW w:w="3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r>
      <w:tr>
        <w:trPr>
          <w:trHeight w:val="149"/>
        </w:trPr>
        <w:tc>
          <w:tcPr>
            <w:tcW w:w="3620" w:type="dxa"/>
            <w:vAlign w:val="bottom"/>
            <w:tcBorders>
              <w:bottom w:val="single" w:sz="8" w:color="CCEEFF"/>
            </w:tcBorders>
            <w:gridSpan w:val="2"/>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operating EBITDA</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1,249</w:t>
            </w:r>
          </w:p>
        </w:tc>
        <w:tc>
          <w:tcPr>
            <w:tcW w:w="3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216"/>
        </w:trPr>
        <w:tc>
          <w:tcPr>
            <w:tcW w:w="2840" w:type="dxa"/>
            <w:vAlign w:val="bottom"/>
            <w:tcBorders>
              <w:bottom w:val="single" w:sz="8" w:color="808080"/>
            </w:tcBorders>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7"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purposes of this press release table, all references to "Net income" refer to the financial statement line item "Net income attributable to Waste Management, Inc."</w:t>
      </w:r>
    </w:p>
    <w:p>
      <w:pPr>
        <w:spacing w:after="0" w:line="14" w:lineRule="exact"/>
        <w:rPr>
          <w:rFonts w:ascii="Arial" w:cs="Arial" w:eastAsia="Arial" w:hAnsi="Arial"/>
          <w:sz w:val="12"/>
          <w:szCs w:val="12"/>
          <w:color w:val="auto"/>
        </w:rPr>
      </w:pPr>
    </w:p>
    <w:p>
      <w:pPr>
        <w:ind w:left="208" w:hanging="208"/>
        <w:spacing w:after="0" w:line="250" w:lineRule="auto"/>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2022 and 2021 adjusted effective tax rates were 22.3% and 19.1%, respectively.</w:t>
      </w:r>
    </w:p>
    <w:p>
      <w:pPr>
        <w:ind w:left="208" w:hanging="208"/>
        <w:spacing w:after="0"/>
        <w:tabs>
          <w:tab w:leader="none" w:pos="208"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asset impairment charges primarily related to management’s decision to close two landfills in our East Tier segment offset by a gain from the divestiture of a solid waste business in our West Tier segment.</w:t>
      </w:r>
    </w:p>
    <w:p>
      <w:pPr>
        <w:spacing w:after="0" w:line="17" w:lineRule="exact"/>
        <w:rPr>
          <w:rFonts w:ascii="Arial" w:cs="Arial" w:eastAsia="Arial" w:hAnsi="Arial"/>
          <w:sz w:val="11"/>
          <w:szCs w:val="11"/>
          <w:color w:val="auto"/>
        </w:rPr>
      </w:pPr>
    </w:p>
    <w:p>
      <w:pPr>
        <w:ind w:left="208" w:right="20" w:hanging="208"/>
        <w:spacing w:after="0" w:line="260" w:lineRule="auto"/>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(i) a charge to establish an uncertain tax position related to a captive insurance matter and (ii) a charge recorded to increase our reserve for certain legacy loss contingencies, both of which were partially offset by a gain on the sale of an equity-method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57"/>
        </w:trPr>
        <w:tc>
          <w:tcPr>
            <w:tcW w:w="3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gridSpan w:val="6"/>
          </w:tcPr>
          <w:p>
            <w:pPr>
              <w:jc w:val="center"/>
              <w:ind w:left="100"/>
              <w:spacing w:after="0"/>
              <w:rPr>
                <w:sz w:val="20"/>
                <w:szCs w:val="20"/>
                <w:color w:val="auto"/>
              </w:rPr>
            </w:pPr>
            <w:r>
              <w:rPr>
                <w:rFonts w:ascii="Arial" w:cs="Arial" w:eastAsia="Arial" w:hAnsi="Arial"/>
                <w:sz w:val="12"/>
                <w:szCs w:val="12"/>
                <w:b w:val="1"/>
                <w:bCs w:val="1"/>
                <w:color w:val="auto"/>
              </w:rPr>
              <w:t>WASTE MANAGEMENT, INC.</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3620" w:type="dxa"/>
            <w:vAlign w:val="bottom"/>
          </w:tcPr>
          <w:p>
            <w:pPr>
              <w:spacing w:after="0"/>
              <w:rPr>
                <w:sz w:val="23"/>
                <w:szCs w:val="23"/>
                <w:color w:val="auto"/>
              </w:rPr>
            </w:pPr>
          </w:p>
        </w:tc>
        <w:tc>
          <w:tcPr>
            <w:tcW w:w="4120" w:type="dxa"/>
            <w:vAlign w:val="bottom"/>
            <w:gridSpan w:val="9"/>
          </w:tcPr>
          <w:p>
            <w:pPr>
              <w:jc w:val="center"/>
              <w:ind w:right="6"/>
              <w:spacing w:after="0"/>
              <w:rPr>
                <w:sz w:val="20"/>
                <w:szCs w:val="20"/>
                <w:color w:val="auto"/>
              </w:rPr>
            </w:pPr>
            <w:r>
              <w:rPr>
                <w:rFonts w:ascii="Arial" w:cs="Arial" w:eastAsia="Arial" w:hAnsi="Arial"/>
                <w:sz w:val="12"/>
                <w:szCs w:val="12"/>
                <w:b w:val="1"/>
                <w:bCs w:val="1"/>
                <w:color w:val="auto"/>
              </w:rPr>
              <w:t>RECONCILIATION OF CERTAIN NON-GAAP MEASURES</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3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60" w:type="dxa"/>
            <w:vAlign w:val="bottom"/>
            <w:gridSpan w:val="8"/>
          </w:tcPr>
          <w:p>
            <w:pPr>
              <w:jc w:val="center"/>
              <w:ind w:right="986"/>
              <w:spacing w:after="0"/>
              <w:rPr>
                <w:sz w:val="20"/>
                <w:szCs w:val="20"/>
                <w:color w:val="auto"/>
              </w:rPr>
            </w:pPr>
            <w:r>
              <w:rPr>
                <w:rFonts w:ascii="Arial" w:cs="Arial" w:eastAsia="Arial" w:hAnsi="Arial"/>
                <w:sz w:val="12"/>
                <w:szCs w:val="12"/>
                <w:b w:val="1"/>
                <w:bCs w:val="1"/>
                <w:color w:val="auto"/>
                <w:w w:val="91"/>
              </w:rPr>
              <w:t>(In Millions, Except Per Share Amounts)</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3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2"/>
                <w:szCs w:val="12"/>
                <w:b w:val="1"/>
                <w:bCs w:val="1"/>
                <w:color w:val="auto"/>
                <w:w w:val="91"/>
              </w:rPr>
              <w:t>Year Ended December 31, 2022</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620" w:type="dxa"/>
            <w:vAlign w:val="bottom"/>
          </w:tcPr>
          <w:p>
            <w:pPr>
              <w:spacing w:after="0"/>
              <w:rPr>
                <w:sz w:val="10"/>
                <w:szCs w:val="10"/>
                <w:color w:val="auto"/>
              </w:rPr>
            </w:pPr>
          </w:p>
        </w:tc>
        <w:tc>
          <w:tcPr>
            <w:tcW w:w="960" w:type="dxa"/>
            <w:vAlign w:val="bottom"/>
          </w:tcPr>
          <w:p>
            <w:pPr>
              <w:jc w:val="center"/>
              <w:ind w:left="247"/>
              <w:spacing w:after="0" w:line="124" w:lineRule="exact"/>
              <w:rPr>
                <w:sz w:val="20"/>
                <w:szCs w:val="20"/>
                <w:color w:val="auto"/>
              </w:rPr>
            </w:pPr>
            <w:r>
              <w:rPr>
                <w:rFonts w:ascii="Arial" w:cs="Arial" w:eastAsia="Arial" w:hAnsi="Arial"/>
                <w:sz w:val="12"/>
                <w:szCs w:val="12"/>
                <w:b w:val="1"/>
                <w:bCs w:val="1"/>
                <w:color w:val="auto"/>
                <w:w w:val="91"/>
              </w:rPr>
              <w:t>Income from</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ind w:right="520"/>
              <w:spacing w:after="0" w:line="124" w:lineRule="exact"/>
              <w:rPr>
                <w:sz w:val="20"/>
                <w:szCs w:val="20"/>
                <w:color w:val="auto"/>
              </w:rPr>
            </w:pPr>
            <w:r>
              <w:rPr>
                <w:rFonts w:ascii="Arial" w:cs="Arial" w:eastAsia="Arial" w:hAnsi="Arial"/>
                <w:sz w:val="12"/>
                <w:szCs w:val="12"/>
                <w:b w:val="1"/>
                <w:bCs w:val="1"/>
                <w:color w:val="auto"/>
              </w:rPr>
              <w:t>Pre-tax</w:t>
            </w:r>
          </w:p>
        </w:tc>
        <w:tc>
          <w:tcPr>
            <w:tcW w:w="240" w:type="dxa"/>
            <w:vAlign w:val="bottom"/>
          </w:tcPr>
          <w:p>
            <w:pPr>
              <w:spacing w:after="0"/>
              <w:rPr>
                <w:sz w:val="10"/>
                <w:szCs w:val="10"/>
                <w:color w:val="auto"/>
              </w:rPr>
            </w:pPr>
          </w:p>
        </w:tc>
        <w:tc>
          <w:tcPr>
            <w:tcW w:w="940" w:type="dxa"/>
            <w:vAlign w:val="bottom"/>
          </w:tcPr>
          <w:p>
            <w:pPr>
              <w:jc w:val="center"/>
              <w:ind w:left="246"/>
              <w:spacing w:after="0" w:line="124" w:lineRule="exact"/>
              <w:rPr>
                <w:sz w:val="20"/>
                <w:szCs w:val="20"/>
                <w:color w:val="auto"/>
              </w:rPr>
            </w:pPr>
            <w:r>
              <w:rPr>
                <w:rFonts w:ascii="Arial" w:cs="Arial" w:eastAsia="Arial" w:hAnsi="Arial"/>
                <w:sz w:val="12"/>
                <w:szCs w:val="12"/>
                <w:b w:val="1"/>
                <w:bCs w:val="1"/>
                <w:color w:val="auto"/>
                <w:w w:val="96"/>
              </w:rPr>
              <w:t>Tax</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40"/>
              <w:spacing w:after="0" w:line="124"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10"/>
                <w:szCs w:val="10"/>
                <w:color w:val="auto"/>
              </w:rPr>
            </w:pPr>
          </w:p>
        </w:tc>
        <w:tc>
          <w:tcPr>
            <w:tcW w:w="1080" w:type="dxa"/>
            <w:vAlign w:val="bottom"/>
          </w:tcPr>
          <w:p>
            <w:pPr>
              <w:jc w:val="center"/>
              <w:ind w:right="80"/>
              <w:spacing w:after="0" w:line="124" w:lineRule="exact"/>
              <w:rPr>
                <w:sz w:val="20"/>
                <w:szCs w:val="20"/>
                <w:color w:val="auto"/>
              </w:rPr>
            </w:pPr>
            <w:r>
              <w:rPr>
                <w:rFonts w:ascii="Arial" w:cs="Arial" w:eastAsia="Arial" w:hAnsi="Arial"/>
                <w:sz w:val="12"/>
                <w:szCs w:val="12"/>
                <w:b w:val="1"/>
                <w:bCs w:val="1"/>
                <w:color w:val="auto"/>
                <w:w w:val="91"/>
              </w:rPr>
              <w:t>Diluted Per</w:t>
            </w:r>
          </w:p>
        </w:tc>
        <w:tc>
          <w:tcPr>
            <w:tcW w:w="120" w:type="dxa"/>
            <w:vAlign w:val="bottom"/>
          </w:tcPr>
          <w:p>
            <w:pPr>
              <w:spacing w:after="0"/>
              <w:rPr>
                <w:sz w:val="10"/>
                <w:szCs w:val="10"/>
                <w:color w:val="auto"/>
              </w:rPr>
            </w:pPr>
          </w:p>
        </w:tc>
      </w:tr>
      <w:tr>
        <w:trPr>
          <w:trHeight w:val="180"/>
        </w:trPr>
        <w:tc>
          <w:tcPr>
            <w:tcW w:w="3620" w:type="dxa"/>
            <w:vAlign w:val="bottom"/>
          </w:tcPr>
          <w:p>
            <w:pPr>
              <w:spacing w:after="0"/>
              <w:rPr>
                <w:sz w:val="15"/>
                <w:szCs w:val="15"/>
                <w:color w:val="auto"/>
              </w:rPr>
            </w:pPr>
          </w:p>
        </w:tc>
        <w:tc>
          <w:tcPr>
            <w:tcW w:w="960" w:type="dxa"/>
            <w:vAlign w:val="bottom"/>
          </w:tcPr>
          <w:p>
            <w:pPr>
              <w:jc w:val="center"/>
              <w:ind w:left="247"/>
              <w:spacing w:after="0"/>
              <w:rPr>
                <w:sz w:val="20"/>
                <w:szCs w:val="20"/>
                <w:color w:val="auto"/>
              </w:rPr>
            </w:pPr>
            <w:r>
              <w:rPr>
                <w:rFonts w:ascii="Arial" w:cs="Arial" w:eastAsia="Arial" w:hAnsi="Arial"/>
                <w:sz w:val="12"/>
                <w:szCs w:val="12"/>
                <w:b w:val="1"/>
                <w:bCs w:val="1"/>
                <w:color w:val="auto"/>
                <w:w w:val="91"/>
              </w:rPr>
              <w:t>Operations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Income</w:t>
            </w:r>
          </w:p>
        </w:tc>
        <w:tc>
          <w:tcPr>
            <w:tcW w:w="240" w:type="dxa"/>
            <w:vAlign w:val="bottom"/>
          </w:tcPr>
          <w:p>
            <w:pPr>
              <w:spacing w:after="0"/>
              <w:rPr>
                <w:sz w:val="15"/>
                <w:szCs w:val="15"/>
                <w:color w:val="auto"/>
              </w:rPr>
            </w:pPr>
          </w:p>
        </w:tc>
        <w:tc>
          <w:tcPr>
            <w:tcW w:w="940" w:type="dxa"/>
            <w:vAlign w:val="bottom"/>
          </w:tcPr>
          <w:p>
            <w:pPr>
              <w:jc w:val="center"/>
              <w:ind w:left="246"/>
              <w:spacing w:after="0"/>
              <w:rPr>
                <w:sz w:val="20"/>
                <w:szCs w:val="20"/>
                <w:color w:val="auto"/>
              </w:rPr>
            </w:pPr>
            <w:r>
              <w:rPr>
                <w:rFonts w:ascii="Arial" w:cs="Arial" w:eastAsia="Arial" w:hAnsi="Arial"/>
                <w:sz w:val="12"/>
                <w:szCs w:val="12"/>
                <w:b w:val="1"/>
                <w:bCs w:val="1"/>
                <w:color w:val="auto"/>
                <w:w w:val="89"/>
              </w:rPr>
              <w:t>Expense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540"/>
              <w:spacing w:after="0" w:line="180" w:lineRule="exact"/>
              <w:rPr>
                <w:sz w:val="20"/>
                <w:szCs w:val="20"/>
                <w:color w:val="auto"/>
              </w:rPr>
            </w:pPr>
            <w:r>
              <w:rPr>
                <w:rFonts w:ascii="Arial" w:cs="Arial" w:eastAsia="Arial" w:hAnsi="Arial"/>
                <w:sz w:val="12"/>
                <w:szCs w:val="12"/>
                <w:b w:val="1"/>
                <w:bCs w:val="1"/>
                <w:color w:val="auto"/>
                <w:w w:val="86"/>
              </w:rPr>
              <w:t>Income</w:t>
            </w:r>
            <w:r>
              <w:rPr>
                <w:rFonts w:ascii="Arial" w:cs="Arial" w:eastAsia="Arial" w:hAnsi="Arial"/>
                <w:sz w:val="19"/>
                <w:szCs w:val="19"/>
                <w:b w:val="1"/>
                <w:bCs w:val="1"/>
                <w:color w:val="auto"/>
                <w:w w:val="86"/>
                <w:vertAlign w:val="superscript"/>
              </w:rPr>
              <w:t>(a)</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Share Amount</w:t>
            </w:r>
          </w:p>
        </w:tc>
      </w:tr>
      <w:tr>
        <w:trPr>
          <w:trHeight w:val="133"/>
        </w:trPr>
        <w:tc>
          <w:tcPr>
            <w:tcW w:w="3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 reported amounts</w:t>
            </w:r>
          </w:p>
        </w:tc>
        <w:tc>
          <w:tcPr>
            <w:tcW w:w="96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86"/>
              </w:rPr>
              <w:t>3,365</w:t>
            </w: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2,918</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678</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2,238</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5.39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Enterprise resource planning system implementation-related costs</w:t>
            </w:r>
          </w:p>
        </w:tc>
        <w:tc>
          <w:tcPr>
            <w:tcW w:w="9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29</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620" w:type="dxa"/>
            <w:vAlign w:val="bottom"/>
          </w:tcPr>
          <w:p>
            <w:pPr>
              <w:ind w:left="60"/>
              <w:spacing w:after="0"/>
              <w:rPr>
                <w:sz w:val="20"/>
                <w:szCs w:val="20"/>
                <w:color w:val="auto"/>
              </w:rPr>
            </w:pPr>
            <w:r>
              <w:rPr>
                <w:rFonts w:ascii="Arial" w:cs="Arial" w:eastAsia="Arial" w:hAnsi="Arial"/>
                <w:sz w:val="12"/>
                <w:szCs w:val="12"/>
                <w:color w:val="auto"/>
              </w:rPr>
              <w:t>Advanced Disposal integration-related costs</w:t>
            </w:r>
          </w:p>
        </w:tc>
        <w:tc>
          <w:tcPr>
            <w:tcW w:w="96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29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6</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3620" w:type="dxa"/>
            <w:vAlign w:val="bottom"/>
            <w:shd w:val="clear" w:color="auto" w:fill="CCEEFF"/>
          </w:tcPr>
          <w:p>
            <w:pPr>
              <w:ind w:left="60"/>
              <w:spacing w:after="0" w:line="180" w:lineRule="exact"/>
              <w:rPr>
                <w:sz w:val="20"/>
                <w:szCs w:val="20"/>
                <w:color w:val="auto"/>
              </w:rPr>
            </w:pPr>
            <w:r>
              <w:rPr>
                <w:rFonts w:ascii="Arial" w:cs="Arial" w:eastAsia="Arial" w:hAnsi="Arial"/>
                <w:sz w:val="12"/>
                <w:szCs w:val="12"/>
                <w:color w:val="auto"/>
              </w:rPr>
              <w:t>(Gain) loss from divestitures, asset impairments and other, net</w:t>
            </w:r>
            <w:r>
              <w:rPr>
                <w:rFonts w:ascii="Arial" w:cs="Arial" w:eastAsia="Arial" w:hAnsi="Arial"/>
                <w:sz w:val="19"/>
                <w:szCs w:val="19"/>
                <w:color w:val="auto"/>
                <w:vertAlign w:val="superscript"/>
              </w:rPr>
              <w:t>(c)</w:t>
            </w:r>
          </w:p>
        </w:tc>
        <w:tc>
          <w:tcPr>
            <w:tcW w:w="9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48</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33"/>
        </w:trPr>
        <w:tc>
          <w:tcPr>
            <w:tcW w:w="36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109</w:t>
            </w: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109</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w:t>
            </w:r>
          </w:p>
        </w:tc>
        <w:tc>
          <w:tcPr>
            <w:tcW w:w="3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83</w:t>
            </w:r>
          </w:p>
        </w:tc>
        <w:tc>
          <w:tcPr>
            <w:tcW w:w="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0.20</w:t>
            </w:r>
          </w:p>
        </w:tc>
        <w:tc>
          <w:tcPr>
            <w:tcW w:w="120" w:type="dxa"/>
            <w:vAlign w:val="bottom"/>
            <w:tcBorders>
              <w:bottom w:val="single" w:sz="8" w:color="CCEEFF"/>
            </w:tcBorders>
          </w:tcPr>
          <w:p>
            <w:pPr>
              <w:spacing w:after="0"/>
              <w:rPr>
                <w:sz w:val="11"/>
                <w:szCs w:val="11"/>
                <w:color w:val="auto"/>
              </w:rPr>
            </w:pPr>
          </w:p>
        </w:tc>
      </w:tr>
      <w:tr>
        <w:trPr>
          <w:trHeight w:val="162"/>
        </w:trPr>
        <w:tc>
          <w:tcPr>
            <w:tcW w:w="362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amounts</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3,474</w:t>
            </w:r>
          </w:p>
        </w:tc>
        <w:tc>
          <w:tcPr>
            <w:tcW w:w="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3,027</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704</w:t>
            </w:r>
          </w:p>
        </w:tc>
        <w:tc>
          <w:tcPr>
            <w:tcW w:w="340" w:type="dxa"/>
            <w:vAlign w:val="bottom"/>
            <w:tcBorders>
              <w:bottom w:val="single" w:sz="8" w:color="CCEEFF"/>
            </w:tcBorders>
            <w:shd w:val="clear" w:color="auto" w:fill="CCEEFF"/>
          </w:tcPr>
          <w:p>
            <w:pPr>
              <w:jc w:val="right"/>
              <w:ind w:right="170"/>
              <w:spacing w:after="0" w:line="109" w:lineRule="exact"/>
              <w:rPr>
                <w:sz w:val="20"/>
                <w:szCs w:val="20"/>
                <w:color w:val="auto"/>
              </w:rPr>
            </w:pPr>
            <w:r>
              <w:rPr>
                <w:rFonts w:ascii="Arial" w:cs="Arial" w:eastAsia="Arial" w:hAnsi="Arial"/>
                <w:sz w:val="10"/>
                <w:szCs w:val="10"/>
                <w:b w:val="1"/>
                <w:bCs w:val="1"/>
                <w:color w:val="auto"/>
                <w:w w:val="77"/>
              </w:rPr>
              <w:t>(b)</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2,321</w:t>
            </w:r>
          </w:p>
        </w:tc>
        <w:tc>
          <w:tcPr>
            <w:tcW w:w="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31"/>
        </w:trPr>
        <w:tc>
          <w:tcPr>
            <w:tcW w:w="3620" w:type="dxa"/>
            <w:vAlign w:val="bottom"/>
            <w:tcBorders>
              <w:bottom w:val="single" w:sz="8" w:color="CCEEFF"/>
            </w:tcBorders>
          </w:tcPr>
          <w:p>
            <w:pPr>
              <w:ind w:left="60"/>
              <w:spacing w:after="0" w:line="131" w:lineRule="exact"/>
              <w:rPr>
                <w:sz w:val="20"/>
                <w:szCs w:val="20"/>
                <w:color w:val="auto"/>
              </w:rPr>
            </w:pPr>
            <w:r>
              <w:rPr>
                <w:rFonts w:ascii="Arial" w:cs="Arial" w:eastAsia="Arial" w:hAnsi="Arial"/>
                <w:sz w:val="12"/>
                <w:szCs w:val="12"/>
                <w:color w:val="auto"/>
              </w:rPr>
              <w:t>Depreciation, depletion and amortization</w:t>
            </w: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w w:val="86"/>
              </w:rPr>
              <w:t>2,038</w:t>
            </w: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r>
      <w:tr>
        <w:trPr>
          <w:trHeight w:val="162"/>
        </w:trPr>
        <w:tc>
          <w:tcPr>
            <w:tcW w:w="362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operating EBITDA</w:t>
            </w:r>
          </w:p>
        </w:tc>
        <w:tc>
          <w:tcPr>
            <w:tcW w:w="960" w:type="dxa"/>
            <w:vAlign w:val="bottom"/>
            <w:tcBorders>
              <w:bottom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5,512</w:t>
            </w:r>
          </w:p>
        </w:tc>
        <w:tc>
          <w:tcPr>
            <w:tcW w:w="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302"/>
        </w:trPr>
        <w:tc>
          <w:tcPr>
            <w:tcW w:w="3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2"/>
                <w:szCs w:val="12"/>
                <w:b w:val="1"/>
                <w:bCs w:val="1"/>
                <w:color w:val="auto"/>
                <w:w w:val="91"/>
              </w:rPr>
              <w:t>Year Ended December 31, 2021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620" w:type="dxa"/>
            <w:vAlign w:val="bottom"/>
          </w:tcPr>
          <w:p>
            <w:pPr>
              <w:spacing w:after="0"/>
              <w:rPr>
                <w:sz w:val="10"/>
                <w:szCs w:val="10"/>
                <w:color w:val="auto"/>
              </w:rPr>
            </w:pPr>
          </w:p>
        </w:tc>
        <w:tc>
          <w:tcPr>
            <w:tcW w:w="960" w:type="dxa"/>
            <w:vAlign w:val="bottom"/>
          </w:tcPr>
          <w:p>
            <w:pPr>
              <w:jc w:val="center"/>
              <w:ind w:left="247"/>
              <w:spacing w:after="0" w:line="124" w:lineRule="exact"/>
              <w:rPr>
                <w:sz w:val="20"/>
                <w:szCs w:val="20"/>
                <w:color w:val="auto"/>
              </w:rPr>
            </w:pPr>
            <w:r>
              <w:rPr>
                <w:rFonts w:ascii="Arial" w:cs="Arial" w:eastAsia="Arial" w:hAnsi="Arial"/>
                <w:sz w:val="12"/>
                <w:szCs w:val="12"/>
                <w:b w:val="1"/>
                <w:bCs w:val="1"/>
                <w:color w:val="auto"/>
                <w:w w:val="91"/>
              </w:rPr>
              <w:t>Income from</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ind w:right="520"/>
              <w:spacing w:after="0" w:line="124" w:lineRule="exact"/>
              <w:rPr>
                <w:sz w:val="20"/>
                <w:szCs w:val="20"/>
                <w:color w:val="auto"/>
              </w:rPr>
            </w:pPr>
            <w:r>
              <w:rPr>
                <w:rFonts w:ascii="Arial" w:cs="Arial" w:eastAsia="Arial" w:hAnsi="Arial"/>
                <w:sz w:val="12"/>
                <w:szCs w:val="12"/>
                <w:b w:val="1"/>
                <w:bCs w:val="1"/>
                <w:color w:val="auto"/>
              </w:rPr>
              <w:t>Pre-tax</w:t>
            </w:r>
          </w:p>
        </w:tc>
        <w:tc>
          <w:tcPr>
            <w:tcW w:w="240" w:type="dxa"/>
            <w:vAlign w:val="bottom"/>
          </w:tcPr>
          <w:p>
            <w:pPr>
              <w:spacing w:after="0"/>
              <w:rPr>
                <w:sz w:val="10"/>
                <w:szCs w:val="10"/>
                <w:color w:val="auto"/>
              </w:rPr>
            </w:pPr>
          </w:p>
        </w:tc>
        <w:tc>
          <w:tcPr>
            <w:tcW w:w="940" w:type="dxa"/>
            <w:vAlign w:val="bottom"/>
          </w:tcPr>
          <w:p>
            <w:pPr>
              <w:jc w:val="center"/>
              <w:ind w:left="246"/>
              <w:spacing w:after="0" w:line="124" w:lineRule="exact"/>
              <w:rPr>
                <w:sz w:val="20"/>
                <w:szCs w:val="20"/>
                <w:color w:val="auto"/>
              </w:rPr>
            </w:pPr>
            <w:r>
              <w:rPr>
                <w:rFonts w:ascii="Arial" w:cs="Arial" w:eastAsia="Arial" w:hAnsi="Arial"/>
                <w:sz w:val="12"/>
                <w:szCs w:val="12"/>
                <w:b w:val="1"/>
                <w:bCs w:val="1"/>
                <w:color w:val="auto"/>
                <w:w w:val="96"/>
              </w:rPr>
              <w:t>Tax</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540"/>
              <w:spacing w:after="0" w:line="124"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10"/>
                <w:szCs w:val="10"/>
                <w:color w:val="auto"/>
              </w:rPr>
            </w:pPr>
          </w:p>
        </w:tc>
        <w:tc>
          <w:tcPr>
            <w:tcW w:w="1080" w:type="dxa"/>
            <w:vAlign w:val="bottom"/>
          </w:tcPr>
          <w:p>
            <w:pPr>
              <w:jc w:val="center"/>
              <w:ind w:right="80"/>
              <w:spacing w:after="0" w:line="124" w:lineRule="exact"/>
              <w:rPr>
                <w:sz w:val="20"/>
                <w:szCs w:val="20"/>
                <w:color w:val="auto"/>
              </w:rPr>
            </w:pPr>
            <w:r>
              <w:rPr>
                <w:rFonts w:ascii="Arial" w:cs="Arial" w:eastAsia="Arial" w:hAnsi="Arial"/>
                <w:sz w:val="12"/>
                <w:szCs w:val="12"/>
                <w:b w:val="1"/>
                <w:bCs w:val="1"/>
                <w:color w:val="auto"/>
                <w:w w:val="91"/>
              </w:rPr>
              <w:t>Diluted Per</w:t>
            </w:r>
          </w:p>
        </w:tc>
        <w:tc>
          <w:tcPr>
            <w:tcW w:w="120" w:type="dxa"/>
            <w:vAlign w:val="bottom"/>
          </w:tcPr>
          <w:p>
            <w:pPr>
              <w:spacing w:after="0"/>
              <w:rPr>
                <w:sz w:val="10"/>
                <w:szCs w:val="10"/>
                <w:color w:val="auto"/>
              </w:rPr>
            </w:pPr>
          </w:p>
        </w:tc>
      </w:tr>
      <w:tr>
        <w:trPr>
          <w:trHeight w:val="180"/>
        </w:trPr>
        <w:tc>
          <w:tcPr>
            <w:tcW w:w="3620" w:type="dxa"/>
            <w:vAlign w:val="bottom"/>
          </w:tcPr>
          <w:p>
            <w:pPr>
              <w:spacing w:after="0"/>
              <w:rPr>
                <w:sz w:val="15"/>
                <w:szCs w:val="15"/>
                <w:color w:val="auto"/>
              </w:rPr>
            </w:pPr>
          </w:p>
        </w:tc>
        <w:tc>
          <w:tcPr>
            <w:tcW w:w="960" w:type="dxa"/>
            <w:vAlign w:val="bottom"/>
          </w:tcPr>
          <w:p>
            <w:pPr>
              <w:jc w:val="center"/>
              <w:ind w:left="247"/>
              <w:spacing w:after="0"/>
              <w:rPr>
                <w:sz w:val="20"/>
                <w:szCs w:val="20"/>
                <w:color w:val="auto"/>
              </w:rPr>
            </w:pPr>
            <w:r>
              <w:rPr>
                <w:rFonts w:ascii="Arial" w:cs="Arial" w:eastAsia="Arial" w:hAnsi="Arial"/>
                <w:sz w:val="12"/>
                <w:szCs w:val="12"/>
                <w:b w:val="1"/>
                <w:bCs w:val="1"/>
                <w:color w:val="auto"/>
                <w:w w:val="91"/>
              </w:rPr>
              <w:t>Operations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Income</w:t>
            </w:r>
          </w:p>
        </w:tc>
        <w:tc>
          <w:tcPr>
            <w:tcW w:w="240" w:type="dxa"/>
            <w:vAlign w:val="bottom"/>
          </w:tcPr>
          <w:p>
            <w:pPr>
              <w:spacing w:after="0"/>
              <w:rPr>
                <w:sz w:val="15"/>
                <w:szCs w:val="15"/>
                <w:color w:val="auto"/>
              </w:rPr>
            </w:pPr>
          </w:p>
        </w:tc>
        <w:tc>
          <w:tcPr>
            <w:tcW w:w="940" w:type="dxa"/>
            <w:vAlign w:val="bottom"/>
          </w:tcPr>
          <w:p>
            <w:pPr>
              <w:jc w:val="center"/>
              <w:ind w:left="246"/>
              <w:spacing w:after="0"/>
              <w:rPr>
                <w:sz w:val="20"/>
                <w:szCs w:val="20"/>
                <w:color w:val="auto"/>
              </w:rPr>
            </w:pPr>
            <w:r>
              <w:rPr>
                <w:rFonts w:ascii="Arial" w:cs="Arial" w:eastAsia="Arial" w:hAnsi="Arial"/>
                <w:sz w:val="12"/>
                <w:szCs w:val="12"/>
                <w:b w:val="1"/>
                <w:bCs w:val="1"/>
                <w:color w:val="auto"/>
                <w:w w:val="89"/>
              </w:rPr>
              <w:t>Expense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540"/>
              <w:spacing w:after="0" w:line="180" w:lineRule="exact"/>
              <w:rPr>
                <w:sz w:val="20"/>
                <w:szCs w:val="20"/>
                <w:color w:val="auto"/>
              </w:rPr>
            </w:pPr>
            <w:r>
              <w:rPr>
                <w:rFonts w:ascii="Arial" w:cs="Arial" w:eastAsia="Arial" w:hAnsi="Arial"/>
                <w:sz w:val="12"/>
                <w:szCs w:val="12"/>
                <w:b w:val="1"/>
                <w:bCs w:val="1"/>
                <w:color w:val="auto"/>
                <w:w w:val="86"/>
              </w:rPr>
              <w:t>Income</w:t>
            </w:r>
            <w:r>
              <w:rPr>
                <w:rFonts w:ascii="Arial" w:cs="Arial" w:eastAsia="Arial" w:hAnsi="Arial"/>
                <w:sz w:val="19"/>
                <w:szCs w:val="19"/>
                <w:b w:val="1"/>
                <w:bCs w:val="1"/>
                <w:color w:val="auto"/>
                <w:w w:val="86"/>
                <w:vertAlign w:val="superscript"/>
              </w:rPr>
              <w:t>(a)</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Share Amount</w:t>
            </w:r>
          </w:p>
        </w:tc>
      </w:tr>
      <w:tr>
        <w:trPr>
          <w:trHeight w:val="133"/>
        </w:trPr>
        <w:tc>
          <w:tcPr>
            <w:tcW w:w="3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 reported amounts</w:t>
            </w:r>
          </w:p>
        </w:tc>
        <w:tc>
          <w:tcPr>
            <w:tcW w:w="96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86"/>
              </w:rPr>
              <w:t>2,965</w:t>
            </w: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2,349</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532</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1,816</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4.29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620" w:type="dxa"/>
            <w:vAlign w:val="bottom"/>
            <w:shd w:val="clear" w:color="auto" w:fill="CCEEFF"/>
          </w:tcPr>
          <w:p>
            <w:pPr>
              <w:ind w:left="60"/>
              <w:spacing w:after="0" w:line="171" w:lineRule="exact"/>
              <w:rPr>
                <w:sz w:val="20"/>
                <w:szCs w:val="20"/>
                <w:color w:val="auto"/>
              </w:rPr>
            </w:pPr>
            <w:r>
              <w:rPr>
                <w:rFonts w:ascii="Arial" w:cs="Arial" w:eastAsia="Arial" w:hAnsi="Arial"/>
                <w:sz w:val="12"/>
                <w:szCs w:val="12"/>
                <w:color w:val="auto"/>
              </w:rPr>
              <w:t>Loss and other costs associated with extinguishment of debt</w:t>
            </w:r>
            <w:r>
              <w:rPr>
                <w:rFonts w:ascii="Arial" w:cs="Arial" w:eastAsia="Arial" w:hAnsi="Arial"/>
                <w:sz w:val="19"/>
                <w:szCs w:val="19"/>
                <w:color w:val="auto"/>
                <w:vertAlign w:val="superscript"/>
              </w:rPr>
              <w:t>(d)</w:t>
            </w:r>
          </w:p>
        </w:tc>
        <w:tc>
          <w:tcPr>
            <w:tcW w:w="9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226</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170</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3620" w:type="dxa"/>
            <w:vAlign w:val="bottom"/>
          </w:tcPr>
          <w:p>
            <w:pPr>
              <w:ind w:left="60"/>
              <w:spacing w:after="0"/>
              <w:rPr>
                <w:sz w:val="20"/>
                <w:szCs w:val="20"/>
                <w:color w:val="auto"/>
              </w:rPr>
            </w:pPr>
            <w:r>
              <w:rPr>
                <w:rFonts w:ascii="Arial" w:cs="Arial" w:eastAsia="Arial" w:hAnsi="Arial"/>
                <w:sz w:val="12"/>
                <w:szCs w:val="12"/>
                <w:color w:val="auto"/>
              </w:rPr>
              <w:t>Advanced Disposal integration-related costs</w:t>
            </w:r>
          </w:p>
        </w:tc>
        <w:tc>
          <w:tcPr>
            <w:tcW w:w="96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47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290"/>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Enterprise resource planning system implementation-related costs</w:t>
            </w:r>
          </w:p>
        </w:tc>
        <w:tc>
          <w:tcPr>
            <w:tcW w:w="9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2"/>
                <w:szCs w:val="12"/>
                <w:color w:val="auto"/>
              </w:rPr>
              <w:t>7</w:t>
            </w: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23</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0"/>
        </w:trPr>
        <w:tc>
          <w:tcPr>
            <w:tcW w:w="3620" w:type="dxa"/>
            <w:vAlign w:val="bottom"/>
          </w:tcPr>
          <w:p>
            <w:pPr>
              <w:ind w:left="60"/>
              <w:spacing w:after="0" w:line="180" w:lineRule="exact"/>
              <w:rPr>
                <w:sz w:val="20"/>
                <w:szCs w:val="20"/>
                <w:color w:val="auto"/>
              </w:rPr>
            </w:pPr>
            <w:r>
              <w:rPr>
                <w:rFonts w:ascii="Arial" w:cs="Arial" w:eastAsia="Arial" w:hAnsi="Arial"/>
                <w:sz w:val="12"/>
                <w:szCs w:val="12"/>
                <w:color w:val="auto"/>
              </w:rPr>
              <w:t>(Gain) loss from divestitures, asset impairments and other, net</w:t>
            </w:r>
            <w:r>
              <w:rPr>
                <w:rFonts w:ascii="Arial" w:cs="Arial" w:eastAsia="Arial" w:hAnsi="Arial"/>
                <w:sz w:val="19"/>
                <w:szCs w:val="19"/>
                <w:color w:val="auto"/>
                <w:vertAlign w:val="superscript"/>
              </w:rPr>
              <w:t>(e)</w:t>
            </w:r>
          </w:p>
        </w:tc>
        <w:tc>
          <w:tcPr>
            <w:tcW w:w="960" w:type="dxa"/>
            <w:vAlign w:val="bottom"/>
          </w:tcPr>
          <w:p>
            <w:pPr>
              <w:spacing w:after="0"/>
              <w:rPr>
                <w:sz w:val="15"/>
                <w:szCs w:val="15"/>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250"/>
              <w:spacing w:after="0"/>
              <w:rPr>
                <w:sz w:val="20"/>
                <w:szCs w:val="20"/>
                <w:color w:val="auto"/>
              </w:rPr>
            </w:pPr>
            <w:r>
              <w:rPr>
                <w:rFonts w:ascii="Arial" w:cs="Arial" w:eastAsia="Arial" w:hAnsi="Arial"/>
                <w:sz w:val="12"/>
                <w:szCs w:val="12"/>
                <w:color w:val="auto"/>
              </w:rPr>
              <w:t>(21)</w:t>
            </w:r>
          </w:p>
        </w:tc>
        <w:tc>
          <w:tcPr>
            <w:tcW w:w="22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3"/>
        </w:trPr>
        <w:tc>
          <w:tcPr>
            <w:tcW w:w="36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w:t>
            </w: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283</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w:t>
            </w: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230</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0.55</w:t>
            </w: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3620" w:type="dxa"/>
            <w:vAlign w:val="bottom"/>
            <w:tcBorders>
              <w:bottom w:val="single" w:sz="8" w:color="CCEEFF"/>
            </w:tcBorders>
          </w:tcPr>
          <w:p>
            <w:pPr>
              <w:spacing w:after="0" w:line="137" w:lineRule="exact"/>
              <w:rPr>
                <w:sz w:val="20"/>
                <w:szCs w:val="20"/>
                <w:color w:val="auto"/>
              </w:rPr>
            </w:pPr>
            <w:r>
              <w:rPr>
                <w:rFonts w:ascii="Arial" w:cs="Arial" w:eastAsia="Arial" w:hAnsi="Arial"/>
                <w:sz w:val="12"/>
                <w:szCs w:val="12"/>
                <w:b w:val="1"/>
                <w:bCs w:val="1"/>
                <w:color w:val="auto"/>
              </w:rPr>
              <w:t>As adjusted amounts</w:t>
            </w:r>
          </w:p>
        </w:tc>
        <w:tc>
          <w:tcPr>
            <w:tcW w:w="960" w:type="dxa"/>
            <w:vAlign w:val="bottom"/>
            <w:tcBorders>
              <w:bottom w:val="single" w:sz="8" w:color="auto"/>
            </w:tcBorders>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3,033</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2,632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585</w:t>
            </w:r>
          </w:p>
        </w:tc>
        <w:tc>
          <w:tcPr>
            <w:tcW w:w="340" w:type="dxa"/>
            <w:vAlign w:val="bottom"/>
            <w:tcBorders>
              <w:bottom w:val="single" w:sz="8" w:color="CCEEFF"/>
            </w:tcBorders>
          </w:tcPr>
          <w:p>
            <w:pPr>
              <w:jc w:val="right"/>
              <w:ind w:right="170"/>
              <w:spacing w:after="0" w:line="109" w:lineRule="exact"/>
              <w:rPr>
                <w:sz w:val="20"/>
                <w:szCs w:val="20"/>
                <w:color w:val="auto"/>
              </w:rPr>
            </w:pPr>
            <w:r>
              <w:rPr>
                <w:rFonts w:ascii="Arial" w:cs="Arial" w:eastAsia="Arial" w:hAnsi="Arial"/>
                <w:sz w:val="10"/>
                <w:szCs w:val="10"/>
                <w:b w:val="1"/>
                <w:bCs w:val="1"/>
                <w:color w:val="auto"/>
                <w:w w:val="77"/>
              </w:rPr>
              <w:t>(b)</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2,046</w:t>
            </w: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4.84</w:t>
            </w:r>
          </w:p>
        </w:tc>
        <w:tc>
          <w:tcPr>
            <w:tcW w:w="120" w:type="dxa"/>
            <w:vAlign w:val="bottom"/>
            <w:tcBorders>
              <w:bottom w:val="single" w:sz="8" w:color="CCEEFF"/>
            </w:tcBorders>
          </w:tcPr>
          <w:p>
            <w:pPr>
              <w:spacing w:after="0"/>
              <w:rPr>
                <w:sz w:val="12"/>
                <w:szCs w:val="12"/>
                <w:color w:val="auto"/>
              </w:rPr>
            </w:pPr>
          </w:p>
        </w:tc>
      </w:tr>
      <w:tr>
        <w:trPr>
          <w:trHeight w:val="144"/>
        </w:trPr>
        <w:tc>
          <w:tcPr>
            <w:tcW w:w="362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Depreciation, depletion and amortization</w:t>
            </w:r>
          </w:p>
        </w:tc>
        <w:tc>
          <w:tcPr>
            <w:tcW w:w="9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1,999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620" w:type="dxa"/>
            <w:vAlign w:val="bottom"/>
          </w:tcPr>
          <w:p>
            <w:pPr>
              <w:spacing w:after="0" w:line="137" w:lineRule="exact"/>
              <w:rPr>
                <w:sz w:val="20"/>
                <w:szCs w:val="20"/>
                <w:color w:val="auto"/>
              </w:rPr>
            </w:pPr>
            <w:r>
              <w:rPr>
                <w:rFonts w:ascii="Arial" w:cs="Arial" w:eastAsia="Arial" w:hAnsi="Arial"/>
                <w:sz w:val="12"/>
                <w:szCs w:val="12"/>
                <w:b w:val="1"/>
                <w:bCs w:val="1"/>
                <w:color w:val="auto"/>
              </w:rPr>
              <w:t>As adjusted operating EBITDA</w:t>
            </w:r>
          </w:p>
        </w:tc>
        <w:tc>
          <w:tcPr>
            <w:tcW w:w="960" w:type="dxa"/>
            <w:vAlign w:val="bottom"/>
            <w:tcBorders>
              <w:bottom w:val="single" w:sz="8" w:color="auto"/>
            </w:tcBorders>
          </w:tcPr>
          <w:p>
            <w:pPr>
              <w:jc w:val="right"/>
              <w:ind w:right="84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5,032</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8059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pacing w:after="0" w:line="277"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purposes of this press release table, all references to "Net income" refer to the financial statement line item "Net income attributable to Waste Management, Inc."</w:t>
      </w:r>
    </w:p>
    <w:p>
      <w:pPr>
        <w:spacing w:after="0" w:line="14" w:lineRule="exact"/>
        <w:rPr>
          <w:rFonts w:ascii="Arial" w:cs="Arial" w:eastAsia="Arial" w:hAnsi="Arial"/>
          <w:sz w:val="12"/>
          <w:szCs w:val="12"/>
          <w:color w:val="auto"/>
        </w:rPr>
      </w:pPr>
    </w:p>
    <w:p>
      <w:pPr>
        <w:ind w:left="208" w:hanging="208"/>
        <w:spacing w:after="0" w:line="250" w:lineRule="auto"/>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2022 and 2021 adjusted effective tax rates were 23.2% and 22.2%, respectively.</w:t>
      </w:r>
    </w:p>
    <w:p>
      <w:pPr>
        <w:ind w:left="208" w:right="20" w:hanging="208"/>
        <w:spacing w:after="0" w:line="250" w:lineRule="auto"/>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asset impairment charges primarily related to management’s decision to close two landfills in our East Tier segment and a charge to increase the recorded liability for a subsidiary’s estimated potential share of a proposed environmental remediation plan at a closed site partially offset by a gain from the divestiture of a solid waste business in our West Tier segment.</w:t>
      </w:r>
    </w:p>
    <w:p>
      <w:pPr>
        <w:ind w:left="208" w:hanging="208"/>
        <w:spacing w:after="0" w:line="250" w:lineRule="auto"/>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charges of $220 million reflected in the “loss on early extinguishment of debt” financial caption and $6 million reflected in the “interest expense, net” financial caption related to the retirement of $1.3 billion of certain high-coupon senior notes through a cash tender offer in May 2021.</w:t>
      </w:r>
    </w:p>
    <w:p>
      <w:pPr>
        <w:jc w:val="both"/>
        <w:ind w:left="208" w:hanging="208"/>
        <w:spacing w:after="0" w:line="255" w:lineRule="auto"/>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a pre-tax gain from cumulative translation adjustments on the divestiture of certain foreign operation and gains on sale of a business and an equity-method investment partially offset by (i) reserve increases for certain legacy loss contingencies; (ii) a charge to establish an uncertain tax position related to a captive insurance matter; (iii) a change from our initial expectations of the tax effects of the Advanced Disposal acquisition and related divestitures and (iv) asset impairments in our WM Renewable Energy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Adjusted SG&amp;A Expenses and Adjusted SG&amp;A Expenses Margin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revenues, as reported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SG&amp;A expenses, as reported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Adjustments:</w:t>
      </w:r>
    </w:p>
    <w:p>
      <w:pPr>
        <w:spacing w:after="0" w:line="6" w:lineRule="exact"/>
        <w:rPr>
          <w:sz w:val="20"/>
          <w:szCs w:val="20"/>
          <w:color w:val="auto"/>
        </w:rPr>
      </w:pPr>
    </w:p>
    <w:p>
      <w:pPr>
        <w:ind w:right="160"/>
        <w:spacing w:after="0" w:line="300" w:lineRule="auto"/>
        <w:rPr>
          <w:sz w:val="20"/>
          <w:szCs w:val="20"/>
          <w:color w:val="auto"/>
        </w:rPr>
      </w:pPr>
      <w:r>
        <w:rPr>
          <w:rFonts w:ascii="Arial" w:cs="Arial" w:eastAsia="Arial" w:hAnsi="Arial"/>
          <w:sz w:val="10"/>
          <w:szCs w:val="10"/>
          <w:color w:val="auto"/>
        </w:rPr>
        <w:t>Enterprise resource planning system implementation-related costs Advanced Disposal acquisition and integration-related costs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 adjusted SG&amp;A expenses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2"/>
          <w:szCs w:val="12"/>
          <w:b w:val="1"/>
          <w:bCs w:val="1"/>
          <w:color w:val="auto"/>
        </w:rPr>
        <w:t>WASTE MANAGEMENT, INC.</w:t>
      </w:r>
    </w:p>
    <w:p>
      <w:pPr>
        <w:spacing w:after="0" w:line="150" w:lineRule="exact"/>
        <w:rPr>
          <w:sz w:val="20"/>
          <w:szCs w:val="20"/>
          <w:color w:val="auto"/>
        </w:rPr>
      </w:pPr>
    </w:p>
    <w:p>
      <w:pPr>
        <w:jc w:val="center"/>
        <w:ind w:right="4040"/>
        <w:spacing w:after="0"/>
        <w:rPr>
          <w:sz w:val="20"/>
          <w:szCs w:val="20"/>
          <w:color w:val="auto"/>
        </w:rPr>
      </w:pPr>
      <w:r>
        <w:rPr>
          <w:rFonts w:ascii="Arial" w:cs="Arial" w:eastAsia="Arial" w:hAnsi="Arial"/>
          <w:sz w:val="12"/>
          <w:szCs w:val="12"/>
          <w:b w:val="1"/>
          <w:bCs w:val="1"/>
          <w:color w:val="auto"/>
        </w:rPr>
        <w:t>RECONCILIATION OF CERTAIN NON-GAAP MEASURES</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2"/>
          <w:szCs w:val="12"/>
          <w:b w:val="1"/>
          <w:bCs w:val="1"/>
          <w:color w:val="auto"/>
        </w:rPr>
        <w:t>(In Millions)</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(Unaudited)</w:t>
      </w:r>
    </w:p>
    <w:p>
      <w:pPr>
        <w:spacing w:after="0" w:line="146"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Three Months Ended</w:t>
      </w:r>
    </w:p>
    <w:p>
      <w:pPr>
        <w:spacing w:after="0" w:line="19"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88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2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0"/>
              </w:rPr>
              <w:t>December 31, 2021</w:t>
            </w: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As a % of</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As a % of</w:t>
            </w:r>
          </w:p>
        </w:tc>
        <w:tc>
          <w:tcPr>
            <w:tcW w:w="140" w:type="dxa"/>
            <w:vAlign w:val="bottom"/>
          </w:tcPr>
          <w:p>
            <w:pPr>
              <w:spacing w:after="0"/>
              <w:rPr>
                <w:sz w:val="11"/>
                <w:szCs w:val="11"/>
                <w:color w:val="auto"/>
              </w:rPr>
            </w:pPr>
          </w:p>
        </w:tc>
      </w:tr>
      <w:tr>
        <w:trPr>
          <w:trHeight w:val="157"/>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Revenues</w:t>
            </w:r>
          </w:p>
        </w:tc>
        <w:tc>
          <w:tcPr>
            <w:tcW w:w="2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Revenues</w:t>
            </w:r>
          </w:p>
        </w:tc>
        <w:tc>
          <w:tcPr>
            <w:tcW w:w="140" w:type="dxa"/>
            <w:vAlign w:val="bottom"/>
          </w:tcPr>
          <w:p>
            <w:pPr>
              <w:spacing w:after="0"/>
              <w:rPr>
                <w:sz w:val="13"/>
                <w:szCs w:val="13"/>
                <w:color w:val="auto"/>
              </w:rPr>
            </w:pPr>
          </w:p>
        </w:tc>
      </w:tr>
      <w:tr>
        <w:trPr>
          <w:trHeight w:val="421"/>
        </w:trPr>
        <w:tc>
          <w:tcPr>
            <w:tcW w:w="880" w:type="dxa"/>
            <w:vAlign w:val="bottom"/>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4,935</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4,678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880" w:type="dxa"/>
            <w:vAlign w:val="bottom"/>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487</w:t>
            </w:r>
          </w:p>
        </w:tc>
        <w:tc>
          <w:tcPr>
            <w:tcW w:w="98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9.9%</w:t>
            </w:r>
          </w:p>
        </w:tc>
        <w:tc>
          <w:tcPr>
            <w:tcW w:w="860" w:type="dxa"/>
            <w:vAlign w:val="bottom"/>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492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10.5%</w:t>
            </w:r>
          </w:p>
        </w:tc>
      </w:tr>
      <w:tr>
        <w:trPr>
          <w:trHeight w:val="279"/>
        </w:trPr>
        <w:tc>
          <w:tcPr>
            <w:tcW w:w="8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(4)</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880" w:type="dxa"/>
            <w:vAlign w:val="bottom"/>
          </w:tcPr>
          <w:p>
            <w:pPr>
              <w:spacing w:after="0"/>
              <w:rPr>
                <w:sz w:val="14"/>
                <w:szCs w:val="14"/>
                <w:color w:val="auto"/>
              </w:rPr>
            </w:pPr>
          </w:p>
        </w:tc>
        <w:tc>
          <w:tcPr>
            <w:tcW w:w="1680" w:type="dxa"/>
            <w:vAlign w:val="bottom"/>
            <w:gridSpan w:val="3"/>
          </w:tcPr>
          <w:p>
            <w:pPr>
              <w:jc w:val="right"/>
              <w:ind w:right="1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(5)</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8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483</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9.8%</w:t>
            </w: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-862330</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-673735</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-490855</wp:posOffset>
            </wp:positionV>
            <wp:extent cx="71780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-307975</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-119380</wp:posOffset>
            </wp:positionV>
            <wp:extent cx="7178040" cy="108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320" w:space="720"/>
            <w:col w:w="7260"/>
          </w:cols>
          <w:pgMar w:left="300" w:top="649" w:right="299" w:bottom="1440" w:gutter="0" w:footer="0" w:header="0"/>
        </w:sect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Year Ended</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5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2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0"/>
              </w:rPr>
              <w:t>December 31, 2021</w:t>
            </w: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As a % of</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right"/>
              <w:ind w:right="300"/>
              <w:spacing w:after="0" w:line="129" w:lineRule="exact"/>
              <w:rPr>
                <w:sz w:val="20"/>
                <w:szCs w:val="20"/>
                <w:color w:val="auto"/>
              </w:rPr>
            </w:pPr>
            <w:r>
              <w:rPr>
                <w:rFonts w:ascii="Arial" w:cs="Arial" w:eastAsia="Arial" w:hAnsi="Arial"/>
                <w:sz w:val="12"/>
                <w:szCs w:val="12"/>
                <w:b w:val="1"/>
                <w:bCs w:val="1"/>
                <w:color w:val="auto"/>
                <w:w w:val="92"/>
              </w:rPr>
              <w:t>As a % of</w:t>
            </w:r>
          </w:p>
        </w:tc>
        <w:tc>
          <w:tcPr>
            <w:tcW w:w="140" w:type="dxa"/>
            <w:vAlign w:val="bottom"/>
          </w:tcPr>
          <w:p>
            <w:pPr>
              <w:spacing w:after="0"/>
              <w:rPr>
                <w:sz w:val="11"/>
                <w:szCs w:val="11"/>
                <w:color w:val="auto"/>
              </w:rPr>
            </w:pPr>
          </w:p>
        </w:tc>
      </w:tr>
      <w:tr>
        <w:trPr>
          <w:trHeight w:val="157"/>
        </w:trPr>
        <w:tc>
          <w:tcPr>
            <w:tcW w:w="5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ind w:left="380"/>
              <w:spacing w:after="0"/>
              <w:rPr>
                <w:sz w:val="20"/>
                <w:szCs w:val="20"/>
                <w:color w:val="auto"/>
              </w:rPr>
            </w:pPr>
            <w:r>
              <w:rPr>
                <w:rFonts w:ascii="Arial" w:cs="Arial" w:eastAsia="Arial" w:hAnsi="Arial"/>
                <w:sz w:val="12"/>
                <w:szCs w:val="12"/>
                <w:b w:val="1"/>
                <w:bCs w:val="1"/>
                <w:color w:val="auto"/>
              </w:rPr>
              <w:t>Revenues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88"/>
              </w:rPr>
              <w:t>Revenues</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i w:val="1"/>
                <w:iCs w:val="1"/>
                <w:color w:val="auto"/>
              </w:rPr>
              <w:t>Adjusted SG&amp;A Expenses and Adjusted SG&amp;A Expenses Margin</w:t>
            </w:r>
          </w:p>
        </w:tc>
        <w:tc>
          <w:tcPr>
            <w:tcW w:w="8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revenues, as reported</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w w:val="97"/>
              </w:rPr>
              <w:t>19,698</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w w:val="92"/>
              </w:rPr>
              <w:t>17,931</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SG&amp;A expenses, as reported</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1,938</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9.8%</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rPr>
              <w:t>1,864</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10.4%</w:t>
            </w:r>
          </w:p>
        </w:tc>
      </w:tr>
      <w:tr>
        <w:trPr>
          <w:trHeight w:val="144"/>
        </w:trPr>
        <w:tc>
          <w:tcPr>
            <w:tcW w:w="520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Enterprise resource planning system implementation-related costs</w:t>
            </w:r>
          </w:p>
        </w:tc>
        <w:tc>
          <w:tcPr>
            <w:tcW w:w="8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(40)</w:t>
            </w: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Advanced Disposal acquisition and integration-related costs</w:t>
            </w:r>
          </w:p>
        </w:tc>
        <w:tc>
          <w:tcPr>
            <w:tcW w:w="88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(4)</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(32)</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520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SG&amp;A expenses</w:t>
            </w: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1,894</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9.6%</w:t>
            </w:r>
          </w:p>
        </w:tc>
        <w:tc>
          <w:tcPr>
            <w:tcW w:w="86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1,802</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10.0%</w:t>
            </w:r>
          </w:p>
        </w:tc>
      </w:tr>
      <w:tr>
        <w:trPr>
          <w:trHeight w:val="450"/>
        </w:trPr>
        <w:tc>
          <w:tcPr>
            <w:tcW w:w="5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Adjusted Operating Expenses and Adjusted Operating Expenses Margin</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revenues, as reported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 as reported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Adjustments:</w:t>
      </w:r>
    </w:p>
    <w:p>
      <w:pPr>
        <w:spacing w:after="0" w:line="6" w:lineRule="exact"/>
        <w:rPr>
          <w:sz w:val="20"/>
          <w:szCs w:val="20"/>
          <w:color w:val="auto"/>
        </w:rPr>
      </w:pPr>
    </w:p>
    <w:p>
      <w:pPr>
        <w:ind w:right="1440"/>
        <w:spacing w:after="0" w:line="300" w:lineRule="auto"/>
        <w:rPr>
          <w:sz w:val="20"/>
          <w:szCs w:val="20"/>
          <w:color w:val="auto"/>
        </w:rPr>
      </w:pPr>
      <w:r>
        <w:rPr>
          <w:rFonts w:ascii="Arial" w:cs="Arial" w:eastAsia="Arial" w:hAnsi="Arial"/>
          <w:sz w:val="10"/>
          <w:szCs w:val="10"/>
          <w:color w:val="auto"/>
        </w:rPr>
        <w:t>Advanced Disposal integration-related costs Legacy loss contingency reserve adjustment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 adjusted operating expenses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2"/>
          <w:szCs w:val="12"/>
          <w:b w:val="1"/>
          <w:bCs w:val="1"/>
          <w:color w:val="auto"/>
        </w:rPr>
        <w:t>WASTE MANAGEMENT, INC.</w:t>
      </w:r>
    </w:p>
    <w:p>
      <w:pPr>
        <w:spacing w:after="0" w:line="150" w:lineRule="exact"/>
        <w:rPr>
          <w:sz w:val="20"/>
          <w:szCs w:val="20"/>
          <w:color w:val="auto"/>
        </w:rPr>
      </w:pPr>
    </w:p>
    <w:p>
      <w:pPr>
        <w:jc w:val="center"/>
        <w:ind w:right="4040"/>
        <w:spacing w:after="0"/>
        <w:rPr>
          <w:sz w:val="20"/>
          <w:szCs w:val="20"/>
          <w:color w:val="auto"/>
        </w:rPr>
      </w:pPr>
      <w:r>
        <w:rPr>
          <w:rFonts w:ascii="Arial" w:cs="Arial" w:eastAsia="Arial" w:hAnsi="Arial"/>
          <w:sz w:val="12"/>
          <w:szCs w:val="12"/>
          <w:b w:val="1"/>
          <w:bCs w:val="1"/>
          <w:color w:val="auto"/>
        </w:rPr>
        <w:t>RECONCILIATION OF CERTAIN NON-GAAP MEASURES</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2"/>
          <w:szCs w:val="12"/>
          <w:b w:val="1"/>
          <w:bCs w:val="1"/>
          <w:color w:val="auto"/>
        </w:rPr>
        <w:t>(In Millions)</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(Unaudited)</w:t>
      </w:r>
    </w:p>
    <w:p>
      <w:pPr>
        <w:spacing w:after="0" w:line="146"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Three Months Ended</w:t>
      </w:r>
    </w:p>
    <w:p>
      <w:pPr>
        <w:spacing w:after="0" w:line="19"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88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0"/>
              </w:rPr>
              <w:t>December 31, 2021</w:t>
            </w: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As a %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As a % of</w:t>
            </w:r>
          </w:p>
        </w:tc>
        <w:tc>
          <w:tcPr>
            <w:tcW w:w="140" w:type="dxa"/>
            <w:vAlign w:val="bottom"/>
          </w:tcPr>
          <w:p>
            <w:pPr>
              <w:spacing w:after="0"/>
              <w:rPr>
                <w:sz w:val="11"/>
                <w:szCs w:val="11"/>
                <w:color w:val="auto"/>
              </w:rPr>
            </w:pPr>
          </w:p>
        </w:tc>
      </w:tr>
      <w:tr>
        <w:trPr>
          <w:trHeight w:val="157"/>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w w:val="98"/>
              </w:rPr>
              <w:t>Revenues</w:t>
            </w: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Revenues</w:t>
            </w:r>
          </w:p>
        </w:tc>
        <w:tc>
          <w:tcPr>
            <w:tcW w:w="140" w:type="dxa"/>
            <w:vAlign w:val="bottom"/>
          </w:tcPr>
          <w:p>
            <w:pPr>
              <w:spacing w:after="0"/>
              <w:rPr>
                <w:sz w:val="13"/>
                <w:szCs w:val="13"/>
                <w:color w:val="auto"/>
              </w:rPr>
            </w:pPr>
          </w:p>
        </w:tc>
      </w:tr>
      <w:tr>
        <w:trPr>
          <w:trHeight w:val="421"/>
        </w:trPr>
        <w:tc>
          <w:tcPr>
            <w:tcW w:w="880" w:type="dxa"/>
            <w:vAlign w:val="bottom"/>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4,935</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4,678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880" w:type="dxa"/>
            <w:vAlign w:val="bottom"/>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3,093</w:t>
            </w:r>
          </w:p>
        </w:tc>
        <w:tc>
          <w:tcPr>
            <w:tcW w:w="96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62.7%</w:t>
            </w:r>
          </w:p>
        </w:tc>
        <w:tc>
          <w:tcPr>
            <w:tcW w:w="860" w:type="dxa"/>
            <w:vAlign w:val="bottom"/>
          </w:tcPr>
          <w:p>
            <w:pPr>
              <w:jc w:val="right"/>
              <w:ind w:right="74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2,955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b w:val="1"/>
                <w:bCs w:val="1"/>
                <w:color w:val="auto"/>
              </w:rPr>
              <w:t>63.2%</w:t>
            </w:r>
          </w:p>
        </w:tc>
      </w:tr>
      <w:tr>
        <w:trPr>
          <w:trHeight w:val="279"/>
        </w:trPr>
        <w:tc>
          <w:tcPr>
            <w:tcW w:w="880" w:type="dxa"/>
            <w:vAlign w:val="bottom"/>
          </w:tcPr>
          <w:p>
            <w:pPr>
              <w:spacing w:after="0"/>
              <w:rPr>
                <w:sz w:val="24"/>
                <w:szCs w:val="24"/>
                <w:color w:val="auto"/>
              </w:rPr>
            </w:pPr>
          </w:p>
        </w:tc>
        <w:tc>
          <w:tcPr>
            <w:tcW w:w="1660" w:type="dxa"/>
            <w:vAlign w:val="bottom"/>
            <w:gridSpan w:val="3"/>
          </w:tcPr>
          <w:p>
            <w:pPr>
              <w:jc w:val="right"/>
              <w:ind w:right="1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2"/>
        </w:trPr>
        <w:tc>
          <w:tcPr>
            <w:tcW w:w="880" w:type="dxa"/>
            <w:vAlign w:val="bottom"/>
          </w:tcPr>
          <w:p>
            <w:pPr>
              <w:spacing w:after="0"/>
              <w:rPr>
                <w:sz w:val="14"/>
                <w:szCs w:val="14"/>
                <w:color w:val="auto"/>
              </w:rPr>
            </w:pPr>
          </w:p>
        </w:tc>
        <w:tc>
          <w:tcPr>
            <w:tcW w:w="1660" w:type="dxa"/>
            <w:vAlign w:val="bottom"/>
            <w:gridSpan w:val="3"/>
          </w:tcPr>
          <w:p>
            <w:pPr>
              <w:jc w:val="right"/>
              <w:ind w:right="1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(5)</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8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3,093</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62.7%</w:t>
            </w:r>
          </w:p>
        </w:tc>
        <w:tc>
          <w:tcPr>
            <w:tcW w:w="8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2,948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b w:val="1"/>
                <w:bCs w:val="1"/>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-862330</wp:posOffset>
            </wp:positionV>
            <wp:extent cx="7178040"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-673735</wp:posOffset>
            </wp:positionV>
            <wp:extent cx="717804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-490855</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-307975</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-119380</wp:posOffset>
            </wp:positionV>
            <wp:extent cx="7178040" cy="108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560" w:space="480"/>
            <w:col w:w="7260"/>
          </w:cols>
          <w:pgMar w:left="300" w:top="649" w:right="299" w:bottom="1440" w:gutter="0" w:footer="0" w:header="0"/>
        </w:sect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2"/>
                <w:szCs w:val="12"/>
                <w:b w:val="1"/>
                <w:bCs w:val="1"/>
                <w:color w:val="auto"/>
              </w:rPr>
              <w:t>Year Ended</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5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0"/>
              </w:rPr>
              <w:t>December 31, 2021</w:t>
            </w: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As a %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right"/>
              <w:ind w:right="300"/>
              <w:spacing w:after="0" w:line="129" w:lineRule="exact"/>
              <w:rPr>
                <w:sz w:val="20"/>
                <w:szCs w:val="20"/>
                <w:color w:val="auto"/>
              </w:rPr>
            </w:pPr>
            <w:r>
              <w:rPr>
                <w:rFonts w:ascii="Arial" w:cs="Arial" w:eastAsia="Arial" w:hAnsi="Arial"/>
                <w:sz w:val="12"/>
                <w:szCs w:val="12"/>
                <w:b w:val="1"/>
                <w:bCs w:val="1"/>
                <w:color w:val="auto"/>
                <w:w w:val="92"/>
              </w:rPr>
              <w:t>As a % of</w:t>
            </w:r>
          </w:p>
        </w:tc>
        <w:tc>
          <w:tcPr>
            <w:tcW w:w="140" w:type="dxa"/>
            <w:vAlign w:val="bottom"/>
          </w:tcPr>
          <w:p>
            <w:pPr>
              <w:spacing w:after="0"/>
              <w:rPr>
                <w:sz w:val="11"/>
                <w:szCs w:val="11"/>
                <w:color w:val="auto"/>
              </w:rPr>
            </w:pPr>
          </w:p>
        </w:tc>
      </w:tr>
      <w:tr>
        <w:trPr>
          <w:trHeight w:val="157"/>
        </w:trPr>
        <w:tc>
          <w:tcPr>
            <w:tcW w:w="5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ind w:left="380"/>
              <w:spacing w:after="0"/>
              <w:rPr>
                <w:sz w:val="20"/>
                <w:szCs w:val="20"/>
                <w:color w:val="auto"/>
              </w:rPr>
            </w:pPr>
            <w:r>
              <w:rPr>
                <w:rFonts w:ascii="Arial" w:cs="Arial" w:eastAsia="Arial" w:hAnsi="Arial"/>
                <w:sz w:val="12"/>
                <w:szCs w:val="12"/>
                <w:b w:val="1"/>
                <w:bCs w:val="1"/>
                <w:color w:val="auto"/>
                <w:w w:val="98"/>
              </w:rPr>
              <w:t>Revenues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88"/>
              </w:rPr>
              <w:t>Revenues</w:t>
            </w: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i w:val="1"/>
                <w:iCs w:val="1"/>
                <w:color w:val="auto"/>
              </w:rPr>
              <w:t>Adjusted Operating Expenses and Adjusted Operating Expenses Margin</w:t>
            </w:r>
          </w:p>
        </w:tc>
        <w:tc>
          <w:tcPr>
            <w:tcW w:w="8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revenues, as reported</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w w:val="97"/>
              </w:rPr>
              <w:t>19,698</w:t>
            </w: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w w:val="92"/>
              </w:rPr>
              <w:t>17,931</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5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 as reported</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w w:val="97"/>
              </w:rPr>
              <w:t>12,294</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62.4%</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b w:val="1"/>
                <w:bCs w:val="1"/>
                <w:color w:val="auto"/>
                <w:w w:val="92"/>
              </w:rPr>
              <w:t>11,111</w:t>
            </w:r>
          </w:p>
        </w:tc>
        <w:tc>
          <w:tcPr>
            <w:tcW w:w="3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62.0%</w:t>
            </w:r>
          </w:p>
        </w:tc>
      </w:tr>
      <w:tr>
        <w:trPr>
          <w:trHeight w:val="144"/>
        </w:trPr>
        <w:tc>
          <w:tcPr>
            <w:tcW w:w="520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Advanced Disposal integration-related costs</w:t>
            </w:r>
          </w:p>
        </w:tc>
        <w:tc>
          <w:tcPr>
            <w:tcW w:w="8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w:t>
            </w: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w:t>
            </w: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Legacy loss contingency reserve adjustment and other, net</w:t>
            </w:r>
          </w:p>
        </w:tc>
        <w:tc>
          <w:tcPr>
            <w:tcW w:w="88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2"/>
                <w:szCs w:val="12"/>
                <w:color w:val="auto"/>
              </w:rPr>
              <w:t>1</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(6)</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520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As adjusted operating expenses</w:t>
            </w: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12,291</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62.4%</w:t>
            </w:r>
          </w:p>
        </w:tc>
        <w:tc>
          <w:tcPr>
            <w:tcW w:w="86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11,097</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61.9%</w:t>
            </w: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2023 Projected Free Cash Flow Reconciliation</w:t>
            </w:r>
            <w:r>
              <w:rPr>
                <w:rFonts w:ascii="Arial" w:cs="Arial" w:eastAsia="Arial" w:hAnsi="Arial"/>
                <w:sz w:val="19"/>
                <w:szCs w:val="19"/>
                <w:b w:val="1"/>
                <w:bCs w:val="1"/>
                <w:i w:val="1"/>
                <w:iCs w:val="1"/>
                <w:color w:val="auto"/>
                <w:vertAlign w:val="superscript"/>
              </w:rPr>
              <w:t>(a)</w:t>
            </w:r>
          </w:p>
        </w:tc>
        <w:tc>
          <w:tcPr>
            <w:tcW w:w="2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Scenario 1</w:t>
            </w:r>
          </w:p>
        </w:tc>
        <w:tc>
          <w:tcPr>
            <w:tcW w:w="2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Scenario 2</w:t>
            </w:r>
          </w:p>
        </w:tc>
      </w:tr>
      <w:tr>
        <w:trPr>
          <w:trHeight w:val="133"/>
        </w:trPr>
        <w:tc>
          <w:tcPr>
            <w:tcW w:w="49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4,600</w:t>
            </w: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4,725</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060" w:type="dxa"/>
            <w:vAlign w:val="bottom"/>
            <w:gridSpan w:val="2"/>
          </w:tcPr>
          <w:p>
            <w:pPr>
              <w:spacing w:after="0"/>
              <w:rPr>
                <w:sz w:val="20"/>
                <w:szCs w:val="20"/>
                <w:color w:val="auto"/>
              </w:rPr>
            </w:pPr>
            <w:r>
              <w:rPr>
                <w:rFonts w:ascii="Arial" w:cs="Arial" w:eastAsia="Arial" w:hAnsi="Arial"/>
                <w:sz w:val="12"/>
                <w:szCs w:val="12"/>
                <w:color w:val="auto"/>
              </w:rPr>
              <w:t>Capital expenditures, excluding sustainability growth investments</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(2,000)</w:t>
            </w:r>
          </w:p>
        </w:tc>
        <w:tc>
          <w:tcPr>
            <w:tcW w:w="200" w:type="dxa"/>
            <w:vAlign w:val="bottom"/>
          </w:tcPr>
          <w:p>
            <w:pPr>
              <w:spacing w:after="0"/>
              <w:rPr>
                <w:sz w:val="12"/>
                <w:szCs w:val="12"/>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2"/>
                <w:szCs w:val="12"/>
                <w:color w:val="auto"/>
              </w:rPr>
              <w:t>(2,100)</w:t>
            </w:r>
          </w:p>
        </w:tc>
      </w:tr>
      <w:tr>
        <w:trPr>
          <w:trHeight w:val="153"/>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Proceeds from divestitures of businesses and other assets, net of cash divested</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c>
          <w:tcPr>
            <w:tcW w:w="40" w:type="dxa"/>
            <w:vAlign w:val="bottom"/>
            <w:shd w:val="clear" w:color="auto" w:fill="CCEEFF"/>
          </w:tcPr>
          <w:p>
            <w:pPr>
              <w:spacing w:after="0"/>
              <w:rPr>
                <w:sz w:val="13"/>
                <w:szCs w:val="13"/>
                <w:color w:val="auto"/>
              </w:rPr>
            </w:pPr>
          </w:p>
        </w:tc>
      </w:tr>
      <w:tr>
        <w:trPr>
          <w:trHeight w:val="133"/>
        </w:trPr>
        <w:tc>
          <w:tcPr>
            <w:tcW w:w="5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Free cash flow without sustainability and growth investments</w:t>
            </w:r>
          </w:p>
        </w:tc>
        <w:tc>
          <w:tcPr>
            <w:tcW w:w="220" w:type="dxa"/>
            <w:vAlign w:val="bottom"/>
            <w:tcBorders>
              <w:top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2,600</w:t>
            </w:r>
          </w:p>
        </w:tc>
        <w:tc>
          <w:tcPr>
            <w:tcW w:w="260" w:type="dxa"/>
            <w:vAlign w:val="bottom"/>
          </w:tcPr>
          <w:p>
            <w:pPr>
              <w:spacing w:after="0"/>
              <w:rPr>
                <w:sz w:val="11"/>
                <w:szCs w:val="11"/>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2,700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5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Capital expenditures - sustainability growth investments</w:t>
            </w: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(1,100)</w:t>
            </w:r>
          </w:p>
        </w:tc>
        <w:tc>
          <w:tcPr>
            <w:tcW w:w="2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(1,100)</w:t>
            </w:r>
          </w:p>
        </w:tc>
      </w:tr>
      <w:tr>
        <w:trPr>
          <w:trHeight w:val="149"/>
        </w:trPr>
        <w:tc>
          <w:tcPr>
            <w:tcW w:w="506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Free cash flow</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1,500</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1,600</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8059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pacing w:after="0" w:line="277" w:lineRule="exact"/>
        <w:rPr>
          <w:sz w:val="20"/>
          <w:szCs w:val="20"/>
          <w:color w:val="auto"/>
        </w:rPr>
      </w:pPr>
    </w:p>
    <w:p>
      <w:pPr>
        <w:ind w:left="420" w:right="40" w:hanging="212"/>
        <w:spacing w:after="0" w:line="276"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reconciliation includes two scenarios that illustrate our projected free cash flow range for 2023.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WASTE MANAGEMENT,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SUPPLEMENTAL INFORMATION PROVIDED FOR ILLUSTRATIVE PURPOSES ONLY</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(Unaudited)</w:t>
      </w:r>
    </w:p>
    <w:p>
      <w:pPr>
        <w:spacing w:after="0" w:line="141"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1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2021</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0"/>
        </w:trPr>
        <w:tc>
          <w:tcPr>
            <w:tcW w:w="5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center"/>
              <w:ind w:left="120"/>
              <w:spacing w:after="0" w:line="120" w:lineRule="exact"/>
              <w:rPr>
                <w:sz w:val="20"/>
                <w:szCs w:val="20"/>
                <w:color w:val="auto"/>
              </w:rPr>
            </w:pPr>
            <w:r>
              <w:rPr>
                <w:rFonts w:ascii="Arial" w:cs="Arial" w:eastAsia="Arial" w:hAnsi="Arial"/>
                <w:sz w:val="12"/>
                <w:szCs w:val="12"/>
                <w:b w:val="1"/>
                <w:bCs w:val="1"/>
                <w:color w:val="auto"/>
                <w:w w:val="93"/>
              </w:rPr>
              <w:t>Change in</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center"/>
              <w:ind w:left="120"/>
              <w:spacing w:after="0" w:line="120" w:lineRule="exact"/>
              <w:rPr>
                <w:sz w:val="20"/>
                <w:szCs w:val="20"/>
                <w:color w:val="auto"/>
              </w:rPr>
            </w:pPr>
            <w:r>
              <w:rPr>
                <w:rFonts w:ascii="Arial" w:cs="Arial" w:eastAsia="Arial" w:hAnsi="Arial"/>
                <w:sz w:val="12"/>
                <w:szCs w:val="12"/>
                <w:b w:val="1"/>
                <w:bCs w:val="1"/>
                <w:color w:val="auto"/>
                <w:w w:val="89"/>
              </w:rPr>
              <w:t>Change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Arial" w:cs="Arial" w:eastAsia="Arial" w:hAnsi="Arial"/>
                <w:sz w:val="12"/>
                <w:szCs w:val="12"/>
                <w:b w:val="1"/>
                <w:bCs w:val="1"/>
                <w:color w:val="auto"/>
                <w:w w:val="89"/>
              </w:rPr>
              <w:t>Adjusted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Arial" w:cs="Arial" w:eastAsia="Arial" w:hAnsi="Arial"/>
                <w:sz w:val="12"/>
                <w:szCs w:val="12"/>
                <w:b w:val="1"/>
                <w:bCs w:val="1"/>
                <w:color w:val="auto"/>
                <w:w w:val="89"/>
              </w:rPr>
              <w:t>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Arial" w:cs="Arial" w:eastAsia="Arial" w:hAnsi="Arial"/>
                <w:sz w:val="12"/>
                <w:szCs w:val="12"/>
                <w:b w:val="1"/>
                <w:bCs w:val="1"/>
                <w:color w:val="auto"/>
                <w:w w:val="95"/>
              </w:rPr>
              <w:t>Operating</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5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8"/>
              </w:rPr>
              <w:t>EBITDA Margin</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98"/>
              </w:rPr>
              <w:t>EBITDA Margin</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33"/>
        </w:trPr>
        <w:tc>
          <w:tcPr>
            <w:tcW w:w="5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Recycling commodity rebates</w:t>
            </w: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154</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0.9%</w:t>
            </w:r>
          </w:p>
        </w:tc>
        <w:tc>
          <w:tcPr>
            <w:tcW w:w="880" w:type="dxa"/>
            <w:vAlign w:val="bottom"/>
            <w:shd w:val="clear" w:color="auto" w:fill="CCEEFF"/>
          </w:tcPr>
          <w:p>
            <w:pPr>
              <w:jc w:val="right"/>
              <w:ind w:right="76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250</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7"/>
              </w:rPr>
              <w:t>1.5%</w:t>
            </w: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Accretion expense</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2"/>
                <w:szCs w:val="12"/>
                <w:color w:val="auto"/>
              </w:rPr>
              <w:t>28</w:t>
            </w:r>
          </w:p>
        </w:tc>
        <w:tc>
          <w:tcPr>
            <w:tcW w:w="108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color w:val="auto"/>
              </w:rPr>
              <w:t>0.6%</w:t>
            </w:r>
          </w:p>
        </w:tc>
        <w:tc>
          <w:tcPr>
            <w:tcW w:w="880" w:type="dxa"/>
            <w:vAlign w:val="bottom"/>
          </w:tcPr>
          <w:p>
            <w:pPr>
              <w:jc w:val="right"/>
              <w:ind w:right="76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2"/>
                <w:szCs w:val="12"/>
                <w:color w:val="auto"/>
              </w:rPr>
              <w:t>29</w:t>
            </w:r>
          </w:p>
        </w:tc>
        <w:tc>
          <w:tcPr>
            <w:tcW w:w="106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0.7%</w:t>
            </w:r>
          </w:p>
        </w:tc>
      </w:tr>
      <w:tr>
        <w:trPr>
          <w:trHeight w:val="306"/>
        </w:trPr>
        <w:tc>
          <w:tcPr>
            <w:tcW w:w="5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Year Ended</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1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2021</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0"/>
        </w:trPr>
        <w:tc>
          <w:tcPr>
            <w:tcW w:w="5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center"/>
              <w:ind w:left="120"/>
              <w:spacing w:after="0" w:line="120" w:lineRule="exact"/>
              <w:rPr>
                <w:sz w:val="20"/>
                <w:szCs w:val="20"/>
                <w:color w:val="auto"/>
              </w:rPr>
            </w:pPr>
            <w:r>
              <w:rPr>
                <w:rFonts w:ascii="Arial" w:cs="Arial" w:eastAsia="Arial" w:hAnsi="Arial"/>
                <w:sz w:val="12"/>
                <w:szCs w:val="12"/>
                <w:b w:val="1"/>
                <w:bCs w:val="1"/>
                <w:color w:val="auto"/>
                <w:w w:val="93"/>
              </w:rPr>
              <w:t>Change in</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center"/>
              <w:ind w:left="120"/>
              <w:spacing w:after="0" w:line="120" w:lineRule="exact"/>
              <w:rPr>
                <w:sz w:val="20"/>
                <w:szCs w:val="20"/>
                <w:color w:val="auto"/>
              </w:rPr>
            </w:pPr>
            <w:r>
              <w:rPr>
                <w:rFonts w:ascii="Arial" w:cs="Arial" w:eastAsia="Arial" w:hAnsi="Arial"/>
                <w:sz w:val="12"/>
                <w:szCs w:val="12"/>
                <w:b w:val="1"/>
                <w:bCs w:val="1"/>
                <w:color w:val="auto"/>
                <w:w w:val="89"/>
              </w:rPr>
              <w:t>Change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Arial" w:cs="Arial" w:eastAsia="Arial" w:hAnsi="Arial"/>
                <w:sz w:val="12"/>
                <w:szCs w:val="12"/>
                <w:b w:val="1"/>
                <w:bCs w:val="1"/>
                <w:color w:val="auto"/>
                <w:w w:val="89"/>
              </w:rPr>
              <w:t>Adjusted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Arial" w:cs="Arial" w:eastAsia="Arial" w:hAnsi="Arial"/>
                <w:sz w:val="12"/>
                <w:szCs w:val="12"/>
                <w:b w:val="1"/>
                <w:bCs w:val="1"/>
                <w:color w:val="auto"/>
                <w:w w:val="89"/>
              </w:rPr>
              <w:t>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Arial" w:cs="Arial" w:eastAsia="Arial" w:hAnsi="Arial"/>
                <w:sz w:val="12"/>
                <w:szCs w:val="12"/>
                <w:b w:val="1"/>
                <w:bCs w:val="1"/>
                <w:color w:val="auto"/>
                <w:w w:val="95"/>
              </w:rPr>
              <w:t>Operating</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5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b w:val="1"/>
                <w:bCs w:val="1"/>
                <w:color w:val="auto"/>
                <w:w w:val="98"/>
              </w:rPr>
              <w:t>EBITDA Margin</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98"/>
              </w:rPr>
              <w:t>EBITDA Margin</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33"/>
        </w:trPr>
        <w:tc>
          <w:tcPr>
            <w:tcW w:w="5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Recycling commodity rebates</w:t>
            </w: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815</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1.2%</w:t>
            </w:r>
          </w:p>
        </w:tc>
        <w:tc>
          <w:tcPr>
            <w:tcW w:w="880" w:type="dxa"/>
            <w:vAlign w:val="bottom"/>
            <w:shd w:val="clear" w:color="auto" w:fill="CCEEFF"/>
          </w:tcPr>
          <w:p>
            <w:pPr>
              <w:jc w:val="right"/>
              <w:ind w:right="76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815</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7"/>
              </w:rPr>
              <w:t>1.3%</w:t>
            </w:r>
          </w:p>
        </w:tc>
      </w:tr>
      <w:tr>
        <w:trPr>
          <w:trHeight w:val="153"/>
        </w:trPr>
        <w:tc>
          <w:tcPr>
            <w:tcW w:w="5200" w:type="dxa"/>
            <w:vAlign w:val="bottom"/>
          </w:tcPr>
          <w:p>
            <w:pPr>
              <w:spacing w:after="0"/>
              <w:rPr>
                <w:sz w:val="20"/>
                <w:szCs w:val="20"/>
                <w:color w:val="auto"/>
              </w:rPr>
            </w:pPr>
            <w:r>
              <w:rPr>
                <w:rFonts w:ascii="Arial" w:cs="Arial" w:eastAsia="Arial" w:hAnsi="Arial"/>
                <w:sz w:val="12"/>
                <w:szCs w:val="12"/>
                <w:color w:val="auto"/>
              </w:rPr>
              <w:t>Accretion expense</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2"/>
                <w:szCs w:val="12"/>
                <w:color w:val="auto"/>
              </w:rPr>
              <w:t>112</w:t>
            </w:r>
          </w:p>
        </w:tc>
        <w:tc>
          <w:tcPr>
            <w:tcW w:w="108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color w:val="auto"/>
              </w:rPr>
              <w:t>0.6%</w:t>
            </w:r>
          </w:p>
        </w:tc>
        <w:tc>
          <w:tcPr>
            <w:tcW w:w="880" w:type="dxa"/>
            <w:vAlign w:val="bottom"/>
          </w:tcPr>
          <w:p>
            <w:pPr>
              <w:jc w:val="right"/>
              <w:ind w:right="76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40"/>
              <w:spacing w:after="0"/>
              <w:rPr>
                <w:sz w:val="20"/>
                <w:szCs w:val="20"/>
                <w:color w:val="auto"/>
              </w:rPr>
            </w:pPr>
            <w:r>
              <w:rPr>
                <w:rFonts w:ascii="Arial" w:cs="Arial" w:eastAsia="Arial" w:hAnsi="Arial"/>
                <w:sz w:val="12"/>
                <w:szCs w:val="12"/>
                <w:color w:val="auto"/>
              </w:rPr>
              <w:t>111</w:t>
            </w:r>
          </w:p>
        </w:tc>
        <w:tc>
          <w:tcPr>
            <w:tcW w:w="106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0.6%</w:t>
            </w:r>
          </w:p>
        </w:tc>
      </w:tr>
      <w:tr>
        <w:trPr>
          <w:trHeight w:val="441"/>
        </w:trPr>
        <w:tc>
          <w:tcPr>
            <w:tcW w:w="5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19" w:name="page20"/>
    <w:bookmarkEnd w:id="19"/>
    <w:p>
      <w:pPr>
        <w:ind w:left="942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121920</wp:posOffset>
            </wp:positionV>
            <wp:extent cx="7218680" cy="4371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0" w:num="1">
            <w:col w:w="10160"/>
          </w:cols>
          <w:pgMar w:left="1440" w:top="121" w:right="29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7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1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77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2023-02-01T05:50:23Z</dcterms:created>
  <dcterms:modified xsi:type="dcterms:W3CDTF">2023-02-01T05:50:23Z</dcterms:modified>
</cp:coreProperties>
</file>