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21,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(IRS Employer Identification</w:t>
      </w:r>
    </w:p>
    <w:p>
      <w:pPr>
        <w:spacing w:after="0" w:line="3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w:t>
      </w:r>
    </w:p>
    <w:p>
      <w:pPr>
        <w:spacing w:after="0" w:line="200" w:lineRule="exact"/>
        <w:rPr>
          <w:sz w:val="20"/>
          <w:szCs w:val="20"/>
          <w:color w:val="auto"/>
        </w:rPr>
      </w:pPr>
    </w:p>
    <w:p>
      <w:pPr>
        <w:sectPr>
          <w:pgSz w:w="11900" w:h="16838" w:orient="portrait"/>
          <w:cols w:equalWidth="0" w:num="3">
            <w:col w:w="4340" w:space="720"/>
            <w:col w:w="2800" w:space="720"/>
            <w:col w:w="2720"/>
          </w:cols>
          <w:pgMar w:left="240" w:top="122" w:right="359" w:bottom="1440" w:gutter="0" w:footer="0" w:header="0"/>
          <w:type w:val="continuous"/>
        </w:sectPr>
      </w:pPr>
    </w:p>
    <w:p>
      <w:pPr>
        <w:spacing w:after="0" w:line="11"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17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SIGNATURES</w:t>
        </w:r>
      </w:hyperlink>
    </w:p>
    <w:p>
      <w:pPr>
        <w:spacing w:after="0" w:line="23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EX-3.2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June 21, 2011, the Board of Directors of Waste Management, Inc. (the “Company”) adopted an amendment to Article II, Section 2.4 of the Company’s Amended and Restated By-laws to permit record holders who have held at least a twenty-five percent (25%) net long position in the outstanding common stock of the Company for at least one year to call a special meeting of stockholders. The text of the amendment contains various exceptions and timing mechanisms that are intended to avoid the cost and distraction that would result from multiple stockholder meetings being held in a short time period.</w:t>
      </w:r>
    </w:p>
    <w:p>
      <w:pPr>
        <w:spacing w:after="0" w:line="46"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above description of the amendment is not complete and is qualified in its entirety by reference to the Company’s Amended and Restated By-laws, as further amended, a copy of which is filed as Exhibit 3.2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as of June 21, 2011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as of June 21, 2011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21, 2011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auto"/>
        </w:rPr>
        <w:t>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64"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5"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69" w:lineRule="exact"/>
        <w:rPr>
          <w:rFonts w:ascii="Arial" w:cs="Arial" w:eastAsia="Arial" w:hAnsi="Arial"/>
          <w:sz w:val="16"/>
          <w:szCs w:val="16"/>
          <w:color w:val="auto"/>
        </w:rPr>
      </w:pPr>
    </w:p>
    <w:p>
      <w:pPr>
        <w:ind w:right="360" w:firstLine="458"/>
        <w:spacing w:after="0" w:line="27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 Requested Special Meetings. In order for a Stockholder Requested Special Meeting to be called, one or more requests for a special meeting (each,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220"/>
        <w:spacing w:after="0" w:line="288" w:lineRule="auto"/>
        <w:rPr>
          <w:sz w:val="20"/>
          <w:szCs w:val="20"/>
          <w:color w:val="auto"/>
        </w:rPr>
      </w:pPr>
      <w:r>
        <w:rPr>
          <w:rFonts w:ascii="Arial" w:cs="Arial" w:eastAsia="Arial" w:hAnsi="Arial"/>
          <w:sz w:val="16"/>
          <w:szCs w:val="16"/>
          <w:color w:val="auto"/>
        </w:rPr>
        <w:t>“Stockholder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w:t>
      </w:r>
    </w:p>
    <w:p>
      <w:pPr>
        <w:ind w:firstLine="8"/>
        <w:spacing w:after="0" w:line="286"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62" w:lineRule="exact"/>
        <w:rPr>
          <w:rFonts w:ascii="Arial" w:cs="Arial" w:eastAsia="Arial" w:hAnsi="Arial"/>
          <w:sz w:val="16"/>
          <w:szCs w:val="16"/>
          <w:color w:val="auto"/>
        </w:rPr>
      </w:pPr>
    </w:p>
    <w:p>
      <w:pPr>
        <w:ind w:firstLine="458"/>
        <w:spacing w:after="0" w:line="284" w:lineRule="auto"/>
        <w:tabs>
          <w:tab w:leader="none" w:pos="695" w:val="left"/>
        </w:tabs>
        <w:numPr>
          <w:ilvl w:val="1"/>
          <w:numId w:val="3"/>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w:t>
      </w:r>
    </w:p>
    <w:p>
      <w:pPr>
        <w:spacing w:after="0" w:line="1" w:lineRule="exact"/>
        <w:rPr>
          <w:rFonts w:ascii="Arial" w:cs="Arial" w:eastAsia="Arial" w:hAnsi="Arial"/>
          <w:sz w:val="16"/>
          <w:szCs w:val="16"/>
          <w:color w:val="auto"/>
        </w:rPr>
      </w:pPr>
    </w:p>
    <w:p>
      <w:pPr>
        <w:ind w:right="440"/>
        <w:spacing w:after="0" w:line="261" w:lineRule="auto"/>
        <w:rPr>
          <w:rFonts w:ascii="Arial" w:cs="Arial" w:eastAsia="Arial" w:hAnsi="Arial"/>
          <w:sz w:val="16"/>
          <w:szCs w:val="16"/>
          <w:color w:val="auto"/>
        </w:rPr>
      </w:pPr>
      <w:r>
        <w:rPr>
          <w:rFonts w:ascii="Arial" w:cs="Arial" w:eastAsia="Arial" w:hAnsi="Arial"/>
          <w:sz w:val="18"/>
          <w:szCs w:val="18"/>
          <w:color w:val="auto"/>
        </w:rPr>
        <w:t>(D) was made in a manner that involved a violation of Regulation 14A under the Exchange Act or other applicable law; or (E) does not comply with the provisions of this Section 2.4.</w:t>
      </w:r>
    </w:p>
    <w:p>
      <w:pPr>
        <w:spacing w:after="0" w:line="75" w:lineRule="exact"/>
        <w:rPr>
          <w:rFonts w:ascii="Arial" w:cs="Arial" w:eastAsia="Arial" w:hAnsi="Arial"/>
          <w:sz w:val="16"/>
          <w:szCs w:val="16"/>
          <w:color w:val="auto"/>
        </w:rPr>
      </w:pPr>
    </w:p>
    <w:p>
      <w:pPr>
        <w:ind w:right="100" w:firstLine="458"/>
        <w:spacing w:after="0" w:line="276" w:lineRule="auto"/>
        <w:tabs>
          <w:tab w:leader="none" w:pos="705" w:val="left"/>
        </w:tabs>
        <w:numPr>
          <w:ilvl w:val="1"/>
          <w:numId w:val="3"/>
        </w:numPr>
        <w:rPr>
          <w:rFonts w:ascii="Arial" w:cs="Arial" w:eastAsia="Arial" w:hAnsi="Arial"/>
          <w:sz w:val="17"/>
          <w:szCs w:val="17"/>
          <w:color w:val="auto"/>
        </w:rPr>
      </w:pPr>
      <w:r>
        <w:rPr>
          <w:rFonts w:ascii="Arial" w:cs="Arial" w:eastAsia="Arial" w:hAnsi="Arial"/>
          <w:sz w:val="17"/>
          <w:szCs w:val="17"/>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color w:val="auto"/>
        </w:rPr>
        <w:t>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81" w:lineRule="exact"/>
        <w:rPr>
          <w:sz w:val="20"/>
          <w:szCs w:val="20"/>
          <w:color w:val="auto"/>
        </w:rPr>
      </w:pPr>
    </w:p>
    <w:p>
      <w:pPr>
        <w:ind w:right="300" w:firstLine="458"/>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79"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communication, not directly involving the physical transmission of paper, that creates a record that may be retained, retrieved and reviewed by a recipient thereof, and that may be directly reproduced in paper form by such a recipient.</w:t>
      </w:r>
    </w:p>
    <w:p>
      <w:pPr>
        <w:spacing w:after="0" w:line="62"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59"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80"/>
        <w:spacing w:after="0" w:line="264" w:lineRule="auto"/>
        <w:rPr>
          <w:sz w:val="20"/>
          <w:szCs w:val="20"/>
          <w:color w:val="auto"/>
        </w:rPr>
      </w:pPr>
      <w:r>
        <w:rPr>
          <w:rFonts w:ascii="Arial" w:cs="Arial" w:eastAsia="Arial" w:hAnsi="Arial"/>
          <w:sz w:val="18"/>
          <w:szCs w:val="18"/>
          <w:color w:val="auto"/>
        </w:rPr>
        <w:t>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7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460" w:right="20" w:firstLine="229"/>
        <w:spacing w:after="0" w:line="279" w:lineRule="auto"/>
        <w:tabs>
          <w:tab w:leader="none" w:pos="93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t>unequal interests, a majority or even-split for the purpose of this subsection shall be a majority or even-split in interest.</w:t>
      </w:r>
    </w:p>
    <w:p>
      <w:pPr>
        <w:spacing w:after="0" w:line="117"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All voting of stockholders shall be taken by written ballots, each of which shall state the name of the stockholder or proxy voting and such other information as may be required under the procedure established for the meeting. All proxies submitted to management may be voted by a master ballot.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seem to him in order. Unless the chairman of the meeting of stockholders shall otherwise determine, the order of business shall be as follows:</w:t>
      </w:r>
    </w:p>
    <w:p>
      <w:pPr>
        <w:spacing w:after="0" w:line="117" w:lineRule="exact"/>
        <w:rPr>
          <w:sz w:val="20"/>
          <w:szCs w:val="20"/>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920" w:hanging="2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right="500" w:firstLine="458"/>
        <w:spacing w:after="0" w:line="308"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6"/>
          <w:szCs w:val="16"/>
          <w:color w:val="auto"/>
        </w:rPr>
        <w:t>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61" w:lineRule="exact"/>
        <w:rPr>
          <w:sz w:val="20"/>
          <w:szCs w:val="20"/>
          <w:color w:val="auto"/>
        </w:rPr>
      </w:pPr>
    </w:p>
    <w:p>
      <w:pPr>
        <w:ind w:right="40" w:firstLine="458"/>
        <w:spacing w:after="0" w:line="286"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firstLine="458"/>
        <w:spacing w:after="0" w:line="270"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jc w:val="both"/>
        <w:ind w:right="20" w:firstLine="458"/>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79" w:lineRule="exact"/>
        <w:rPr>
          <w:sz w:val="20"/>
          <w:szCs w:val="20"/>
          <w:color w:val="auto"/>
        </w:rPr>
      </w:pPr>
    </w:p>
    <w:p>
      <w:pPr>
        <w:ind w:right="120" w:firstLine="450"/>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59"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8" w:firstLine="8"/>
        <w:spacing w:after="0" w:line="284" w:lineRule="auto"/>
        <w:tabs>
          <w:tab w:leader="none" w:pos="2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70"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7"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color w:val="auto"/>
        </w:rPr>
        <w:t>stockholder proposal not required to be included in its proxy material to stockholders in accordance with the Exchange Act and the rules and regulations promulgated thereunder.</w:t>
      </w:r>
    </w:p>
    <w:p>
      <w:pPr>
        <w:spacing w:after="0" w:line="62"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70"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74" w:lineRule="exact"/>
        <w:rPr>
          <w:sz w:val="20"/>
          <w:szCs w:val="20"/>
          <w:color w:val="auto"/>
        </w:rPr>
      </w:pPr>
    </w:p>
    <w:p>
      <w:pPr>
        <w:ind w:right="40" w:firstLine="447"/>
        <w:spacing w:after="0" w:line="283"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w:t>
      </w:r>
    </w:p>
    <w:p>
      <w:pPr>
        <w:spacing w:after="0" w:line="7" w:lineRule="exact"/>
        <w:rPr>
          <w:sz w:val="20"/>
          <w:szCs w:val="20"/>
          <w:color w:val="auto"/>
        </w:rPr>
      </w:pPr>
    </w:p>
    <w:p>
      <w:pPr>
        <w:ind w:right="380" w:firstLine="8"/>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proxy statement as a nominee and to serving as a director if elected; and (b) as to the stockholder giving the notice and the beneficial owner, if any, 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whose behalf the nomination is made (i) the name and address of such stockholder, as they appear on the Corporation’s books, and of such beneficial owner,</w:t>
      </w:r>
    </w:p>
    <w:p>
      <w:pPr>
        <w:spacing w:after="0" w:line="46" w:lineRule="exact"/>
        <w:rPr>
          <w:sz w:val="20"/>
          <w:szCs w:val="20"/>
          <w:color w:val="auto"/>
        </w:rPr>
      </w:pPr>
    </w:p>
    <w:p>
      <w:pPr>
        <w:ind w:firstLine="8"/>
        <w:spacing w:after="0" w:line="283"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91"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7"/>
          <w:szCs w:val="17"/>
          <w:color w:val="auto"/>
        </w:rPr>
        <w:t>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71"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62" w:lineRule="exact"/>
        <w:rPr>
          <w:sz w:val="20"/>
          <w:szCs w:val="20"/>
          <w:color w:val="auto"/>
        </w:rPr>
      </w:pPr>
    </w:p>
    <w:p>
      <w:pPr>
        <w:ind w:right="100" w:firstLine="450"/>
        <w:spacing w:after="0" w:line="287"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5"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as to any other business to be considered pursuant to this Section 2.14, and compliance with this Section 2.14 shall be the exclusive means for a stockholder to make nominations. Nothing in this Section 2.14 shall be deemed to affect any rights of the holders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any series of Preferred Stock to elect directors pursuant to any applicable provision of the Certificate of Incorporation.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80" w:firstLine="450"/>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7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3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79"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20" w:firstLine="450"/>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Charter for such committee adopted by the Board of Directors, or by a resolution adopted by the Board of Directors.</w:t>
      </w:r>
    </w:p>
    <w:p>
      <w:pPr>
        <w:spacing w:after="0" w:line="117"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59" w:lineRule="exact"/>
        <w:rPr>
          <w:sz w:val="20"/>
          <w:szCs w:val="20"/>
          <w:color w:val="auto"/>
        </w:rPr>
      </w:pPr>
    </w:p>
    <w:p>
      <w:pPr>
        <w:ind w:right="200" w:firstLine="450"/>
        <w:spacing w:after="0" w:line="29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committee of directors need be specified in any written waiver of notice unless so required by the Certificate of Incorporation or these by-laws.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6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5"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200" w:firstLine="450"/>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5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 w:name="page29"/>
    <w:bookmarkEnd w:id="28"/>
    <w:p>
      <w:pPr>
        <w:jc w:val="both"/>
        <w:ind w:right="40" w:firstLine="44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7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9" w:name="page30"/>
    <w:bookmarkEnd w:id="29"/>
    <w:p>
      <w:pPr>
        <w:ind w:right="200" w:firstLine="45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85"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0"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160" w:firstLine="450"/>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80"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8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160" w:firstLine="450"/>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Lost, Stolen or Destroyed; Issuance of New Certificates</w:t>
      </w:r>
      <w:r>
        <w:rPr>
          <w:rFonts w:ascii="Arial" w:cs="Arial" w:eastAsia="Arial" w:hAnsi="Arial"/>
          <w:sz w:val="17"/>
          <w:szCs w:val="17"/>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color w:val="auto"/>
        </w:rPr>
        <w:t>against the Corporation on account of the alleged loss, theft or destruction of any such certificate or the issuance of such new certificate or uncertificated shares, or both.</w:t>
      </w:r>
    </w:p>
    <w:p>
      <w:pPr>
        <w:spacing w:after="0" w:line="62"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Declaration</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57" w:lineRule="exact"/>
        <w:rPr>
          <w:sz w:val="20"/>
          <w:szCs w:val="20"/>
          <w:color w:val="auto"/>
        </w:rPr>
      </w:pPr>
    </w:p>
    <w:p>
      <w:pPr>
        <w:ind w:right="100" w:firstLine="450"/>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7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Actions By or in the Right of the Corporation</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seeking indemnification under this Section 10.2 shall be deemed to have met the standard of conduct required for such indemnification unless the contrary shall be established.</w:t>
      </w:r>
    </w:p>
    <w:p>
      <w:pPr>
        <w:spacing w:after="0" w:line="62" w:lineRule="exact"/>
        <w:rPr>
          <w:sz w:val="20"/>
          <w:szCs w:val="20"/>
          <w:color w:val="auto"/>
        </w:rPr>
      </w:pPr>
    </w:p>
    <w:p>
      <w:pPr>
        <w:ind w:right="440" w:firstLine="450"/>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57"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80"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right="600" w:firstLine="450"/>
        <w:spacing w:after="0" w:line="34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right="120"/>
        <w:spacing w:after="0" w:line="255" w:lineRule="auto"/>
        <w:rPr>
          <w:sz w:val="20"/>
          <w:szCs w:val="20"/>
          <w:color w:val="auto"/>
        </w:rPr>
      </w:pPr>
      <w:r>
        <w:rPr>
          <w:rFonts w:ascii="Arial" w:cs="Arial" w:eastAsia="Arial" w:hAnsi="Arial"/>
          <w:sz w:val="18"/>
          <w:szCs w:val="18"/>
          <w:color w:val="auto"/>
        </w:rPr>
        <w:t>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1" w:lineRule="exact"/>
        <w:rPr>
          <w:sz w:val="20"/>
          <w:szCs w:val="20"/>
          <w:color w:val="auto"/>
        </w:rPr>
      </w:pPr>
    </w:p>
    <w:p>
      <w:pPr>
        <w:ind w:right="100" w:firstLine="450"/>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5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79"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6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140" w:firstLine="45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79" w:lineRule="exact"/>
        <w:rPr>
          <w:sz w:val="20"/>
          <w:szCs w:val="20"/>
          <w:color w:val="auto"/>
        </w:rPr>
      </w:pPr>
    </w:p>
    <w:p>
      <w:pPr>
        <w:ind w:right="300" w:firstLine="450"/>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9"/>
    </w:lvl>
    <w:lvl w:ilvl="1">
      <w:lvlJc w:val="left"/>
      <w:lvlText w:val="(%2)"/>
      <w:numFmt w:val="lowerLetter"/>
      <w:start w:val="3"/>
    </w:lvl>
  </w:abstractNum>
  <w:abstractNum w:abstractNumId="3">
    <w:nsid w:val="515F007C"/>
    <w:multiLevelType w:val="hybridMultilevel"/>
    <w:lvl w:ilvl="0">
      <w:lvlJc w:val="left"/>
      <w:lvlText w:val="(%1)"/>
      <w:numFmt w:val="lowerLetter"/>
      <w:start w:val="5"/>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Roman"/>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2019-12-10T08:28:54Z</dcterms:created>
  <dcterms:modified xsi:type="dcterms:W3CDTF">2019-12-10T08:28:54Z</dcterms:modified>
</cp:coreProperties>
</file>