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REGISTRATION NO. 333-97699</w:t>
      </w:r>
    </w:p>
    <w:p>
      <w:pPr>
        <w:spacing w:after="0" w:line="200" w:lineRule="exact"/>
        <w:rPr>
          <w:sz w:val="24"/>
          <w:szCs w:val="24"/>
          <w:color w:val="auto"/>
        </w:rPr>
      </w:pPr>
    </w:p>
    <w:p>
      <w:pPr>
        <w:spacing w:after="0" w:line="20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 333-97699-01</w:t>
      </w:r>
    </w:p>
    <w:p>
      <w:pPr>
        <w:spacing w:after="0" w:line="200" w:lineRule="exact"/>
        <w:rPr>
          <w:sz w:val="24"/>
          <w:szCs w:val="24"/>
          <w:color w:val="auto"/>
        </w:rPr>
      </w:pPr>
    </w:p>
    <w:p>
      <w:pPr>
        <w:spacing w:after="0" w:line="20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424(B)(3)</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OFFER TO EXCHANGE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$500,000,000 7 3/4% SENIOR NOTES DUE 2032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$500,000,000 7 3/4% SENIOR NOTES DUE 2032</w:t>
      </w:r>
    </w:p>
    <w:p>
      <w:pPr>
        <w:ind w:left="30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4"/>
          <w:szCs w:val="24"/>
          <w:color w:val="auto"/>
        </w:rPr>
      </w:pPr>
    </w:p>
    <w:p>
      <w:pPr>
        <w:ind w:left="740" w:right="187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exchange all outstanding notes that are validly tendered and not validly withdrawn for an equal principal amount of exchange notes.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outstanding notes at any time prior to the expiration of the exchange offer.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expires at 5:00 p.m., New York City time, on January 3, 2003, unless extended. We do not currently intend to extend the expiration date.</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4"/>
          <w:szCs w:val="24"/>
          <w:color w:val="auto"/>
        </w:rPr>
      </w:pPr>
    </w:p>
    <w:p>
      <w:pPr>
        <w:ind w:left="740" w:right="199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exchange notes will be substantially identical to the outstanding notes except for transfer restrictions and registration rights relating to the outstanding notes will not apply to the exchange notes.</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like the outstanding notes, will be unsecured obligations of Waste Management and will be unconditionally guaranteed by our wholly-owned subsidiary, Waste Management Holdings, Inc. The exchange notes will rank equally in contractual right of payment with all of our other unsecured and unsubordinated senior indebtedness and the unsecured and unsubordinated senior indebtedness of Waste Management Holdings. However, the exchange notes and the guarantees will be structurally subordinated to the indebtedness of our non-guarantor subsidiaries, which amounted to approximately $1.6 billion as of September 30, 2002. Additionally, the indenture under which we are issuing the exchange notes does not restrict our ability to incur additional senior indebtedness.</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RESALES OF EXCHANGE NOTES:</w:t>
      </w:r>
    </w:p>
    <w:p>
      <w:pPr>
        <w:spacing w:after="0" w:line="207" w:lineRule="exact"/>
        <w:rPr>
          <w:sz w:val="24"/>
          <w:szCs w:val="24"/>
          <w:color w:val="auto"/>
        </w:rPr>
      </w:pPr>
    </w:p>
    <w:p>
      <w:pPr>
        <w:jc w:val="both"/>
        <w:ind w:left="740" w:right="2619" w:hanging="199"/>
        <w:spacing w:after="0" w:line="268" w:lineRule="auto"/>
        <w:tabs>
          <w:tab w:leader="none" w:pos="720" w:val="left"/>
        </w:tabs>
        <w:rPr>
          <w:sz w:val="20"/>
          <w:szCs w:val="20"/>
          <w:color w:val="auto"/>
        </w:rPr>
      </w:pPr>
      <w:r>
        <w:rPr>
          <w:rFonts w:ascii="Courier New" w:cs="Courier New" w:eastAsia="Courier New" w:hAnsi="Courier New"/>
          <w:sz w:val="16"/>
          <w:szCs w:val="16"/>
          <w:color w:val="auto"/>
        </w:rPr>
        <w:t>-</w:t>
        <w:tab/>
        <w:t>The exchange notes may be sold in the over-the-counter market, in negotiated transactions or through a combination of such methods.</w:t>
      </w:r>
    </w:p>
    <w:p>
      <w:pPr>
        <w:ind w:left="3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YOU SHOULD CONSIDER CAREFULLY THE RISK FACTORS BEGINNING ON PAGE 10 OF THIS PROSPECTUS BEFORE PARTICIPATING IN THE EXCHANGE OFFER.</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November 27, 2002</w:t>
      </w:r>
    </w:p>
    <w:p>
      <w:pPr>
        <w:sectPr>
          <w:pgSz w:w="11900" w:h="16838" w:orient="portrait"/>
          <w:cols w:equalWidth="0" w:num="1">
            <w:col w:w="10219"/>
          </w:cols>
          <w:pgMar w:left="240" w:top="852" w:right="1440" w:bottom="1037"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PAGE ---- Where to Find More</w:t>
      </w: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ii Incorporation</w:t>
      </w:r>
    </w:p>
    <w:p>
      <w:pPr>
        <w:ind w:left="580"/>
        <w:spacing w:after="0"/>
        <w:tabs>
          <w:tab w:leader="dot" w:pos="5520" w:val="left"/>
        </w:tabs>
        <w:rPr>
          <w:sz w:val="20"/>
          <w:szCs w:val="20"/>
          <w:color w:val="auto"/>
        </w:rPr>
      </w:pPr>
      <w:r>
        <w:rPr>
          <w:rFonts w:ascii="Courier New" w:cs="Courier New" w:eastAsia="Courier New" w:hAnsi="Courier New"/>
          <w:sz w:val="18"/>
          <w:szCs w:val="18"/>
          <w:color w:val="auto"/>
        </w:rPr>
        <w:t>by Reference</w:t>
      </w:r>
      <w:r>
        <w:rPr>
          <w:sz w:val="20"/>
          <w:szCs w:val="20"/>
          <w:color w:val="auto"/>
        </w:rPr>
        <w:tab/>
      </w:r>
      <w:r>
        <w:rPr>
          <w:rFonts w:ascii="Courier New" w:cs="Courier New" w:eastAsia="Courier New" w:hAnsi="Courier New"/>
          <w:sz w:val="16"/>
          <w:szCs w:val="16"/>
          <w:color w:val="auto"/>
        </w:rPr>
        <w:t>ii</w:t>
      </w:r>
    </w:p>
    <w:p>
      <w:pPr>
        <w:ind w:left="2640"/>
        <w:spacing w:after="0" w:line="237" w:lineRule="auto"/>
        <w:rPr>
          <w:sz w:val="20"/>
          <w:szCs w:val="20"/>
          <w:color w:val="auto"/>
        </w:rPr>
      </w:pPr>
      <w:r>
        <w:rPr>
          <w:rFonts w:ascii="Courier New" w:cs="Courier New" w:eastAsia="Courier New" w:hAnsi="Courier New"/>
          <w:sz w:val="18"/>
          <w:szCs w:val="18"/>
          <w:color w:val="auto"/>
        </w:rPr>
        <w:t>Prospectus</w:t>
      </w:r>
    </w:p>
    <w:p>
      <w:pPr>
        <w:ind w:left="480"/>
        <w:spacing w:after="0" w:line="238" w:lineRule="auto"/>
        <w:tabs>
          <w:tab w:leader="dot" w:pos="5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ind w:left="1420"/>
        <w:spacing w:after="0"/>
        <w:rPr>
          <w:sz w:val="20"/>
          <w:szCs w:val="20"/>
          <w:color w:val="auto"/>
        </w:rPr>
      </w:pPr>
      <w:r>
        <w:rPr>
          <w:rFonts w:ascii="Courier New" w:cs="Courier New" w:eastAsia="Courier New" w:hAnsi="Courier New"/>
          <w:sz w:val="18"/>
          <w:szCs w:val="18"/>
          <w:color w:val="auto"/>
        </w:rPr>
        <w:t>Historical and Selected Financial</w:t>
      </w:r>
    </w:p>
    <w:p>
      <w:pPr>
        <w:ind w:left="1420"/>
        <w:spacing w:after="0"/>
        <w:tabs>
          <w:tab w:leader="dot" w:pos="42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8 Risk</w:t>
      </w:r>
    </w:p>
    <w:p>
      <w:pPr>
        <w:ind w:left="120"/>
        <w:spacing w:after="0"/>
        <w:tabs>
          <w:tab w:leader="dot" w:pos="600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10</w:t>
      </w:r>
    </w:p>
    <w:p>
      <w:pPr>
        <w:ind w:left="2380"/>
        <w:spacing w:after="0" w:line="237" w:lineRule="auto"/>
        <w:rPr>
          <w:sz w:val="20"/>
          <w:szCs w:val="20"/>
          <w:color w:val="auto"/>
        </w:rPr>
      </w:pPr>
      <w:r>
        <w:rPr>
          <w:rFonts w:ascii="Courier New" w:cs="Courier New" w:eastAsia="Courier New" w:hAnsi="Courier New"/>
          <w:sz w:val="18"/>
          <w:szCs w:val="18"/>
          <w:color w:val="auto"/>
        </w:rPr>
        <w:t>Forward-Looking</w:t>
      </w:r>
    </w:p>
    <w:p>
      <w:pPr>
        <w:ind w:left="320"/>
        <w:spacing w:after="0"/>
        <w:tabs>
          <w:tab w:leader="dot" w:pos="504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15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16</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280"/>
        <w:spacing w:after="0"/>
        <w:tabs>
          <w:tab w:leader="dot" w:pos="384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16 Description of the</w:t>
      </w:r>
    </w:p>
    <w:p>
      <w:pPr>
        <w:ind w:left="160"/>
        <w:spacing w:after="0"/>
        <w:tabs>
          <w:tab w:leader="dot" w:pos="4580" w:val="left"/>
        </w:tabs>
        <w:rPr>
          <w:sz w:val="20"/>
          <w:szCs w:val="20"/>
          <w:color w:val="auto"/>
        </w:rPr>
      </w:pPr>
      <w:r>
        <w:rPr>
          <w:rFonts w:ascii="Courier New" w:cs="Courier New" w:eastAsia="Courier New" w:hAnsi="Courier New"/>
          <w:sz w:val="18"/>
          <w:szCs w:val="18"/>
          <w:color w:val="auto"/>
        </w:rPr>
        <w:t>Exchange Notes</w:t>
      </w:r>
      <w:r>
        <w:rPr>
          <w:sz w:val="20"/>
          <w:szCs w:val="20"/>
          <w:color w:val="auto"/>
        </w:rPr>
        <w:tab/>
      </w:r>
      <w:r>
        <w:rPr>
          <w:rFonts w:ascii="Courier New" w:cs="Courier New" w:eastAsia="Courier New" w:hAnsi="Courier New"/>
          <w:sz w:val="16"/>
          <w:szCs w:val="16"/>
          <w:color w:val="auto"/>
        </w:rPr>
        <w:t>17 The Exchange</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Offer</w:t>
      </w:r>
      <w:r>
        <w:rPr>
          <w:sz w:val="20"/>
          <w:szCs w:val="20"/>
          <w:color w:val="auto"/>
        </w:rPr>
        <w:tab/>
      </w:r>
      <w:r>
        <w:rPr>
          <w:rFonts w:ascii="Courier New" w:cs="Courier New" w:eastAsia="Courier New" w:hAnsi="Courier New"/>
          <w:sz w:val="16"/>
          <w:szCs w:val="16"/>
          <w:color w:val="auto"/>
        </w:rPr>
        <w:t>36 United</w:t>
      </w:r>
    </w:p>
    <w:p>
      <w:pPr>
        <w:ind w:left="540"/>
        <w:spacing w:after="0" w:line="237" w:lineRule="auto"/>
        <w:rPr>
          <w:sz w:val="20"/>
          <w:szCs w:val="20"/>
          <w:color w:val="auto"/>
        </w:rPr>
      </w:pPr>
      <w:r>
        <w:rPr>
          <w:rFonts w:ascii="Courier New" w:cs="Courier New" w:eastAsia="Courier New" w:hAnsi="Courier New"/>
          <w:sz w:val="18"/>
          <w:szCs w:val="18"/>
          <w:color w:val="auto"/>
        </w:rPr>
        <w:t>States Federal Income Tax Consequences to Non-U.S.</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6"/>
          <w:szCs w:val="16"/>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44 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46</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7"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47</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7" w:lineRule="auto"/>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209" w:lineRule="exact"/>
        <w:rPr>
          <w:sz w:val="20"/>
          <w:szCs w:val="20"/>
          <w:color w:val="auto"/>
        </w:rPr>
      </w:pPr>
    </w:p>
    <w:p>
      <w:pPr>
        <w:ind w:left="740" w:right="177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you can inspect material filed by us at the offices of the New York Stock Exchange, 20 Broad Street, New York, New York 10005, on which shares of our common stock are listed.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FILINGS</w:t>
      </w:r>
    </w:p>
    <w:p>
      <w:pPr>
        <w:jc w:val="center"/>
        <w:ind w:right="9059"/>
        <w:spacing w:after="0"/>
        <w:rPr>
          <w:sz w:val="20"/>
          <w:szCs w:val="20"/>
          <w:color w:val="auto"/>
        </w:rPr>
      </w:pPr>
      <w:r>
        <w:rPr>
          <w:rFonts w:ascii="Courier New" w:cs="Courier New" w:eastAsia="Courier New" w:hAnsi="Courier New"/>
          <w:sz w:val="18"/>
          <w:szCs w:val="18"/>
          <w:color w:val="auto"/>
        </w:rPr>
        <w:t>(FILE NO.</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1-12154)</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PERIOD/DATE</w:t>
      </w:r>
    </w:p>
    <w:p>
      <w:pPr>
        <w:spacing w:after="0" w:line="16" w:lineRule="exact"/>
        <w:rPr>
          <w:sz w:val="20"/>
          <w:szCs w:val="20"/>
          <w:color w:val="auto"/>
        </w:rPr>
      </w:pPr>
    </w:p>
    <w:p>
      <w:pPr>
        <w:ind w:left="260" w:hanging="205"/>
        <w:spacing w:after="0"/>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119" w:firstLine="101"/>
        <w:spacing w:after="0" w:line="269" w:lineRule="auto"/>
        <w:tabs>
          <w:tab w:leader="none" w:pos="37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Year ended December 31, 2001 Quarterly Reports on Form 10-Q Quarters ended March 31, 2002, June 30, 2002 and September 30, 2002 Current Reports on Form 8-K March 22, 2002 and August 13, 2002</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 (other than Current Reports furnished under Item 9 of Form 8-K).</w:t>
      </w:r>
    </w:p>
    <w:p>
      <w:pPr>
        <w:sectPr>
          <w:pgSz w:w="11900" w:h="16838" w:orient="portrait"/>
          <w:cols w:equalWidth="0" w:num="1">
            <w:col w:w="10219"/>
          </w:cols>
          <w:pgMar w:left="240" w:top="717" w:right="1440" w:bottom="0" w:gutter="0" w:footer="0" w:header="0"/>
        </w:sectPr>
      </w:pPr>
    </w:p>
    <w:bookmarkStart w:id="3" w:name="page4"/>
    <w:bookmarkEnd w:id="3"/>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You may request a copy of this information, the exchange offer registration statement and the Commission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TO INSURE TIMELY DELIVERY, YOU SHOULD REQUEST THE DOCUMENTS AND INFORMATION NO LATER THAN DECEMBER 15, 2002.</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547"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hazardous waste landfills. However, hazardous waste can sometimes be treated before disposal. We operate a hazardous waste facility where we isolate treated hazardous wastes in liquid form by injection into deep wells that have been drilled into rock formations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564" w:gutter="0" w:footer="0" w:header="0"/>
        </w:sectPr>
      </w:pPr>
    </w:p>
    <w:bookmarkStart w:id="5" w:name="page6"/>
    <w:bookmarkEnd w:id="5"/>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recorded $1 million and $38 million of pre-tax charges for costs associated with the implementation of the new structure for the three and nine months ended September 30, 2002, respectively. These charges include $36 million for employee severance and benefit costs and $2 million related to abandoned operating lease agreements. We expect to incur approximately $3 million of additional restructuring expenses in the last quarter of 2002 primarily related to the relocation of employees and the consolidation of facilities to support the new organizational structure.</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THE EXCHANGE OFFER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May 24, 2002, we completed the private offering of the outstanding notes, consisting of $500 million principal amount of 7 3/4% Senior Notes due 2032.</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209" w:lineRule="exact"/>
        <w:rPr>
          <w:sz w:val="20"/>
          <w:szCs w:val="20"/>
          <w:color w:val="auto"/>
        </w:rPr>
      </w:pPr>
    </w:p>
    <w:p>
      <w:pPr>
        <w:ind w:left="740" w:right="18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 exchange offer registration statement with the Commission within 90 days after May 24, 2002;</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exchange offer registration statement declared effective by the Commission within 180 days after May 24, 2002;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 the exchange offer within 230 days after May 24, 2002.</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are entitled to exchange in the exchange offer your outstanding notes for exchange notes which are identical in all material respects to the outstanding notes except that:</w:t>
      </w:r>
    </w:p>
    <w:p>
      <w:pPr>
        <w:spacing w:after="0" w:line="209" w:lineRule="exact"/>
        <w:rPr>
          <w:sz w:val="20"/>
          <w:szCs w:val="20"/>
          <w:color w:val="auto"/>
        </w:rPr>
      </w:pPr>
    </w:p>
    <w:p>
      <w:pPr>
        <w:ind w:left="740" w:right="177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notes have been registered under the Securities Act and are freely tradeable if the conditions in "Resales of Exchange Notes," below, have been met;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362" w:gutter="0" w:footer="0" w:header="0"/>
        </w:sectPr>
      </w:pPr>
    </w:p>
    <w:bookmarkStart w:id="6" w:name="page7"/>
    <w:bookmarkEnd w:id="6"/>
    <w:p>
      <w:pPr>
        <w:ind w:left="740" w:right="219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contingent interest rate provisions that require us to pay increased interest rates if we don't meet our obligations under the registration rights agreement that are described above will no longer applicable.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summarize the terms of the exchange offer below. You should read the discussion under the heading "The Exchange Offer" for further information regarding the exchange offer and the exchange notes.</w:t>
      </w:r>
    </w:p>
    <w:p>
      <w:pPr>
        <w:spacing w:after="0" w:line="20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The Exchange Offer............</w:t>
      </w:r>
      <w:r>
        <w:rPr>
          <w:sz w:val="20"/>
          <w:szCs w:val="20"/>
          <w:color w:val="auto"/>
        </w:rPr>
        <w:tab/>
      </w:r>
      <w:r>
        <w:rPr>
          <w:rFonts w:ascii="Courier New" w:cs="Courier New" w:eastAsia="Courier New" w:hAnsi="Courier New"/>
          <w:sz w:val="16"/>
          <w:szCs w:val="16"/>
          <w:color w:val="auto"/>
        </w:rPr>
        <w:t>We are offering to exchange the aggregate</w:t>
      </w:r>
    </w:p>
    <w:p>
      <w:pPr>
        <w:ind w:left="3480"/>
        <w:spacing w:after="0" w:line="238" w:lineRule="auto"/>
        <w:rPr>
          <w:sz w:val="20"/>
          <w:szCs w:val="20"/>
          <w:color w:val="auto"/>
        </w:rPr>
      </w:pPr>
      <w:r>
        <w:rPr>
          <w:rFonts w:ascii="Courier New" w:cs="Courier New" w:eastAsia="Courier New" w:hAnsi="Courier New"/>
          <w:sz w:val="18"/>
          <w:szCs w:val="18"/>
          <w:color w:val="auto"/>
        </w:rPr>
        <w:t>principal amount of exchange notes for the</w:t>
      </w:r>
    </w:p>
    <w:p>
      <w:pPr>
        <w:ind w:left="3480"/>
        <w:spacing w:after="0"/>
        <w:rPr>
          <w:sz w:val="20"/>
          <w:szCs w:val="20"/>
          <w:color w:val="auto"/>
        </w:rPr>
      </w:pPr>
      <w:r>
        <w:rPr>
          <w:rFonts w:ascii="Courier New" w:cs="Courier New" w:eastAsia="Courier New" w:hAnsi="Courier New"/>
          <w:sz w:val="18"/>
          <w:szCs w:val="18"/>
          <w:color w:val="auto"/>
        </w:rPr>
        <w:t>identical aggregate principal amount of</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outstanding notes. The outstanding notes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exchanged only in amounts which are equal to</w:t>
      </w:r>
    </w:p>
    <w:p>
      <w:pPr>
        <w:ind w:left="3480"/>
        <w:spacing w:after="0" w:line="238" w:lineRule="auto"/>
        <w:rPr>
          <w:sz w:val="20"/>
          <w:szCs w:val="20"/>
          <w:color w:val="auto"/>
        </w:rPr>
      </w:pPr>
      <w:r>
        <w:rPr>
          <w:rFonts w:ascii="Courier New" w:cs="Courier New" w:eastAsia="Courier New" w:hAnsi="Courier New"/>
          <w:sz w:val="18"/>
          <w:szCs w:val="18"/>
          <w:color w:val="auto"/>
        </w:rPr>
        <w:t>whole multiples of $1,000.</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Resales of Exchange Notes.....</w:t>
      </w:r>
      <w:r>
        <w:rPr>
          <w:sz w:val="20"/>
          <w:szCs w:val="20"/>
          <w:color w:val="auto"/>
        </w:rPr>
        <w:tab/>
      </w:r>
      <w:r>
        <w:rPr>
          <w:rFonts w:ascii="Courier New" w:cs="Courier New" w:eastAsia="Courier New" w:hAnsi="Courier New"/>
          <w:sz w:val="16"/>
          <w:szCs w:val="16"/>
          <w:color w:val="auto"/>
        </w:rPr>
        <w:t>Based on Commission no-action letters, we</w:t>
      </w:r>
    </w:p>
    <w:p>
      <w:pPr>
        <w:ind w:left="3480"/>
        <w:spacing w:after="0" w:line="238" w:lineRule="auto"/>
        <w:rPr>
          <w:sz w:val="20"/>
          <w:szCs w:val="20"/>
          <w:color w:val="auto"/>
        </w:rPr>
      </w:pPr>
      <w:r>
        <w:rPr>
          <w:rFonts w:ascii="Courier New" w:cs="Courier New" w:eastAsia="Courier New" w:hAnsi="Courier New"/>
          <w:sz w:val="18"/>
          <w:szCs w:val="18"/>
          <w:color w:val="auto"/>
        </w:rPr>
        <w:t>believe that after the exchange offer you may</w:t>
      </w:r>
    </w:p>
    <w:p>
      <w:pPr>
        <w:ind w:left="3480"/>
        <w:spacing w:after="0"/>
        <w:rPr>
          <w:sz w:val="20"/>
          <w:szCs w:val="20"/>
          <w:color w:val="auto"/>
        </w:rPr>
      </w:pPr>
      <w:r>
        <w:rPr>
          <w:rFonts w:ascii="Courier New" w:cs="Courier New" w:eastAsia="Courier New" w:hAnsi="Courier New"/>
          <w:sz w:val="18"/>
          <w:szCs w:val="18"/>
          <w:color w:val="auto"/>
        </w:rPr>
        <w:t>offer and sell the exchange notes without</w:t>
      </w:r>
    </w:p>
    <w:p>
      <w:pPr>
        <w:ind w:left="3480"/>
        <w:spacing w:after="0" w:line="237" w:lineRule="auto"/>
        <w:rPr>
          <w:sz w:val="20"/>
          <w:szCs w:val="20"/>
          <w:color w:val="auto"/>
        </w:rPr>
      </w:pPr>
      <w:r>
        <w:rPr>
          <w:rFonts w:ascii="Courier New" w:cs="Courier New" w:eastAsia="Courier New" w:hAnsi="Courier New"/>
          <w:sz w:val="18"/>
          <w:szCs w:val="18"/>
          <w:color w:val="auto"/>
        </w:rPr>
        <w:t>registration under the Securities Act so long</w:t>
      </w:r>
    </w:p>
    <w:p>
      <w:pPr>
        <w:ind w:left="3480"/>
        <w:spacing w:after="0" w:line="238" w:lineRule="auto"/>
        <w:rPr>
          <w:sz w:val="20"/>
          <w:szCs w:val="20"/>
          <w:color w:val="auto"/>
        </w:rPr>
      </w:pPr>
      <w:r>
        <w:rPr>
          <w:rFonts w:ascii="Courier New" w:cs="Courier New" w:eastAsia="Courier New" w:hAnsi="Courier New"/>
          <w:sz w:val="18"/>
          <w:szCs w:val="18"/>
          <w:color w:val="auto"/>
        </w:rPr>
        <w:t>as:</w:t>
      </w:r>
    </w:p>
    <w:p>
      <w:pPr>
        <w:spacing w:after="0" w:line="208" w:lineRule="exact"/>
        <w:rPr>
          <w:sz w:val="20"/>
          <w:szCs w:val="20"/>
          <w:color w:val="auto"/>
        </w:rPr>
      </w:pPr>
    </w:p>
    <w:p>
      <w:pPr>
        <w:ind w:left="3700" w:right="2619" w:hanging="216"/>
        <w:spacing w:after="0" w:line="235" w:lineRule="auto"/>
        <w:tabs>
          <w:tab w:leader="none" w:pos="3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1779" w:hanging="216"/>
        <w:spacing w:after="0" w:line="237" w:lineRule="auto"/>
        <w:tabs>
          <w:tab w:leader="none" w:pos="3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do not have an arrangement with another person to participate in a distribution of the exchange notes.</w:t>
      </w:r>
    </w:p>
    <w:p>
      <w:pPr>
        <w:spacing w:after="0" w:line="207" w:lineRule="exact"/>
        <w:rPr>
          <w:rFonts w:ascii="Courier New" w:cs="Courier New" w:eastAsia="Courier New" w:hAnsi="Courier New"/>
          <w:sz w:val="18"/>
          <w:szCs w:val="18"/>
          <w:color w:val="auto"/>
        </w:rPr>
      </w:pPr>
    </w:p>
    <w:p>
      <w:pPr>
        <w:ind w:left="3700" w:right="1779" w:hanging="216"/>
        <w:spacing w:after="0" w:line="236" w:lineRule="auto"/>
        <w:tabs>
          <w:tab w:leader="none" w:pos="3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engaged in a distribution of, nor do you intend to distribute, the exchange notes.</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ask you to represent to us, among other things,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left="3700" w:right="1779" w:hanging="216"/>
        <w:spacing w:after="0" w:line="279" w:lineRule="auto"/>
        <w:tabs>
          <w:tab w:leader="none" w:pos="3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of Waste Management. "Affiliate" in this instance has the meaning set forth in Rule 405 of the Securities Act.</w:t>
      </w:r>
    </w:p>
    <w:p>
      <w:pPr>
        <w:spacing w:after="0" w:line="178" w:lineRule="exact"/>
        <w:rPr>
          <w:rFonts w:ascii="Courier New" w:cs="Courier New" w:eastAsia="Courier New" w:hAnsi="Courier New"/>
          <w:sz w:val="16"/>
          <w:szCs w:val="16"/>
          <w:color w:val="auto"/>
        </w:rPr>
      </w:pPr>
    </w:p>
    <w:p>
      <w:pPr>
        <w:ind w:left="3700" w:right="2099" w:hanging="216"/>
        <w:spacing w:after="0" w:line="235" w:lineRule="auto"/>
        <w:tabs>
          <w:tab w:leader="none" w:pos="3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2099" w:hanging="216"/>
        <w:spacing w:after="0" w:line="237" w:lineRule="auto"/>
        <w:tabs>
          <w:tab w:leader="none" w:pos="3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are not engaged in, nor do you have plans with another person to be engaged in, a distribution of the exchange notes.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If you are unable to make these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representations, you will be required to comply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the registration and Prospectus delivery</w:t>
      </w:r>
    </w:p>
    <w:p>
      <w:pPr>
        <w:ind w:left="3480"/>
        <w:spacing w:after="0" w:line="238" w:lineRule="auto"/>
        <w:rPr>
          <w:sz w:val="20"/>
          <w:szCs w:val="20"/>
          <w:color w:val="auto"/>
        </w:rPr>
      </w:pPr>
      <w:r>
        <w:rPr>
          <w:rFonts w:ascii="Courier New" w:cs="Courier New" w:eastAsia="Courier New" w:hAnsi="Courier New"/>
          <w:sz w:val="18"/>
          <w:szCs w:val="18"/>
          <w:color w:val="auto"/>
        </w:rPr>
        <w:t>requirements under the Securities Act in</w:t>
      </w:r>
    </w:p>
    <w:p>
      <w:pPr>
        <w:ind w:left="3480"/>
        <w:spacing w:after="0"/>
        <w:rPr>
          <w:sz w:val="20"/>
          <w:szCs w:val="20"/>
          <w:color w:val="auto"/>
        </w:rPr>
      </w:pPr>
      <w:r>
        <w:rPr>
          <w:rFonts w:ascii="Courier New" w:cs="Courier New" w:eastAsia="Courier New" w:hAnsi="Courier New"/>
          <w:sz w:val="18"/>
          <w:szCs w:val="18"/>
          <w:color w:val="auto"/>
        </w:rPr>
        <w:t>connection with any resale transaction.</w:t>
      </w: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If you are a broker-dealer and receive exchange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that those outstanding notes were acquired as a</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result of market-making or other trading</w:t>
      </w:r>
    </w:p>
    <w:p>
      <w:pPr>
        <w:ind w:left="3480"/>
        <w:spacing w:after="0" w:line="238" w:lineRule="auto"/>
        <w:rPr>
          <w:sz w:val="20"/>
          <w:szCs w:val="20"/>
          <w:color w:val="auto"/>
        </w:rPr>
      </w:pPr>
      <w:r>
        <w:rPr>
          <w:rFonts w:ascii="Courier New" w:cs="Courier New" w:eastAsia="Courier New" w:hAnsi="Courier New"/>
          <w:sz w:val="18"/>
          <w:szCs w:val="18"/>
          <w:color w:val="auto"/>
        </w:rPr>
        <w:t>activities and you must acknowledge that you</w:t>
      </w:r>
    </w:p>
    <w:p>
      <w:pPr>
        <w:ind w:left="3480"/>
        <w:spacing w:after="0"/>
        <w:rPr>
          <w:sz w:val="20"/>
          <w:szCs w:val="20"/>
          <w:color w:val="auto"/>
        </w:rPr>
      </w:pPr>
      <w:r>
        <w:rPr>
          <w:rFonts w:ascii="Courier New" w:cs="Courier New" w:eastAsia="Courier New" w:hAnsi="Courier New"/>
          <w:sz w:val="18"/>
          <w:szCs w:val="18"/>
          <w:color w:val="auto"/>
        </w:rPr>
        <w:t>will deliver a Prospectus if you resell the</w:t>
      </w:r>
    </w:p>
    <w:p>
      <w:pPr>
        <w:ind w:left="3480"/>
        <w:spacing w:after="0" w:line="237" w:lineRule="auto"/>
        <w:rPr>
          <w:sz w:val="20"/>
          <w:szCs w:val="20"/>
          <w:color w:val="auto"/>
        </w:rPr>
      </w:pPr>
      <w:r>
        <w:rPr>
          <w:rFonts w:ascii="Courier New" w:cs="Courier New" w:eastAsia="Courier New" w:hAnsi="Courier New"/>
          <w:sz w:val="18"/>
          <w:szCs w:val="18"/>
          <w:color w:val="auto"/>
        </w:rPr>
        <w:t>exchange notes. By acknowledging your intent</w:t>
      </w:r>
    </w:p>
    <w:p>
      <w:pPr>
        <w:ind w:left="3480"/>
        <w:spacing w:after="0" w:line="238" w:lineRule="auto"/>
        <w:rPr>
          <w:sz w:val="20"/>
          <w:szCs w:val="20"/>
          <w:color w:val="auto"/>
        </w:rPr>
      </w:pPr>
      <w:r>
        <w:rPr>
          <w:rFonts w:ascii="Courier New" w:cs="Courier New" w:eastAsia="Courier New" w:hAnsi="Courier New"/>
          <w:sz w:val="18"/>
          <w:szCs w:val="18"/>
          <w:color w:val="auto"/>
        </w:rPr>
        <w:t>and delivering a Prospectus you will not be</w:t>
      </w:r>
    </w:p>
    <w:p>
      <w:pPr>
        <w:ind w:left="3480"/>
        <w:spacing w:after="0"/>
        <w:rPr>
          <w:sz w:val="20"/>
          <w:szCs w:val="20"/>
          <w:color w:val="auto"/>
        </w:rPr>
      </w:pPr>
      <w:r>
        <w:rPr>
          <w:rFonts w:ascii="Courier New" w:cs="Courier New" w:eastAsia="Courier New" w:hAnsi="Courier New"/>
          <w:sz w:val="18"/>
          <w:szCs w:val="18"/>
          <w:color w:val="auto"/>
        </w:rPr>
        <w:t>deemed to admit that you are an "underwriter"</w:t>
      </w:r>
    </w:p>
    <w:p>
      <w:pPr>
        <w:ind w:left="3480"/>
        <w:spacing w:after="0" w:line="237" w:lineRule="auto"/>
        <w:rPr>
          <w:sz w:val="20"/>
          <w:szCs w:val="20"/>
          <w:color w:val="auto"/>
        </w:rPr>
      </w:pPr>
      <w:r>
        <w:rPr>
          <w:rFonts w:ascii="Courier New" w:cs="Courier New" w:eastAsia="Courier New" w:hAnsi="Courier New"/>
          <w:sz w:val="18"/>
          <w:szCs w:val="18"/>
          <w:color w:val="auto"/>
        </w:rPr>
        <w:t>as defined under the Securities Act. You may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time when you resell exchange notes which</w:t>
      </w:r>
    </w:p>
    <w:p>
      <w:pPr>
        <w:ind w:left="3480"/>
        <w:spacing w:after="0" w:line="238" w:lineRule="auto"/>
        <w:rPr>
          <w:sz w:val="20"/>
          <w:szCs w:val="20"/>
          <w:color w:val="auto"/>
        </w:rPr>
      </w:pPr>
      <w:r>
        <w:rPr>
          <w:rFonts w:ascii="Courier New" w:cs="Courier New" w:eastAsia="Courier New" w:hAnsi="Courier New"/>
          <w:sz w:val="18"/>
          <w:szCs w:val="18"/>
          <w:color w:val="auto"/>
        </w:rPr>
        <w:t>were acquired from market-making or trading</w:t>
      </w:r>
    </w:p>
    <w:p>
      <w:pPr>
        <w:ind w:left="3480"/>
        <w:spacing w:after="0"/>
        <w:rPr>
          <w:sz w:val="20"/>
          <w:szCs w:val="20"/>
          <w:color w:val="auto"/>
        </w:rPr>
      </w:pPr>
      <w:r>
        <w:rPr>
          <w:rFonts w:ascii="Courier New" w:cs="Courier New" w:eastAsia="Courier New" w:hAnsi="Courier New"/>
          <w:sz w:val="18"/>
          <w:szCs w:val="18"/>
          <w:color w:val="auto"/>
        </w:rPr>
        <w:t>activities. For a year after the expiration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any broker-dealer in connection with such a</w:t>
      </w:r>
    </w:p>
    <w:p>
      <w:pPr>
        <w:ind w:left="3480"/>
        <w:spacing w:after="0" w:line="238" w:lineRule="auto"/>
        <w:rPr>
          <w:sz w:val="20"/>
          <w:szCs w:val="20"/>
          <w:color w:val="auto"/>
        </w:rPr>
      </w:pPr>
      <w:r>
        <w:rPr>
          <w:rFonts w:ascii="Courier New" w:cs="Courier New" w:eastAsia="Courier New" w:hAnsi="Courier New"/>
          <w:sz w:val="18"/>
          <w:szCs w:val="18"/>
          <w:color w:val="auto"/>
        </w:rPr>
        <w:t>resale. See "Plan of Distribution."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362" w:gutter="0" w:footer="0" w:header="0"/>
        </w:sectPr>
      </w:pPr>
    </w:p>
    <w:bookmarkStart w:id="7" w:name="page8"/>
    <w:bookmarkEnd w:id="7"/>
    <w:p>
      <w:pPr>
        <w:spacing w:after="0" w:line="290" w:lineRule="auto"/>
        <w:rPr>
          <w:sz w:val="20"/>
          <w:szCs w:val="20"/>
          <w:color w:val="auto"/>
        </w:rPr>
      </w:pPr>
      <w:r>
        <w:rPr>
          <w:rFonts w:ascii="Courier New" w:cs="Courier New" w:eastAsia="Courier New" w:hAnsi="Courier New"/>
          <w:sz w:val="16"/>
          <w:szCs w:val="16"/>
          <w:color w:val="auto"/>
        </w:rPr>
        <w:t>Consequences of Failure to Exchange Notes................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If you do not exchange your outstanding notes during the exchange offer you will no longer be entitled to registration rights. You will not be able to offer or sell the outstanding notes unless they are later registered, sold pursuant to an exemption from registration or sold in a transaction not subject to the Securities Act or state securities laws. Other than in connection with the exchange offer, we are not obligated to, nor do we currently anticipate that we will register the outstanding notes under the Securities Act. See "The Exchange Offer -- Consequences of Failure to Exchange."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terminated sooner, the exchange offer will expire at 5:00 p.m., New York City time, on January 3, 2003, or such later date and time to which we extend it, referred to as the "expiration date."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not be required to accept outstanding notes for exchange if the exchange offer would violate applicable law or if any legal action has been instituted or threatened that would impair our ability to proceed with the exchange offer. No minimum principal amount of outstanding notes must be tendered to complete the exchange offer. However, the exchange offer is subject to certain customary conditions which we may waive. See "The Exchange Offer -- Conditions."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Procedures for Tendering Outstanding Notes.............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you wish to participate in the exchange offer, you must complete, sign and date the accompanying letter of transmittal or a facsimile copy and mail or deliver it to the exchange agent along with any other necessary documentation. Instructions and the address of the exchange agent are on the letter of transmittal and in this Prospectus. In the alternative, if your outstanding notes are held through The Depository Trust Company (the "DTC") and you wish to participate in the exchange offer, you may do so through the automated tender offer program of DTC. If you tender under this program you will agree to be bound by the letter of transmittal that we are providing with this Prospectus as though you had signed the letter of transmittal. By signing or agreeing to be bound by the letter of transmittal, you will represent to us, among other things, the applicable matters described above in "-- Resales of Exchange Notes." See "The Exchange Offer -- Procedures for Tendering" and "-- Exchange Agent."</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cannot tender the outstanding notes, complete the letter of transmittal or provide the necessary documentation prior to the termination of the exchange offer, you may tender your outstanding notes according to the guaranteed delivery procedures set forth in "The Exchange Offer -- Guaranteed Delivery Procedures."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If you are a beneficial owner of outstanding notes which are registered in the name of a broker, dealer, commercial bank,</w:t>
      </w:r>
    </w:p>
    <w:p>
      <w:pPr>
        <w:spacing w:after="0" w:line="178"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0" w:gutter="0" w:footer="0" w:header="0"/>
          <w:type w:val="continuous"/>
        </w:sectPr>
      </w:pPr>
    </w:p>
    <w:bookmarkStart w:id="8" w:name="page9"/>
    <w:bookmarkEnd w:id="8"/>
    <w:p>
      <w:pPr>
        <w:ind w:left="3480"/>
        <w:spacing w:after="0"/>
        <w:rPr>
          <w:sz w:val="20"/>
          <w:szCs w:val="20"/>
          <w:color w:val="auto"/>
        </w:rPr>
      </w:pPr>
      <w:r>
        <w:rPr>
          <w:rFonts w:ascii="Courier New" w:cs="Courier New" w:eastAsia="Courier New" w:hAnsi="Courier New"/>
          <w:sz w:val="16"/>
          <w:szCs w:val="16"/>
          <w:color w:val="auto"/>
        </w:rPr>
        <w:t>trust company or other nominee, and you wish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outstanding notes in the exchange offer,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should contact the registered holder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promptly and instruct the registered holder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on your behalf. If you wish to tender on</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your own behalf, you must, prior to completing</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 executing the letter of transmittal and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delivering your outstanding notes, either make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appropriate arrangements to register ownership</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the outstanding notes in your name or obtain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 properly completed bond power from the</w:t>
      </w:r>
    </w:p>
    <w:p>
      <w:pPr>
        <w:ind w:left="3480"/>
        <w:spacing w:after="0" w:line="238" w:lineRule="auto"/>
        <w:rPr>
          <w:sz w:val="20"/>
          <w:szCs w:val="20"/>
          <w:color w:val="auto"/>
        </w:rPr>
      </w:pPr>
      <w:r>
        <w:rPr>
          <w:rFonts w:ascii="Courier New" w:cs="Courier New" w:eastAsia="Courier New" w:hAnsi="Courier New"/>
          <w:sz w:val="18"/>
          <w:szCs w:val="18"/>
          <w:color w:val="auto"/>
        </w:rPr>
        <w:t>registered holder. The transfer of registered</w:t>
      </w:r>
    </w:p>
    <w:p>
      <w:pPr>
        <w:ind w:left="3480"/>
        <w:spacing w:after="0"/>
        <w:rPr>
          <w:sz w:val="20"/>
          <w:szCs w:val="20"/>
          <w:color w:val="auto"/>
        </w:rPr>
      </w:pPr>
      <w:r>
        <w:rPr>
          <w:rFonts w:ascii="Courier New" w:cs="Courier New" w:eastAsia="Courier New" w:hAnsi="Courier New"/>
          <w:sz w:val="18"/>
          <w:szCs w:val="18"/>
          <w:color w:val="auto"/>
        </w:rPr>
        <w:t>ownership may take considerable time and may</w:t>
      </w:r>
    </w:p>
    <w:p>
      <w:pPr>
        <w:ind w:left="3480"/>
        <w:spacing w:after="0" w:line="237" w:lineRule="auto"/>
        <w:rPr>
          <w:sz w:val="20"/>
          <w:szCs w:val="20"/>
          <w:color w:val="auto"/>
        </w:rPr>
      </w:pPr>
      <w:r>
        <w:rPr>
          <w:rFonts w:ascii="Courier New" w:cs="Courier New" w:eastAsia="Courier New" w:hAnsi="Courier New"/>
          <w:sz w:val="18"/>
          <w:szCs w:val="18"/>
          <w:color w:val="auto"/>
        </w:rPr>
        <w:t>not be able to be completed prior to the</w:t>
      </w:r>
    </w:p>
    <w:p>
      <w:pPr>
        <w:ind w:left="3480"/>
        <w:spacing w:after="0" w:line="238" w:lineRule="auto"/>
        <w:rPr>
          <w:sz w:val="20"/>
          <w:szCs w:val="20"/>
          <w:color w:val="auto"/>
        </w:rPr>
      </w:pPr>
      <w:r>
        <w:rPr>
          <w:rFonts w:ascii="Courier New" w:cs="Courier New" w:eastAsia="Courier New" w:hAnsi="Courier New"/>
          <w:sz w:val="18"/>
          <w:szCs w:val="18"/>
          <w:color w:val="auto"/>
        </w:rPr>
        <w:t>expiration date.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may withdraw outstanding notes that have been tendered at any time prior to the expiration date by sending a written or facsimile withdrawal notice to the Exchange Agent.</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Acceptance of Outstanding Notes and Delivery of Exchange Notes.........................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All outstanding notes properly tendered to the Exchange Agent and not withdrawn by the expiration date will be accepted for exchange. The exchange notes will be delivered promptly after the expiration date. See "The Exchange Offer -- Acceptance of Notes for Exchange; Delivery of Exchange Notes."</w:t>
      </w:r>
    </w:p>
    <w:p>
      <w:pPr>
        <w:spacing w:after="0" w:line="188"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U.S. Federal Income Tax Consequences..................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 outstanding notes for exchange notes will not be a taxable event for U.S. federal income tax purposes. See "United States Federal Income Tax Consequences for Non-U.S. Holders."</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2220"/>
        <w:spacing w:after="0"/>
        <w:rPr>
          <w:sz w:val="20"/>
          <w:szCs w:val="20"/>
          <w:color w:val="auto"/>
        </w:rPr>
      </w:pPr>
      <w:r>
        <w:rPr>
          <w:rFonts w:ascii="Courier New" w:cs="Courier New" w:eastAsia="Courier New" w:hAnsi="Courier New"/>
          <w:sz w:val="16"/>
          <w:szCs w:val="16"/>
          <w:color w:val="auto"/>
        </w:rPr>
        <w:t>SUMMARY OF TERMS OF THE EXCHANGE NOTES</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$500 million principal amount of 7 3/4% Senior Notes due 2032.</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15, 2032.</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on all exchange notes will be paid semi-annually in cash in arrears on May 15 and November 15 of each year, commencing May 15, 2003.</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outstanding notes are, and the exchange notes will be, our general unsecured senior obligations and will rank equal in right of payment to all of our other existing and future senior and unsecured indebtedness, including debt under our credit facilities. However, the exchange notes will be structurally subordinated to the indebtedness of all of our subsidiaries other than Waste Management Holdings. The amount of that debt as of September 30, 2002 was approximately $1.6 billion. The indenture does not limit the amount of senior debt we can issue, nor does it limit the amount of debt that can be issued by our subsidiaries. See "Description of Exchange Notes -- Ranking."</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outstanding notes are, and the exchange notes will be, guaranteed by our wholly-owned subsidiary, Waste Management Holdings, on a full and unconditional basis. The subsidiary guarantee will be unsecured senior indebtedness of Waste Management Holdings, will be equal in right of payment to all senior and unsecured indebtedness of Waste Management Holdings and will also be structurally subordinated to our non-guarantor subsidiaries' indebtedness. See "Description of Exchange Notes -- Subsidiary Guarantee."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issued the outstanding notes, and will issue the exchange notes, under an indenture with JPMorgan Chase Bank, the trustee. The indenture, among other things, restricts our ability and the ability of our subsidiaries to:</w:t>
      </w:r>
    </w:p>
    <w:p>
      <w:pPr>
        <w:spacing w:after="0" w:line="179"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ind w:left="3480"/>
        <w:spacing w:after="0"/>
        <w:rPr>
          <w:sz w:val="20"/>
          <w:szCs w:val="20"/>
          <w:color w:val="auto"/>
        </w:rPr>
      </w:pPr>
      <w:r>
        <w:rPr>
          <w:rFonts w:ascii="Courier New" w:cs="Courier New" w:eastAsia="Courier New" w:hAnsi="Courier New"/>
          <w:sz w:val="18"/>
          <w:szCs w:val="18"/>
          <w:color w:val="auto"/>
        </w:rPr>
        <w:t>- create liens securing indebtedness; and</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engage in sale and leaseback transactions.</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However, the indenture does not limit the</w:t>
      </w:r>
    </w:p>
    <w:p>
      <w:pPr>
        <w:ind w:left="3480"/>
        <w:spacing w:after="0" w:line="238" w:lineRule="auto"/>
        <w:rPr>
          <w:sz w:val="20"/>
          <w:szCs w:val="20"/>
          <w:color w:val="auto"/>
        </w:rPr>
      </w:pPr>
      <w:r>
        <w:rPr>
          <w:rFonts w:ascii="Courier New" w:cs="Courier New" w:eastAsia="Courier New" w:hAnsi="Courier New"/>
          <w:sz w:val="18"/>
          <w:szCs w:val="18"/>
          <w:color w:val="auto"/>
        </w:rPr>
        <w:t>amount of indebtedness that we or our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subsidiaries can incur. For more details, see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"Description of Exchange Notes -- Certain</w:t>
      </w:r>
    </w:p>
    <w:p>
      <w:pPr>
        <w:ind w:left="3480"/>
        <w:spacing w:after="0" w:line="238" w:lineRule="auto"/>
        <w:rPr>
          <w:sz w:val="20"/>
          <w:szCs w:val="20"/>
          <w:color w:val="auto"/>
        </w:rPr>
      </w:pPr>
      <w:r>
        <w:rPr>
          <w:rFonts w:ascii="Courier New" w:cs="Courier New" w:eastAsia="Courier New" w:hAnsi="Courier New"/>
          <w:sz w:val="18"/>
          <w:szCs w:val="18"/>
          <w:color w:val="auto"/>
        </w:rPr>
        <w:t>Covenants."</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will not receive any cash proceeds from the issuance of the exchange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exchange notes will be registered securities but will also be new securities for which there will not initially be a market. Accordingly, we cannot assure you whether a market for the exchange notes will develop or as to the liquidity of any such market. We do not intend to apply for a listing of the</w:t>
      </w:r>
    </w:p>
    <w:p>
      <w:pPr>
        <w:sectPr>
          <w:pgSz w:w="11900" w:h="16838" w:orient="portrait"/>
          <w:cols w:equalWidth="0" w:num="1">
            <w:col w:w="10219"/>
          </w:cols>
          <w:pgMar w:left="240" w:top="723" w:right="1440" w:bottom="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exchange</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AGENT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delivery by mail, overnight delivery or hand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JPMorgan Chase Bank</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700 Lavaca, 5th floor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Austin, Texas 78701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Attention: Mr. Cary Gilliam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Telephone (512) 479-2575</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facsimile transmission (for eligible institutions only):</w:t>
      </w:r>
    </w:p>
    <w:p>
      <w:pPr>
        <w:spacing w:after="0" w:line="200" w:lineRule="exact"/>
        <w:rPr>
          <w:sz w:val="20"/>
          <w:szCs w:val="20"/>
          <w:color w:val="auto"/>
        </w:rPr>
      </w:pPr>
    </w:p>
    <w:p>
      <w:pPr>
        <w:spacing w:after="0" w:line="204" w:lineRule="exact"/>
        <w:rPr>
          <w:sz w:val="20"/>
          <w:szCs w:val="20"/>
          <w:color w:val="auto"/>
        </w:rPr>
      </w:pPr>
    </w:p>
    <w:p>
      <w:pPr>
        <w:ind w:left="4120" w:hanging="636"/>
        <w:spacing w:after="0"/>
        <w:tabs>
          <w:tab w:leader="none" w:pos="4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479-2553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Mr. Cary Gilliam</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confirm receipt:</w:t>
      </w:r>
    </w:p>
    <w:p>
      <w:pPr>
        <w:spacing w:after="0" w:line="201" w:lineRule="exact"/>
        <w:rPr>
          <w:sz w:val="20"/>
          <w:szCs w:val="20"/>
          <w:color w:val="auto"/>
        </w:rPr>
      </w:pPr>
    </w:p>
    <w:p>
      <w:pPr>
        <w:ind w:left="4120" w:hanging="636"/>
        <w:spacing w:after="0"/>
        <w:tabs>
          <w:tab w:leader="none" w:pos="4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479-2575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2" w:name="page13"/>
    <w:bookmarkEnd w:id="12"/>
    <w:p>
      <w:pPr>
        <w:ind w:left="1800"/>
        <w:spacing w:after="0"/>
        <w:rPr>
          <w:sz w:val="20"/>
          <w:szCs w:val="20"/>
          <w:color w:val="auto"/>
        </w:rPr>
      </w:pPr>
      <w:r>
        <w:rPr>
          <w:rFonts w:ascii="Courier New" w:cs="Courier New" w:eastAsia="Courier New" w:hAnsi="Courier New"/>
          <w:sz w:val="18"/>
          <w:szCs w:val="18"/>
          <w:color w:val="auto"/>
        </w:rPr>
        <w:t>HISTORICAL AND SELECTED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nine months ended September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2002 are not necessarily indicative of the results that may be expected for the full year.</w:t>
      </w:r>
    </w:p>
    <w:p>
      <w:pPr>
        <w:spacing w:after="0" w:line="202"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NINE MONTHS ENDED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SEPTEMBER 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--------------- 1997 1998 1999</w:t>
      </w:r>
    </w:p>
    <w:p>
      <w:pPr>
        <w:ind w:left="60"/>
        <w:spacing w:after="0" w:line="238" w:lineRule="auto"/>
        <w:rPr>
          <w:sz w:val="20"/>
          <w:szCs w:val="20"/>
          <w:color w:val="auto"/>
        </w:rPr>
      </w:pPr>
      <w:r>
        <w:rPr>
          <w:rFonts w:ascii="Courier New" w:cs="Courier New" w:eastAsia="Courier New" w:hAnsi="Courier New"/>
          <w:sz w:val="18"/>
          <w:szCs w:val="18"/>
          <w:color w:val="auto"/>
        </w:rPr>
        <w:t>2000 2001 2001 2002 ------- -------</w:t>
      </w:r>
    </w:p>
    <w:p>
      <w:pPr>
        <w:ind w:left="60"/>
        <w:spacing w:after="0"/>
        <w:rPr>
          <w:sz w:val="20"/>
          <w:szCs w:val="20"/>
          <w:color w:val="auto"/>
        </w:rPr>
      </w:pPr>
      <w:r>
        <w:rPr>
          <w:rFonts w:ascii="Courier New" w:cs="Courier New" w:eastAsia="Courier New" w:hAnsi="Courier New"/>
          <w:sz w:val="18"/>
          <w:szCs w:val="18"/>
          <w:color w:val="auto"/>
        </w:rPr>
        <w:t>------- ------- ------- ------ ----</w:t>
      </w:r>
    </w:p>
    <w:p>
      <w:pPr>
        <w:spacing w:after="0" w:line="4" w:lineRule="exact"/>
        <w:rPr>
          <w:sz w:val="20"/>
          <w:szCs w:val="20"/>
          <w:color w:val="auto"/>
        </w:rPr>
      </w:pPr>
    </w:p>
    <w:p>
      <w:pPr>
        <w:jc w:val="both"/>
        <w:ind w:left="220" w:right="6579" w:hanging="60"/>
        <w:spacing w:after="0" w:line="268" w:lineRule="auto"/>
        <w:tabs>
          <w:tab w:leader="none" w:pos="48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STATEMENT OF OPERATIONS</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DATA: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$11,972 $12,626 $13,127 $12,492</w:t>
      </w:r>
    </w:p>
    <w:p>
      <w:pPr>
        <w:ind w:left="60"/>
        <w:spacing w:after="0"/>
        <w:rPr>
          <w:sz w:val="20"/>
          <w:szCs w:val="20"/>
          <w:color w:val="auto"/>
        </w:rPr>
      </w:pPr>
      <w:r>
        <w:rPr>
          <w:rFonts w:ascii="Courier New" w:cs="Courier New" w:eastAsia="Courier New" w:hAnsi="Courier New"/>
          <w:sz w:val="18"/>
          <w:szCs w:val="18"/>
          <w:color w:val="auto"/>
        </w:rPr>
        <w:t>$11,322 $8,531 $8,330 ------- -----</w:t>
      </w:r>
    </w:p>
    <w:p>
      <w:pPr>
        <w:ind w:left="380" w:hanging="325"/>
        <w:spacing w:after="0" w:line="237" w:lineRule="auto"/>
        <w:tabs>
          <w:tab w:leader="none" w:pos="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Costs and expenses: Operating</w:t>
      </w:r>
    </w:p>
    <w:p>
      <w:pPr>
        <w:spacing w:after="0" w:line="4" w:lineRule="exact"/>
        <w:rPr>
          <w:rFonts w:ascii="Courier New" w:cs="Courier New" w:eastAsia="Courier New" w:hAnsi="Courier New"/>
          <w:sz w:val="18"/>
          <w:szCs w:val="18"/>
          <w:color w:val="auto"/>
        </w:rPr>
      </w:pPr>
    </w:p>
    <w:p>
      <w:pPr>
        <w:jc w:val="both"/>
        <w:ind w:left="320" w:right="6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(exclusive of depreciation and amortization shown below).....</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7,482 7,283 8,269 7,538 6,666 5,071</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 Selling, general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1,438 1,333 1,920 1,738 1,622 1,170</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1,122 Depreciation and</w:t>
      </w:r>
    </w:p>
    <w:tbl>
      <w:tblPr>
        <w:tblLayout w:type="fixed"/>
        <w:tblInd w:w="60" w:type="dxa"/>
        <w:tblCellMar>
          <w:top w:w="0" w:type="dxa"/>
          <w:left w:w="0" w:type="dxa"/>
          <w:bottom w:w="0" w:type="dxa"/>
          <w:right w:w="0" w:type="dxa"/>
        </w:tblCellMar>
      </w:tblPr>
      <w:tr>
        <w:trPr>
          <w:trHeight w:val="203"/>
        </w:trPr>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w w:val="96"/>
              </w:rPr>
              <w:t>amortization.......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1,392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1,499</w:t>
            </w:r>
          </w:p>
        </w:tc>
        <w:tc>
          <w:tcPr>
            <w:tcW w:w="16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1,614 1,429 1,371 1,028 918</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Merger,</w:t>
            </w:r>
          </w:p>
        </w:tc>
      </w:tr>
      <w:tr>
        <w:trPr>
          <w:trHeight w:val="203"/>
        </w:trPr>
        <w:tc>
          <w:tcPr>
            <w:tcW w:w="35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acquisition and restructuring</w:t>
            </w:r>
          </w:p>
        </w:tc>
        <w:tc>
          <w:tcPr>
            <w:tcW w:w="16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related costs.......</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113 1,807 45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540" w:right="6639" w:hanging="1327"/>
        <w:spacing w:after="0" w:line="235" w:lineRule="auto"/>
        <w:tabs>
          <w:tab w:leader="none" w:pos="43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-- 38 Asset impairments and unusual</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gridSpan w:val="2"/>
          </w:tcPr>
          <w:p>
            <w:pPr>
              <w:spacing w:after="0"/>
              <w:rPr>
                <w:sz w:val="20"/>
                <w:szCs w:val="20"/>
                <w:color w:val="auto"/>
              </w:rPr>
            </w:pPr>
            <w:r>
              <w:rPr>
                <w:rFonts w:ascii="Courier New" w:cs="Courier New" w:eastAsia="Courier New" w:hAnsi="Courier New"/>
                <w:sz w:val="5"/>
                <w:szCs w:val="5"/>
                <w:color w:val="auto"/>
                <w:w w:val="96"/>
              </w:rPr>
              <w:t>items.............................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1,771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864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(9) Loss</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from continuing operations held for</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sale, net of minority</w:t>
      </w:r>
    </w:p>
    <w:p>
      <w:pPr>
        <w:spacing w:after="0" w:line="238" w:lineRule="auto"/>
        <w:rPr>
          <w:sz w:val="20"/>
          <w:szCs w:val="20"/>
          <w:color w:val="auto"/>
        </w:rPr>
      </w:pPr>
      <w:r>
        <w:rPr>
          <w:rFonts w:ascii="Courier New" w:cs="Courier New" w:eastAsia="Courier New" w:hAnsi="Courier New"/>
          <w:sz w:val="18"/>
          <w:szCs w:val="18"/>
          <w:color w:val="auto"/>
        </w:rPr>
        <w:t>interest............................</w:t>
      </w:r>
    </w:p>
    <w:p>
      <w:pPr>
        <w:ind w:left="60"/>
        <w:spacing w:after="0"/>
        <w:rPr>
          <w:sz w:val="20"/>
          <w:szCs w:val="20"/>
          <w:color w:val="auto"/>
        </w:rPr>
      </w:pPr>
      <w:r>
        <w:rPr>
          <w:rFonts w:ascii="Courier New" w:cs="Courier New" w:eastAsia="Courier New" w:hAnsi="Courier New"/>
          <w:sz w:val="18"/>
          <w:szCs w:val="18"/>
          <w:color w:val="auto"/>
        </w:rPr>
        <w:t>10 -- -- -- -- -- -- ------- ------</w:t>
      </w:r>
    </w:p>
    <w:p>
      <w:pPr>
        <w:ind w:left="60"/>
        <w:spacing w:after="0" w:line="237" w:lineRule="auto"/>
        <w:rPr>
          <w:sz w:val="20"/>
          <w:szCs w:val="20"/>
          <w:color w:val="auto"/>
        </w:rPr>
      </w:pPr>
      <w:r>
        <w:rPr>
          <w:rFonts w:ascii="Courier New" w:cs="Courier New" w:eastAsia="Courier New" w:hAnsi="Courier New"/>
          <w:sz w:val="18"/>
          <w:szCs w:val="18"/>
          <w:color w:val="auto"/>
        </w:rPr>
        <w:t>- ------- ------- ------- ------ --</w:t>
      </w:r>
    </w:p>
    <w:tbl>
      <w:tblPr>
        <w:tblLayout w:type="fixed"/>
        <w:tblInd w:w="100"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---- 12,206</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12,786 12,587 11,454</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10,039 7,631</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7,069 -------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Income (loss) from</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operations......... (234) (160) 540</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1,038 1,283 900 1,261 ------- -----</w:t>
      </w:r>
    </w:p>
    <w:p>
      <w:pPr>
        <w:spacing w:after="0" w:line="16" w:lineRule="exact"/>
        <w:rPr>
          <w:sz w:val="20"/>
          <w:szCs w:val="20"/>
          <w:color w:val="auto"/>
        </w:rPr>
      </w:pPr>
    </w:p>
    <w:p>
      <w:pPr>
        <w:ind w:left="380" w:hanging="325"/>
        <w:spacing w:after="0"/>
        <w:tabs>
          <w:tab w:leader="none" w:pos="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8"/>
          <w:szCs w:val="18"/>
          <w:color w:val="auto"/>
        </w:rPr>
      </w:pPr>
    </w:p>
    <w:p>
      <w:pPr>
        <w:ind w:left="1480" w:right="6799" w:hanging="1109"/>
        <w:spacing w:after="0" w:line="268" w:lineRule="auto"/>
        <w:tabs>
          <w:tab w:leader="none" w:pos="100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income (expense): Interest</w:t>
      </w:r>
    </w:p>
    <w:tbl>
      <w:tblPr>
        <w:tblLayout w:type="fixed"/>
        <w:tblInd w:w="160" w:type="dxa"/>
        <w:tblCellMar>
          <w:top w:w="0" w:type="dxa"/>
          <w:left w:w="0" w:type="dxa"/>
          <w:bottom w:w="0" w:type="dxa"/>
          <w:right w:w="0" w:type="dxa"/>
        </w:tblCellMar>
      </w:tblPr>
      <w:tr>
        <w:trPr>
          <w:trHeight w:val="199"/>
        </w:trPr>
        <w:tc>
          <w:tcPr>
            <w:tcW w:w="290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expense....................</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(556)</w:t>
            </w:r>
          </w:p>
        </w:tc>
      </w:tr>
    </w:tbl>
    <w:p>
      <w:pPr>
        <w:spacing w:after="0" w:line="4" w:lineRule="exact"/>
        <w:rPr>
          <w:sz w:val="20"/>
          <w:szCs w:val="20"/>
          <w:color w:val="auto"/>
        </w:rPr>
      </w:pPr>
    </w:p>
    <w:p>
      <w:pPr>
        <w:ind w:left="1480" w:right="6479" w:hanging="1425"/>
        <w:spacing w:after="0" w:line="235" w:lineRule="auto"/>
        <w:tabs>
          <w:tab w:leader="none" w:pos="69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(770) (748) (541) (425) (350) Interest</w:t>
      </w:r>
    </w:p>
    <w:tbl>
      <w:tblPr>
        <w:tblLayout w:type="fixed"/>
        <w:tblInd w:w="6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income.....................</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45 27</w:t>
            </w:r>
          </w:p>
        </w:tc>
      </w:tr>
      <w:tr>
        <w:trPr>
          <w:trHeight w:val="203"/>
        </w:trPr>
        <w:tc>
          <w:tcPr>
            <w:tcW w:w="36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38 31 37 34 14 Minority</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interest...................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 (24)</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w w:val="94"/>
              </w:rPr>
              <w:t>(23) (5)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income, net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139 53 23 13 9 4 -------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80" w:hanging="625"/>
        <w:spacing w:after="0" w:line="238" w:lineRule="auto"/>
        <w:tabs>
          <w:tab w:leader="none" w:pos="6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80" w:hanging="625"/>
        <w:spacing w:after="0" w:line="238" w:lineRule="auto"/>
        <w:tabs>
          <w:tab w:leader="none" w:pos="6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(540) (703) (717) (496) (385)</w:t>
      </w:r>
    </w:p>
    <w:p>
      <w:pPr>
        <w:ind w:left="680" w:hanging="625"/>
        <w:spacing w:after="0" w:line="238" w:lineRule="auto"/>
        <w:tabs>
          <w:tab w:leader="none" w:pos="6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Income</w:t>
      </w:r>
    </w:p>
    <w:p>
      <w:pPr>
        <w:ind w:left="160"/>
        <w:spacing w:after="0"/>
        <w:rPr>
          <w:sz w:val="20"/>
          <w:szCs w:val="20"/>
          <w:color w:val="auto"/>
        </w:rPr>
      </w:pPr>
      <w:r>
        <w:rPr>
          <w:rFonts w:ascii="Courier New" w:cs="Courier New" w:eastAsia="Courier New" w:hAnsi="Courier New"/>
          <w:sz w:val="18"/>
          <w:szCs w:val="18"/>
          <w:color w:val="auto"/>
        </w:rPr>
        <w:t>(loss) from continuing operations</w:t>
      </w:r>
    </w:p>
    <w:tbl>
      <w:tblPr>
        <w:tblLayout w:type="fixed"/>
        <w:tblInd w:w="260" w:type="dxa"/>
        <w:tblCellMar>
          <w:top w:w="0" w:type="dxa"/>
          <w:left w:w="0" w:type="dxa"/>
          <w:bottom w:w="0" w:type="dxa"/>
          <w:right w:w="0" w:type="dxa"/>
        </w:tblCellMar>
      </w:tblPr>
      <w:tr>
        <w:trPr>
          <w:trHeight w:val="202"/>
        </w:trPr>
        <w:tc>
          <w:tcPr>
            <w:tcW w:w="270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before income taxes......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(663)</w:t>
            </w:r>
          </w:p>
        </w:tc>
      </w:tr>
    </w:tbl>
    <w:p>
      <w:pPr>
        <w:spacing w:after="0" w:line="4" w:lineRule="exact"/>
        <w:rPr>
          <w:sz w:val="20"/>
          <w:szCs w:val="20"/>
          <w:color w:val="auto"/>
        </w:rPr>
      </w:pPr>
    </w:p>
    <w:p>
      <w:pPr>
        <w:ind w:left="840" w:right="6899" w:hanging="363"/>
        <w:spacing w:after="0" w:line="268" w:lineRule="auto"/>
        <w:tabs>
          <w:tab w:leader="none" w:pos="11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(163) 321 787 515 925 Provision for income</w:t>
      </w:r>
    </w:p>
    <w:p>
      <w:pPr>
        <w:jc w:val="center"/>
        <w:ind w:right="6439"/>
        <w:spacing w:after="0" w:line="233" w:lineRule="auto"/>
        <w:rPr>
          <w:sz w:val="20"/>
          <w:szCs w:val="20"/>
          <w:color w:val="auto"/>
        </w:rPr>
      </w:pPr>
      <w:r>
        <w:rPr>
          <w:rFonts w:ascii="Courier New" w:cs="Courier New" w:eastAsia="Courier New" w:hAnsi="Courier New"/>
          <w:sz w:val="18"/>
          <w:szCs w:val="18"/>
          <w:color w:val="auto"/>
        </w:rPr>
        <w:t>taxes............ 363 67 232 418</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284 170 340 ------- ------- -------</w:t>
      </w:r>
    </w:p>
    <w:p>
      <w:pPr>
        <w:sectPr>
          <w:pgSz w:w="11900" w:h="16838" w:orient="portrait"/>
          <w:cols w:equalWidth="0" w:num="1">
            <w:col w:w="10219"/>
          </w:cols>
          <w:pgMar w:left="240" w:top="717" w:right="1440" w:bottom="0" w:gutter="0" w:footer="0" w:header="0"/>
        </w:sectPr>
      </w:pPr>
    </w:p>
    <w:bookmarkStart w:id="13" w:name="page14"/>
    <w:bookmarkEnd w:id="13"/>
    <w:p>
      <w:pPr>
        <w:jc w:val="center"/>
        <w:ind w:right="6439"/>
        <w:spacing w:after="0"/>
        <w:rPr>
          <w:sz w:val="20"/>
          <w:szCs w:val="20"/>
          <w:color w:val="auto"/>
        </w:rPr>
      </w:pPr>
      <w:r>
        <w:rPr>
          <w:rFonts w:ascii="Courier New" w:cs="Courier New" w:eastAsia="Courier New" w:hAnsi="Courier New"/>
          <w:sz w:val="18"/>
          <w:szCs w:val="18"/>
          <w:color w:val="auto"/>
        </w:rPr>
        <w:t>-------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 from continuing</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(1,026) (767) (395) (97) 503 345</w:t>
      </w:r>
    </w:p>
    <w:p>
      <w:pPr>
        <w:jc w:val="center"/>
        <w:ind w:right="6439"/>
        <w:spacing w:after="0" w:line="238" w:lineRule="auto"/>
        <w:rPr>
          <w:sz w:val="20"/>
          <w:szCs w:val="20"/>
          <w:color w:val="auto"/>
        </w:rPr>
      </w:pPr>
      <w:r>
        <w:rPr>
          <w:rFonts w:ascii="Courier New" w:cs="Courier New" w:eastAsia="Courier New" w:hAnsi="Courier New"/>
          <w:sz w:val="18"/>
          <w:szCs w:val="18"/>
          <w:color w:val="auto"/>
        </w:rPr>
        <w:t>585 Income from discontinued</w:t>
      </w:r>
    </w:p>
    <w:p>
      <w:pPr>
        <w:jc w:val="center"/>
        <w:ind w:right="6439"/>
        <w:spacing w:after="0"/>
        <w:rPr>
          <w:sz w:val="20"/>
          <w:szCs w:val="20"/>
          <w:color w:val="auto"/>
        </w:rPr>
      </w:pPr>
      <w:r>
        <w:rPr>
          <w:rFonts w:ascii="Courier New" w:cs="Courier New" w:eastAsia="Courier New" w:hAnsi="Courier New"/>
          <w:sz w:val="18"/>
          <w:szCs w:val="18"/>
          <w:color w:val="auto"/>
        </w:rPr>
        <w:t>operations... 96 -- --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6439"/>
        <w:spacing w:after="0" w:line="238" w:lineRule="auto"/>
        <w:rPr>
          <w:sz w:val="20"/>
          <w:szCs w:val="20"/>
          <w:color w:val="auto"/>
        </w:rPr>
      </w:pPr>
      <w:r>
        <w:rPr>
          <w:rFonts w:ascii="Courier New" w:cs="Courier New" w:eastAsia="Courier New" w:hAnsi="Courier New"/>
          <w:sz w:val="18"/>
          <w:szCs w:val="18"/>
          <w:color w:val="auto"/>
        </w:rPr>
        <w:t>item.................... (7) (4)</w:t>
      </w:r>
    </w:p>
    <w:p>
      <w:pPr>
        <w:jc w:val="center"/>
        <w:ind w:right="6439"/>
        <w:spacing w:after="0"/>
        <w:rPr>
          <w:sz w:val="20"/>
          <w:szCs w:val="20"/>
          <w:color w:val="auto"/>
        </w:rPr>
      </w:pPr>
      <w:r>
        <w:rPr>
          <w:rFonts w:ascii="Courier New" w:cs="Courier New" w:eastAsia="Courier New" w:hAnsi="Courier New"/>
          <w:sz w:val="18"/>
          <w:szCs w:val="18"/>
          <w:color w:val="auto"/>
        </w:rPr>
        <w:t>(3) -- (2) (2) (1) Accounting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change..................... (2)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-- 2 2 2 -------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439"/>
        <w:spacing w:after="0"/>
        <w:rPr>
          <w:sz w:val="20"/>
          <w:szCs w:val="20"/>
          <w:color w:val="auto"/>
        </w:rPr>
      </w:pPr>
      <w:r>
        <w:rPr>
          <w:rFonts w:ascii="Courier New" w:cs="Courier New" w:eastAsia="Courier New" w:hAnsi="Courier New"/>
          <w:sz w:val="18"/>
          <w:szCs w:val="18"/>
          <w:color w:val="auto"/>
        </w:rPr>
        <w:t>$ (939) $ (771) $ (398) $ (97) $</w:t>
      </w:r>
    </w:p>
    <w:p>
      <w:pPr>
        <w:jc w:val="center"/>
        <w:ind w:right="6439"/>
        <w:spacing w:after="0" w:line="237" w:lineRule="auto"/>
        <w:rPr>
          <w:sz w:val="20"/>
          <w:szCs w:val="20"/>
          <w:color w:val="auto"/>
        </w:rPr>
      </w:pPr>
      <w:r>
        <w:rPr>
          <w:rFonts w:ascii="Courier New" w:cs="Courier New" w:eastAsia="Courier New" w:hAnsi="Courier New"/>
          <w:sz w:val="18"/>
          <w:szCs w:val="18"/>
          <w:color w:val="auto"/>
        </w:rPr>
        <w:t>503 $ 345 $ 586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4" w:name="page15"/>
    <w:bookmarkEnd w:id="14"/>
    <w:p>
      <w:pPr>
        <w:jc w:val="center"/>
        <w:ind w:right="6419"/>
        <w:spacing w:after="0"/>
        <w:rPr>
          <w:sz w:val="20"/>
          <w:szCs w:val="20"/>
          <w:color w:val="auto"/>
        </w:rPr>
      </w:pPr>
      <w:r>
        <w:rPr>
          <w:rFonts w:ascii="Courier New" w:cs="Courier New" w:eastAsia="Courier New" w:hAnsi="Courier New"/>
          <w:sz w:val="18"/>
          <w:szCs w:val="18"/>
          <w:color w:val="auto"/>
        </w:rPr>
        <w:t>NINE MONTHS ENDED YEARS ENDED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DECEMBER 31, SEPTEMBER 30,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--------------- 1997 1998 1999</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2000 2001 2001 2002 -------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w:t>
      </w:r>
    </w:p>
    <w:p>
      <w:pPr>
        <w:spacing w:after="0" w:line="21" w:lineRule="exact"/>
        <w:rPr>
          <w:sz w:val="20"/>
          <w:szCs w:val="20"/>
          <w:color w:val="auto"/>
        </w:rPr>
      </w:pPr>
    </w:p>
    <w:p>
      <w:pPr>
        <w:jc w:val="both"/>
        <w:ind w:left="100" w:right="6539" w:firstLine="60"/>
        <w:spacing w:after="0" w:line="268" w:lineRule="auto"/>
        <w:tabs>
          <w:tab w:leader="none" w:pos="46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Basic earnings (loss) per</w:t>
      </w:r>
    </w:p>
    <w:p>
      <w:pPr>
        <w:jc w:val="center"/>
        <w:ind w:right="6419"/>
        <w:spacing w:after="0" w:line="233" w:lineRule="auto"/>
        <w:rPr>
          <w:sz w:val="20"/>
          <w:szCs w:val="20"/>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0.55 $ 0.95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380" w:hanging="324"/>
        <w:spacing w:after="0"/>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Net</w:t>
      </w:r>
    </w:p>
    <w:tbl>
      <w:tblPr>
        <w:tblLayout w:type="fixed"/>
        <w:tblInd w:w="60" w:type="dxa"/>
        <w:tblCellMar>
          <w:top w:w="0" w:type="dxa"/>
          <w:left w:w="0" w:type="dxa"/>
          <w:bottom w:w="0" w:type="dxa"/>
          <w:right w:w="0" w:type="dxa"/>
        </w:tblCellMar>
      </w:tblP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income (loss)...................</w:t>
            </w:r>
          </w:p>
        </w:tc>
        <w:tc>
          <w:tcPr>
            <w:tcW w:w="9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(1.68) $ (1.32)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(0.65)</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(0.16)</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0.80 $ 0.55 $ 0.95 ======= =======</w:t>
      </w:r>
    </w:p>
    <w:p>
      <w:pPr>
        <w:jc w:val="center"/>
        <w:ind w:right="6419"/>
        <w:spacing w:after="0"/>
        <w:rPr>
          <w:sz w:val="20"/>
          <w:szCs w:val="20"/>
          <w:color w:val="auto"/>
        </w:rPr>
      </w:pPr>
      <w:r>
        <w:rPr>
          <w:rFonts w:ascii="Courier New" w:cs="Courier New" w:eastAsia="Courier New" w:hAnsi="Courier New"/>
          <w:sz w:val="18"/>
          <w:szCs w:val="18"/>
          <w:color w:val="auto"/>
        </w:rPr>
        <w:t>=======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 Diluted earnings (loss) per</w:t>
      </w:r>
    </w:p>
    <w:p>
      <w:pPr>
        <w:jc w:val="center"/>
        <w:ind w:right="6419"/>
        <w:spacing w:after="0" w:line="238" w:lineRule="auto"/>
        <w:rPr>
          <w:sz w:val="20"/>
          <w:szCs w:val="20"/>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0.55 $ 0.94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Net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(loss)................... $</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(1.68) $ (1.32) $ (0.65) $ (0.16)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0.80 $ 0.55 $ 0.94 ======= =======</w:t>
      </w:r>
    </w:p>
    <w:p>
      <w:pPr>
        <w:jc w:val="center"/>
        <w:ind w:right="641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19"/>
        <w:spacing w:after="0"/>
        <w:rPr>
          <w:sz w:val="20"/>
          <w:szCs w:val="20"/>
          <w:color w:val="auto"/>
        </w:rPr>
      </w:pPr>
      <w:r>
        <w:rPr>
          <w:rFonts w:ascii="Courier New" w:cs="Courier New" w:eastAsia="Courier New" w:hAnsi="Courier New"/>
          <w:sz w:val="18"/>
          <w:szCs w:val="18"/>
          <w:color w:val="auto"/>
        </w:rPr>
        <w:t>====== Cash dividends per common</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 $ 0.56 $ 0.16 $ 0.01 $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0.01 $ 0.01 $ 0.01 $ 0.01 =======</w:t>
      </w:r>
    </w:p>
    <w:p>
      <w:pPr>
        <w:jc w:val="center"/>
        <w:ind w:right="641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19"/>
        <w:spacing w:after="0"/>
        <w:rPr>
          <w:sz w:val="20"/>
          <w:szCs w:val="20"/>
          <w:color w:val="auto"/>
        </w:rPr>
      </w:pPr>
      <w:r>
        <w:rPr>
          <w:rFonts w:ascii="Courier New" w:cs="Courier New" w:eastAsia="Courier New" w:hAnsi="Courier New"/>
          <w:sz w:val="18"/>
          <w:szCs w:val="18"/>
          <w:color w:val="auto"/>
        </w:rPr>
        <w:t>====== ====== BALANCE SHEET DATA</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(AT END OF PERIOD): Working capital</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(deficit)............. $(1,967) $</w:t>
      </w:r>
    </w:p>
    <w:p>
      <w:pPr>
        <w:ind w:left="840" w:hanging="627"/>
        <w:spacing w:after="0" w:line="238" w:lineRule="auto"/>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$(1,269) $ (582) $ (597) $</w:t>
      </w:r>
    </w:p>
    <w:p>
      <w:pPr>
        <w:ind w:left="840" w:hanging="627"/>
        <w:spacing w:after="0" w:line="238" w:lineRule="auto"/>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(556) Intangible assets,</w:t>
      </w:r>
    </w:p>
    <w:p>
      <w:pPr>
        <w:ind w:left="260"/>
        <w:spacing w:after="0"/>
        <w:rPr>
          <w:sz w:val="20"/>
          <w:szCs w:val="20"/>
          <w:color w:val="auto"/>
        </w:rPr>
      </w:pPr>
      <w:r>
        <w:rPr>
          <w:rFonts w:ascii="Courier New" w:cs="Courier New" w:eastAsia="Courier New" w:hAnsi="Courier New"/>
          <w:sz w:val="18"/>
          <w:szCs w:val="18"/>
          <w:color w:val="auto"/>
        </w:rPr>
        <w:t>net................ 4,848 6,250</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5,356 5,193 5,121 5,141 5,156 Total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tbl>
      <w:tblPr>
        <w:tblLayout w:type="fixed"/>
        <w:tblInd w:w="0" w:type="dxa"/>
        <w:tblCellMar>
          <w:top w:w="0" w:type="dxa"/>
          <w:left w:w="0" w:type="dxa"/>
          <w:bottom w:w="0" w:type="dxa"/>
          <w:right w:w="0" w:type="dxa"/>
        </w:tblCellMar>
      </w:tblPr>
      <w:tr>
        <w:trPr>
          <w:trHeight w:val="203"/>
        </w:trPr>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20,156</w:t>
            </w:r>
          </w:p>
        </w:tc>
        <w:tc>
          <w:tcPr>
            <w:tcW w:w="2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22,882 22,681 18,565 19,490</w:t>
            </w:r>
          </w:p>
        </w:tc>
      </w:tr>
      <w:tr>
        <w:trPr>
          <w:trHeight w:val="203"/>
        </w:trPr>
        <w:tc>
          <w:tcPr>
            <w:tcW w:w="1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18,880 19,989</w:t>
            </w:r>
          </w:p>
        </w:tc>
        <w:tc>
          <w:tcPr>
            <w:tcW w:w="1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Long-term debt,</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including current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3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5"/>
              </w:rPr>
              <w:t>portion.............................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9,480</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11,732 11,498</w:t>
            </w:r>
          </w:p>
        </w:tc>
        <w:tc>
          <w:tcPr>
            <w:tcW w:w="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8,485</w:t>
            </w:r>
          </w:p>
        </w:tc>
        <w:tc>
          <w:tcPr>
            <w:tcW w:w="8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8,224</w:t>
            </w:r>
          </w:p>
        </w:tc>
      </w:tr>
      <w:tr>
        <w:trPr>
          <w:trHeight w:val="203"/>
        </w:trPr>
        <w:tc>
          <w:tcPr>
            <w:tcW w:w="580" w:type="dxa"/>
            <w:vAlign w:val="bottom"/>
          </w:tcPr>
          <w:p>
            <w:pPr>
              <w:spacing w:after="0"/>
              <w:rPr>
                <w:sz w:val="17"/>
                <w:szCs w:val="17"/>
                <w:color w:val="auto"/>
              </w:rPr>
            </w:pP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7,942 8,526</w:t>
            </w: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Stockholders'</w:t>
            </w:r>
          </w:p>
        </w:tc>
        <w:tc>
          <w:tcPr>
            <w:tcW w:w="520" w:type="dxa"/>
            <w:vAlign w:val="bottom"/>
          </w:tcPr>
          <w:p>
            <w:pPr>
              <w:spacing w:after="0"/>
              <w:rPr>
                <w:sz w:val="17"/>
                <w:szCs w:val="17"/>
                <w:color w:val="auto"/>
              </w:rPr>
            </w:pPr>
          </w:p>
        </w:tc>
      </w:tr>
      <w:tr>
        <w:trPr>
          <w:trHeight w:val="203"/>
        </w:trPr>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70"/>
              </w:rPr>
              <w:t>equity..................</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3,855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4,372</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4,402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4,801</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5,392</w:t>
            </w:r>
          </w:p>
        </w:tc>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5,410</w:t>
            </w:r>
          </w:p>
        </w:tc>
      </w:tr>
    </w:tbl>
    <w:p>
      <w:pPr>
        <w:spacing w:after="0" w:line="200" w:lineRule="exact"/>
        <w:rPr>
          <w:sz w:val="20"/>
          <w:szCs w:val="20"/>
          <w:color w:val="auto"/>
        </w:rPr>
      </w:pP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717" w:right="1440" w:bottom="1440" w:gutter="0" w:footer="0" w:header="0"/>
          <w:type w:val="continuous"/>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RISKS RELATING TO THE EXCHANGE OFFER AND HOLDING THE EXCHANGE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WILL NOT BE GUARANTEED BY OUR OPERATING SUBSIDIARIES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a holding company, we conduct our operations through our subsidiaries, and our only significant assets are the capital stock of our subsidiaries. Accordingly, our ability to meet our cash obligations, including our obligations under the exchange notes, depends in part upon the ability of our subsidiaries to make cash distributions to us. None of our subsidiaries other than Waste Management Holdings (which is not an operating subsidiary) will guarantee the exchange notes. This means that the exchange notes will be subordinated in right of payment to the claims of creditors of all of our operating subsidiaries. Additionally, any of our subsidiaries' declaration of bankruptcy, liquidation or reorganization could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 including the exchange notes.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SUBSTANTIAL INDEBTEDNESS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substantial indebtedness. At September 30, 2002, our ratio of total debt to total capitalization was approximately 61%. Our total consolidated indebtedness as of September 30, 2002 was approximately $8.5 billion, of which approximately $1.6 billion is senior to, or effectively senior to, the exchange notes. Our annual debt service obligations vary due to differing maturities on all of our debt instruments; however, our total interest expense for the twelve months ended September 30, 2002 was approximately $466 million. A 1% increase in interest rates would increase our forecasted interest expense for 2002 by approximately 5.5%, or $26 million. Such an increase would cause our coverage ratio, which is one of our debt covenants and is calculated as consolidated net income plus interest and income taxes over interest expense, to decrease from</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the exchange notes.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including payments on the exchange notes. Additionally, the indenture does not limit the amount of future indebtedness that we can create, incur, assume or guarantee. The incurrence of additional debt would exacerbate any risks associated with our liquidity.</w:t>
      </w:r>
    </w:p>
    <w:p>
      <w:pPr>
        <w:spacing w:after="0" w:line="18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THE GUARANTEE OF THE NOTES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Waste Management Holdings' guarantee of the exchange notes may be subject to review under various laws for the protection of creditors. It is possible that the creditors of Waste Management Holdings may challenge the guarantee as a fraudulent transfer under relevant federal and state laws. Under certain circumstances, including a finding that Waste Management Holdings was insolvent at the time it issued the guarantee, a court could hold that the obligations of Waste Management Holdings under the guarantee may be voided or are subordinate to other obligations of Waste Management Holdings. It could also find</w:t>
      </w:r>
    </w:p>
    <w:p>
      <w:pPr>
        <w:ind w:left="4220"/>
        <w:spacing w:after="0" w:line="235" w:lineRule="auto"/>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97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that the amount for which Waste Management Holdings is liable under its guarantee of the exchange notes is limited. If a court determined that Waste Management Holdings was insolvent on the date the guarantee was issued or that the guarantee constituted a fraudulent transfer on another ground, the claims of creditors of Waste Management Holdings would effectively have priority with respect to Waste Management Holdings' assets and earnings over the claims of our creditors, including the holders of the exchange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NOT BE ABLE TO SELL YOUR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are a new issue of securities for which there is currently no trading market. We do not intend to apply for listing of the exchange notes on any securities exchange or automated dealer quotation system.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207"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historical financial performance and future prospects.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ind w:left="4220"/>
        <w:spacing w:after="0" w:line="234"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7" w:name="page18"/>
    <w:bookmarkEnd w:id="17"/>
    <w:p>
      <w:pPr>
        <w:ind w:right="209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under the notes.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18" w:name="page19"/>
    <w:bookmarkEnd w:id="18"/>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papers, fibers,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39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w:t>
      </w: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69" w:lineRule="auto"/>
        <w:rPr>
          <w:sz w:val="20"/>
          <w:szCs w:val="20"/>
          <w:color w:val="auto"/>
        </w:rPr>
      </w:pPr>
      <w:r>
        <w:rPr>
          <w:rFonts w:ascii="Courier New" w:cs="Courier New" w:eastAsia="Courier New" w:hAnsi="Courier New"/>
          <w:sz w:val="16"/>
          <w:szCs w:val="16"/>
          <w:color w:val="auto"/>
        </w:rPr>
        <w:t>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also result in additional legal expenses.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ability to meet our obligation under the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 $1 billion of our common stock annually, we expect to pay $230 to $240 million (net of a tax benefit, insurance and related settlement costs) in settlement of the class action lawsuit in the first half of 2003 and have approximately $350 million of debt maturities remaining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$500 million from the sale of the outstanding notes was used to repay in full approximately $300 million of our outstanding 6.625% Senior Notes due July 15, 2002 and the remaining amounts were used for general corporate purposes. Pending application, we temporarily invested the net proceeds in short-term investments.</w:t>
      </w:r>
    </w:p>
    <w:p>
      <w:pPr>
        <w:spacing w:after="0" w:line="200" w:lineRule="exact"/>
        <w:rPr>
          <w:sz w:val="20"/>
          <w:szCs w:val="20"/>
          <w:color w:val="auto"/>
        </w:rPr>
      </w:pPr>
    </w:p>
    <w:p>
      <w:pPr>
        <w:spacing w:after="0" w:line="21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60"/>
        <w:spacing w:after="0" w:line="238" w:lineRule="auto"/>
        <w:rPr>
          <w:sz w:val="20"/>
          <w:szCs w:val="20"/>
          <w:color w:val="auto"/>
        </w:rPr>
      </w:pPr>
      <w:r>
        <w:rPr>
          <w:rFonts w:ascii="Courier New" w:cs="Courier New" w:eastAsia="Courier New" w:hAnsi="Courier New"/>
          <w:sz w:val="18"/>
          <w:szCs w:val="18"/>
          <w:color w:val="auto"/>
        </w:rPr>
        <w:t>MONTHS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ENDED</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30, 1997</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1998</w:t>
      </w:r>
    </w:p>
    <w:p>
      <w:pPr>
        <w:jc w:val="center"/>
        <w:ind w:right="9259"/>
        <w:spacing w:after="0"/>
        <w:rPr>
          <w:sz w:val="20"/>
          <w:szCs w:val="20"/>
          <w:color w:val="auto"/>
        </w:rPr>
      </w:pPr>
      <w:r>
        <w:rPr>
          <w:rFonts w:ascii="Courier New" w:cs="Courier New" w:eastAsia="Courier New" w:hAnsi="Courier New"/>
          <w:sz w:val="18"/>
          <w:szCs w:val="18"/>
          <w:color w:val="auto"/>
        </w:rPr>
        <w:t>1999</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480" w:hanging="421"/>
        <w:spacing w:after="0" w:line="237" w:lineRule="auto"/>
        <w:tabs>
          <w:tab w:leader="none" w:pos="4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w:t>
      </w:r>
    </w:p>
    <w:p>
      <w:pPr>
        <w:sectPr>
          <w:pgSz w:w="11900" w:h="16838" w:orient="portrait"/>
          <w:cols w:equalWidth="0" w:num="1">
            <w:col w:w="10219"/>
          </w:cols>
          <w:pgMar w:left="240" w:top="723" w:right="1440" w:bottom="0" w:gutter="0" w:footer="0" w:header="0"/>
        </w:sectPr>
      </w:pPr>
    </w:p>
    <w:bookmarkStart w:id="22" w:name="page23"/>
    <w:bookmarkEnd w:id="22"/>
    <w:p>
      <w:pPr>
        <w:jc w:val="both"/>
        <w:ind w:left="412" w:right="2419"/>
        <w:spacing w:after="0" w:line="279" w:lineRule="auto"/>
        <w:rPr>
          <w:sz w:val="20"/>
          <w:szCs w:val="20"/>
          <w:color w:val="auto"/>
        </w:rPr>
      </w:pPr>
      <w:r>
        <w:rPr>
          <w:rFonts w:ascii="Courier New" w:cs="Courier New" w:eastAsia="Courier New" w:hAnsi="Courier New"/>
          <w:sz w:val="16"/>
          <w:szCs w:val="16"/>
          <w:color w:val="auto"/>
        </w:rPr>
        <w:t>items of $1.8 billion. The asset impairment and unusual items of $1.8 billion primarily related to a comprehensive review performed by Waste Management Holdings of its operating assets and investments.</w:t>
      </w:r>
    </w:p>
    <w:p>
      <w:pPr>
        <w:spacing w:after="0" w:line="178" w:lineRule="exact"/>
        <w:rPr>
          <w:sz w:val="20"/>
          <w:szCs w:val="20"/>
          <w:color w:val="auto"/>
        </w:rPr>
      </w:pPr>
    </w:p>
    <w:p>
      <w:pPr>
        <w:ind w:left="412" w:right="1779" w:hanging="412"/>
        <w:spacing w:after="0" w:line="237" w:lineRule="auto"/>
        <w:tabs>
          <w:tab w:leader="none" w:pos="4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of</w:t>
      </w:r>
    </w:p>
    <w:p>
      <w:pPr>
        <w:spacing w:after="0" w:line="209"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142" w:right="1440" w:bottom="1440" w:gutter="0" w:footer="0" w:header="0"/>
        </w:sectPr>
      </w:pPr>
    </w:p>
    <w:bookmarkStart w:id="23" w:name="page24"/>
    <w:bookmarkEnd w:id="23"/>
    <w:p>
      <w:pPr>
        <w:ind w:left="420" w:right="2199"/>
        <w:spacing w:after="0" w:line="290" w:lineRule="auto"/>
        <w:rPr>
          <w:sz w:val="20"/>
          <w:szCs w:val="20"/>
          <w:color w:val="auto"/>
        </w:rPr>
      </w:pPr>
      <w:r>
        <w:rPr>
          <w:rFonts w:ascii="Courier New" w:cs="Courier New" w:eastAsia="Courier New" w:hAnsi="Courier New"/>
          <w:sz w:val="16"/>
          <w:szCs w:val="16"/>
          <w:color w:val="auto"/>
        </w:rPr>
        <w:t>permits, regulatory problems and a more stringent criteria used by Waste Management in determining the probability of landfill expansions.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DESCRIPTION OF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issue the Exchange Notes under an indenture (the "Senior Indenture") dated as of September 10, 1997 between the Company and JPMorgan Chase Bank, as trustee (the "Trustee"). The Senior Indenture is an exhibit to the Registration Statement of which this Prospectus is a part.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constitute a single series of Senior Securities with the Notes under the Senior Indenture;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our general unsecured senior obligations;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with all of our other senior and unsecured obligations, including debt under our credit facilities; and</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(the "Subsidiary Guarantee") by our subsidiary, Waste Management Holdings (the "Subsidiary Guarantor").</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4" w:name="page25"/>
    <w:bookmarkEnd w:id="24"/>
    <w:p>
      <w:pPr>
        <w:ind w:right="1779" w:firstLine="527"/>
        <w:spacing w:after="0" w:line="269" w:lineRule="auto"/>
        <w:rPr>
          <w:sz w:val="20"/>
          <w:szCs w:val="20"/>
          <w:color w:val="auto"/>
        </w:rPr>
      </w:pPr>
      <w:r>
        <w:rPr>
          <w:rFonts w:ascii="Courier New" w:cs="Courier New" w:eastAsia="Courier New" w:hAnsi="Courier New"/>
          <w:sz w:val="16"/>
          <w:szCs w:val="16"/>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of the Exchange Notes:</w:t>
      </w:r>
    </w:p>
    <w:p>
      <w:pPr>
        <w:spacing w:after="0" w:line="207"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a general, unsecured obligation of the Subsidiary Guarantor; and</w:t>
      </w:r>
    </w:p>
    <w:p>
      <w:pPr>
        <w:spacing w:after="0" w:line="223"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in right of payment with all existing and future senior and unsecured indebtedness of the Subsidiary Guarantor.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issue the Exchange Notes in an aggregate principal amount of</w:t>
      </w:r>
    </w:p>
    <w:p>
      <w:pPr>
        <w:spacing w:after="0" w:line="238" w:lineRule="auto"/>
        <w:rPr>
          <w:sz w:val="20"/>
          <w:szCs w:val="20"/>
          <w:color w:val="auto"/>
        </w:rPr>
      </w:pPr>
      <w:r>
        <w:rPr>
          <w:rFonts w:ascii="Courier New" w:cs="Courier New" w:eastAsia="Courier New" w:hAnsi="Courier New"/>
          <w:sz w:val="18"/>
          <w:szCs w:val="18"/>
          <w:color w:val="auto"/>
        </w:rPr>
        <w:t>$500,000,000. We will issue the Exchange Notes only in fully registered form,</w:t>
      </w:r>
    </w:p>
    <w:p>
      <w:pPr>
        <w:spacing w:after="0"/>
        <w:rPr>
          <w:sz w:val="20"/>
          <w:szCs w:val="20"/>
          <w:color w:val="auto"/>
        </w:rPr>
      </w:pPr>
      <w:r>
        <w:rPr>
          <w:rFonts w:ascii="Courier New" w:cs="Courier New" w:eastAsia="Courier New" w:hAnsi="Courier New"/>
          <w:sz w:val="18"/>
          <w:szCs w:val="18"/>
          <w:color w:val="auto"/>
        </w:rPr>
        <w:t>without coupons, in denominations of $100,000 and integral multiples of $1,000</w:t>
      </w:r>
    </w:p>
    <w:p>
      <w:pPr>
        <w:spacing w:after="0" w:line="237" w:lineRule="auto"/>
        <w:rPr>
          <w:sz w:val="20"/>
          <w:szCs w:val="20"/>
          <w:color w:val="auto"/>
        </w:rPr>
      </w:pPr>
      <w:r>
        <w:rPr>
          <w:rFonts w:ascii="Courier New" w:cs="Courier New" w:eastAsia="Courier New" w:hAnsi="Courier New"/>
          <w:sz w:val="18"/>
          <w:szCs w:val="18"/>
          <w:color w:val="auto"/>
        </w:rPr>
        <w:t>in excess thereof. There is no sinking fund applicable to the Exchange Notes.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 will mature on May 15, 2032.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will bear interest at the rate per year set forth on the front cover of this Prospectus. Interest on Exchange Notes will be payable semi-annually in arrears on May 15 and November 15 of each year until maturity, commencing on May 15, 2003. We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entered into a registration rights agreement obligating us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FOR THE NOTES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a paying agent, as we may designate from time to time, except that at our option, payment of any interest may be made by check mailed on or before the due date to the address of the person entitled thereto as such address shall appear in the register of holders. We may at any time rescind the designation of any paying agent or approve a change in the office through which any paying agent acts. Payment of any installment of interest on an Exchange Note will be made to the person in whose name such Exchange Note is registered at the close of business on the regular record date, as described above under "-- Principal, Maturity and Interest."</w:t>
      </w:r>
    </w:p>
    <w:p>
      <w:pPr>
        <w:spacing w:after="0" w:line="3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registered holder of an Exchange Note will be treated as the owner of it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Subsidiary Guarantor will fully and unconditionally guarantee our obligations under the Exchange Notes on a senior basis. The Subsidiary Guarantee will be a general, unsecured obligation of the Subsidiary Guarantor and will rank equally in right of payment with all existing and future senior and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970" w:gutter="0" w:footer="0" w:header="0"/>
        </w:sectPr>
      </w:pPr>
    </w:p>
    <w:bookmarkStart w:id="26" w:name="page27"/>
    <w:bookmarkEnd w:id="26"/>
    <w:p>
      <w:pPr>
        <w:ind w:right="1779"/>
        <w:spacing w:after="0" w:line="238" w:lineRule="auto"/>
        <w:rPr>
          <w:sz w:val="20"/>
          <w:szCs w:val="20"/>
          <w:color w:val="auto"/>
        </w:rPr>
      </w:pPr>
      <w:r>
        <w:rPr>
          <w:rFonts w:ascii="Courier New" w:cs="Courier New" w:eastAsia="Courier New" w:hAnsi="Courier New"/>
          <w:sz w:val="18"/>
          <w:szCs w:val="18"/>
          <w:color w:val="auto"/>
        </w:rPr>
        <w:t>unsecured indebtedness of the Subsidiary Guarantor. However, the guarantee may be subject to review under various laws for the protection of creditors. Creditors of the Subsidiary Guarantor could claim that the guarantee was incurred for our benefit (and only indirectly, if at all, for the benefit of the Subsidiary Guarantor) and therefore the obligations of the guarantor were incurred for less than reasonably equivalent value or fair consideration. Under certain circumstances, including a finding that the Subsidiary Guarantor was insolvent at the time it issued the guarantee, a court could hold that the obligations of the Subsidiary Guarantor under the guarantee may be voided or are subordinate to other obligations of the Subsidiary Guarantor. It could also find that the amount for which the Subsidiary Guarantor is liable under its guarantee of the exchange notes is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Different jurisdictions define "insolvency" differently. However, the Subsidiary Guarantor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the Subsidiary Guarantor were incurring debts beyond its ability to pay as such debts mature.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 attempt to limit the applicability of fraudulent transfer laws, the Subsidiary Guarantee limits the amount of the guarantee to the amount that will result in the guarantee not constituting a fraudulent transfer or improper corporate distribution.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will be released:</w:t>
      </w:r>
    </w:p>
    <w:p>
      <w:pPr>
        <w:spacing w:after="0" w:line="201" w:lineRule="exact"/>
        <w:rPr>
          <w:sz w:val="20"/>
          <w:szCs w:val="20"/>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our consolidation or merger with or into the Subsidiary Guarantor;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payment in full of all principal, premium, if any, and interest on the Exchange Notes;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release of the Subsidiary Guarantor's guarantees under our credit facilities (or any replacement facility). Our credit facilities currently state that the Subsidiary Guarantor's guarantees under the credit facilities can only be released with the written consent of each of the banks that is a party thereto. However, the Subsidiary Guarantee provides that if that happens, the Subsidiary Guarantee will also be released.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767" w:gutter="0" w:footer="0" w:header="0"/>
        </w:sectPr>
      </w:pPr>
    </w:p>
    <w:bookmarkStart w:id="27" w:name="page28"/>
    <w:bookmarkEnd w:id="27"/>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2002, our subsidiaries (excluding Waste Management Holdings) had approximately $1.6 billion of indebtedness and Waste Management Holdings had approximately $2.4 billion of indebtedness (excluding guarantees of Waste Management senior debt), in each case excluding intercompany loans.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 claims of our creditors, including the holders of the Exchange Notes. See "-- Subsidiary Guarantee."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 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3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factors that we generally consider in determining whether to redeem notes are (i) whether then current rates on new notes would be considerably less than the interest rates on the redeemable notes after consideration of the make-whole provision; (ii) whether we have excess cash on hand and decide to reduce debt levels and; (iii) whether we are involved in a substantial merger or acquisition in which it becomes necessary to redeem the notes because of a debt restructuring agreement. However, given the substantial expense we would incur in redeeming the Exchange Notes due to the calculation of the redemption price described above, we do not believe that we would redeem the Exchange Notes in the ordinary course of our business. Additionally, we are currently unaware of any circumstances under which we would redeem the Exchange Notes.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"Independent Investment Banker" means any of Deutsche Bank Securities Inc., Goldman, Sachs &amp; Co. and Merrill Lynch, Pierce, Fenner &amp; Smith Incorporated (and their respective successors), or, if all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8" w:name="page29"/>
    <w:bookmarkEnd w:id="28"/>
    <w:p>
      <w:pPr>
        <w:ind w:right="1779"/>
        <w:spacing w:after="0" w:line="236" w:lineRule="auto"/>
        <w:rPr>
          <w:sz w:val="20"/>
          <w:szCs w:val="20"/>
          <w:color w:val="auto"/>
        </w:rPr>
      </w:pPr>
      <w:r>
        <w:rPr>
          <w:rFonts w:ascii="Courier New" w:cs="Courier New" w:eastAsia="Courier New" w:hAnsi="Courier New"/>
          <w:sz w:val="18"/>
          <w:szCs w:val="18"/>
          <w:color w:val="auto"/>
        </w:rPr>
        <w:t>such firms are unwilling or unable to select the Comparable Treasury Issue, an investment banking institution of national standing appointed by the Trustee and reasonably acceptable to us.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"Reference Treasury Dealer" means (1) each of Deutsche Bank Securities Inc., Goldman, Sachs &amp; Co. and Merrill Lynch, Pierce, Fenner &amp; Smith Incorporated (and their respective successors), unless any of them ceases to be a primary U.S. government securities dealer in new York City (a "Primary Treasury Dealer"), in which case we will substitute therefor another Primary Treasury Dealer, and (2) any other Primary Treasury Dealer selected by us.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Except as set forth above, the Exchange Notes will not be redeemable by us before maturity and will not be entitled to the benefit of any sinking fund.</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17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1779" w:firstLine="8"/>
        <w:spacing w:after="0" w:line="270" w:lineRule="auto"/>
        <w:tabs>
          <w:tab w:leader="none" w:pos="52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to a time that is more than 12 months after the time at which the amount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9" w:name="page30"/>
    <w:bookmarkEnd w:id="29"/>
    <w:p>
      <w:pPr>
        <w:ind w:right="1779" w:firstLine="527"/>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8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970" w:gutter="0" w:footer="0" w:header="0"/>
        </w:sectPr>
      </w:pPr>
    </w:p>
    <w:bookmarkStart w:id="30" w:name="page31"/>
    <w:bookmarkEnd w:id="30"/>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178" w:lineRule="exact"/>
        <w:rPr>
          <w:sz w:val="20"/>
          <w:szCs w:val="20"/>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215"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178"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Limitation on Liens.</w:t>
      </w:r>
      <w:r>
        <w:rPr>
          <w:sz w:val="20"/>
          <w:szCs w:val="20"/>
          <w:color w:val="auto"/>
        </w:rPr>
        <w:tab/>
      </w:r>
      <w:r>
        <w:rPr>
          <w:rFonts w:ascii="Courier New" w:cs="Courier New" w:eastAsia="Courier New" w:hAnsi="Courier New"/>
          <w:sz w:val="16"/>
          <w:szCs w:val="16"/>
          <w:color w:val="auto"/>
        </w:rPr>
        <w:t>The Senior Indenture provides that:</w:t>
      </w:r>
    </w:p>
    <w:p>
      <w:pPr>
        <w:spacing w:after="0" w:line="207" w:lineRule="exact"/>
        <w:rPr>
          <w:sz w:val="20"/>
          <w:szCs w:val="20"/>
          <w:color w:val="auto"/>
        </w:rPr>
      </w:pPr>
    </w:p>
    <w:p>
      <w:pPr>
        <w:ind w:left="540" w:right="1779" w:firstLine="521"/>
        <w:spacing w:after="0" w:line="270" w:lineRule="auto"/>
        <w:tabs>
          <w:tab w:leader="none" w:pos="148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of our Restricted Subsidiaries to, create, incur, assume or suffer to exist, directly or indirectly, any Indebtedness secured by a Security Interest upon any Principal Property, whether owned as of the date of the Senior Indenture or acquired after the date of the Senior Indenture, without making effective provision (and we hereby covenant that in any such case we shall make or cause to be made effective provision) whereby the Senior Securities then outstanding and any other Indebtedness of ours or our Restricted Subsidiaries then entitled thereto shall also be secured, equally and ratably, by such Security Interest, for so long as any of such Indebtedness is secured by the Security Interest; but nothing in the Senior Indenture shall prevent, restrict or apply to Indebtedness secured by:</w:t>
      </w:r>
    </w:p>
    <w:p>
      <w:pPr>
        <w:spacing w:after="0" w:line="390" w:lineRule="exact"/>
        <w:rPr>
          <w:rFonts w:ascii="Courier New" w:cs="Courier New" w:eastAsia="Courier New" w:hAnsi="Courier New"/>
          <w:sz w:val="16"/>
          <w:szCs w:val="16"/>
          <w:color w:val="auto"/>
        </w:rPr>
      </w:pPr>
    </w:p>
    <w:p>
      <w:pPr>
        <w:ind w:left="860" w:right="2099" w:firstLine="517"/>
        <w:spacing w:after="0" w:line="268" w:lineRule="auto"/>
        <w:tabs>
          <w:tab w:leader="none" w:pos="1808"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37" w:lineRule="auto"/>
        <w:tabs>
          <w:tab w:leader="none" w:pos="128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214" w:lineRule="exact"/>
        <w:rPr>
          <w:sz w:val="20"/>
          <w:szCs w:val="20"/>
          <w:color w:val="auto"/>
        </w:rPr>
      </w:pPr>
    </w:p>
    <w:p>
      <w:pPr>
        <w:ind w:left="860" w:right="1999" w:firstLine="517"/>
        <w:spacing w:after="0" w:line="236" w:lineRule="auto"/>
        <w:tabs>
          <w:tab w:leader="none" w:pos="180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upon property or assets existing at the time of its acquisition, which Security Interest secures obligations assumed by us or any of our Restricted Subsidiaries;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80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conditional sales agreement or other title retention agreement with respect to any property or assets acquired by us or any of our Restricted Subsidiaries, or</w:t>
      </w:r>
    </w:p>
    <w:p>
      <w:pPr>
        <w:spacing w:after="0" w:line="208"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existing on the property or assets or shares of stock of a corporation or firm at the time such corporation or firm is merged into or consolidated with us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767" w:gutter="0" w:footer="0" w:header="0"/>
        </w:sectPr>
      </w:pPr>
    </w:p>
    <w:bookmarkStart w:id="31" w:name="page32"/>
    <w:bookmarkEnd w:id="31"/>
    <w:p>
      <w:pPr>
        <w:ind w:left="320" w:right="1879"/>
        <w:spacing w:after="0" w:line="237" w:lineRule="auto"/>
        <w:rPr>
          <w:sz w:val="20"/>
          <w:szCs w:val="20"/>
          <w:color w:val="auto"/>
        </w:rPr>
      </w:pPr>
      <w:r>
        <w:rPr>
          <w:rFonts w:ascii="Courier New" w:cs="Courier New" w:eastAsia="Courier New" w:hAnsi="Courier New"/>
          <w:sz w:val="18"/>
          <w:szCs w:val="18"/>
          <w:color w:val="auto"/>
        </w:rPr>
        <w:t>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209" w:lineRule="exact"/>
        <w:rPr>
          <w:sz w:val="20"/>
          <w:szCs w:val="20"/>
          <w:color w:val="auto"/>
        </w:rPr>
      </w:pPr>
    </w:p>
    <w:p>
      <w:pPr>
        <w:ind w:left="320" w:right="1779" w:firstLine="517"/>
        <w:spacing w:after="0" w:line="279" w:lineRule="auto"/>
        <w:tabs>
          <w:tab w:leader="none" w:pos="126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assets or shares of stock of any successor to us in accordance with the provisions of the covenant described in "-- Consolidation, Merger, Sale";</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207" w:lineRule="exact"/>
        <w:rPr>
          <w:sz w:val="20"/>
          <w:szCs w:val="20"/>
          <w:color w:val="auto"/>
        </w:rPr>
      </w:pPr>
    </w:p>
    <w:p>
      <w:pPr>
        <w:jc w:val="both"/>
        <w:ind w:right="177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213"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right="219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right="1999" w:firstLine="521"/>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by any of our Restricted Subsidiaries in the ordinary course of business; or</w:t>
      </w:r>
    </w:p>
    <w:p>
      <w:pPr>
        <w:spacing w:after="0" w:line="208" w:lineRule="exact"/>
        <w:rPr>
          <w:rFonts w:ascii="Courier New" w:cs="Courier New" w:eastAsia="Courier New" w:hAnsi="Courier New"/>
          <w:sz w:val="18"/>
          <w:szCs w:val="18"/>
          <w:color w:val="auto"/>
        </w:rPr>
      </w:pPr>
    </w:p>
    <w:p>
      <w:pPr>
        <w:ind w:right="1779" w:firstLine="521"/>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right="1879" w:firstLine="521"/>
        <w:spacing w:after="0" w:line="279"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of our Restricted Subsidiaries to conduct business, to maintain self-insurance, or to obtain the benefit of, or comply with, laws; or</w:t>
      </w:r>
    </w:p>
    <w:p>
      <w:pPr>
        <w:spacing w:after="0" w:line="178" w:lineRule="exact"/>
        <w:rPr>
          <w:rFonts w:ascii="Courier New" w:cs="Courier New" w:eastAsia="Courier New" w:hAnsi="Courier New"/>
          <w:sz w:val="16"/>
          <w:szCs w:val="16"/>
          <w:color w:val="auto"/>
        </w:rPr>
      </w:pPr>
    </w:p>
    <w:p>
      <w:pPr>
        <w:ind w:right="1779" w:firstLine="521"/>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of our Restricted Subsidiaries or by us to a Restricted Subsidiary, or</w:t>
      </w:r>
    </w:p>
    <w:p>
      <w:pPr>
        <w:spacing w:after="0" w:line="208" w:lineRule="exact"/>
        <w:rPr>
          <w:rFonts w:ascii="Courier New" w:cs="Courier New" w:eastAsia="Courier New" w:hAnsi="Courier New"/>
          <w:sz w:val="18"/>
          <w:szCs w:val="18"/>
          <w:color w:val="auto"/>
        </w:rPr>
      </w:pPr>
    </w:p>
    <w:p>
      <w:pPr>
        <w:ind w:right="2319" w:firstLine="521"/>
        <w:spacing w:after="0" w:line="236"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right="1879" w:firstLine="521"/>
        <w:spacing w:after="0" w:line="236"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679"/>
          </w:cols>
          <w:pgMar w:left="780" w:top="723" w:right="1440" w:bottom="362" w:gutter="0" w:footer="0" w:header="0"/>
        </w:sectPr>
      </w:pPr>
    </w:p>
    <w:bookmarkStart w:id="32" w:name="page33"/>
    <w:bookmarkEnd w:id="32"/>
    <w:p>
      <w:pPr>
        <w:ind w:left="540" w:right="2199"/>
        <w:spacing w:after="0" w:line="237" w:lineRule="auto"/>
        <w:rPr>
          <w:sz w:val="20"/>
          <w:szCs w:val="20"/>
          <w:color w:val="auto"/>
        </w:rPr>
      </w:pPr>
      <w:r>
        <w:rPr>
          <w:rFonts w:ascii="Courier New" w:cs="Courier New" w:eastAsia="Courier New" w:hAnsi="Courier New"/>
          <w:sz w:val="18"/>
          <w:szCs w:val="18"/>
          <w:color w:val="auto"/>
        </w:rPr>
        <w:t>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207" w:lineRule="exact"/>
        <w:rPr>
          <w:sz w:val="20"/>
          <w:szCs w:val="20"/>
          <w:color w:val="auto"/>
        </w:rPr>
      </w:pPr>
    </w:p>
    <w:p>
      <w:pPr>
        <w:ind w:left="540" w:right="17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also securing the Senior Securities if, at the time such Security Interest becomes a Security Interest upon the Principal Property and after giving effect thereto, the aggregate outstanding principal amount of all our Indebtedness and our Restricted Subsidiaries' Indebtedness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than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200" w:lineRule="exact"/>
        <w:rPr>
          <w:sz w:val="20"/>
          <w:szCs w:val="20"/>
          <w:color w:val="auto"/>
        </w:rPr>
      </w:pPr>
    </w:p>
    <w:p>
      <w:pPr>
        <w:spacing w:after="0" w:line="399" w:lineRule="exact"/>
        <w:rPr>
          <w:sz w:val="20"/>
          <w:szCs w:val="20"/>
          <w:color w:val="auto"/>
        </w:rPr>
      </w:pPr>
    </w:p>
    <w:p>
      <w:pPr>
        <w:ind w:left="540" w:right="1779" w:firstLine="521"/>
        <w:spacing w:after="0" w:line="238"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15" w:lineRule="exact"/>
        <w:rPr>
          <w:sz w:val="20"/>
          <w:szCs w:val="20"/>
          <w:color w:val="auto"/>
        </w:rPr>
      </w:pPr>
    </w:p>
    <w:p>
      <w:pPr>
        <w:ind w:left="740" w:right="2199" w:hanging="205"/>
        <w:spacing w:after="0" w:line="237"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89" w:lineRule="exact"/>
        <w:rPr>
          <w:rFonts w:ascii="Courier New" w:cs="Courier New" w:eastAsia="Courier New" w:hAnsi="Courier New"/>
          <w:sz w:val="16"/>
          <w:szCs w:val="16"/>
          <w:color w:val="auto"/>
        </w:rPr>
      </w:pPr>
    </w:p>
    <w:p>
      <w:pPr>
        <w:ind w:left="740" w:right="1999" w:hanging="205"/>
        <w:spacing w:after="0" w:line="268" w:lineRule="auto"/>
        <w:tabs>
          <w:tab w:leader="none" w:pos="7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w:t>
      </w:r>
    </w:p>
    <w:p>
      <w:pPr>
        <w:ind w:left="740"/>
        <w:spacing w:after="0" w:line="233" w:lineRule="auto"/>
        <w:rPr>
          <w:sz w:val="20"/>
          <w:szCs w:val="20"/>
          <w:color w:val="auto"/>
        </w:rPr>
      </w:pPr>
      <w:r>
        <w:rPr>
          <w:rFonts w:ascii="Courier New" w:cs="Courier New" w:eastAsia="Courier New" w:hAnsi="Courier New"/>
          <w:sz w:val="18"/>
          <w:szCs w:val="18"/>
          <w:color w:val="auto"/>
        </w:rPr>
        <w:t>for the acquisition or capital improvement of a</w:t>
      </w: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564" w:gutter="0" w:footer="0" w:header="0"/>
        </w:sectPr>
      </w:pPr>
    </w:p>
    <w:bookmarkStart w:id="33" w:name="page34"/>
    <w:bookmarkEnd w:id="33"/>
    <w:p>
      <w:pPr>
        <w:ind w:left="740" w:right="2619"/>
        <w:spacing w:after="0" w:line="235" w:lineRule="auto"/>
        <w:rPr>
          <w:sz w:val="20"/>
          <w:szCs w:val="20"/>
          <w:color w:val="auto"/>
        </w:rPr>
      </w:pPr>
      <w:r>
        <w:rPr>
          <w:rFonts w:ascii="Courier New" w:cs="Courier New" w:eastAsia="Courier New" w:hAnsi="Courier New"/>
          <w:sz w:val="18"/>
          <w:szCs w:val="18"/>
          <w:color w:val="auto"/>
        </w:rPr>
        <w:t>Principal Property an amount at least equal to the fair value (as determined by our Board of Directors) of such property.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Compliance Certificates. We are required to furnish to the Trustee annually a statement as to our compliance with all conditions and covenants under the Senior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REMEDIES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Events of Default. An Event of Default with respect to the Exchange Notes is defined under the Senior Indenture as being one or more of the following events:</w:t>
      </w:r>
    </w:p>
    <w:p>
      <w:pPr>
        <w:spacing w:after="0" w:line="209" w:lineRule="exact"/>
        <w:rPr>
          <w:sz w:val="20"/>
          <w:szCs w:val="20"/>
          <w:color w:val="auto"/>
        </w:rPr>
      </w:pPr>
    </w:p>
    <w:p>
      <w:pPr>
        <w:ind w:left="740" w:right="18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Exchange Note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Exchange Note as and when the same becomes due and payable whether at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Indenture and continuance of such default or breach for a period of 60 days after there has been given, by registered or certified mail, to us by the Trustee or to us and the Trustee by the holders of at least 25% in principal amount of the Exchange Notes a written notice specifying such default or breach and requiring it to be remedied and stating that such notice is a "Notice of Default" under the Senior Indenture; or</w:t>
      </w:r>
    </w:p>
    <w:p>
      <w:pPr>
        <w:spacing w:after="0" w:line="212"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39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Remedies. If an Event of Default with respect to the Exchange Notes occurs and is continuing, then in every such case, either the Trustee or the holders of not less than 25% in principal amount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59" w:gutter="0" w:footer="0" w:header="0"/>
        </w:sectPr>
      </w:pPr>
    </w:p>
    <w:bookmarkStart w:id="34" w:name="page35"/>
    <w:bookmarkEnd w:id="34"/>
    <w:p>
      <w:pPr>
        <w:ind w:right="1999"/>
        <w:spacing w:after="0" w:line="237" w:lineRule="auto"/>
        <w:rPr>
          <w:sz w:val="20"/>
          <w:szCs w:val="20"/>
          <w:color w:val="auto"/>
        </w:rPr>
      </w:pPr>
      <w:r>
        <w:rPr>
          <w:rFonts w:ascii="Courier New" w:cs="Courier New" w:eastAsia="Courier New" w:hAnsi="Courier New"/>
          <w:sz w:val="18"/>
          <w:szCs w:val="18"/>
          <w:color w:val="auto"/>
        </w:rPr>
        <w:t>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208" w:lineRule="exact"/>
        <w:rPr>
          <w:sz w:val="20"/>
          <w:szCs w:val="20"/>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Exchange Notes,</w:t>
      </w:r>
    </w:p>
    <w:p>
      <w:pPr>
        <w:spacing w:after="0" w:line="206" w:lineRule="exact"/>
        <w:rPr>
          <w:rFonts w:ascii="Courier New" w:cs="Courier New" w:eastAsia="Courier New" w:hAnsi="Courier New"/>
          <w:sz w:val="18"/>
          <w:szCs w:val="18"/>
          <w:color w:val="auto"/>
        </w:rPr>
      </w:pPr>
    </w:p>
    <w:p>
      <w:pPr>
        <w:ind w:left="640" w:right="2099" w:firstLine="316"/>
        <w:spacing w:after="0" w:line="279" w:lineRule="auto"/>
        <w:tabs>
          <w:tab w:leader="none" w:pos="148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the Exchange Notes which has become due otherwise than by such declaration of acceleration and any interest thereon at the rate prescribed therefor,</w:t>
      </w:r>
    </w:p>
    <w:p>
      <w:pPr>
        <w:spacing w:after="0" w:line="178" w:lineRule="exact"/>
        <w:rPr>
          <w:rFonts w:ascii="Courier New" w:cs="Courier New" w:eastAsia="Courier New" w:hAnsi="Courier New"/>
          <w:sz w:val="16"/>
          <w:szCs w:val="16"/>
          <w:color w:val="auto"/>
        </w:rPr>
      </w:pPr>
    </w:p>
    <w:p>
      <w:pPr>
        <w:ind w:left="640" w:right="1999" w:firstLine="316"/>
        <w:spacing w:after="0" w:line="235" w:lineRule="auto"/>
        <w:tabs>
          <w:tab w:leader="none" w:pos="158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prescribed therefor, and</w:t>
      </w:r>
    </w:p>
    <w:p>
      <w:pPr>
        <w:spacing w:after="0" w:line="208" w:lineRule="exact"/>
        <w:rPr>
          <w:rFonts w:ascii="Courier New" w:cs="Courier New" w:eastAsia="Courier New" w:hAnsi="Courier New"/>
          <w:sz w:val="18"/>
          <w:szCs w:val="18"/>
          <w:color w:val="auto"/>
        </w:rPr>
      </w:pPr>
    </w:p>
    <w:p>
      <w:pPr>
        <w:ind w:left="640" w:right="2199" w:firstLine="316"/>
        <w:spacing w:after="0" w:line="236" w:lineRule="auto"/>
        <w:tabs>
          <w:tab w:leader="none" w:pos="148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212" w:lineRule="exact"/>
        <w:rPr>
          <w:sz w:val="20"/>
          <w:szCs w:val="20"/>
          <w:color w:val="auto"/>
        </w:rPr>
      </w:pPr>
    </w:p>
    <w:p>
      <w:pPr>
        <w:ind w:left="740" w:right="241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Exchange Notes;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Exchange Notes.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Notwithstanding any other provision in the Senior Indenture, the right of any holder of any Exchange Note to receive payment of the principal of and premium, if any on such Exchange Note on the Stated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 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OF INDENTURE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39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6" w:name="page37"/>
    <w:bookmarkEnd w:id="36"/>
    <w:p>
      <w:pPr>
        <w:ind w:right="1779"/>
        <w:spacing w:after="0" w:line="269" w:lineRule="auto"/>
        <w:rPr>
          <w:sz w:val="20"/>
          <w:szCs w:val="20"/>
          <w:color w:val="auto"/>
        </w:rPr>
      </w:pPr>
      <w:r>
        <w:rPr>
          <w:rFonts w:ascii="Courier New" w:cs="Courier New" w:eastAsia="Courier New" w:hAnsi="Courier New"/>
          <w:sz w:val="16"/>
          <w:szCs w:val="16"/>
          <w:color w:val="auto"/>
        </w:rPr>
        <w:t>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any legal defeasance and discharge of the Exchange Notes, holders would be entitled to look only to such trust for payment of principal of and any premium or interest on the Exchange Notes until maturity. Upon legal defeasance and discharge of the Exchange Notes, Waste Management will be released from its Subsidiary Guarantee. See "-- Subsidiary Guarantee."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 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767"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85" w:lineRule="exact"/>
        <w:rPr>
          <w:sz w:val="20"/>
          <w:szCs w:val="20"/>
          <w:color w:val="auto"/>
        </w:rPr>
      </w:pPr>
    </w:p>
    <w:p>
      <w:pPr>
        <w:ind w:left="740" w:right="219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Senior Security;</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of our obligations to pay additional amounts;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Senior Security or any premium or interest thereon is payable;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Senior Security;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the Senior Indenture for quorum or voting;</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maintain an office or agency in the places and for the purposes required by the Senior Indenture; or</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may make modifications and amendments of the Senior Indenture without the consent of any holders of Senior Securities, when authorized by a Board Resolution, and the Trustee, to:</w:t>
      </w:r>
    </w:p>
    <w:p>
      <w:pPr>
        <w:spacing w:after="0" w:line="209" w:lineRule="exact"/>
        <w:rPr>
          <w:sz w:val="20"/>
          <w:szCs w:val="20"/>
          <w:color w:val="auto"/>
        </w:rPr>
      </w:pPr>
    </w:p>
    <w:p>
      <w:pPr>
        <w:jc w:val="both"/>
        <w:ind w:left="740" w:right="1879" w:hanging="205"/>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the succession of another person and the assumption by any such successor of our covenants therein and in the Senior Securities pursuant to the provisions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any additional Events of Default;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212"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the Senior Securities pursuant to the requirements of the Senior Indenture or otherwise;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564" w:gutter="0" w:footer="0" w:header="0"/>
        </w:sectPr>
      </w:pPr>
    </w:p>
    <w:bookmarkStart w:id="38" w:name="page39"/>
    <w:bookmarkEnd w:id="38"/>
    <w:p>
      <w:pPr>
        <w:ind w:left="740" w:right="26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the form or terms of Senior Securities of any series as permitted by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1" w:lineRule="exact"/>
        <w:rPr>
          <w:sz w:val="20"/>
          <w:szCs w:val="20"/>
          <w:color w:val="auto"/>
        </w:rPr>
      </w:pPr>
    </w:p>
    <w:p>
      <w:pPr>
        <w:ind w:right="1999" w:firstLine="8"/>
        <w:spacing w:after="0" w:line="236"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the Senior Indenture which cannot be modified or amended without the consent of the holder of each outstanding Exchange Note.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 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 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Governing Law. The Senior Indenture, the Subsidiary Guarantee, the Notes and the Exchange Notes will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We will give notices to holders of the Exchange Notes by first-class mail to the addresses of such holders as they appear in the security register.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Trustee appointed and serving as trustee pursuant to the Senior Indenture is JPMorgan Chase Bank ("JPMorgan Chase").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970" w:gutter="0" w:footer="0" w:header="0"/>
        </w:sectPr>
      </w:pPr>
    </w:p>
    <w:bookmarkStart w:id="39" w:name="page40"/>
    <w:bookmarkEnd w:id="39"/>
    <w:p>
      <w:pPr>
        <w:ind w:right="1779"/>
        <w:spacing w:after="0" w:line="272" w:lineRule="auto"/>
        <w:rPr>
          <w:sz w:val="20"/>
          <w:szCs w:val="20"/>
          <w:color w:val="auto"/>
        </w:rPr>
      </w:pPr>
      <w:r>
        <w:rPr>
          <w:rFonts w:ascii="Courier New" w:cs="Courier New" w:eastAsia="Courier New" w:hAnsi="Courier New"/>
          <w:sz w:val="16"/>
          <w:szCs w:val="16"/>
          <w:color w:val="auto"/>
        </w:rPr>
        <w:t>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case an Event of Default with respect to the Exchange Notes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FORM AND TRANSFER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DEPOSITARY PROCEDURES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0" w:name="page41"/>
    <w:bookmarkEnd w:id="40"/>
    <w:p>
      <w:pPr>
        <w:ind w:right="1779" w:firstLine="527"/>
        <w:spacing w:after="0" w:line="270" w:lineRule="auto"/>
        <w:rPr>
          <w:sz w:val="20"/>
          <w:szCs w:val="20"/>
          <w:color w:val="auto"/>
        </w:rPr>
      </w:pPr>
      <w:r>
        <w:rPr>
          <w:rFonts w:ascii="Courier New" w:cs="Courier New" w:eastAsia="Courier New" w:hAnsi="Courier New"/>
          <w:sz w:val="16"/>
          <w:szCs w:val="16"/>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8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 Transfers of Interests in Global Exchange Notes for Certificated Exchange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767" w:gutter="0" w:footer="0" w:header="0"/>
        </w:sectPr>
      </w:pPr>
    </w:p>
    <w:bookmarkStart w:id="41" w:name="page42"/>
    <w:bookmarkEnd w:id="41"/>
    <w:p>
      <w:pPr>
        <w:ind w:right="1779" w:firstLine="527"/>
        <w:spacing w:after="0" w:line="237" w:lineRule="auto"/>
        <w:rPr>
          <w:sz w:val="20"/>
          <w:szCs w:val="20"/>
          <w:color w:val="auto"/>
        </w:rPr>
      </w:pPr>
      <w:r>
        <w:rPr>
          <w:rFonts w:ascii="Courier New" w:cs="Courier New" w:eastAsia="Courier New" w:hAnsi="Courier New"/>
          <w:sz w:val="18"/>
          <w:szCs w:val="18"/>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its book-entry system has been obtained from sources that we believe to be reliable, but we do not take any responsibility for the accuracy thereof.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OF INTERESTS IN GLOBAL EXCHANGE NOTES FOR CERTIFICATED EXCHANGE NOTES</w:t>
      </w:r>
    </w:p>
    <w:p>
      <w:pPr>
        <w:spacing w:after="0" w:line="22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exchange an entire Global Exchange Note for notes in certificated form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EXCHANGE NOTES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2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2" w:name="page43"/>
    <w:bookmarkEnd w:id="42"/>
    <w:p>
      <w:pPr>
        <w:ind w:right="1779"/>
        <w:spacing w:after="0" w:line="235" w:lineRule="auto"/>
        <w:rPr>
          <w:sz w:val="20"/>
          <w:szCs w:val="20"/>
          <w:color w:val="auto"/>
        </w:rPr>
      </w:pPr>
      <w:r>
        <w:rPr>
          <w:rFonts w:ascii="Courier New" w:cs="Courier New" w:eastAsia="Courier New" w:hAnsi="Courier New"/>
          <w:sz w:val="18"/>
          <w:szCs w:val="18"/>
          <w:color w:val="auto"/>
        </w:rPr>
        <w:t>the Security Registrar may require. Mutilated Exchange Notes must be surrendered before new Exchange Notes will be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DAY SETTLEMENT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sold the Notes on May 24, 2002, pursuant to the Purchase Agreement dated as of May 21, 2002 (the "Purchase Agreement") by and among Waste Management Holdings, the initial purchasers of the Notes named in the Purchase Agreement, which is an exhibit to the Registration Statement of which this Prospectus is a part (the "Initial Purchasers"), and us. The Notes were subsequently offered by the Initial Purchasers to qualified institutional buyers pursuant to Rule 144A and to purchasers pursuant to Regulation S under the Securities Act.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the Subsidiary Guarantor and the Initial Purchasers entered into a Senior Notes Registration Rights agreement dated as of May 24, 2002 (the "Registration Rights Agreement"). The following description is a summary of the material provisions of the Registration Rights Agreement, which is an exhibit to the Registration Statement of which this Prospectus is a part.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who are able to make certain representations, as described below under "-- Your Representations to Us," the opportunity to exchange their Transfer Restricted Securities for Exchange Notes.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241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permitted by applicable law or Commission policy;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holder of Transfer Restricted Securities notifies us prior to the 20th business day following the date by which the Exchange Offer is required to be consummated that:</w:t>
      </w:r>
    </w:p>
    <w:p>
      <w:pPr>
        <w:spacing w:after="0" w:line="208" w:lineRule="exact"/>
        <w:rPr>
          <w:rFonts w:ascii="Courier New" w:cs="Courier New" w:eastAsia="Courier New" w:hAnsi="Courier New"/>
          <w:sz w:val="18"/>
          <w:szCs w:val="18"/>
          <w:color w:val="auto"/>
        </w:rPr>
      </w:pPr>
    </w:p>
    <w:p>
      <w:pPr>
        <w:ind w:left="640" w:right="1879" w:firstLine="316"/>
        <w:spacing w:after="0" w:line="235" w:lineRule="auto"/>
        <w:tabs>
          <w:tab w:leader="none" w:pos="137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prohibited by law or Commission policy from participating in the Exchange Offer; or</w:t>
      </w:r>
    </w:p>
    <w:p>
      <w:pPr>
        <w:spacing w:after="0" w:line="208" w:lineRule="exact"/>
        <w:rPr>
          <w:rFonts w:ascii="Courier New" w:cs="Courier New" w:eastAsia="Courier New" w:hAnsi="Courier New"/>
          <w:sz w:val="18"/>
          <w:szCs w:val="18"/>
          <w:color w:val="auto"/>
        </w:rPr>
      </w:pPr>
    </w:p>
    <w:p>
      <w:pPr>
        <w:ind w:left="640" w:right="1879" w:firstLine="316"/>
        <w:spacing w:after="0" w:line="237" w:lineRule="auto"/>
        <w:tabs>
          <w:tab w:leader="none" w:pos="148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208" w:lineRule="exact"/>
        <w:rPr>
          <w:rFonts w:ascii="Courier New" w:cs="Courier New" w:eastAsia="Courier New" w:hAnsi="Courier New"/>
          <w:sz w:val="18"/>
          <w:szCs w:val="18"/>
          <w:color w:val="auto"/>
        </w:rPr>
      </w:pPr>
    </w:p>
    <w:p>
      <w:pPr>
        <w:ind w:left="640" w:right="1879" w:firstLine="316"/>
        <w:spacing w:after="0" w:line="235" w:lineRule="auto"/>
        <w:tabs>
          <w:tab w:leader="none" w:pos="158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is a broker-dealer and owns Notes acquired directly from us or one of our affiliates,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3" w:name="page44"/>
    <w:bookmarkEnd w:id="43"/>
    <w:p>
      <w:pPr>
        <w:ind w:left="540"/>
        <w:spacing w:after="0"/>
        <w:rPr>
          <w:sz w:val="20"/>
          <w:szCs w:val="20"/>
          <w:color w:val="auto"/>
        </w:rPr>
      </w:pPr>
      <w:r>
        <w:rPr>
          <w:rFonts w:ascii="Courier New" w:cs="Courier New" w:eastAsia="Courier New" w:hAnsi="Courier New"/>
          <w:sz w:val="18"/>
          <w:szCs w:val="18"/>
          <w:color w:val="auto"/>
        </w:rPr>
        <w:t>"Transfer Restricted Securities" means:</w:t>
      </w:r>
    </w:p>
    <w:p>
      <w:pPr>
        <w:spacing w:after="0" w:line="201" w:lineRule="exact"/>
        <w:rPr>
          <w:sz w:val="20"/>
          <w:szCs w:val="20"/>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Note, until the earliest to occur of:</w:t>
      </w:r>
    </w:p>
    <w:p>
      <w:pPr>
        <w:spacing w:after="0" w:line="206" w:lineRule="exact"/>
        <w:rPr>
          <w:rFonts w:ascii="Courier New" w:cs="Courier New" w:eastAsia="Courier New" w:hAnsi="Courier New"/>
          <w:sz w:val="18"/>
          <w:szCs w:val="18"/>
          <w:color w:val="auto"/>
        </w:rPr>
      </w:pPr>
    </w:p>
    <w:p>
      <w:pPr>
        <w:ind w:left="640" w:right="1879" w:firstLine="316"/>
        <w:spacing w:after="0" w:line="235" w:lineRule="auto"/>
        <w:tabs>
          <w:tab w:leader="none" w:pos="1377"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is exchanged in the Exchange Offer for an Exchange Note;</w:t>
      </w:r>
    </w:p>
    <w:p>
      <w:pPr>
        <w:spacing w:after="0" w:line="208" w:lineRule="exact"/>
        <w:rPr>
          <w:rFonts w:ascii="Courier New" w:cs="Courier New" w:eastAsia="Courier New" w:hAnsi="Courier New"/>
          <w:sz w:val="18"/>
          <w:szCs w:val="18"/>
          <w:color w:val="auto"/>
        </w:rPr>
      </w:pPr>
    </w:p>
    <w:p>
      <w:pPr>
        <w:ind w:left="640" w:right="1879" w:firstLine="316"/>
        <w:spacing w:after="0" w:line="236" w:lineRule="auto"/>
        <w:tabs>
          <w:tab w:leader="none" w:pos="148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has been disposed of in accordance with a Shelf Registration Statement (and the purchasers thereof have been issued Exchange Notes); and</w:t>
      </w:r>
    </w:p>
    <w:p>
      <w:pPr>
        <w:spacing w:after="0" w:line="209" w:lineRule="exact"/>
        <w:rPr>
          <w:sz w:val="20"/>
          <w:szCs w:val="20"/>
          <w:color w:val="auto"/>
        </w:rPr>
      </w:pPr>
    </w:p>
    <w:p>
      <w:pPr>
        <w:ind w:left="640" w:right="1879" w:firstLine="316"/>
        <w:spacing w:after="0" w:line="290" w:lineRule="auto"/>
        <w:tabs>
          <w:tab w:leader="none" w:pos="148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distributed to the public pursuant to Rule 144 (and purchasers thereof have been issued Exchange Notes).</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Exchange Note until the date on which such Exchange Note is disposed of by a broker-dealer pursuant to the Plan of Distribution section of this Prospectus.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Registration Rights Agreement provides that, unless the Exchange Offer is not permitted by applicable law or Commission policy:</w:t>
      </w:r>
    </w:p>
    <w:p>
      <w:pPr>
        <w:spacing w:after="0" w:line="208" w:lineRule="exact"/>
        <w:rPr>
          <w:sz w:val="20"/>
          <w:szCs w:val="20"/>
          <w:color w:val="auto"/>
        </w:rPr>
      </w:pPr>
    </w:p>
    <w:p>
      <w:pPr>
        <w:ind w:left="740" w:right="177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 Exchange Order Registration Statement with the Commission on or prior to 90 days after May 24, 2002;</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use our best efforts to have the Exchange Offer Registration Statement declared effective by the Commission on or prior to 180 days after May 24, 2002;</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w:t>
      </w:r>
    </w:p>
    <w:p>
      <w:pPr>
        <w:spacing w:after="0" w:line="206" w:lineRule="exact"/>
        <w:rPr>
          <w:rFonts w:ascii="Courier New" w:cs="Courier New" w:eastAsia="Courier New" w:hAnsi="Courier New"/>
          <w:sz w:val="18"/>
          <w:szCs w:val="18"/>
          <w:color w:val="auto"/>
        </w:rPr>
      </w:pPr>
    </w:p>
    <w:p>
      <w:pPr>
        <w:ind w:left="640" w:right="1879" w:firstLine="316"/>
        <w:spacing w:after="0" w:line="237" w:lineRule="auto"/>
        <w:tabs>
          <w:tab w:leader="none" w:pos="137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207" w:lineRule="exact"/>
        <w:rPr>
          <w:rFonts w:ascii="Courier New" w:cs="Courier New" w:eastAsia="Courier New" w:hAnsi="Courier New"/>
          <w:sz w:val="18"/>
          <w:szCs w:val="18"/>
          <w:color w:val="auto"/>
        </w:rPr>
      </w:pPr>
    </w:p>
    <w:p>
      <w:pPr>
        <w:ind w:left="640" w:right="1879" w:firstLine="316"/>
        <w:spacing w:after="0" w:line="235" w:lineRule="auto"/>
        <w:tabs>
          <w:tab w:leader="none" w:pos="148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consummate the Exchange Offer on or prior to 230 days after May 24, 2002 (the "Consummation Deadline");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file any of the registration statements required to be filed by the Registration Rights Agreement on or before the date specified for such filing;</w:t>
      </w:r>
    </w:p>
    <w:p>
      <w:pPr>
        <w:spacing w:after="0" w:line="208" w:lineRule="exact"/>
        <w:rPr>
          <w:rFonts w:ascii="Courier New" w:cs="Courier New" w:eastAsia="Courier New" w:hAnsi="Courier New"/>
          <w:sz w:val="18"/>
          <w:szCs w:val="18"/>
          <w:color w:val="auto"/>
        </w:rPr>
      </w:pPr>
    </w:p>
    <w:p>
      <w:pPr>
        <w:jc w:val="both"/>
        <w:ind w:left="740" w:right="2319" w:hanging="205"/>
        <w:spacing w:after="0" w:line="290" w:lineRule="auto"/>
        <w:tabs>
          <w:tab w:leader="none" w:pos="7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such registration statements is not declared effective by the Commission on or prior to the date specified for such effectiveness;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consummate the Exchange Offer on or prior to the Consummation Deadline;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362" w:gutter="0" w:footer="0" w:header="0"/>
        </w:sectPr>
      </w:pPr>
    </w:p>
    <w:bookmarkStart w:id="44" w:name="page45"/>
    <w:bookmarkEnd w:id="44"/>
    <w:p>
      <w:pPr>
        <w:ind w:right="1779" w:firstLine="527"/>
        <w:spacing w:after="0" w:line="236" w:lineRule="auto"/>
        <w:rPr>
          <w:sz w:val="20"/>
          <w:szCs w:val="20"/>
          <w:color w:val="auto"/>
        </w:rPr>
      </w:pPr>
      <w:r>
        <w:rPr>
          <w:rFonts w:ascii="Courier New" w:cs="Courier New" w:eastAsia="Courier New" w:hAnsi="Courier New"/>
          <w:sz w:val="18"/>
          <w:szCs w:val="18"/>
          <w:color w:val="auto"/>
        </w:rPr>
        <w:t>Any Additional Interest due will be paid directly by us on each relevant Interest Payment Date for the Notes to the persons whose names are registered at the close of business on the relevant Regular Record Date.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the cure of all Registration Defaults, the accrual of Additional Interest will cease.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holder of Notes will be required to make certain representations to us (as described in the Registration Rights Agreement and the Letter of Transmittal, the form of which is an exhibit to the Registration Statement of which this Prospectus is a part)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 TERMINATION</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term "Expiration Date" shall mean January 3, 2003, unless we, in our sole discretion, extend the Exchange Offer, in which case the term "Expiration Date" shall mean the latest date to which the Exchange Offer is extended.</w:t>
      </w:r>
    </w:p>
    <w:p>
      <w:pPr>
        <w:spacing w:after="0" w:line="38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Notes will accrue interest at a rate of 7 3/4% per annum. Interest on the Exchange Notes will accrue from the last date on which interest was paid on the Notes, or, if we have paid no interest on such Notes, from May 24, 2002, the date of issuance of the Notes for which the Exchange Offer is being made. Interest on the Exchange Notes is payable semi-annually on May 15 and November 15, commencing on May 15, 2003.</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39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we reserve the right, in our sole discretion, subject to the provisions of the Senior Indenture, to purchase or make offers for any Notes that remain outstanding subsequent to the Expiration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6" w:name="page47"/>
    <w:bookmarkEnd w:id="46"/>
    <w:p>
      <w:pPr>
        <w:ind w:right="1879"/>
        <w:spacing w:after="0" w:line="237" w:lineRule="auto"/>
        <w:rPr>
          <w:sz w:val="20"/>
          <w:szCs w:val="20"/>
          <w:color w:val="auto"/>
        </w:rPr>
      </w:pPr>
      <w:r>
        <w:rPr>
          <w:rFonts w:ascii="Courier New" w:cs="Courier New" w:eastAsia="Courier New" w:hAnsi="Courier New"/>
          <w:sz w:val="18"/>
          <w:szCs w:val="18"/>
          <w:color w:val="auto"/>
        </w:rPr>
        <w:t>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REPRESENTATIONS TO US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By signing or agreeing to be bound by the Letter of Transmittal, you will represent that, among other things:</w:t>
      </w:r>
    </w:p>
    <w:p>
      <w:pPr>
        <w:spacing w:after="0" w:line="208" w:lineRule="exact"/>
        <w:rPr>
          <w:sz w:val="20"/>
          <w:szCs w:val="20"/>
          <w:color w:val="auto"/>
        </w:rPr>
      </w:pPr>
    </w:p>
    <w:p>
      <w:pPr>
        <w:ind w:left="740" w:right="177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(as defined in Rule 405 of the Securities Act) of us or a broker-dealer tendering Notes acquired directly from us for your own account;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207"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 arrangement or understanding with any person to participate in a distribution of the Notes or the Exchange Notes within the meaning of the Securities Act;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Exchange Notes in the ordinary course of your business;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OF NOTES FOR EXCHANGE; DELIVERY OF EXCHANGE NOTES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970" w:gutter="0" w:footer="0" w:header="0"/>
        </w:sectPr>
      </w:pPr>
    </w:p>
    <w:bookmarkStart w:id="47" w:name="page48"/>
    <w:bookmarkEnd w:id="47"/>
    <w:p>
      <w:pPr>
        <w:ind w:right="1999"/>
        <w:spacing w:after="0" w:line="235" w:lineRule="auto"/>
        <w:rPr>
          <w:sz w:val="20"/>
          <w:szCs w:val="20"/>
          <w:color w:val="auto"/>
        </w:rPr>
      </w:pPr>
      <w:r>
        <w:rPr>
          <w:rFonts w:ascii="Courier New" w:cs="Courier New" w:eastAsia="Courier New" w:hAnsi="Courier New"/>
          <w:sz w:val="18"/>
          <w:szCs w:val="18"/>
          <w:color w:val="auto"/>
        </w:rPr>
        <w:t>Agent" no later than the Expiration Date or the guaranteed delivery procedures described below must be complied with.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TENDERING THROUGH DTC'S AUTOMATED TENDER OFFER PROGRAM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215" w:lineRule="exact"/>
        <w:rPr>
          <w:sz w:val="20"/>
          <w:szCs w:val="20"/>
          <w:color w:val="auto"/>
        </w:rPr>
      </w:pPr>
    </w:p>
    <w:p>
      <w:pPr>
        <w:ind w:left="740" w:right="1879" w:hanging="205"/>
        <w:spacing w:after="0" w:line="236"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has received an express acknowledgement from a participant in its automated tender program that is tendering Notes that are the subject of Book-Entry Confirmation;</w:t>
      </w:r>
    </w:p>
    <w:p>
      <w:pPr>
        <w:spacing w:after="0" w:line="208"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may be enforced against the participant.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Tenders of Notes may be withdrawn at any time prior to 5:00 p.m., New York City time, on the Expiration Date.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 withdrawn Notes may be retendered by following one of the procedures described under "-- Procedures for Tendering" and "-- Book-Entry Transfer" at any time on or prior to the Expiration Date.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212" w:lineRule="exact"/>
        <w:rPr>
          <w:sz w:val="20"/>
          <w:szCs w:val="20"/>
          <w:color w:val="auto"/>
        </w:rPr>
      </w:pPr>
    </w:p>
    <w:p>
      <w:pPr>
        <w:ind w:left="740" w:right="1779" w:hanging="205"/>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in the Letter of Transmittal described under "-- Your Representations to Us"; and</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representations as may be necessary under applicable Commission rules, regulations or interpretations to make available to us an appropriate form for registration of the Exchange Notes under the Securities 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By Mail (Certified, Registered, Overnight or First Class) or Hand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JPMorgan Chase Bank</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700 Lavaca, 5th floor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Austin, Texas 78701</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Telephone Number (512) 479-2575</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Attention: Mr. Cary Gilliam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will bear the expenses to be incurred in connection with the Exchange Offer, including fees and expenses of the Exchange Agent and the Trustee, and accounting, legal, printing and related fees and expenses.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w:t>
      </w:r>
    </w:p>
    <w:p>
      <w:pPr>
        <w:sectPr>
          <w:pgSz w:w="11900" w:h="16838" w:orient="portrait"/>
          <w:cols w:equalWidth="0" w:num="1">
            <w:col w:w="10219"/>
          </w:cols>
          <w:pgMar w:left="240" w:top="717" w:right="1440" w:bottom="0" w:gutter="0" w:footer="0" w:header="0"/>
        </w:sectPr>
      </w:pPr>
    </w:p>
    <w:bookmarkStart w:id="49" w:name="page50"/>
    <w:bookmarkEnd w:id="49"/>
    <w:p>
      <w:pPr>
        <w:ind w:right="1779"/>
        <w:spacing w:after="0" w:line="236" w:lineRule="auto"/>
        <w:rPr>
          <w:sz w:val="20"/>
          <w:szCs w:val="20"/>
          <w:color w:val="auto"/>
        </w:rPr>
      </w:pPr>
      <w:r>
        <w:rPr>
          <w:rFonts w:ascii="Courier New" w:cs="Courier New" w:eastAsia="Courier New" w:hAnsi="Courier New"/>
          <w:sz w:val="18"/>
          <w:szCs w:val="18"/>
          <w:color w:val="auto"/>
        </w:rPr>
        <w:t>Offer, then the amount of any such transfer taxes (whether imposed on the registered holder or any other persons) will be payable by the tendering holder. If satisfactory evidence of</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142" w:right="1440" w:bottom="1440" w:gutter="0" w:footer="0" w:header="0"/>
        </w:sectPr>
      </w:pPr>
    </w:p>
    <w:bookmarkStart w:id="50" w:name="page51"/>
    <w:bookmarkEnd w:id="50"/>
    <w:p>
      <w:pPr>
        <w:ind w:right="1779"/>
        <w:spacing w:after="0" w:line="236" w:lineRule="auto"/>
        <w:rPr>
          <w:sz w:val="20"/>
          <w:szCs w:val="20"/>
          <w:color w:val="auto"/>
        </w:rPr>
      </w:pPr>
      <w:r>
        <w:rPr>
          <w:rFonts w:ascii="Courier New" w:cs="Courier New" w:eastAsia="Courier New" w:hAnsi="Courier New"/>
          <w:sz w:val="18"/>
          <w:szCs w:val="18"/>
          <w:color w:val="auto"/>
        </w:rPr>
        <w:t>payment of such taxes or exemption therefrom is not submitted with the Letter of Transmittal, the amount of such transfer taxes will be billed directly to such tendering holder.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EXCHANGE NOTES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 TO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969" w:gutter="0" w:footer="0" w:header="0"/>
        </w:sectPr>
      </w:pPr>
    </w:p>
    <w:bookmarkStart w:id="51" w:name="page52"/>
    <w:bookmarkEnd w:id="51"/>
    <w:p>
      <w:pPr>
        <w:ind w:right="2519"/>
        <w:spacing w:after="0" w:line="290" w:lineRule="auto"/>
        <w:rPr>
          <w:sz w:val="20"/>
          <w:szCs w:val="20"/>
          <w:color w:val="auto"/>
        </w:rPr>
      </w:pPr>
      <w:r>
        <w:rPr>
          <w:rFonts w:ascii="Courier New" w:cs="Courier New" w:eastAsia="Courier New" w:hAnsi="Courier New"/>
          <w:sz w:val="16"/>
          <w:szCs w:val="16"/>
          <w:color w:val="auto"/>
        </w:rPr>
        <w:t>are tendered and accepted in the Exchange Offer, the trading market for untendered and tendered but unaccepted Notes could be adversely affected.</w:t>
      </w:r>
    </w:p>
    <w:p>
      <w:pPr>
        <w:spacing w:after="0" w:line="16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 FEDERAL INCOME TAX CONSEQUENCES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203" w:lineRule="exact"/>
        <w:rPr>
          <w:sz w:val="20"/>
          <w:szCs w:val="20"/>
          <w:color w:val="auto"/>
        </w:rPr>
      </w:pPr>
    </w:p>
    <w:p>
      <w:pPr>
        <w:ind w:left="740" w:hanging="205"/>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nonresident alien individual;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corporation;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estate or trust that is not subject to United States federal income taxation on its worldwide income.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 United States federal income tax consequences of purchasing, owning and disposing of the Exchange Notes.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summary assumes that investors will hold the Exchange Notes as "capital assets" (generally, property held for investment) under the Code. Prospective investors are urged to consult their tax advisors regarding the United States federal, state, local and foreign income and other tax consequences of the exchange of the Notes for Exchange Notes and ownership and disposition of the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Interest paid by Waste Management to non-U.S. holders will not be subject to United States federal income or withholding tax provided:</w:t>
      </w:r>
    </w:p>
    <w:p>
      <w:pPr>
        <w:spacing w:after="0" w:line="208" w:lineRule="exact"/>
        <w:rPr>
          <w:sz w:val="20"/>
          <w:szCs w:val="20"/>
          <w:color w:val="auto"/>
        </w:rPr>
      </w:pPr>
    </w:p>
    <w:p>
      <w:pPr>
        <w:ind w:left="740" w:right="1879" w:hanging="205"/>
        <w:spacing w:after="0" w:line="236"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does not actually or constructively own 10% or more of the total combined voting power of all classes of stock of Waste Management entitled to vote;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is not a controlled foreign</w:t>
      </w:r>
    </w:p>
    <w:p>
      <w:pPr>
        <w:spacing w:after="0" w:line="4" w:lineRule="exact"/>
        <w:rPr>
          <w:sz w:val="20"/>
          <w:szCs w:val="20"/>
          <w:color w:val="auto"/>
        </w:rPr>
      </w:pPr>
    </w:p>
    <w:p>
      <w:pPr>
        <w:ind w:left="4220" w:right="1879" w:hanging="3475"/>
        <w:spacing w:after="0" w:line="235" w:lineRule="auto"/>
        <w:rPr>
          <w:sz w:val="20"/>
          <w:szCs w:val="20"/>
          <w:color w:val="auto"/>
        </w:rPr>
      </w:pPr>
      <w:r>
        <w:rPr>
          <w:rFonts w:ascii="Courier New" w:cs="Courier New" w:eastAsia="Courier New" w:hAnsi="Courier New"/>
          <w:sz w:val="18"/>
          <w:szCs w:val="18"/>
          <w:color w:val="auto"/>
        </w:rPr>
        <w:t>corporation that is related to Waste Management through stock ownership; 44</w:t>
      </w:r>
    </w:p>
    <w:p>
      <w:pPr>
        <w:sectPr>
          <w:pgSz w:w="11900" w:h="16838" w:orient="portrait"/>
          <w:cols w:equalWidth="0" w:num="1">
            <w:col w:w="10219"/>
          </w:cols>
          <w:pgMar w:left="240" w:top="723" w:right="1440" w:bottom="1440" w:gutter="0" w:footer="0" w:header="0"/>
        </w:sectPr>
      </w:pPr>
    </w:p>
    <w:bookmarkStart w:id="52" w:name="page53"/>
    <w:bookmarkEnd w:id="52"/>
    <w:p>
      <w:pPr>
        <w:ind w:left="740" w:right="1779" w:hanging="205"/>
        <w:spacing w:after="0" w:line="236"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is not a bank that acquired the Note as an extension of credit made pursuant to a loan agreement made in the ordinary course of business;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of section 871(h) or 881(c) of the Code are satisfied as described below under the heading "Owner Statement Requirement."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207" w:lineRule="exact"/>
        <w:rPr>
          <w:sz w:val="20"/>
          <w:szCs w:val="20"/>
          <w:color w:val="auto"/>
        </w:rPr>
      </w:pPr>
    </w:p>
    <w:p>
      <w:pPr>
        <w:ind w:left="740" w:right="2739" w:hanging="205"/>
        <w:spacing w:after="0" w:line="290" w:lineRule="auto"/>
        <w:tabs>
          <w:tab w:leader="none" w:pos="7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on interest that is effectively connected with the conduct of such trade or business; and</w:t>
      </w:r>
    </w:p>
    <w:p>
      <w:pPr>
        <w:spacing w:after="0" w:line="372" w:lineRule="exact"/>
        <w:rPr>
          <w:rFonts w:ascii="Courier New" w:cs="Courier New" w:eastAsia="Courier New" w:hAnsi="Courier New"/>
          <w:sz w:val="16"/>
          <w:szCs w:val="16"/>
          <w:color w:val="auto"/>
        </w:rPr>
      </w:pPr>
    </w:p>
    <w:p>
      <w:pPr>
        <w:jc w:val="both"/>
        <w:ind w:left="740" w:right="1999" w:hanging="205"/>
        <w:spacing w:after="0" w:line="236"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non-U.S. holder is a corporation, a United States branch profits tax equal to 30% of its "effectively connected earnings and profits" as adjusted for the taxable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GAIN ON DISPOSITION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will generally not be subject to United states federal income tax on gain recognized on a sale, redemption or other disposition of an Exchange Note unless:</w:t>
      </w:r>
    </w:p>
    <w:p>
      <w:pPr>
        <w:spacing w:after="0" w:line="209" w:lineRule="exact"/>
        <w:rPr>
          <w:sz w:val="20"/>
          <w:szCs w:val="20"/>
          <w:color w:val="auto"/>
        </w:rPr>
      </w:pPr>
    </w:p>
    <w:p>
      <w:pPr>
        <w:ind w:left="740" w:right="1779" w:hanging="205"/>
        <w:spacing w:after="0" w:line="235"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the conduct of a trade or business within the United States by the non-U.S. holder; or</w:t>
      </w:r>
    </w:p>
    <w:p>
      <w:pPr>
        <w:spacing w:after="0" w:line="208" w:lineRule="exact"/>
        <w:rPr>
          <w:rFonts w:ascii="Courier New" w:cs="Courier New" w:eastAsia="Courier New" w:hAnsi="Courier New"/>
          <w:sz w:val="18"/>
          <w:szCs w:val="18"/>
          <w:color w:val="auto"/>
        </w:rPr>
      </w:pPr>
    </w:p>
    <w:p>
      <w:pPr>
        <w:jc w:val="both"/>
        <w:ind w:left="740" w:right="1999" w:hanging="205"/>
        <w:spacing w:after="0" w:line="279" w:lineRule="auto"/>
        <w:tabs>
          <w:tab w:leader="none" w:pos="7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non-U.S. holder who is a nonresident alien individual, such holder is present in the United States for 183 or more days during the taxable year and certain other requirements are met.</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An Exchange Note held by an individual who at the time of death is not a citizen or resident of the United States will not be subject to United States federal estate tax as a result of such individual's death, provided;</w:t>
      </w:r>
    </w:p>
    <w:p>
      <w:pPr>
        <w:spacing w:after="0" w:line="209" w:lineRule="exact"/>
        <w:rPr>
          <w:sz w:val="20"/>
          <w:szCs w:val="20"/>
          <w:color w:val="auto"/>
        </w:rPr>
      </w:pPr>
    </w:p>
    <w:p>
      <w:pPr>
        <w:ind w:left="740" w:right="177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does not actually or constructively own 10% or more of the total combined voting power of all classes of stock of Waste Management entitled to vote;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accrued on the Exchange Note was not effectively connected with a United States trade or business of the individual at the individual's death.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 STATEMENT REQUIREMENT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564" w:gutter="0" w:footer="0" w:header="0"/>
        </w:sectPr>
      </w:pPr>
    </w:p>
    <w:bookmarkStart w:id="53" w:name="page54"/>
    <w:bookmarkEnd w:id="53"/>
    <w:p>
      <w:pPr>
        <w:ind w:right="1779"/>
        <w:spacing w:after="0" w:line="236" w:lineRule="auto"/>
        <w:rPr>
          <w:sz w:val="20"/>
          <w:szCs w:val="20"/>
          <w:color w:val="auto"/>
        </w:rPr>
      </w:pPr>
      <w:r>
        <w:rPr>
          <w:rFonts w:ascii="Courier New" w:cs="Courier New" w:eastAsia="Courier New" w:hAnsi="Courier New"/>
          <w:sz w:val="18"/>
          <w:szCs w:val="18"/>
          <w:color w:val="auto"/>
        </w:rPr>
        <w:t>that the beneficial owner is not a United States person. Under current regulations, this requirement will be satisfied if Waste Management or its agent receives:</w:t>
      </w:r>
    </w:p>
    <w:p>
      <w:pPr>
        <w:spacing w:after="0" w:line="209" w:lineRule="exact"/>
        <w:rPr>
          <w:sz w:val="20"/>
          <w:szCs w:val="20"/>
          <w:color w:val="auto"/>
        </w:rPr>
      </w:pPr>
    </w:p>
    <w:p>
      <w:pPr>
        <w:ind w:left="740" w:right="1779" w:hanging="205"/>
        <w:spacing w:after="0" w:line="236"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beneficial owner certifying under penalty of perjury that such owner is not a United States person and that provides certain information required under the regulations;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beneficial owner must inform Waste Management or its agent, as applicable, or the financial institution, as applicable, within 30 days of any change in information on the owner's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39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a period of one year after the Expiration Date, we will promptly send additional copies of this Prospectus and any amendment or supplement to this Prospectus to any broker-dealer that requests such</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969" w:gutter="0" w:footer="0" w:header="0"/>
        </w:sectPr>
      </w:pPr>
    </w:p>
    <w:bookmarkStart w:id="54" w:name="page55"/>
    <w:bookmarkEnd w:id="54"/>
    <w:p>
      <w:pPr>
        <w:ind w:right="2099"/>
        <w:spacing w:after="0" w:line="237" w:lineRule="auto"/>
        <w:rPr>
          <w:sz w:val="20"/>
          <w:szCs w:val="20"/>
          <w:color w:val="auto"/>
        </w:rPr>
      </w:pPr>
      <w:r>
        <w:rPr>
          <w:rFonts w:ascii="Courier New" w:cs="Courier New" w:eastAsia="Courier New" w:hAnsi="Courier New"/>
          <w:sz w:val="18"/>
          <w:szCs w:val="18"/>
          <w:color w:val="auto"/>
        </w:rPr>
        <w:t>documents in the Letter of Transmittal. We have agreed to pay all expenses incident to the Exchange Offer and will indemnify the holders of the Exchange Notes against certain liabilities, including liabilities under the Securities Act.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Baker Botts L.L.P. has issued an opinion about the legality of the Exchange Notes.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audited consolidated financial statements as of December 31, 1999, 2000 and 2001 and for the three years ended December 31, 2001 appearing in Waste Management's Annual Report on Form 10-K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5" w:name="page56"/>
    <w:bookmarkEnd w:id="55"/>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 DEALER, SALESPERSON OR OTHER PERSON TO GIVE ANY INFORMATION OR REPRESENT ANY INFORMATION OTHER THAN THE INFORMATION CONTAINED IN THIS PROSPECTUS. THIS PROSPECTUS IS AN OFFER TO EXCHANGE THE EXCHANGE NOTES FOR THE OUTSTANDING NOTES ONLY UNDER CIRCUMSTANCES AND IN JURISDICTIONS WHERE IT IS LAWFUL TO DO SO.</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OFFER TO EXCHANGE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56" w:name="page57"/>
    <w:bookmarkEnd w:id="56"/>
    <w:p>
      <w:pPr>
        <w:jc w:val="center"/>
        <w:ind w:right="1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of the Registrants' Certificates of Incorporation (the "Registrants' Charters") contains provisions which eliminates directors' personal liability as set forth above.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Registrants' Charters and the Bylaws of each of the registrants provide in effect that the Registrants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564" w:gutter="0" w:footer="0" w:header="0"/>
        </w:sectPr>
      </w:pPr>
    </w:p>
    <w:bookmarkStart w:id="57" w:name="page58"/>
    <w:bookmarkEnd w:id="57"/>
    <w:p>
      <w:pPr>
        <w:ind w:right="1779"/>
        <w:spacing w:after="0" w:line="237" w:lineRule="auto"/>
        <w:rPr>
          <w:sz w:val="20"/>
          <w:szCs w:val="20"/>
          <w:color w:val="auto"/>
        </w:rPr>
      </w:pPr>
      <w:r>
        <w:rPr>
          <w:rFonts w:ascii="Courier New" w:cs="Courier New" w:eastAsia="Courier New" w:hAnsi="Courier New"/>
          <w:sz w:val="18"/>
          <w:szCs w:val="18"/>
          <w:color w:val="auto"/>
        </w:rPr>
        <w:t>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Waste Management has also purchased certain liability insurance for its officers and directors as permitted by Section 145(g) of the DGCL.</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3.1 --</w:t>
      </w:r>
    </w:p>
    <w:p>
      <w:pPr>
        <w:jc w:val="center"/>
        <w:ind w:right="8839"/>
        <w:spacing w:after="0"/>
        <w:rPr>
          <w:sz w:val="20"/>
          <w:szCs w:val="20"/>
          <w:color w:val="auto"/>
        </w:rPr>
      </w:pPr>
      <w:r>
        <w:rPr>
          <w:rFonts w:ascii="Courier New" w:cs="Courier New" w:eastAsia="Courier New" w:hAnsi="Courier New"/>
          <w:sz w:val="18"/>
          <w:szCs w:val="18"/>
          <w:color w:val="auto"/>
        </w:rPr>
        <w:t>Second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3.2 --</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 --</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sectPr>
          <w:pgSz w:w="11900" w:h="16838" w:orient="portrait"/>
          <w:cols w:equalWidth="0" w:num="1">
            <w:col w:w="10219"/>
          </w:cols>
          <w:pgMar w:left="240" w:top="723" w:right="1440" w:bottom="0" w:gutter="0" w:footer="0" w:header="0"/>
        </w:sectPr>
      </w:pPr>
    </w:p>
    <w:bookmarkStart w:id="58" w:name="page59"/>
    <w:bookmarkEnd w:id="58"/>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8839"/>
        <w:spacing w:after="0"/>
        <w:rPr>
          <w:sz w:val="20"/>
          <w:szCs w:val="20"/>
          <w:color w:val="auto"/>
        </w:rPr>
      </w:pPr>
      <w:r>
        <w:rPr>
          <w:rFonts w:ascii="Courier New" w:cs="Courier New" w:eastAsia="Courier New" w:hAnsi="Courier New"/>
          <w:sz w:val="18"/>
          <w:szCs w:val="18"/>
          <w:color w:val="auto"/>
        </w:rPr>
        <w:t>for the 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1998]. 4.2 -</w:t>
      </w:r>
    </w:p>
    <w:p>
      <w:pPr>
        <w:spacing w:after="0" w:line="4" w:lineRule="exact"/>
        <w:rPr>
          <w:sz w:val="20"/>
          <w:szCs w:val="20"/>
          <w:color w:val="auto"/>
        </w:rPr>
      </w:pPr>
    </w:p>
    <w:p>
      <w:pPr>
        <w:ind w:left="160" w:right="8959" w:hanging="49"/>
        <w:spacing w:after="0" w:line="268" w:lineRule="auto"/>
        <w:tabs>
          <w:tab w:leader="none" w:pos="31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 dated September 10, 1997, among the Registrant and Texas Commerce</w:t>
      </w:r>
    </w:p>
    <w:p>
      <w:pPr>
        <w:jc w:val="center"/>
        <w:ind w:right="8839"/>
        <w:spacing w:after="0" w:line="235"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 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 1997].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Exchange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 4.4+ -</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May 24, 2002</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Goldman,</w:t>
      </w:r>
    </w:p>
    <w:p>
      <w:pPr>
        <w:jc w:val="center"/>
        <w:ind w:right="8839"/>
        <w:spacing w:after="0"/>
        <w:rPr>
          <w:sz w:val="20"/>
          <w:szCs w:val="20"/>
          <w:color w:val="auto"/>
        </w:rPr>
      </w:pPr>
      <w:r>
        <w:rPr>
          <w:rFonts w:ascii="Courier New" w:cs="Courier New" w:eastAsia="Courier New" w:hAnsi="Courier New"/>
          <w:sz w:val="18"/>
          <w:szCs w:val="18"/>
          <w:color w:val="auto"/>
        </w:rPr>
        <w:t>Sachs &amp; 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Merrill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Lynch,</w:t>
      </w:r>
    </w:p>
    <w:p>
      <w:pPr>
        <w:jc w:val="center"/>
        <w:ind w:right="8839"/>
        <w:spacing w:after="0"/>
        <w:rPr>
          <w:sz w:val="20"/>
          <w:szCs w:val="20"/>
          <w:color w:val="auto"/>
        </w:rPr>
      </w:pPr>
      <w:r>
        <w:rPr>
          <w:rFonts w:ascii="Courier New" w:cs="Courier New" w:eastAsia="Courier New" w:hAnsi="Courier New"/>
          <w:sz w:val="18"/>
          <w:szCs w:val="18"/>
          <w:color w:val="auto"/>
        </w:rPr>
        <w:t>Pierce,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839"/>
        <w:spacing w:after="0"/>
        <w:rPr>
          <w:sz w:val="20"/>
          <w:szCs w:val="20"/>
          <w:color w:val="auto"/>
        </w:rPr>
      </w:pPr>
      <w:r>
        <w:rPr>
          <w:rFonts w:ascii="Courier New" w:cs="Courier New" w:eastAsia="Courier New" w:hAnsi="Courier New"/>
          <w:sz w:val="18"/>
          <w:szCs w:val="18"/>
          <w:color w:val="auto"/>
        </w:rPr>
        <w:t>Smith</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 by</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Favor of the</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 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24,</w:t>
      </w:r>
    </w:p>
    <w:p>
      <w:pPr>
        <w:jc w:val="center"/>
        <w:ind w:right="8839"/>
        <w:spacing w:after="0"/>
        <w:rPr>
          <w:sz w:val="20"/>
          <w:szCs w:val="20"/>
          <w:color w:val="auto"/>
        </w:rPr>
      </w:pPr>
      <w:r>
        <w:rPr>
          <w:rFonts w:ascii="Courier New" w:cs="Courier New" w:eastAsia="Courier New" w:hAnsi="Courier New"/>
          <w:sz w:val="18"/>
          <w:szCs w:val="18"/>
          <w:color w:val="auto"/>
        </w:rPr>
        <w:t>2002. 5.1+ -</w:t>
      </w:r>
    </w:p>
    <w:p>
      <w:pPr>
        <w:spacing w:after="0" w:line="4" w:lineRule="exact"/>
        <w:rPr>
          <w:sz w:val="20"/>
          <w:szCs w:val="20"/>
          <w:color w:val="auto"/>
        </w:rPr>
      </w:pPr>
    </w:p>
    <w:p>
      <w:pPr>
        <w:jc w:val="both"/>
        <w:ind w:left="120" w:right="8899" w:hanging="62"/>
        <w:spacing w:after="0" w:line="290" w:lineRule="auto"/>
        <w:tabs>
          <w:tab w:leader="none" w:pos="27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w:t>
      </w:r>
    </w:p>
    <w:p>
      <w:pPr>
        <w:sectPr>
          <w:pgSz w:w="11900" w:h="16838" w:orient="portrait"/>
          <w:cols w:equalWidth="0" w:num="1">
            <w:col w:w="10219"/>
          </w:cols>
          <w:pgMar w:left="240" w:top="136" w:right="1440" w:bottom="0" w:gutter="0" w:footer="0" w:header="0"/>
        </w:sectPr>
      </w:pPr>
    </w:p>
    <w:bookmarkStart w:id="59" w:name="page60"/>
    <w:bookmarkEnd w:id="59"/>
    <w:p>
      <w:pPr>
        <w:jc w:val="center"/>
        <w:ind w:right="8839"/>
        <w:spacing w:after="0"/>
        <w:rPr>
          <w:sz w:val="20"/>
          <w:szCs w:val="20"/>
          <w:color w:val="auto"/>
        </w:rPr>
      </w:pPr>
      <w:r>
        <w:rPr>
          <w:rFonts w:ascii="Courier New" w:cs="Courier New" w:eastAsia="Courier New" w:hAnsi="Courier New"/>
          <w:sz w:val="18"/>
          <w:szCs w:val="18"/>
          <w:color w:val="auto"/>
        </w:rPr>
        <w:t>L.L.P. 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Computation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ratio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ind w:left="120"/>
        <w:spacing w:after="0" w:line="237" w:lineRule="auto"/>
        <w:rPr>
          <w:sz w:val="20"/>
          <w:szCs w:val="20"/>
          <w:color w:val="auto"/>
        </w:rPr>
      </w:pPr>
      <w:r>
        <w:rPr>
          <w:rFonts w:ascii="Courier New" w:cs="Courier New" w:eastAsia="Courier New" w:hAnsi="Courier New"/>
          <w:sz w:val="18"/>
          <w:szCs w:val="18"/>
          <w:color w:val="auto"/>
        </w:rPr>
        <w:t>5.1). 24.1+</w:t>
      </w:r>
    </w:p>
    <w:p>
      <w:pPr>
        <w:spacing w:after="0" w:line="5" w:lineRule="exact"/>
        <w:rPr>
          <w:sz w:val="20"/>
          <w:szCs w:val="20"/>
          <w:color w:val="auto"/>
        </w:rPr>
      </w:pPr>
    </w:p>
    <w:p>
      <w:pPr>
        <w:ind w:left="260" w:right="8959" w:hanging="149"/>
        <w:spacing w:after="0" w:line="268" w:lineRule="auto"/>
        <w:tabs>
          <w:tab w:leader="none" w:pos="41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(set forth</w:t>
      </w:r>
    </w:p>
    <w:p>
      <w:pPr>
        <w:jc w:val="center"/>
        <w:ind w:right="8839"/>
        <w:spacing w:after="0"/>
        <w:rPr>
          <w:sz w:val="20"/>
          <w:szCs w:val="20"/>
          <w:color w:val="auto"/>
        </w:rPr>
      </w:pPr>
      <w:r>
        <w:rPr>
          <w:rFonts w:ascii="Courier New" w:cs="Courier New" w:eastAsia="Courier New" w:hAnsi="Courier New"/>
          <w:sz w:val="18"/>
          <w:szCs w:val="18"/>
          <w:color w:val="auto"/>
        </w:rPr>
        <w:t>on 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 25.1+</w:t>
      </w:r>
    </w:p>
    <w:p>
      <w:pPr>
        <w:jc w:val="center"/>
        <w:ind w:right="8839"/>
        <w:spacing w:after="0"/>
        <w:rPr>
          <w:sz w:val="20"/>
          <w:szCs w:val="20"/>
          <w:color w:val="auto"/>
        </w:rPr>
      </w:pPr>
      <w:r>
        <w:rPr>
          <w:rFonts w:ascii="Courier New" w:cs="Courier New" w:eastAsia="Courier New" w:hAnsi="Courier New"/>
          <w:sz w:val="18"/>
          <w:szCs w:val="18"/>
          <w:color w:val="auto"/>
        </w:rPr>
        <w:t>-- Statement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99.1+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of</w:t>
      </w:r>
    </w:p>
    <w:p>
      <w:pPr>
        <w:jc w:val="center"/>
        <w:ind w:right="8839"/>
        <w:spacing w:after="0"/>
        <w:rPr>
          <w:sz w:val="20"/>
          <w:szCs w:val="20"/>
          <w:color w:val="auto"/>
        </w:rPr>
      </w:pPr>
      <w:r>
        <w:rPr>
          <w:rFonts w:ascii="Courier New" w:cs="Courier New" w:eastAsia="Courier New" w:hAnsi="Courier New"/>
          <w:sz w:val="18"/>
          <w:szCs w:val="18"/>
          <w:color w:val="auto"/>
        </w:rPr>
        <w:t>Transmittal.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Notice of</w:t>
      </w:r>
    </w:p>
    <w:p>
      <w:pPr>
        <w:jc w:val="center"/>
        <w:ind w:right="8839"/>
        <w:spacing w:after="0"/>
        <w:rPr>
          <w:sz w:val="20"/>
          <w:szCs w:val="20"/>
          <w:color w:val="auto"/>
        </w:rPr>
      </w:pPr>
      <w:r>
        <w:rPr>
          <w:rFonts w:ascii="Courier New" w:cs="Courier New" w:eastAsia="Courier New" w:hAnsi="Courier New"/>
          <w:sz w:val="18"/>
          <w:szCs w:val="18"/>
          <w:color w:val="auto"/>
        </w:rPr>
        <w:t>Guaranteed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Delivery.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99.3+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DTC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99.4+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Clients.</w:t>
      </w:r>
    </w:p>
    <w:p>
      <w:pPr>
        <w:spacing w:after="0" w:line="200" w:lineRule="exact"/>
        <w:rPr>
          <w:sz w:val="20"/>
          <w:szCs w:val="20"/>
          <w:color w:val="auto"/>
        </w:rPr>
      </w:pP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Exhibits listed above which have been filed with the Commission are incorporated herein by reference with the same effect as if filed with this Registration Statement.</w:t>
      </w:r>
    </w:p>
    <w:p>
      <w:pPr>
        <w:spacing w:after="0" w:line="1"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 filed.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22.  UNDERTAKINGS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each filing of the Registrants' annual report pursuant to section 13(a) or section 15(d) of the Securities Exchange Act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60" w:name="page61"/>
    <w:bookmarkEnd w:id="60"/>
    <w:p>
      <w:pPr>
        <w:ind w:right="1999"/>
        <w:spacing w:after="0" w:line="237" w:lineRule="auto"/>
        <w:rPr>
          <w:sz w:val="20"/>
          <w:szCs w:val="20"/>
          <w:color w:val="auto"/>
        </w:rPr>
      </w:pPr>
      <w:r>
        <w:rPr>
          <w:rFonts w:ascii="Courier New" w:cs="Courier New" w:eastAsia="Courier New" w:hAnsi="Courier New"/>
          <w:sz w:val="18"/>
          <w:szCs w:val="18"/>
          <w:color w:val="auto"/>
        </w:rPr>
        <w:t>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07" w:lineRule="exact"/>
        <w:rPr>
          <w:sz w:val="20"/>
          <w:szCs w:val="20"/>
          <w:color w:val="auto"/>
        </w:rPr>
      </w:pPr>
    </w:p>
    <w:p>
      <w:pPr>
        <w:ind w:right="1779" w:firstLine="535"/>
        <w:spacing w:after="0" w:line="238"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under Item 20 above, or otherwise, the Registrants have been advised that in the opinion of the Commission such indemnification is against public policy as expressed in the Act and is, therefore, unenforceable. In the event that as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respond to requests for information that is incorporated by reference in 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jc w:val="both"/>
        <w:ind w:left="540" w:right="1879" w:firstLine="521"/>
        <w:spacing w:after="0" w:line="279" w:lineRule="auto"/>
        <w:tabs>
          <w:tab w:leader="none" w:pos="169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provided, however, that paragraphs (5)(i) and (5)(ii)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61" w:name="page62"/>
    <w:bookmarkEnd w:id="6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2 to its Registration Statement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A. Maurice Myers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jc w:val="center"/>
        <w:ind w:left="1760"/>
        <w:spacing w:after="0"/>
        <w:rPr>
          <w:sz w:val="20"/>
          <w:szCs w:val="20"/>
          <w:color w:val="auto"/>
        </w:rPr>
      </w:pPr>
      <w:r>
        <w:rPr>
          <w:rFonts w:ascii="Courier New" w:cs="Courier New" w:eastAsia="Courier New" w:hAnsi="Courier New"/>
          <w:sz w:val="18"/>
          <w:szCs w:val="18"/>
          <w:color w:val="auto"/>
        </w:rPr>
        <w:t>and</w:t>
      </w:r>
    </w:p>
    <w:p>
      <w:pPr>
        <w:ind w:left="5380"/>
        <w:spacing w:after="0" w:line="237" w:lineRule="auto"/>
        <w:rPr>
          <w:sz w:val="20"/>
          <w:szCs w:val="20"/>
          <w:color w:val="auto"/>
        </w:rPr>
      </w:pPr>
      <w:r>
        <w:rPr>
          <w:rFonts w:ascii="Courier New" w:cs="Courier New" w:eastAsia="Courier New" w:hAnsi="Courier New"/>
          <w:sz w:val="18"/>
          <w:szCs w:val="18"/>
          <w:color w:val="auto"/>
        </w:rPr>
        <w:t>Chairman of the Board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this Pre-Effective Amendment No. 2 to the Registrant's Registration Statement has been signed below by the following persons on behalf of the Registrant and in the capacities and on November 1, 2002.</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420" w:hanging="308"/>
        <w:spacing w:after="0"/>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jc w:val="center"/>
        <w:ind w:right="8739"/>
        <w:spacing w:after="0"/>
        <w:rPr>
          <w:sz w:val="20"/>
          <w:szCs w:val="20"/>
          <w:color w:val="auto"/>
        </w:rPr>
      </w:pPr>
      <w:r>
        <w:rPr>
          <w:rFonts w:ascii="Courier New" w:cs="Courier New" w:eastAsia="Courier New" w:hAnsi="Courier New"/>
          <w:sz w:val="18"/>
          <w:szCs w:val="18"/>
          <w:color w:val="auto"/>
        </w:rPr>
        <w:t>President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 and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220" w:right="8939" w:hanging="3"/>
        <w:spacing w:after="0" w:line="279" w:lineRule="auto"/>
        <w:tabs>
          <w:tab w:leader="none" w:pos="43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(Principal Executive</w:t>
      </w:r>
    </w:p>
    <w:p>
      <w:pPr>
        <w:spacing w:after="0" w:line="200" w:lineRule="exact"/>
        <w:rPr>
          <w:sz w:val="20"/>
          <w:szCs w:val="20"/>
          <w:color w:val="auto"/>
        </w:rPr>
      </w:pPr>
    </w:p>
    <w:p>
      <w:pPr>
        <w:spacing w:after="0" w:line="383" w:lineRule="exact"/>
        <w:rPr>
          <w:sz w:val="20"/>
          <w:szCs w:val="20"/>
          <w:color w:val="auto"/>
        </w:rPr>
      </w:pPr>
    </w:p>
    <w:p>
      <w:pPr>
        <w:jc w:val="both"/>
        <w:ind w:left="280" w:right="8939" w:hanging="63"/>
        <w:spacing w:after="0" w:line="268" w:lineRule="auto"/>
        <w:tabs>
          <w:tab w:leader="none" w:pos="54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ind w:left="60"/>
        <w:spacing w:after="0"/>
        <w:rPr>
          <w:sz w:val="20"/>
          <w:szCs w:val="20"/>
          <w:color w:val="auto"/>
        </w:rPr>
      </w:pPr>
      <w:r>
        <w:rPr>
          <w:rFonts w:ascii="Courier New" w:cs="Courier New" w:eastAsia="Courier New" w:hAnsi="Courier New"/>
          <w:sz w:val="18"/>
          <w:szCs w:val="18"/>
          <w:color w:val="auto"/>
        </w:rPr>
        <w:t>President and</w:t>
      </w:r>
    </w:p>
    <w:p>
      <w:pPr>
        <w:ind w:left="60"/>
        <w:spacing w:after="0" w:line="237" w:lineRule="auto"/>
        <w:rPr>
          <w:sz w:val="20"/>
          <w:szCs w:val="20"/>
          <w:color w:val="auto"/>
        </w:rPr>
      </w:pPr>
      <w:r>
        <w:rPr>
          <w:rFonts w:ascii="Courier New" w:cs="Courier New" w:eastAsia="Courier New" w:hAnsi="Courier New"/>
          <w:sz w:val="18"/>
          <w:szCs w:val="18"/>
          <w:color w:val="auto"/>
        </w:rPr>
        <w:t>Chief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739"/>
        <w:spacing w:after="0"/>
        <w:rPr>
          <w:sz w:val="20"/>
          <w:szCs w:val="20"/>
          <w:color w:val="auto"/>
        </w:rPr>
      </w:pPr>
      <w:r>
        <w:rPr>
          <w:rFonts w:ascii="Courier New" w:cs="Courier New" w:eastAsia="Courier New" w:hAnsi="Courier New"/>
          <w:sz w:val="18"/>
          <w:szCs w:val="18"/>
          <w:color w:val="auto"/>
        </w:rPr>
        <w:t>Officer) /s/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ROBERT G.</w:t>
      </w:r>
    </w:p>
    <w:p>
      <w:pPr>
        <w:jc w:val="center"/>
        <w:ind w:right="8739"/>
        <w:spacing w:after="0"/>
        <w:rPr>
          <w:sz w:val="20"/>
          <w:szCs w:val="20"/>
          <w:color w:val="auto"/>
        </w:rPr>
      </w:pPr>
      <w:r>
        <w:rPr>
          <w:rFonts w:ascii="Courier New" w:cs="Courier New" w:eastAsia="Courier New" w:hAnsi="Courier New"/>
          <w:sz w:val="18"/>
          <w:szCs w:val="18"/>
          <w:color w:val="auto"/>
        </w:rPr>
        <w:t>SIMPSON Vice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739"/>
        <w:spacing w:after="0"/>
        <w:rPr>
          <w:sz w:val="20"/>
          <w:szCs w:val="20"/>
          <w:color w:val="auto"/>
        </w:rPr>
      </w:pPr>
      <w:r>
        <w:rPr>
          <w:rFonts w:ascii="Courier New" w:cs="Courier New" w:eastAsia="Courier New" w:hAnsi="Courier New"/>
          <w:sz w:val="18"/>
          <w:szCs w:val="18"/>
          <w:color w:val="auto"/>
        </w:rPr>
        <w:t>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(Principal</w:t>
      </w:r>
    </w:p>
    <w:p>
      <w:pPr>
        <w:ind w:left="220"/>
        <w:spacing w:after="0"/>
        <w:rPr>
          <w:sz w:val="20"/>
          <w:szCs w:val="20"/>
          <w:color w:val="auto"/>
        </w:rPr>
      </w:pPr>
      <w:r>
        <w:rPr>
          <w:rFonts w:ascii="Courier New" w:cs="Courier New" w:eastAsia="Courier New" w:hAnsi="Courier New"/>
          <w:sz w:val="18"/>
          <w:szCs w:val="18"/>
          <w:color w:val="auto"/>
        </w:rPr>
        <w:t>Accounting</w:t>
      </w:r>
    </w:p>
    <w:p>
      <w:pPr>
        <w:ind w:left="320"/>
        <w:spacing w:after="0" w:line="237" w:lineRule="auto"/>
        <w:rPr>
          <w:sz w:val="20"/>
          <w:szCs w:val="20"/>
          <w:color w:val="auto"/>
        </w:rPr>
      </w:pPr>
      <w:r>
        <w:rPr>
          <w:rFonts w:ascii="Courier New" w:cs="Courier New" w:eastAsia="Courier New" w:hAnsi="Courier New"/>
          <w:sz w:val="18"/>
          <w:szCs w:val="18"/>
          <w:color w:val="auto"/>
        </w:rPr>
        <w:t>Officer)</w:t>
      </w:r>
    </w:p>
    <w:p>
      <w:pPr>
        <w:ind w:left="280"/>
        <w:spacing w:after="0" w:line="238" w:lineRule="auto"/>
        <w:rPr>
          <w:sz w:val="20"/>
          <w:szCs w:val="20"/>
          <w:color w:val="auto"/>
        </w:rPr>
      </w:pPr>
      <w:r>
        <w:rPr>
          <w:rFonts w:ascii="Courier New" w:cs="Courier New" w:eastAsia="Courier New" w:hAnsi="Courier New"/>
          <w:sz w:val="18"/>
          <w:szCs w:val="18"/>
          <w:color w:val="auto"/>
        </w:rPr>
        <w:t>Robert G.</w:t>
      </w:r>
    </w:p>
    <w:p>
      <w:pPr>
        <w:ind w:left="280"/>
        <w:spacing w:after="0"/>
        <w:rPr>
          <w:sz w:val="20"/>
          <w:szCs w:val="20"/>
          <w:color w:val="auto"/>
        </w:rPr>
      </w:pPr>
      <w:r>
        <w:rPr>
          <w:rFonts w:ascii="Courier New" w:cs="Courier New" w:eastAsia="Courier New" w:hAnsi="Courier New"/>
          <w:sz w:val="18"/>
          <w:szCs w:val="18"/>
          <w:color w:val="auto"/>
        </w:rPr>
        <w:t>Simpson *</w:t>
      </w:r>
    </w:p>
    <w:p>
      <w:pPr>
        <w:ind w:left="60"/>
        <w:spacing w:after="0" w:line="237"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right"/>
        <w:ind w:left="280" w:right="8999" w:firstLine="43"/>
        <w:spacing w:after="0" w:line="268" w:lineRule="auto"/>
        <w:tabs>
          <w:tab w:leader="none" w:pos="64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 Arnelle *</w:t>
      </w:r>
    </w:p>
    <w:p>
      <w:pPr>
        <w:ind w:left="60"/>
        <w:spacing w:after="0" w:line="233"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62" w:name="page63"/>
    <w:bookmarkEnd w:id="62"/>
    <w:p>
      <w:pPr>
        <w:ind w:left="101"/>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Pastora San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Juan Cafferty</w:t>
      </w:r>
    </w:p>
    <w:p>
      <w:pPr>
        <w:spacing w:after="0" w:line="16" w:lineRule="exact"/>
        <w:rPr>
          <w:sz w:val="20"/>
          <w:szCs w:val="20"/>
          <w:color w:val="auto"/>
        </w:rPr>
      </w:pPr>
    </w:p>
    <w:p>
      <w:pPr>
        <w:ind w:left="221" w:hanging="221"/>
        <w:spacing w:after="0"/>
        <w:tabs>
          <w:tab w:leader="none" w:pos="2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ind w:left="221" w:hanging="221"/>
        <w:spacing w:after="0" w:line="238" w:lineRule="auto"/>
        <w:tabs>
          <w:tab w:leader="none" w:pos="2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Rothmeier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W. Vogt</w:t>
      </w:r>
    </w:p>
    <w:p>
      <w:pPr>
        <w:ind w:left="221" w:hanging="221"/>
        <w:spacing w:after="0" w:line="238" w:lineRule="auto"/>
        <w:tabs>
          <w:tab w:leader="none" w:pos="2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w:t>
      </w:r>
    </w:p>
    <w:p>
      <w:pPr>
        <w:spacing w:after="0" w:line="4" w:lineRule="exact"/>
        <w:rPr>
          <w:rFonts w:ascii="Courier New" w:cs="Courier New" w:eastAsia="Courier New" w:hAnsi="Courier New"/>
          <w:sz w:val="18"/>
          <w:szCs w:val="18"/>
          <w:color w:val="auto"/>
        </w:rPr>
      </w:pPr>
    </w:p>
    <w:p>
      <w:pPr>
        <w:jc w:val="both"/>
        <w:ind w:left="1"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Whitworth By: /s/ DAVID P. STEINER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As</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w:t>
      </w:r>
    </w:p>
    <w:p>
      <w:pPr>
        <w:ind w:left="48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Fact</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60"/>
          </w:cols>
          <w:pgMar w:left="299" w:top="136" w:right="1440" w:bottom="1440" w:gutter="0" w:footer="0" w:header="0"/>
        </w:sectPr>
      </w:pPr>
    </w:p>
    <w:bookmarkStart w:id="63" w:name="page64"/>
    <w:bookmarkEnd w:id="6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2 to its Registration Statement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DAVID P. STEINER</w:t>
      </w:r>
    </w:p>
    <w:p>
      <w:pPr>
        <w:spacing w:after="0" w:line="21"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64" w:name="page65"/>
    <w:bookmarkEnd w:id="64"/>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8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3.1 -- Second</w:t>
      </w:r>
    </w:p>
    <w:p>
      <w:pPr>
        <w:jc w:val="center"/>
        <w:ind w:right="8839"/>
        <w:spacing w:after="0" w:line="233"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3.2 --</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 --</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10-K</w:t>
      </w:r>
    </w:p>
    <w:p>
      <w:pPr>
        <w:jc w:val="center"/>
        <w:ind w:right="8839"/>
        <w:spacing w:after="0"/>
        <w:rPr>
          <w:sz w:val="20"/>
          <w:szCs w:val="20"/>
          <w:color w:val="auto"/>
        </w:rPr>
      </w:pPr>
      <w:r>
        <w:rPr>
          <w:rFonts w:ascii="Courier New" w:cs="Courier New" w:eastAsia="Courier New" w:hAnsi="Courier New"/>
          <w:sz w:val="18"/>
          <w:szCs w:val="18"/>
          <w:color w:val="auto"/>
        </w:rPr>
        <w:t>for the 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4.2 -</w:t>
      </w:r>
    </w:p>
    <w:p>
      <w:pPr>
        <w:spacing w:after="0" w:line="5" w:lineRule="exact"/>
        <w:rPr>
          <w:sz w:val="20"/>
          <w:szCs w:val="20"/>
          <w:color w:val="auto"/>
        </w:rPr>
      </w:pPr>
    </w:p>
    <w:p>
      <w:pPr>
        <w:ind w:left="160" w:right="8959" w:hanging="49"/>
        <w:spacing w:after="0" w:line="275" w:lineRule="auto"/>
        <w:tabs>
          <w:tab w:leader="none" w:pos="31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w:t>
      </w:r>
    </w:p>
    <w:p>
      <w:pPr>
        <w:sectPr>
          <w:pgSz w:w="11900" w:h="16838" w:orient="portrait"/>
          <w:cols w:equalWidth="0" w:num="1">
            <w:col w:w="10219"/>
          </w:cols>
          <w:pgMar w:left="240" w:top="717" w:right="1440" w:bottom="0" w:gutter="0" w:footer="0" w:header="0"/>
        </w:sectPr>
      </w:pPr>
    </w:p>
    <w:bookmarkStart w:id="65" w:name="page66"/>
    <w:bookmarkEnd w:id="65"/>
    <w:p>
      <w:pPr>
        <w:jc w:val="center"/>
        <w:ind w:right="8839"/>
        <w:spacing w:after="0"/>
        <w:rPr>
          <w:sz w:val="20"/>
          <w:szCs w:val="20"/>
          <w:color w:val="auto"/>
        </w:rPr>
      </w:pPr>
      <w:r>
        <w:rPr>
          <w:rFonts w:ascii="Courier New" w:cs="Courier New" w:eastAsia="Courier New" w:hAnsi="Courier New"/>
          <w:sz w:val="18"/>
          <w:szCs w:val="18"/>
          <w:color w:val="auto"/>
        </w:rPr>
        <w:t>dated</w:t>
      </w:r>
    </w:p>
    <w:p>
      <w:pPr>
        <w:ind w:left="220"/>
        <w:spacing w:after="0" w:line="238" w:lineRule="auto"/>
        <w:rPr>
          <w:sz w:val="20"/>
          <w:szCs w:val="20"/>
          <w:color w:val="auto"/>
        </w:rPr>
      </w:pPr>
      <w:r>
        <w:rPr>
          <w:rFonts w:ascii="Courier New" w:cs="Courier New" w:eastAsia="Courier New" w:hAnsi="Courier New"/>
          <w:sz w:val="18"/>
          <w:szCs w:val="18"/>
          <w:color w:val="auto"/>
        </w:rPr>
        <w:t>September</w:t>
      </w:r>
    </w:p>
    <w:p>
      <w:pPr>
        <w:ind w:left="220"/>
        <w:spacing w:after="0"/>
        <w:rPr>
          <w:sz w:val="20"/>
          <w:szCs w:val="20"/>
          <w:color w:val="auto"/>
        </w:rPr>
      </w:pPr>
      <w:r>
        <w:rPr>
          <w:rFonts w:ascii="Courier New" w:cs="Courier New" w:eastAsia="Courier New" w:hAnsi="Courier New"/>
          <w:sz w:val="18"/>
          <w:szCs w:val="18"/>
          <w:color w:val="auto"/>
        </w:rPr>
        <w:t>10, 1997,</w:t>
      </w:r>
    </w:p>
    <w:p>
      <w:pPr>
        <w:ind w:left="220"/>
        <w:spacing w:after="0" w:line="237" w:lineRule="auto"/>
        <w:rPr>
          <w:sz w:val="20"/>
          <w:szCs w:val="20"/>
          <w:color w:val="auto"/>
        </w:rPr>
      </w:pPr>
      <w:r>
        <w:rPr>
          <w:rFonts w:ascii="Courier New" w:cs="Courier New" w:eastAsia="Courier New" w:hAnsi="Courier New"/>
          <w:sz w:val="18"/>
          <w:szCs w:val="18"/>
          <w:color w:val="auto"/>
        </w:rPr>
        <w:t>among the</w:t>
      </w:r>
    </w:p>
    <w:p>
      <w:pPr>
        <w:ind w:left="160"/>
        <w:spacing w:after="0" w:line="238" w:lineRule="auto"/>
        <w:rPr>
          <w:sz w:val="20"/>
          <w:szCs w:val="20"/>
          <w:color w:val="auto"/>
        </w:rPr>
      </w:pPr>
      <w:r>
        <w:rPr>
          <w:rFonts w:ascii="Courier New" w:cs="Courier New" w:eastAsia="Courier New" w:hAnsi="Courier New"/>
          <w:sz w:val="18"/>
          <w:szCs w:val="18"/>
          <w:color w:val="auto"/>
        </w:rPr>
        <w:t>Registrant</w:t>
      </w:r>
    </w:p>
    <w:p>
      <w:pPr>
        <w:ind w:left="220"/>
        <w:spacing w:after="0"/>
        <w:rPr>
          <w:sz w:val="20"/>
          <w:szCs w:val="20"/>
          <w:color w:val="auto"/>
        </w:rPr>
      </w:pPr>
      <w:r>
        <w:rPr>
          <w:rFonts w:ascii="Courier New" w:cs="Courier New" w:eastAsia="Courier New" w:hAnsi="Courier New"/>
          <w:sz w:val="18"/>
          <w:szCs w:val="18"/>
          <w:color w:val="auto"/>
        </w:rPr>
        <w:t>and Texas</w:t>
      </w:r>
    </w:p>
    <w:p>
      <w:pPr>
        <w:ind w:left="260"/>
        <w:spacing w:after="0" w:line="237" w:lineRule="auto"/>
        <w:rPr>
          <w:sz w:val="20"/>
          <w:szCs w:val="20"/>
          <w:color w:val="auto"/>
        </w:rPr>
      </w:pPr>
      <w:r>
        <w:rPr>
          <w:rFonts w:ascii="Courier New" w:cs="Courier New" w:eastAsia="Courier New" w:hAnsi="Courier New"/>
          <w:sz w:val="18"/>
          <w:szCs w:val="18"/>
          <w:color w:val="auto"/>
        </w:rPr>
        <w:t>Commerce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 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 1997].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Exchange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 4.4+ -</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May 24, 2002</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Goldman,</w:t>
      </w:r>
    </w:p>
    <w:p>
      <w:pPr>
        <w:jc w:val="center"/>
        <w:ind w:right="8839"/>
        <w:spacing w:after="0"/>
        <w:rPr>
          <w:sz w:val="20"/>
          <w:szCs w:val="20"/>
          <w:color w:val="auto"/>
        </w:rPr>
      </w:pPr>
      <w:r>
        <w:rPr>
          <w:rFonts w:ascii="Courier New" w:cs="Courier New" w:eastAsia="Courier New" w:hAnsi="Courier New"/>
          <w:sz w:val="18"/>
          <w:szCs w:val="18"/>
          <w:color w:val="auto"/>
        </w:rPr>
        <w:t>Sachs &amp; 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Merrill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Lynch,</w:t>
      </w:r>
    </w:p>
    <w:p>
      <w:pPr>
        <w:jc w:val="center"/>
        <w:ind w:right="8839"/>
        <w:spacing w:after="0"/>
        <w:rPr>
          <w:sz w:val="20"/>
          <w:szCs w:val="20"/>
          <w:color w:val="auto"/>
        </w:rPr>
      </w:pPr>
      <w:r>
        <w:rPr>
          <w:rFonts w:ascii="Courier New" w:cs="Courier New" w:eastAsia="Courier New" w:hAnsi="Courier New"/>
          <w:sz w:val="18"/>
          <w:szCs w:val="18"/>
          <w:color w:val="auto"/>
        </w:rPr>
        <w:t>Pierce,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839"/>
        <w:spacing w:after="0"/>
        <w:rPr>
          <w:sz w:val="20"/>
          <w:szCs w:val="20"/>
          <w:color w:val="auto"/>
        </w:rPr>
      </w:pPr>
      <w:r>
        <w:rPr>
          <w:rFonts w:ascii="Courier New" w:cs="Courier New" w:eastAsia="Courier New" w:hAnsi="Courier New"/>
          <w:sz w:val="18"/>
          <w:szCs w:val="18"/>
          <w:color w:val="auto"/>
        </w:rPr>
        <w:t>Smith</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 by</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Favor of the</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 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24,</w:t>
      </w:r>
    </w:p>
    <w:p>
      <w:pPr>
        <w:jc w:val="center"/>
        <w:ind w:right="8839"/>
        <w:spacing w:after="0"/>
        <w:rPr>
          <w:sz w:val="20"/>
          <w:szCs w:val="20"/>
          <w:color w:val="auto"/>
        </w:rPr>
      </w:pPr>
      <w:r>
        <w:rPr>
          <w:rFonts w:ascii="Courier New" w:cs="Courier New" w:eastAsia="Courier New" w:hAnsi="Courier New"/>
          <w:sz w:val="18"/>
          <w:szCs w:val="18"/>
          <w:color w:val="auto"/>
        </w:rPr>
        <w:t>2002. 5.1+ -</w:t>
      </w:r>
    </w:p>
    <w:p>
      <w:pPr>
        <w:spacing w:after="0" w:line="4" w:lineRule="exact"/>
        <w:rPr>
          <w:sz w:val="20"/>
          <w:szCs w:val="20"/>
          <w:color w:val="auto"/>
        </w:rPr>
      </w:pPr>
    </w:p>
    <w:p>
      <w:pPr>
        <w:jc w:val="both"/>
        <w:ind w:left="120" w:right="8899" w:hanging="62"/>
        <w:spacing w:after="0" w:line="268" w:lineRule="auto"/>
        <w:tabs>
          <w:tab w:leader="none" w:pos="27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 L.L.P. 12.1</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120" w:right="89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23.1 -- Consent of Baker Botts</w:t>
      </w:r>
    </w:p>
    <w:p>
      <w:pPr>
        <w:sectPr>
          <w:pgSz w:w="11900" w:h="16838" w:orient="portrait"/>
          <w:cols w:equalWidth="0" w:num="1">
            <w:col w:w="10219"/>
          </w:cols>
          <w:pgMar w:left="240" w:top="136" w:right="1440" w:bottom="0" w:gutter="0" w:footer="0" w:header="0"/>
        </w:sectPr>
      </w:pPr>
    </w:p>
    <w:bookmarkStart w:id="66" w:name="page67"/>
    <w:bookmarkEnd w:id="66"/>
    <w:p>
      <w:pPr>
        <w:jc w:val="center"/>
        <w:ind w:right="8839"/>
        <w:spacing w:after="0"/>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24.1+</w:t>
      </w:r>
    </w:p>
    <w:p>
      <w:pPr>
        <w:spacing w:after="0" w:line="5" w:lineRule="exact"/>
        <w:rPr>
          <w:sz w:val="20"/>
          <w:szCs w:val="20"/>
          <w:color w:val="auto"/>
        </w:rPr>
      </w:pPr>
    </w:p>
    <w:p>
      <w:pPr>
        <w:ind w:left="260" w:right="8959" w:hanging="149"/>
        <w:spacing w:after="0" w:line="268" w:lineRule="auto"/>
        <w:tabs>
          <w:tab w:leader="none" w:pos="41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(set forth</w:t>
      </w:r>
    </w:p>
    <w:p>
      <w:pPr>
        <w:ind w:left="60"/>
        <w:spacing w:after="0"/>
        <w:rPr>
          <w:sz w:val="20"/>
          <w:szCs w:val="20"/>
          <w:color w:val="auto"/>
        </w:rPr>
      </w:pPr>
      <w:r>
        <w:rPr>
          <w:rFonts w:ascii="Courier New" w:cs="Courier New" w:eastAsia="Courier New" w:hAnsi="Courier New"/>
          <w:sz w:val="18"/>
          <w:szCs w:val="18"/>
          <w:color w:val="auto"/>
        </w:rPr>
        <w:t>on signature</w:t>
      </w:r>
    </w:p>
    <w:p>
      <w:pPr>
        <w:ind w:left="60"/>
        <w:spacing w:after="0" w:line="237" w:lineRule="auto"/>
        <w:rPr>
          <w:sz w:val="20"/>
          <w:szCs w:val="20"/>
          <w:color w:val="auto"/>
        </w:rPr>
      </w:pPr>
      <w:r>
        <w:rPr>
          <w:rFonts w:ascii="Courier New" w:cs="Courier New" w:eastAsia="Courier New" w:hAnsi="Courier New"/>
          <w:sz w:val="18"/>
          <w:szCs w:val="18"/>
          <w:color w:val="auto"/>
        </w:rPr>
        <w:t>page). 25.1+</w:t>
      </w:r>
    </w:p>
    <w:p>
      <w:pPr>
        <w:spacing w:after="0" w:line="5" w:lineRule="exact"/>
        <w:rPr>
          <w:sz w:val="20"/>
          <w:szCs w:val="20"/>
          <w:color w:val="auto"/>
        </w:rPr>
      </w:pPr>
    </w:p>
    <w:p>
      <w:pPr>
        <w:ind w:left="580" w:right="8899" w:hanging="522"/>
        <w:spacing w:after="0" w:line="268" w:lineRule="auto"/>
        <w:tabs>
          <w:tab w:leader="none" w:pos="36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ind w:left="120"/>
        <w:spacing w:after="0" w:line="233" w:lineRule="auto"/>
        <w:rPr>
          <w:sz w:val="20"/>
          <w:szCs w:val="20"/>
          <w:color w:val="auto"/>
        </w:rPr>
      </w:pPr>
      <w:r>
        <w:rPr>
          <w:rFonts w:ascii="Courier New" w:cs="Courier New" w:eastAsia="Courier New" w:hAnsi="Courier New"/>
          <w:sz w:val="18"/>
          <w:szCs w:val="18"/>
          <w:color w:val="auto"/>
        </w:rPr>
        <w:t>Eligibility</w:t>
      </w:r>
    </w:p>
    <w:p>
      <w:pPr>
        <w:ind w:left="120"/>
        <w:spacing w:after="0"/>
        <w:rPr>
          <w:sz w:val="20"/>
          <w:szCs w:val="20"/>
          <w:color w:val="auto"/>
        </w:rPr>
      </w:pPr>
      <w:r>
        <w:rPr>
          <w:rFonts w:ascii="Courier New" w:cs="Courier New" w:eastAsia="Courier New" w:hAnsi="Courier New"/>
          <w:sz w:val="18"/>
          <w:szCs w:val="18"/>
          <w:color w:val="auto"/>
        </w:rPr>
        <w:t>of Trustee.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99.1+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of</w:t>
      </w:r>
    </w:p>
    <w:p>
      <w:pPr>
        <w:jc w:val="center"/>
        <w:ind w:right="8839"/>
        <w:spacing w:after="0"/>
        <w:rPr>
          <w:sz w:val="20"/>
          <w:szCs w:val="20"/>
          <w:color w:val="auto"/>
        </w:rPr>
      </w:pPr>
      <w:r>
        <w:rPr>
          <w:rFonts w:ascii="Courier New" w:cs="Courier New" w:eastAsia="Courier New" w:hAnsi="Courier New"/>
          <w:sz w:val="18"/>
          <w:szCs w:val="18"/>
          <w:color w:val="auto"/>
        </w:rPr>
        <w:t>Transmittal.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Notice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Guaranteed</w:t>
      </w:r>
    </w:p>
    <w:p>
      <w:pPr>
        <w:jc w:val="center"/>
        <w:ind w:right="8839"/>
        <w:spacing w:after="0"/>
        <w:rPr>
          <w:sz w:val="20"/>
          <w:szCs w:val="20"/>
          <w:color w:val="auto"/>
        </w:rPr>
      </w:pPr>
      <w:r>
        <w:rPr>
          <w:rFonts w:ascii="Courier New" w:cs="Courier New" w:eastAsia="Courier New" w:hAnsi="Courier New"/>
          <w:sz w:val="18"/>
          <w:szCs w:val="18"/>
          <w:color w:val="auto"/>
        </w:rPr>
        <w:t>Delivery.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99.3+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DTC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99.4+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Clients.</w:t>
      </w:r>
    </w:p>
    <w:p>
      <w:pPr>
        <w:spacing w:after="0" w:line="200" w:lineRule="exact"/>
        <w:rPr>
          <w:sz w:val="20"/>
          <w:szCs w:val="20"/>
          <w:color w:val="auto"/>
        </w:rPr>
      </w:pP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Exhibits listed above which have been filed with the Commission are incorporated herein by reference with the same effect as if filed with this Registration Statement.</w:t>
      </w:r>
    </w:p>
    <w:p>
      <w:pPr>
        <w:spacing w:after="0" w:line="1"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 filed.</w:t>
      </w:r>
    </w:p>
    <w:p>
      <w:pPr>
        <w:sectPr>
          <w:pgSz w:w="11900" w:h="16838" w:orient="portrait"/>
          <w:cols w:equalWidth="0" w:num="1">
            <w:col w:w="10219"/>
          </w:cols>
          <w:pgMar w:left="240" w:top="136"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Nine Months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Years</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1998 1999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8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(loss) before income taxes,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extraordinary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w:t>
      </w:r>
    </w:p>
    <w:p>
      <w:pPr>
        <w:spacing w:after="0" w:line="4" w:lineRule="exact"/>
        <w:rPr>
          <w:rFonts w:ascii="Courier New" w:cs="Courier New" w:eastAsia="Courier New" w:hAnsi="Courier New"/>
          <w:sz w:val="18"/>
          <w:szCs w:val="18"/>
          <w:color w:val="auto"/>
        </w:rPr>
      </w:pPr>
    </w:p>
    <w:p>
      <w:pPr>
        <w:jc w:val="both"/>
        <w:ind w:left="1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cumulative effect of changes in accounting principle,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undistributed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jc w:val="center"/>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affiliated companies and minority interests $</w:t>
      </w:r>
    </w:p>
    <w:p>
      <w:pPr>
        <w:ind w:left="960" w:hanging="639"/>
        <w:spacing w:after="0" w:line="238" w:lineRule="auto"/>
        <w:tabs>
          <w:tab w:leader="none" w:pos="96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639"/>
        <w:spacing w:after="0" w:line="238" w:lineRule="auto"/>
        <w:tabs>
          <w:tab w:leader="none" w:pos="960"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120" w:right="8959" w:hanging="9"/>
        <w:spacing w:after="0" w:line="268" w:lineRule="auto"/>
        <w:tabs>
          <w:tab w:leader="none" w:pos="75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$ 344 $ 792 $ 929</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40" w:hanging="629"/>
        <w:spacing w:after="0" w:line="238" w:lineRule="auto"/>
        <w:tabs>
          <w:tab w:leader="none" w:pos="74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jc w:val="center"/>
        <w:ind w:right="8839"/>
        <w:spacing w:after="0"/>
        <w:rPr>
          <w:sz w:val="20"/>
          <w:szCs w:val="20"/>
          <w:color w:val="auto"/>
        </w:rPr>
      </w:pPr>
      <w:r>
        <w:rPr>
          <w:rFonts w:ascii="Courier New" w:cs="Courier New" w:eastAsia="Courier New" w:hAnsi="Courier New"/>
          <w:sz w:val="18"/>
          <w:szCs w:val="18"/>
          <w:color w:val="auto"/>
        </w:rPr>
        <w:t>charges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deducted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income:</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ind w:left="120"/>
        <w:spacing w:after="0" w:line="237" w:lineRule="auto"/>
        <w:rPr>
          <w:sz w:val="20"/>
          <w:szCs w:val="20"/>
          <w:color w:val="auto"/>
        </w:rPr>
      </w:pPr>
      <w:r>
        <w:rPr>
          <w:rFonts w:ascii="Courier New" w:cs="Courier New" w:eastAsia="Courier New" w:hAnsi="Courier New"/>
          <w:sz w:val="18"/>
          <w:szCs w:val="18"/>
          <w:color w:val="auto"/>
        </w:rPr>
        <w:t>expense 556</w:t>
      </w:r>
    </w:p>
    <w:p>
      <w:pPr>
        <w:ind w:left="120"/>
        <w:spacing w:after="0"/>
        <w:rPr>
          <w:sz w:val="20"/>
          <w:szCs w:val="20"/>
          <w:color w:val="auto"/>
        </w:rPr>
      </w:pPr>
      <w:r>
        <w:rPr>
          <w:rFonts w:ascii="Courier New" w:cs="Courier New" w:eastAsia="Courier New" w:hAnsi="Courier New"/>
          <w:sz w:val="18"/>
          <w:szCs w:val="18"/>
          <w:color w:val="auto"/>
        </w:rPr>
        <w:t>682 770 748</w:t>
      </w:r>
    </w:p>
    <w:p>
      <w:pPr>
        <w:spacing w:after="0" w:line="4" w:lineRule="exact"/>
        <w:rPr>
          <w:sz w:val="20"/>
          <w:szCs w:val="20"/>
          <w:color w:val="auto"/>
        </w:rPr>
      </w:pPr>
    </w:p>
    <w:p>
      <w:pPr>
        <w:jc w:val="right"/>
        <w:ind w:left="260" w:right="9099" w:firstLine="61"/>
        <w:spacing w:after="0" w:line="268" w:lineRule="auto"/>
        <w:tabs>
          <w:tab w:leader="none" w:pos="73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350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tbl>
      <w:tblPr>
        <w:tblLayout w:type="fixed"/>
        <w:tblInd w:w="60" w:type="dxa"/>
        <w:tblCellMar>
          <w:top w:w="0" w:type="dxa"/>
          <w:left w:w="0" w:type="dxa"/>
          <w:bottom w:w="0" w:type="dxa"/>
          <w:right w:w="0" w:type="dxa"/>
        </w:tblCellMar>
      </w:tblPr>
      <w:tr>
        <w:trPr>
          <w:trHeight w:val="203"/>
        </w:trPr>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rents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60" w:hanging="202"/>
        <w:spacing w:after="0" w:line="238" w:lineRule="auto"/>
        <w:tabs>
          <w:tab w:leader="none" w:pos="2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hanging="624"/>
        <w:spacing w:after="0" w:line="238" w:lineRule="auto"/>
        <w:tabs>
          <w:tab w:leader="none" w:pos="84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615</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761 845 822</w:t>
      </w:r>
    </w:p>
    <w:p>
      <w:pPr>
        <w:ind w:left="60"/>
        <w:spacing w:after="0"/>
        <w:rPr>
          <w:sz w:val="20"/>
          <w:szCs w:val="20"/>
          <w:color w:val="auto"/>
        </w:rPr>
      </w:pPr>
      <w:r>
        <w:rPr>
          <w:rFonts w:ascii="Courier New" w:cs="Courier New" w:eastAsia="Courier New" w:hAnsi="Courier New"/>
          <w:sz w:val="18"/>
          <w:szCs w:val="18"/>
          <w:color w:val="auto"/>
        </w:rPr>
        <w:t>606 395 ----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40" w:hanging="529"/>
        <w:spacing w:after="0" w:line="238" w:lineRule="auto"/>
        <w:tabs>
          <w:tab w:leader="none" w:pos="6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895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Earnings available for fixed charges $ 6 $ 82 $ 706 $1,166 $1,398 $1,324</w:t>
      </w:r>
    </w:p>
    <w:p>
      <w:pPr>
        <w:spacing w:after="0" w:line="5"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68" w:name="page69"/>
    <w:bookmarkEnd w:id="68"/>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 $</w:t>
      </w:r>
    </w:p>
    <w:p>
      <w:pPr>
        <w:jc w:val="center"/>
        <w:ind w:right="8839"/>
        <w:spacing w:after="0"/>
        <w:rPr>
          <w:sz w:val="20"/>
          <w:szCs w:val="20"/>
          <w:color w:val="auto"/>
        </w:rPr>
      </w:pPr>
      <w:r>
        <w:rPr>
          <w:rFonts w:ascii="Courier New" w:cs="Courier New" w:eastAsia="Courier New" w:hAnsi="Courier New"/>
          <w:sz w:val="18"/>
          <w:szCs w:val="18"/>
          <w:color w:val="auto"/>
        </w:rPr>
        <w:t>556 $ 682 $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770 $ 748 $</w:t>
      </w:r>
    </w:p>
    <w:p>
      <w:pPr>
        <w:jc w:val="center"/>
        <w:ind w:right="8839"/>
        <w:spacing w:after="0"/>
        <w:rPr>
          <w:sz w:val="20"/>
          <w:szCs w:val="20"/>
          <w:color w:val="auto"/>
        </w:rPr>
      </w:pPr>
      <w:r>
        <w:rPr>
          <w:rFonts w:ascii="Courier New" w:cs="Courier New" w:eastAsia="Courier New" w:hAnsi="Courier New"/>
          <w:sz w:val="18"/>
          <w:szCs w:val="18"/>
          <w:color w:val="auto"/>
        </w:rPr>
        <w:t>541 $ 350</w:t>
      </w:r>
    </w:p>
    <w:p>
      <w:pPr>
        <w:ind w:left="120"/>
        <w:spacing w:after="0" w:line="237" w:lineRule="auto"/>
        <w:rPr>
          <w:sz w:val="20"/>
          <w:szCs w:val="20"/>
          <w:color w:val="auto"/>
        </w:rPr>
      </w:pPr>
      <w:r>
        <w:rPr>
          <w:rFonts w:ascii="Courier New" w:cs="Courier New" w:eastAsia="Courier New" w:hAnsi="Courier New"/>
          <w:sz w:val="18"/>
          <w:szCs w:val="18"/>
          <w:color w:val="auto"/>
        </w:rPr>
        <w:t>Capitalized</w:t>
      </w:r>
    </w:p>
    <w:p>
      <w:pPr>
        <w:ind w:left="120"/>
        <w:spacing w:after="0" w:line="238" w:lineRule="auto"/>
        <w:rPr>
          <w:sz w:val="20"/>
          <w:szCs w:val="20"/>
          <w:color w:val="auto"/>
        </w:rPr>
      </w:pPr>
      <w:r>
        <w:rPr>
          <w:rFonts w:ascii="Courier New" w:cs="Courier New" w:eastAsia="Courier New" w:hAnsi="Courier New"/>
          <w:sz w:val="18"/>
          <w:szCs w:val="18"/>
          <w:color w:val="auto"/>
        </w:rPr>
        <w:t>interest 51</w:t>
      </w:r>
    </w:p>
    <w:p>
      <w:pPr>
        <w:ind w:left="120"/>
        <w:spacing w:after="0"/>
        <w:rPr>
          <w:sz w:val="20"/>
          <w:szCs w:val="20"/>
          <w:color w:val="auto"/>
        </w:rPr>
      </w:pPr>
      <w:r>
        <w:rPr>
          <w:rFonts w:ascii="Courier New" w:cs="Courier New" w:eastAsia="Courier New" w:hAnsi="Courier New"/>
          <w:sz w:val="18"/>
          <w:szCs w:val="18"/>
          <w:color w:val="auto"/>
        </w:rPr>
        <w:t>42 34 22 16</w:t>
      </w:r>
    </w:p>
    <w:p>
      <w:pPr>
        <w:spacing w:after="0" w:line="4" w:lineRule="exact"/>
        <w:rPr>
          <w:sz w:val="20"/>
          <w:szCs w:val="20"/>
          <w:color w:val="auto"/>
        </w:rPr>
      </w:pPr>
    </w:p>
    <w:p>
      <w:pPr>
        <w:jc w:val="both"/>
        <w:ind w:left="120" w:right="8959" w:hanging="9"/>
        <w:spacing w:after="0" w:line="268" w:lineRule="auto"/>
        <w:tabs>
          <w:tab w:leader="none" w:pos="436"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Implicit interest in rents 59 79</w:t>
      </w:r>
    </w:p>
    <w:p>
      <w:pPr>
        <w:ind w:left="420" w:hanging="309"/>
        <w:spacing w:after="0" w:line="238" w:lineRule="auto"/>
        <w:tabs>
          <w:tab w:leader="none" w:pos="42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74 65 45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540" w:hanging="429"/>
        <w:spacing w:after="0" w:line="238" w:lineRule="auto"/>
        <w:tabs>
          <w:tab w:leader="none" w:pos="54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$ 803 $</w:t>
      </w:r>
    </w:p>
    <w:p>
      <w:pPr>
        <w:spacing w:after="0" w:line="4" w:lineRule="exact"/>
        <w:rPr>
          <w:rFonts w:ascii="Courier New" w:cs="Courier New" w:eastAsia="Courier New" w:hAnsi="Courier New"/>
          <w:sz w:val="18"/>
          <w:szCs w:val="18"/>
          <w:color w:val="auto"/>
        </w:rPr>
      </w:pPr>
    </w:p>
    <w:p>
      <w:pPr>
        <w:ind w:left="220" w:right="8959" w:hanging="109"/>
        <w:spacing w:after="0" w:line="268" w:lineRule="auto"/>
        <w:tabs>
          <w:tab w:leader="none" w:pos="536"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$ 844 $ 622 $ 409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120" w:right="88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Ratio of earnings to fixed charges N/A(1) N/A(2) N/A(3) 1.4 2.2 3.2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212" w:lineRule="exact"/>
        <w:rPr>
          <w:rFonts w:ascii="Courier New" w:cs="Courier New" w:eastAsia="Courier New" w:hAnsi="Courier New"/>
          <w:sz w:val="18"/>
          <w:szCs w:val="18"/>
          <w:color w:val="auto"/>
        </w:rPr>
      </w:pPr>
    </w:p>
    <w:p>
      <w:pPr>
        <w:ind w:right="2199" w:firstLine="8"/>
        <w:spacing w:after="0" w:line="237" w:lineRule="auto"/>
        <w:tabs>
          <w:tab w:leader="none" w:pos="42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Inc. and Waste Management Holdings, Inc.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
      <w:numFmt w:val="bullet"/>
      <w:start w:val="1"/>
    </w:lvl>
    <w:lvl w:ilvl="1">
      <w:lvlJc w:val="left"/>
      <w:lvlText w:val="-"/>
      <w:numFmt w:val="bullet"/>
      <w:start w:val="1"/>
    </w:lvl>
  </w:abstractNum>
  <w:abstractNum w:abstractNumId="4">
    <w:nsid w:val="749ABB43"/>
    <w:multiLevelType w:val="hybridMultilevel"/>
    <w:lvl w:ilvl="0">
      <w:lvlJc w:val="left"/>
      <w:lvlText w:val="(%1)"/>
      <w:numFmt w:val="decimal"/>
      <w:start w:val="713"/>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decimal"/>
      <w:start w:val="512"/>
    </w:lvl>
  </w:abstractNum>
  <w:abstractNum w:abstractNumId="11">
    <w:nsid w:val="520EEDD1"/>
    <w:multiLevelType w:val="hybridMultilevel"/>
    <w:lvl w:ilvl="0">
      <w:lvlJc w:val="left"/>
      <w:lvlText w:val="(%1)"/>
      <w:numFmt w:val="decimal"/>
      <w:start w:val="512"/>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lvl w:ilvl="1">
      <w:lvlJc w:val="left"/>
      <w:lvlText w:val="-----"/>
      <w:numFmt w:val="bullet"/>
      <w:start w:val="1"/>
    </w:lvl>
  </w:abstractNum>
  <w:abstractNum w:abstractNumId="16">
    <w:nsid w:val="275AC794"/>
    <w:multiLevelType w:val="hybridMultilevel"/>
    <w:lvl w:ilvl="0">
      <w:lvlJc w:val="left"/>
      <w:lvlText w:val="(%1)"/>
      <w:numFmt w:val="decimal"/>
      <w:start w:val="682"/>
    </w:lvl>
  </w:abstractNum>
  <w:abstractNum w:abstractNumId="17">
    <w:nsid w:val="39386575"/>
    <w:multiLevelType w:val="hybridMultilevel"/>
    <w:lvl w:ilvl="0">
      <w:lvlJc w:val="left"/>
      <w:lvlText w:val="(%1)"/>
      <w:numFmt w:val="decimal"/>
      <w:start w:val="428"/>
    </w:lvl>
    <w:lvl w:ilvl="1">
      <w:lvlJc w:val="left"/>
      <w:lvlText w:val="-----"/>
      <w:numFmt w:val="bullet"/>
      <w:start w:val="1"/>
    </w:lvl>
  </w:abstractNum>
  <w:abstractNum w:abstractNumId="18">
    <w:nsid w:val="1CF10FD8"/>
    <w:multiLevelType w:val="hybridMultilevel"/>
    <w:lvl w:ilvl="0">
      <w:lvlJc w:val="left"/>
      <w:lvlText w:val="(%1)"/>
      <w:numFmt w:val="decimal"/>
      <w:start w:val="336"/>
    </w:lvl>
    <w:lvl w:ilvl="1">
      <w:lvlJc w:val="left"/>
      <w:lvlText w:val="-----"/>
      <w:numFmt w:val="bullet"/>
      <w:start w:val="1"/>
    </w:lvl>
  </w:abstractNum>
  <w:abstractNum w:abstractNumId="19">
    <w:nsid w:val="180115BE"/>
    <w:multiLevelType w:val="hybridMultilevel"/>
    <w:lvl w:ilvl="0">
      <w:lvlJc w:val="left"/>
      <w:lvlText w:val="(%1)"/>
      <w:numFmt w:val="decimal"/>
      <w:start w:val="700"/>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decimal"/>
      <w:start w:val="412"/>
    </w:lvl>
    <w:lvl w:ilvl="1">
      <w:lvlJc w:val="left"/>
      <w:lvlText w:val="%2"/>
      <w:numFmt w:val="decimal"/>
      <w:start w:val="1"/>
    </w:lvl>
  </w:abstractNum>
  <w:abstractNum w:abstractNumId="23">
    <w:nsid w:val="15B5AF5C"/>
    <w:multiLevelType w:val="hybridMultilevel"/>
    <w:lvl w:ilvl="0">
      <w:lvlJc w:val="left"/>
      <w:lvlText w:val="(%1)"/>
      <w:numFmt w:val="decimal"/>
      <w:start w:val="638"/>
    </w:lvl>
    <w:lvl w:ilvl="1">
      <w:lvlJc w:val="left"/>
      <w:lvlText w:val="%2"/>
      <w:numFmt w:val="decimal"/>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lvl w:ilvl="1">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2"/>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1)"/>
      <w:numFmt w:val="lowerRoman"/>
      <w:start w:val="2"/>
    </w:lvl>
  </w:abstractNum>
  <w:abstractNum w:abstractNumId="34">
    <w:nsid w:val="2F305DEF"/>
    <w:multiLevelType w:val="hybridMultilevel"/>
    <w:lvl w:ilvl="0">
      <w:lvlJc w:val="left"/>
      <w:lvlText w:val="-"/>
      <w:numFmt w:val="bullet"/>
      <w:start w:val="1"/>
    </w:lvl>
    <w:lvl w:ilvl="1">
      <w:lvlJc w:val="left"/>
      <w:lvlText w:val="(%2)"/>
      <w:numFmt w:val="lowerRoman"/>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7">
    <w:nsid w:val="4AD084E9"/>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8">
    <w:nsid w:val="1F48EAA1"/>
    <w:multiLevelType w:val="hybridMultilevel"/>
    <w:lvl w:ilvl="0">
      <w:lvlJc w:val="left"/>
      <w:lvlText w:val="(%1)"/>
      <w:numFmt w:val="lowerLetter"/>
      <w:start w:val="2"/>
    </w:lvl>
  </w:abstractNum>
  <w:abstractNum w:abstractNumId="39">
    <w:nsid w:val="1381823A"/>
    <w:multiLevelType w:val="hybridMultilevel"/>
    <w:lvl w:ilvl="0">
      <w:lvlJc w:val="left"/>
      <w:lvlText w:val="(%1)"/>
      <w:numFmt w:val="lowerLetter"/>
      <w:start w:val="5"/>
    </w:lvl>
  </w:abstractNum>
  <w:abstractNum w:abstractNumId="40">
    <w:nsid w:val="5DB70AE5"/>
    <w:multiLevelType w:val="hybridMultilevel"/>
    <w:lvl w:ilvl="0">
      <w:lvlJc w:val="left"/>
      <w:lvlText w:val="(%1)"/>
      <w:numFmt w:val="decimal"/>
      <w:start w:val="2"/>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lvl w:ilvl="1">
      <w:lvlJc w:val="left"/>
      <w:lvlText w:val="(%2)"/>
      <w:numFmt w:val="lowerRoman"/>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lowerLetter"/>
      <w:start w:val="2"/>
    </w:lvl>
  </w:abstractNum>
  <w:abstractNum w:abstractNumId="50">
    <w:nsid w:val="1EBA5D23"/>
    <w:multiLevelType w:val="hybridMultilevel"/>
    <w:lvl w:ilvl="0">
      <w:lvlJc w:val="left"/>
      <w:lvlText w:val="-"/>
      <w:numFmt w:val="bullet"/>
      <w:start w:val="1"/>
    </w:lvl>
    <w:lvl w:ilvl="1">
      <w:lvlJc w:val="left"/>
      <w:lvlText w:val="(%2)"/>
      <w:numFmt w:val="lowerRoman"/>
      <w:start w:val="1"/>
    </w:lvl>
  </w:abstractNum>
  <w:abstractNum w:abstractNumId="51">
    <w:nsid w:val="661E3F1E"/>
    <w:multiLevelType w:val="hybridMultilevel"/>
    <w:lvl w:ilvl="0">
      <w:lvlJc w:val="left"/>
      <w:lvlText w:val="-"/>
      <w:numFmt w:val="bullet"/>
      <w:start w:val="1"/>
    </w:lvl>
    <w:lvl w:ilvl="1">
      <w:lvlJc w:val="left"/>
      <w:lvlText w:val="(%2)"/>
      <w:numFmt w:val="lowerRoman"/>
      <w:start w:val="1"/>
    </w:lvl>
  </w:abstractNum>
  <w:abstractNum w:abstractNumId="52">
    <w:nsid w:val="5DC79EA8"/>
    <w:multiLevelType w:val="hybridMultilevel"/>
    <w:lvl w:ilvl="0">
      <w:lvlJc w:val="left"/>
      <w:lvlText w:val="-"/>
      <w:numFmt w:val="bullet"/>
      <w:start w:val="1"/>
    </w:lvl>
    <w:lvl w:ilvl="1">
      <w:lvlJc w:val="left"/>
      <w:lvlText w:val="(%2)"/>
      <w:numFmt w:val="lowerRoman"/>
      <w:start w:val="2"/>
    </w:lvl>
  </w:abstractNum>
  <w:abstractNum w:abstractNumId="53">
    <w:nsid w:val="540A471C"/>
    <w:multiLevelType w:val="hybridMultilevel"/>
    <w:lvl w:ilvl="0">
      <w:lvlJc w:val="left"/>
      <w:lvlText w:val="-"/>
      <w:numFmt w:val="bullet"/>
      <w:start w:val="1"/>
    </w:lvl>
    <w:lvl w:ilvl="1">
      <w:lvlJc w:val="left"/>
      <w:lvlText w:val="(%2)"/>
      <w:numFmt w:val="lowerRoman"/>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lvl w:ilvl="1">
      <w:lvlJc w:val="left"/>
      <w:lvlText w:val="(%2)"/>
      <w:numFmt w:val="decimal"/>
      <w:start w:val="1"/>
    </w:lvl>
  </w:abstractNum>
  <w:abstractNum w:abstractNumId="71">
    <w:nsid w:val="71EA1109"/>
    <w:multiLevelType w:val="hybridMultilevel"/>
    <w:lvl w:ilvl="0">
      <w:lvlJc w:val="left"/>
      <w:lvlText w:val="(%1)"/>
      <w:numFmt w:val="decimal"/>
      <w:start w:val="2"/>
    </w:lvl>
    <w:lvl w:ilvl="1">
      <w:lvlJc w:val="left"/>
      <w:lvlText w:val="(%2)"/>
      <w:numFmt w:val="lowerRoman"/>
      <w:start w:val="1"/>
    </w:lvl>
  </w:abstractNum>
  <w:abstractNum w:abstractNumId="72">
    <w:nsid w:val="100F59DC"/>
    <w:multiLevelType w:val="hybridMultilevel"/>
    <w:lvl w:ilvl="0">
      <w:lvlJc w:val="left"/>
      <w:lvlText w:val="--"/>
      <w:numFmt w:val="bullet"/>
      <w:start w:val="1"/>
    </w:lvl>
    <w:lvl w:ilvl="1">
      <w:lvlJc w:val="left"/>
      <w:lvlText w:val="%2"/>
      <w:numFmt w:val="upperLetter"/>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upperLetter"/>
      <w:start w:val="12"/>
    </w:lvl>
  </w:abstractNum>
  <w:abstractNum w:abstractNumId="75">
    <w:nsid w:val="6F6DD9AC"/>
    <w:multiLevelType w:val="hybridMultilevel"/>
    <w:lvl w:ilvl="0">
      <w:lvlJc w:val="left"/>
      <w:lvlText w:val="%1."/>
      <w:numFmt w:val="upperLetter"/>
      <w:start w:val="8"/>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lvl w:ilvl="1">
      <w:lvlJc w:val="left"/>
      <w:lvlText w:val="%2"/>
      <w:numFmt w:val="decimal"/>
      <w:start w:val="1"/>
    </w:lvl>
    <w:lvl w:ilvl="2">
      <w:lvlJc w:val="left"/>
      <w:lvlText w:val="(%3)"/>
      <w:numFmt w:val="decimal"/>
      <w:start w:val="609"/>
    </w:lvl>
  </w:abstractNum>
  <w:abstractNum w:abstractNumId="84">
    <w:nsid w:val="68EBC550"/>
    <w:multiLevelType w:val="hybridMultilevel"/>
    <w:lvl w:ilvl="0">
      <w:lvlJc w:val="left"/>
      <w:lvlText w:val="-----"/>
      <w:numFmt w:val="bullet"/>
      <w:start w:val="1"/>
    </w:lvl>
    <w:lvl w:ilvl="1">
      <w:lvlJc w:val="left"/>
      <w:lvlText w:val="%2"/>
      <w:numFmt w:val="decimal"/>
      <w:start w:val="1"/>
    </w:lvl>
    <w:lvl w:ilvl="2">
      <w:lvlJc w:val="left"/>
      <w:lvlText w:val="(%3)"/>
      <w:numFmt w:val="decimal"/>
      <w:start w:val="679"/>
    </w:lvl>
  </w:abstractNum>
  <w:abstractNum w:abstractNumId="85">
    <w:nsid w:val="2DF6D648"/>
    <w:multiLevelType w:val="hybridMultilevel"/>
    <w:lvl w:ilvl="0">
      <w:lvlJc w:val="left"/>
      <w:lvlText w:val="-----"/>
      <w:numFmt w:val="bullet"/>
      <w:start w:val="1"/>
    </w:lvl>
    <w:lvl w:ilvl="1">
      <w:lvlJc w:val="left"/>
      <w:lvlText w:val="(%2)"/>
      <w:numFmt w:val="decimal"/>
      <w:start w:val="139"/>
    </w:lvl>
    <w:lvl w:ilvl="2">
      <w:lvlJc w:val="left"/>
      <w:lvlText w:val="%3"/>
      <w:numFmt w:val="decimal"/>
      <w:start w:val="1"/>
    </w:lvl>
  </w:abstractNum>
  <w:abstractNum w:abstractNumId="86">
    <w:nsid w:val="46B7D447"/>
    <w:multiLevelType w:val="hybridMultilevel"/>
    <w:lvl w:ilvl="0">
      <w:lvlJc w:val="left"/>
      <w:lvlText w:val="-"/>
      <w:numFmt w:val="bullet"/>
      <w:start w:val="1"/>
    </w:lvl>
    <w:lvl w:ilvl="1">
      <w:lvlJc w:val="left"/>
      <w:lvlText w:val="-----"/>
      <w:numFmt w:val="bullet"/>
      <w:start w:val="1"/>
    </w:lvl>
  </w:abstractNum>
  <w:abstractNum w:abstractNumId="87">
    <w:nsid w:val="4A2AC315"/>
    <w:multiLevelType w:val="hybridMultilevel"/>
    <w:lvl w:ilvl="0">
      <w:lvlJc w:val="left"/>
      <w:lvlText w:val="%1"/>
      <w:numFmt w:val="decimal"/>
      <w:start w:val="541"/>
    </w:lvl>
  </w:abstractNum>
  <w:abstractNum w:abstractNumId="88">
    <w:nsid w:val="39EE015C"/>
    <w:multiLevelType w:val="hybridMultilevel"/>
    <w:lvl w:ilvl="0">
      <w:lvlJc w:val="left"/>
      <w:lvlText w:val="-"/>
      <w:numFmt w:val="bullet"/>
      <w:start w:val="1"/>
    </w:lvl>
    <w:lvl w:ilvl="1">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lvl w:ilvl="1">
      <w:lvlJc w:val="left"/>
      <w:lvlText w:val="%2"/>
      <w:numFmt w:val="decimal"/>
      <w:start w:val="14"/>
    </w:lvl>
  </w:abstractNum>
  <w:abstractNum w:abstractNumId="91">
    <w:nsid w:val="43F18422"/>
    <w:multiLevelType w:val="hybridMultilevel"/>
    <w:lvl w:ilvl="0">
      <w:lvlJc w:val="left"/>
      <w:lvlText w:val="-"/>
      <w:numFmt w:val="bullet"/>
      <w:start w:val="1"/>
    </w:lvl>
    <w:lvl w:ilvl="1">
      <w:lvlJc w:val="left"/>
      <w:lvlText w:val="%2"/>
      <w:numFmt w:val="decimal"/>
      <w:start w:val="75"/>
    </w:lvl>
  </w:abstractNum>
  <w:abstractNum w:abstractNumId="92">
    <w:nsid w:val="60EF0119"/>
    <w:multiLevelType w:val="hybridMultilevel"/>
    <w:lvl w:ilvl="0">
      <w:lvlJc w:val="left"/>
      <w:lvlText w:val="-"/>
      <w:numFmt w:val="bullet"/>
      <w:start w:val="1"/>
    </w:lvl>
    <w:lvl w:ilvl="1">
      <w:lvlJc w:val="left"/>
      <w:lvlText w:val="%2"/>
      <w:numFmt w:val="decimal"/>
      <w:start w:val="666"/>
    </w:lvl>
  </w:abstractNum>
  <w:abstractNum w:abstractNumId="93">
    <w:nsid w:val="26F324BA"/>
    <w:multiLevelType w:val="hybridMultilevel"/>
    <w:lvl w:ilvl="0">
      <w:lvlJc w:val="left"/>
      <w:lvlText w:val="-"/>
      <w:numFmt w:val="bullet"/>
      <w:start w:val="1"/>
    </w:lvl>
    <w:lvl w:ilvl="1">
      <w:lvlJc w:val="left"/>
      <w:lvlText w:val="%2"/>
      <w:numFmt w:val="decimal"/>
      <w:start w:val="879"/>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2019-12-11T21:21:37Z</dcterms:created>
  <dcterms:modified xsi:type="dcterms:W3CDTF">2019-12-11T21:21:37Z</dcterms:modified>
</cp:coreProperties>
</file>