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RETIREMENT SAVINGS</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PLAN FOR BARGAINING UNIT EMPLOYEES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BARGAINING UNIT EMPLOYEES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Audited Financial Statements</w:t>
            </w:r>
          </w:p>
        </w:tc>
        <w:tc>
          <w:tcPr>
            <w:tcW w:w="5120" w:type="dxa"/>
            <w:vAlign w:val="bottom"/>
            <w:gridSpan w:val="4"/>
          </w:tcPr>
          <w:p>
            <w:pPr>
              <w:spacing w:after="0"/>
              <w:rPr>
                <w:sz w:val="19"/>
                <w:szCs w:val="19"/>
                <w:color w:val="auto"/>
              </w:rPr>
            </w:pPr>
          </w:p>
        </w:tc>
        <w:tc>
          <w:tcPr>
            <w:tcW w:w="208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8800" w:type="dxa"/>
            <w:vAlign w:val="bottom"/>
            <w:gridSpan w:val="6"/>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2012 and 2011</w:t>
              </w:r>
            </w:hyperlink>
          </w:p>
        </w:tc>
        <w:tc>
          <w:tcPr>
            <w:tcW w:w="208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0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2012</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8"/>
        </w:trPr>
        <w:tc>
          <w:tcPr>
            <w:tcW w:w="924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208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8800" w:type="dxa"/>
            <w:vAlign w:val="bottom"/>
            <w:gridSpan w:val="6"/>
          </w:tcPr>
          <w:p>
            <w:pPr>
              <w:spacing w:after="0" w:line="184" w:lineRule="exact"/>
              <w:rPr>
                <w:rFonts w:ascii="Arial" w:cs="Arial" w:eastAsia="Arial" w:hAnsi="Arial"/>
                <w:sz w:val="18"/>
                <w:szCs w:val="18"/>
                <w:color w:val="0000EE"/>
              </w:rPr>
            </w:pPr>
            <w:hyperlink w:anchor="page17">
              <w:r>
                <w:rPr>
                  <w:rFonts w:ascii="Arial" w:cs="Arial" w:eastAsia="Arial" w:hAnsi="Arial"/>
                  <w:sz w:val="18"/>
                  <w:szCs w:val="18"/>
                  <w:color w:val="0000EE"/>
                </w:rPr>
                <w:t>Schedule H, Line 4(i) — Schedule of Assets (Held At End of Year)</w:t>
              </w:r>
            </w:hyperlink>
          </w:p>
        </w:tc>
        <w:tc>
          <w:tcPr>
            <w:tcW w:w="2080" w:type="dxa"/>
            <w:vAlign w:val="bottom"/>
          </w:tcPr>
          <w:p>
            <w:pPr>
              <w:jc w:val="right"/>
              <w:spacing w:after="0" w:line="184" w:lineRule="exact"/>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(the Plan) as of December 31, 2012 and 2011, and the related statement of changes in net assets available for benefits for the year ended December 31, 2012. These financial statements are the responsibility of Plan management. Our responsibility is to express an opinion on these financial statements based on our audits.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year end) as of December 31, 2012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interest in the Master Trust (Note 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15,476,658</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12,106,904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investments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15,476,658</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12,106,904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33,839</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33,994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13,437</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652,834</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receivables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699,847</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530,902</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16,176,505</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12,637,806</w:t>
            </w: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(133,086)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(91,505)</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16,043,419</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12,546,301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80" w:type="dxa"/>
            <w:vAlign w:val="bottom"/>
          </w:tcPr>
          <w:p>
            <w:pPr>
              <w:jc w:val="center"/>
              <w:ind w:left="2232"/>
              <w:spacing w:after="0"/>
              <w:rPr>
                <w:sz w:val="20"/>
                <w:szCs w:val="20"/>
                <w:color w:val="auto"/>
              </w:rPr>
            </w:pPr>
            <w:r>
              <w:rPr>
                <w:rFonts w:ascii="Arial" w:cs="Arial" w:eastAsia="Arial" w:hAnsi="Arial"/>
                <w:sz w:val="18"/>
                <w:szCs w:val="18"/>
                <w:color w:val="auto"/>
                <w:w w:val="86"/>
              </w:rPr>
              <w:t>Waste Management Retirement Savings Plan</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080" w:type="dxa"/>
            <w:vAlign w:val="bottom"/>
          </w:tcPr>
          <w:p>
            <w:pPr>
              <w:jc w:val="center"/>
              <w:ind w:left="2232"/>
              <w:spacing w:after="0"/>
              <w:rPr>
                <w:sz w:val="20"/>
                <w:szCs w:val="20"/>
                <w:color w:val="auto"/>
              </w:rPr>
            </w:pPr>
            <w:r>
              <w:rPr>
                <w:rFonts w:ascii="Arial" w:cs="Arial" w:eastAsia="Arial" w:hAnsi="Arial"/>
                <w:sz w:val="18"/>
                <w:szCs w:val="18"/>
                <w:color w:val="auto"/>
                <w:w w:val="89"/>
              </w:rPr>
              <w:t>For Bargaining Unit Employees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080" w:type="dxa"/>
            <w:vAlign w:val="bottom"/>
          </w:tcPr>
          <w:p>
            <w:pPr>
              <w:jc w:val="center"/>
              <w:ind w:left="223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080" w:type="dxa"/>
            <w:vAlign w:val="bottom"/>
          </w:tcPr>
          <w:p>
            <w:pPr>
              <w:jc w:val="center"/>
              <w:ind w:left="2232"/>
              <w:spacing w:after="0"/>
              <w:rPr>
                <w:sz w:val="20"/>
                <w:szCs w:val="20"/>
                <w:color w:val="auto"/>
              </w:rPr>
            </w:pPr>
            <w:r>
              <w:rPr>
                <w:rFonts w:ascii="Arial" w:cs="Arial" w:eastAsia="Arial" w:hAnsi="Arial"/>
                <w:sz w:val="18"/>
                <w:szCs w:val="18"/>
                <w:color w:val="auto"/>
                <w:w w:val="86"/>
              </w:rPr>
              <w:t>Year Ended December 31, 2012</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Employer</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3,127,541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Net investment gain from the Master Trust (Note 3)</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1280"/>
              <w:spacing w:after="0"/>
              <w:rPr>
                <w:sz w:val="20"/>
                <w:szCs w:val="20"/>
                <w:color w:val="auto"/>
              </w:rPr>
            </w:pPr>
            <w:r>
              <w:rPr>
                <w:rFonts w:ascii="Arial" w:cs="Arial" w:eastAsia="Arial" w:hAnsi="Arial"/>
                <w:sz w:val="18"/>
                <w:szCs w:val="18"/>
                <w:color w:val="auto"/>
              </w:rPr>
              <w:t>Total additions</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4,426,941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deductions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0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3,497,118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12,546,301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and its affiliates (as defined in the Plan). The Plan is subject to the provisions of the Employee Retirement Income Security Act of 1974, as amended (“ERISA”).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ING Institutional Plan Services, LLC serves as recordkeeper.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other than the Waste Management Pension Plan for Collectively Bargained Employees or such other plans as may from time to time be determined by the Administrative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In addition, participants that are age 50 or older are eligible to make pre-tax catch-up contributions not to exceed certain limits described in the Plan document. Participants may also contribute amounts representing distributions from other qualified plans (“Rollover Contributions”). The Plan provides for Employer Contributions on behalf of eligible participants under the terms of certain applicable collective bargaining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Plan, through its investments in the Master Trust, offered participants (a) two common collective trust funds; (b) a Company common stock fund (which is an Employee Stock Ownership Plan); (c) a self-managed account, which allows participants to select various securities sold on the New York Stock Exchange, American Stock Exchange and NASDAQ; (d) ten target retirement-date funds, which are also common collective trust funds; (e) a stable value fund, which includes direct investments and investments in common collective trust funds, managed by Galliard Capital Management (“Galliard”) and (f) five mutual funds.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If a participant invests in the Company common stock fund, the participant can elect to receive in cash any dividends paid on the common stock in the participant’s account. If a participant does not make such an election, dividends will automatically be reinvested in the Company common stock fund. Each participant who has invested in the Company common stock fund has the right to vote the shares of stock in his or her account with respect to any matter that comes before the shareholders for a vote.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With respect to the self-managed account, several restrictions apply and a minimum balance is required to participate. Additionally, if a participant invests in the self-managed account, the participant has the right to vote the shares of any common stock held in the participant’s account.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Company common stock may be taken in whole shares of common stock or cash.</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2012 and 2011.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2012, Waste Management elected to pay certain audit and legal fees of the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which can be specifically identified, and by allocating among participating plans, in proportion to the fair value of the assets assigned to each plan, income and expenses resulting from the collective investment of the assets of the Master Trust.</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2012 and 2011, the Plan’s beneficial interest in the net assets of the Master Trust was 0.95% and 0.83%, respectively.</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w w:val="87"/>
              </w:rPr>
              <w:t>December 31, 2012</w:t>
            </w:r>
          </w:p>
        </w:tc>
        <w:tc>
          <w:tcPr>
            <w:tcW w:w="62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7"/>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Plan</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772"/>
              <w:spacing w:after="0" w:line="129" w:lineRule="exact"/>
              <w:rPr>
                <w:sz w:val="20"/>
                <w:szCs w:val="20"/>
                <w:color w:val="auto"/>
              </w:rPr>
            </w:pPr>
            <w:r>
              <w:rPr>
                <w:rFonts w:ascii="Arial" w:cs="Arial" w:eastAsia="Arial" w:hAnsi="Arial"/>
                <w:sz w:val="14"/>
                <w:szCs w:val="14"/>
                <w:b w:val="1"/>
                <w:bCs w:val="1"/>
                <w:color w:val="auto"/>
              </w:rPr>
              <w:t>Plan</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Interest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Master Trust</w:t>
            </w:r>
          </w:p>
        </w:tc>
        <w:tc>
          <w:tcPr>
            <w:tcW w:w="128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89"/>
              </w:rPr>
              <w:t>Interest %</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Master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collective trust funds</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587,915,255</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505,108,820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Stable value fund</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370,384,053</w:t>
            </w:r>
          </w:p>
        </w:tc>
        <w:tc>
          <w:tcPr>
            <w:tcW w:w="560" w:type="dxa"/>
            <w:vAlign w:val="bottom"/>
          </w:tcPr>
          <w:p>
            <w:pPr>
              <w:spacing w:after="0"/>
              <w:rPr>
                <w:sz w:val="18"/>
                <w:szCs w:val="18"/>
                <w:color w:val="auto"/>
              </w:rPr>
            </w:pPr>
          </w:p>
        </w:tc>
        <w:tc>
          <w:tcPr>
            <w:tcW w:w="1280" w:type="dxa"/>
            <w:vAlign w:val="bottom"/>
            <w:gridSpan w:val="2"/>
          </w:tcPr>
          <w:p>
            <w:pPr>
              <w:jc w:val="right"/>
              <w:ind w:right="4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363,860,603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WM common stock</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98,044,955</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102,153,934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Corporate stocks – other than WM common stock</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19,063,086</w:t>
            </w:r>
          </w:p>
        </w:tc>
        <w:tc>
          <w:tcPr>
            <w:tcW w:w="560" w:type="dxa"/>
            <w:vAlign w:val="bottom"/>
          </w:tcPr>
          <w:p>
            <w:pPr>
              <w:spacing w:after="0"/>
              <w:rPr>
                <w:sz w:val="18"/>
                <w:szCs w:val="18"/>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16,796,395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Mutual funds</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551,799,069</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473,237,299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Publicly-traded partnership interests and other</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560" w:type="dxa"/>
            <w:vAlign w:val="bottom"/>
          </w:tcPr>
          <w:p>
            <w:pPr>
              <w:spacing w:after="0"/>
              <w:rPr>
                <w:sz w:val="19"/>
                <w:szCs w:val="19"/>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investments</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1,628,400,365</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1,462,139,601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204,333</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non-interest bearing</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3,110</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Securities sold receivable, net</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191,949</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1,628,799,757</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1,462,451,764</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payable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381,142</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381,142</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1,628,418,615</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1,462,142,269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benefit-responsive investment contracts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(15,844,799)</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(13,712,956)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value</w:t>
            </w: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1,612,573,816</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1,448,429,313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20" w:type="dxa"/>
            <w:vAlign w:val="bottom"/>
            <w:vMerge w:val="restart"/>
          </w:tcPr>
          <w:p>
            <w:pPr>
              <w:ind w:left="18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36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$1,612,941,957</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$1,450,035,365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15,476,658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12,106,904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1,628,418,615</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1,462,142,269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Adjustment from fair value to contract value for fully benefit-responsive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contracts: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(15,711,713)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(13,621,451)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(133,086)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(91,505)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(15,844,799)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(13,712,956)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assets, fully benefit-responsive investment contracts at contract value: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Non-Union 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$1,597,230,244</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$1,436,413,914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15,343,572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12,015,399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1,612,573,816</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1,448,429,313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$ 98,044,955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$102,153,934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354,539,254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350,147,647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S&amp;P Small Cap 600 Fund (b)</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85,023,042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236,975,969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207,321,065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100,390,107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89,037,623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156,592,456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142,119,248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174,388,687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152,725,372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fair value of the Master Trust’s investment in the Stable Value Fund was $370,384,053 and $363,860,603 at December 31, 2012 and 2011, respectively.</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amount represents less than 5% of the Master Trust’s net assets as of December 31,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3"/>
          </w:tcPr>
          <w:p>
            <w:pPr>
              <w:spacing w:after="0"/>
              <w:rPr>
                <w:sz w:val="20"/>
                <w:szCs w:val="20"/>
                <w:color w:val="auto"/>
              </w:rPr>
            </w:pPr>
            <w:r>
              <w:rPr>
                <w:rFonts w:ascii="Arial" w:cs="Arial" w:eastAsia="Arial" w:hAnsi="Arial"/>
                <w:sz w:val="18"/>
                <w:szCs w:val="18"/>
                <w:color w:val="auto"/>
                <w:w w:val="97"/>
              </w:rPr>
              <w:t>Changes in net assets of the Master Trust for the year ended December 31, 2012, are as follows: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68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80,058,908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Stable value fund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9,927,236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57,147,776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(91,702)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appreciation in fair value of investments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152,114,661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20" w:type="dxa"/>
            <w:vAlign w:val="bottom"/>
          </w:tcPr>
          <w:p>
            <w:pPr>
              <w:ind w:left="1300"/>
              <w:spacing w:after="0"/>
              <w:rPr>
                <w:sz w:val="20"/>
                <w:szCs w:val="20"/>
                <w:color w:val="auto"/>
              </w:rPr>
            </w:pPr>
            <w:r>
              <w:rPr>
                <w:rFonts w:ascii="Arial" w:cs="Arial" w:eastAsia="Arial" w:hAnsi="Arial"/>
                <w:sz w:val="18"/>
                <w:szCs w:val="18"/>
                <w:color w:val="auto"/>
              </w:rPr>
              <w:t>Total additions</w:t>
            </w: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168,857,208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Administrative fees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(2,509,055)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(2,509,055)</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6400" w:type="dxa"/>
            <w:vAlign w:val="bottom"/>
            <w:gridSpan w:val="2"/>
          </w:tcPr>
          <w:p>
            <w:pPr>
              <w:ind w:left="680"/>
              <w:spacing w:after="0"/>
              <w:rPr>
                <w:sz w:val="20"/>
                <w:szCs w:val="20"/>
                <w:color w:val="auto"/>
              </w:rPr>
            </w:pPr>
            <w:r>
              <w:rPr>
                <w:rFonts w:ascii="Arial" w:cs="Arial" w:eastAsia="Arial" w:hAnsi="Arial"/>
                <w:sz w:val="18"/>
                <w:szCs w:val="18"/>
                <w:color w:val="auto"/>
              </w:rPr>
              <w:t>NET INCREASE BEFORE TRANSFERS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166,348,153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TRANSFERS IN (a)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159,034,527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TRANSFERS OUT (b)</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(161,238,177)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164,144,503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1,448,429,313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1,612,573,816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165,073,008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166,348,153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contributions, rollovers, transfers and net participant note repayments/withdrawals of principal and interest.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benefit payments to participants.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Plan’s investments that represented 5% or more of the Plan’s net assets available for benefits as of December 31, 2012 and 2011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Stable Value Fund (at contract value) (a)</w:t>
            </w:r>
          </w:p>
        </w:tc>
        <w:tc>
          <w:tcPr>
            <w:tcW w:w="1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$2,977,892</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$2,336,494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1,194,115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929,378</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903,109</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12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677,949</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2010 Fund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1,207,751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1,083,065</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JPMorgan Chase Bank SmartRetirement 2020 Fund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3,539,282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2,775,931</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2030 Fund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2,247,865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1,654,029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$3,110,978 and $2,427,999 at December 31, 2012 and 2011,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Guaranteed Investment Contracts </w:t>
      </w:r>
      <w:r>
        <w:rPr>
          <w:rFonts w:ascii="Arial" w:cs="Arial" w:eastAsia="Arial" w:hAnsi="Arial"/>
          <w:sz w:val="16"/>
          <w:szCs w:val="16"/>
          <w:color w:val="auto"/>
        </w:rPr>
        <w:t>— GICs are contracts that provide a specified rate of return for a specific period of time. The fair values of the GICs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Plan’s Stable Value Fund are measured by the investment manager using a discounted cash flow methodology at market rates.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90" w:lineRule="exact"/>
        <w:rPr>
          <w:sz w:val="20"/>
          <w:szCs w:val="20"/>
          <w:color w:val="auto"/>
        </w:rPr>
      </w:pPr>
    </w:p>
    <w:p>
      <w:pPr>
        <w:ind w:left="460" w:right="2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individual assets and investments </w:t>
      </w:r>
      <w:r>
        <w:rPr>
          <w:rFonts w:ascii="Arial" w:cs="Arial" w:eastAsia="Arial" w:hAnsi="Arial"/>
          <w:sz w:val="16"/>
          <w:szCs w:val="16"/>
          <w:color w:val="auto"/>
        </w:rPr>
        <w:t>— Individual assets and investments are valued at representative quoted market prices when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34" w:lineRule="exact"/>
        <w:rPr>
          <w:rFonts w:ascii="Arial" w:cs="Arial" w:eastAsia="Arial" w:hAnsi="Arial"/>
          <w:sz w:val="16"/>
          <w:szCs w:val="16"/>
          <w:color w:val="auto"/>
        </w:rPr>
      </w:pPr>
    </w:p>
    <w:p>
      <w:pPr>
        <w:ind w:left="46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wrapper contracts </w:t>
      </w:r>
      <w:r>
        <w:rPr>
          <w:rFonts w:ascii="Arial" w:cs="Arial" w:eastAsia="Arial" w:hAnsi="Arial"/>
          <w:sz w:val="16"/>
          <w:szCs w:val="16"/>
          <w:color w:val="auto"/>
        </w:rPr>
        <w:t>— The fair value of wrapper contracts is determined using the income approach discounting methodology that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0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stable value fund’s average yield based on actual earnings was 1.15% and 1.86% during 2012 and 2011, respectively, and its average yield based on the interest rate credited to participants was 2.74% and 3.08% during 2012 and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5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The Plan had no Level 3 assets at December 31, 2012 or 2011.</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by level, within the fair value hierarchy, a summary of investments of the Master Trust measured at fair value on a recurring basis: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140" w:type="dxa"/>
            <w:vAlign w:val="bottom"/>
          </w:tcPr>
          <w:p>
            <w:pPr>
              <w:ind w:left="440"/>
              <w:spacing w:after="0"/>
              <w:rPr>
                <w:sz w:val="20"/>
                <w:szCs w:val="20"/>
                <w:color w:val="auto"/>
              </w:rPr>
            </w:pPr>
            <w:r>
              <w:rPr>
                <w:rFonts w:ascii="Arial" w:cs="Arial" w:eastAsia="Arial" w:hAnsi="Arial"/>
                <w:sz w:val="18"/>
                <w:szCs w:val="18"/>
                <w:color w:val="auto"/>
              </w:rPr>
              <w:t>WM common stock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98,044,955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102,153,934</w:t>
            </w: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19,063,086</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16,796,395</w:t>
            </w:r>
          </w:p>
        </w:tc>
        <w:tc>
          <w:tcPr>
            <w:tcW w:w="100" w:type="dxa"/>
            <w:vAlign w:val="bottom"/>
            <w:shd w:val="clear" w:color="auto" w:fill="CCEEFF"/>
          </w:tcPr>
          <w:p>
            <w:pPr>
              <w:spacing w:after="0"/>
              <w:rPr>
                <w:sz w:val="18"/>
                <w:szCs w:val="18"/>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Mutual Funds –</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EuroPacific growth fund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47,170,865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Emerging markets fund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48,555,638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41,267,020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Small cap investment fund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85,023,042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72,278,732</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Stock market index fund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236,975,969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207,321,065</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index fund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100,390,107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89,037,623</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860"/>
              <w:spacing w:after="0"/>
              <w:rPr>
                <w:sz w:val="20"/>
                <w:szCs w:val="20"/>
                <w:color w:val="auto"/>
              </w:rPr>
            </w:pPr>
            <w:r>
              <w:rPr>
                <w:rFonts w:ascii="Arial" w:cs="Arial" w:eastAsia="Arial" w:hAnsi="Arial"/>
                <w:sz w:val="18"/>
                <w:szCs w:val="18"/>
                <w:color w:val="auto"/>
              </w:rPr>
              <w:t>Self-directed mutual funds</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17,238,032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16,161,994</w:t>
            </w: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551,799,069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473,237,299</w:t>
            </w:r>
          </w:p>
        </w:tc>
        <w:tc>
          <w:tcPr>
            <w:tcW w:w="100" w:type="dxa"/>
            <w:vAlign w:val="bottom"/>
            <w:shd w:val="clear" w:color="auto" w:fill="CCEEFF"/>
          </w:tcPr>
          <w:p>
            <w:pPr>
              <w:spacing w:after="0"/>
              <w:rPr>
                <w:sz w:val="18"/>
                <w:szCs w:val="18"/>
                <w:color w:val="auto"/>
              </w:rPr>
            </w:pPr>
          </w:p>
        </w:tc>
      </w:tr>
      <w:tr>
        <w:trPr>
          <w:trHeight w:val="230"/>
        </w:trPr>
        <w:tc>
          <w:tcPr>
            <w:tcW w:w="514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100" w:type="dxa"/>
            <w:vAlign w:val="bottom"/>
          </w:tcPr>
          <w:p>
            <w:pPr>
              <w:spacing w:after="0"/>
              <w:rPr>
                <w:sz w:val="20"/>
                <w:szCs w:val="20"/>
                <w:color w:val="auto"/>
              </w:rPr>
            </w:pPr>
          </w:p>
        </w:tc>
      </w:tr>
      <w:tr>
        <w:trPr>
          <w:trHeight w:val="216"/>
        </w:trPr>
        <w:tc>
          <w:tcPr>
            <w:tcW w:w="51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1</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670,101,057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593,170,178</w:t>
            </w:r>
          </w:p>
        </w:tc>
        <w:tc>
          <w:tcPr>
            <w:tcW w:w="100" w:type="dxa"/>
            <w:vAlign w:val="bottom"/>
            <w:shd w:val="clear" w:color="auto" w:fill="CCEEFF"/>
          </w:tcPr>
          <w:p>
            <w:pPr>
              <w:spacing w:after="0"/>
              <w:rPr>
                <w:sz w:val="18"/>
                <w:szCs w:val="18"/>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 –</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Short-term investment fund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1,629,354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1,305,176</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income investment fund (b)</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47,781,369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38,515,869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Growth investment fund (c)</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55,473,718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40,815,024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Target date retirement funds (d)</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483,030,814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424,472,751</w:t>
            </w:r>
          </w:p>
        </w:tc>
        <w:tc>
          <w:tcPr>
            <w:tcW w:w="100" w:type="dxa"/>
            <w:vAlign w:val="bottom"/>
            <w:shd w:val="clear" w:color="auto" w:fill="CCEEFF"/>
          </w:tcPr>
          <w:p>
            <w:pPr>
              <w:spacing w:after="0"/>
              <w:rPr>
                <w:sz w:val="18"/>
                <w:szCs w:val="18"/>
                <w:color w:val="auto"/>
              </w:rPr>
            </w:pPr>
          </w:p>
        </w:tc>
      </w:tr>
      <w:tr>
        <w:trPr>
          <w:trHeight w:val="222"/>
        </w:trPr>
        <w:tc>
          <w:tcPr>
            <w:tcW w:w="5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587,915,255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505,108,820</w:t>
            </w:r>
          </w:p>
        </w:tc>
        <w:tc>
          <w:tcPr>
            <w:tcW w:w="100" w:type="dxa"/>
            <w:vAlign w:val="bottom"/>
          </w:tcPr>
          <w:p>
            <w:pPr>
              <w:spacing w:after="0"/>
              <w:rPr>
                <w:sz w:val="19"/>
                <w:szCs w:val="19"/>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Stable value fund (e)</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370,384,053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363,860,603</w:t>
            </w:r>
          </w:p>
        </w:tc>
        <w:tc>
          <w:tcPr>
            <w:tcW w:w="100" w:type="dxa"/>
            <w:vAlign w:val="bottom"/>
            <w:shd w:val="clear" w:color="auto" w:fill="CCEEFF"/>
          </w:tcPr>
          <w:p>
            <w:pPr>
              <w:spacing w:after="0"/>
              <w:rPr>
                <w:sz w:val="18"/>
                <w:szCs w:val="18"/>
                <w:color w:val="auto"/>
              </w:rPr>
            </w:pPr>
          </w:p>
        </w:tc>
      </w:tr>
      <w:tr>
        <w:trPr>
          <w:trHeight w:val="230"/>
        </w:trPr>
        <w:tc>
          <w:tcPr>
            <w:tcW w:w="5140" w:type="dxa"/>
            <w:vAlign w:val="bottom"/>
          </w:tcPr>
          <w:p>
            <w:pPr>
              <w:ind w:left="1300"/>
              <w:spacing w:after="0"/>
              <w:rPr>
                <w:sz w:val="20"/>
                <w:szCs w:val="20"/>
                <w:color w:val="auto"/>
              </w:rPr>
            </w:pPr>
            <w:r>
              <w:rPr>
                <w:rFonts w:ascii="Arial" w:cs="Arial" w:eastAsia="Arial" w:hAnsi="Arial"/>
                <w:sz w:val="18"/>
                <w:szCs w:val="18"/>
                <w:color w:val="auto"/>
              </w:rPr>
              <w:t>Subtotal Level 2</w:t>
            </w: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958,299,308</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868,969,423</w:t>
            </w:r>
          </w:p>
        </w:tc>
        <w:tc>
          <w:tcPr>
            <w:tcW w:w="100" w:type="dxa"/>
            <w:vAlign w:val="bottom"/>
          </w:tcPr>
          <w:p>
            <w:pPr>
              <w:spacing w:after="0"/>
              <w:rPr>
                <w:sz w:val="20"/>
                <w:szCs w:val="20"/>
                <w:color w:val="auto"/>
              </w:rPr>
            </w:pPr>
          </w:p>
        </w:tc>
      </w:tr>
      <w:tr>
        <w:trPr>
          <w:trHeight w:val="216"/>
        </w:trPr>
        <w:tc>
          <w:tcPr>
            <w:tcW w:w="51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Investments of the Master Trust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1,628,400,365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1,462,139,601</w:t>
            </w:r>
          </w:p>
        </w:tc>
        <w:tc>
          <w:tcPr>
            <w:tcW w:w="10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8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2012 and December 31, 2011, the trustee had waived the notice period.</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2012 and December 31, 2011, the trustee had waived the notice period for participants.</w:t>
      </w:r>
    </w:p>
    <w:p>
      <w:pPr>
        <w:spacing w:after="0" w:line="3"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2012 and December 31, 2011, the trustee had waived the notice period for participants.</w:t>
      </w:r>
    </w:p>
    <w:p>
      <w:pPr>
        <w:spacing w:after="0" w:line="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2012 and December 31, 2011, there were no redemption restrictions on these funds for participants but each fund requires the Plan to provide sixty days advance notice to liquidate its entire share.</w:t>
      </w:r>
    </w:p>
    <w:p>
      <w:pPr>
        <w:spacing w:after="0" w:line="4" w:lineRule="exact"/>
        <w:rPr>
          <w:rFonts w:ascii="Arial" w:cs="Arial" w:eastAsia="Arial" w:hAnsi="Arial"/>
          <w:sz w:val="16"/>
          <w:szCs w:val="16"/>
          <w:color w:val="auto"/>
        </w:rPr>
      </w:pPr>
    </w:p>
    <w:p>
      <w:pPr>
        <w:ind w:left="460" w:hanging="452"/>
        <w:spacing w:after="0" w:line="28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2012,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per the financial statements to the Form 5500 as of December 31, 2012 and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3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$16,043,419</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$12,546,301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w w:val="97"/>
              </w:rPr>
              <w:t>Adjustment from fair value to contract value for fully benefit-responsive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920" w:type="dxa"/>
            <w:vAlign w:val="bottom"/>
          </w:tcPr>
          <w:p>
            <w:pPr>
              <w:ind w:left="620"/>
              <w:spacing w:after="0"/>
              <w:rPr>
                <w:sz w:val="20"/>
                <w:szCs w:val="20"/>
                <w:color w:val="auto"/>
              </w:rPr>
            </w:pPr>
            <w:r>
              <w:rPr>
                <w:rFonts w:ascii="Arial" w:cs="Arial" w:eastAsia="Arial" w:hAnsi="Arial"/>
                <w:sz w:val="18"/>
                <w:szCs w:val="18"/>
                <w:color w:val="auto"/>
              </w:rPr>
              <w:t>investment contracts</w:t>
            </w:r>
          </w:p>
        </w:tc>
        <w:tc>
          <w:tcPr>
            <w:tcW w:w="4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133,086</w:t>
            </w:r>
          </w:p>
        </w:tc>
        <w:tc>
          <w:tcPr>
            <w:tcW w:w="4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16,176,505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12,637,806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 Form 5500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$3,497,118</w:t>
            </w:r>
          </w:p>
        </w:tc>
        <w:tc>
          <w:tcPr>
            <w:tcW w:w="120" w:type="dxa"/>
            <w:vAlign w:val="bottom"/>
            <w:shd w:val="clear" w:color="auto" w:fill="CCEEFF"/>
          </w:tcPr>
          <w:p>
            <w:pPr>
              <w:spacing w:after="0"/>
              <w:rPr>
                <w:sz w:val="18"/>
                <w:szCs w:val="18"/>
                <w:color w:val="auto"/>
              </w:rPr>
            </w:pPr>
          </w:p>
        </w:tc>
      </w:tr>
      <w:tr>
        <w:trPr>
          <w:trHeight w:val="208"/>
        </w:trPr>
        <w:tc>
          <w:tcPr>
            <w:tcW w:w="7760" w:type="dxa"/>
            <w:vAlign w:val="bottom"/>
          </w:tcPr>
          <w:p>
            <w:pPr>
              <w:ind w:left="440"/>
              <w:spacing w:after="0"/>
              <w:rPr>
                <w:sz w:val="20"/>
                <w:szCs w:val="20"/>
                <w:color w:val="auto"/>
              </w:rPr>
            </w:pPr>
            <w:r>
              <w:rPr>
                <w:rFonts w:ascii="Arial" w:cs="Arial" w:eastAsia="Arial" w:hAnsi="Arial"/>
                <w:sz w:val="18"/>
                <w:szCs w:val="18"/>
                <w:color w:val="auto"/>
                <w:w w:val="97"/>
              </w:rPr>
              <w:t>Adjustment from fair value to contract value for fully benefit-responsive investment contracts at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760" w:type="dxa"/>
            <w:vAlign w:val="bottom"/>
          </w:tcPr>
          <w:p>
            <w:pPr>
              <w:ind w:left="640"/>
              <w:spacing w:after="0"/>
              <w:rPr>
                <w:sz w:val="20"/>
                <w:szCs w:val="20"/>
                <w:color w:val="auto"/>
              </w:rPr>
            </w:pPr>
            <w:r>
              <w:rPr>
                <w:rFonts w:ascii="Arial" w:cs="Arial" w:eastAsia="Arial" w:hAnsi="Arial"/>
                <w:sz w:val="18"/>
                <w:szCs w:val="18"/>
                <w:color w:val="auto"/>
              </w:rPr>
              <w:t>December 31, 2011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(91,505)</w:t>
            </w:r>
          </w:p>
        </w:tc>
      </w:tr>
      <w:tr>
        <w:trPr>
          <w:trHeight w:val="209"/>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 from fair value to contract value for fully benefit-responsive investment contracts at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2012</w:t>
            </w:r>
          </w:p>
        </w:tc>
        <w:tc>
          <w:tcPr>
            <w:tcW w:w="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133,086</w:t>
            </w:r>
          </w:p>
        </w:tc>
        <w:tc>
          <w:tcPr>
            <w:tcW w:w="120" w:type="dxa"/>
            <w:vAlign w:val="bottom"/>
            <w:shd w:val="clear" w:color="auto" w:fill="CCEEFF"/>
          </w:tcPr>
          <w:p>
            <w:pPr>
              <w:spacing w:after="0"/>
              <w:rPr>
                <w:sz w:val="19"/>
                <w:szCs w:val="19"/>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3,538,699</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Plan sponsor, has the right to terminate the Plan subject to the provisions of ERISA.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investments of the Plan are managed by State Street, which is the trustee of the Plan.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the Company’s common stock. Because the Company is the parent of the Plan sponsor, transactions involving the Company’s common stock also qualify as party-in-interest transactions. All of these transactions are exempt from the prohibited transactions rules.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Retirement Savings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Bargaining Unit Employees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EIN: 36-2660763 Plan: 007</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0" w:type="dxa"/>
            <w:vAlign w:val="bottom"/>
            <w:gridSpan w:val="3"/>
          </w:tcPr>
          <w:p>
            <w:pPr>
              <w:ind w:left="220"/>
              <w:spacing w:after="0"/>
              <w:rPr>
                <w:sz w:val="20"/>
                <w:szCs w:val="20"/>
                <w:color w:val="auto"/>
              </w:rPr>
            </w:pPr>
            <w:r>
              <w:rPr>
                <w:rFonts w:ascii="Arial" w:cs="Arial" w:eastAsia="Arial" w:hAnsi="Arial"/>
                <w:sz w:val="14"/>
                <w:szCs w:val="14"/>
                <w:b w:val="1"/>
                <w:bCs w:val="1"/>
                <w:color w:val="auto"/>
              </w:rPr>
              <w:t>Identity of Issue</w:t>
            </w:r>
          </w:p>
        </w:tc>
        <w:tc>
          <w:tcPr>
            <w:tcW w:w="680" w:type="dxa"/>
            <w:vAlign w:val="bottom"/>
          </w:tcPr>
          <w:p>
            <w:pPr>
              <w:spacing w:after="0"/>
              <w:rPr>
                <w:sz w:val="14"/>
                <w:szCs w:val="14"/>
                <w:color w:val="auto"/>
              </w:rPr>
            </w:pP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6"/>
              </w:rPr>
              <w:t>Description of Investment</w:t>
            </w:r>
          </w:p>
        </w:tc>
        <w:tc>
          <w:tcPr>
            <w:tcW w:w="1320" w:type="dxa"/>
            <w:vAlign w:val="bottom"/>
            <w:gridSpan w:val="3"/>
          </w:tcPr>
          <w:p>
            <w:pPr>
              <w:ind w:left="380"/>
              <w:spacing w:after="0"/>
              <w:rPr>
                <w:sz w:val="20"/>
                <w:szCs w:val="20"/>
                <w:color w:val="auto"/>
              </w:rPr>
            </w:pPr>
            <w:r>
              <w:rPr>
                <w:rFonts w:ascii="Arial" w:cs="Arial" w:eastAsia="Arial" w:hAnsi="Arial"/>
                <w:sz w:val="14"/>
                <w:szCs w:val="14"/>
                <w:b w:val="1"/>
                <w:bCs w:val="1"/>
                <w:color w:val="auto"/>
              </w:rPr>
              <w:t>Current Value</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*Notes receivable from participants</w:t>
            </w:r>
          </w:p>
        </w:tc>
        <w:tc>
          <w:tcPr>
            <w:tcW w:w="680" w:type="dxa"/>
            <w:vAlign w:val="bottom"/>
            <w:shd w:val="clear" w:color="auto" w:fill="CCEEFF"/>
          </w:tcPr>
          <w:p>
            <w:pPr>
              <w:spacing w:after="0"/>
              <w:rPr>
                <w:sz w:val="17"/>
                <w:szCs w:val="17"/>
                <w:color w:val="auto"/>
              </w:rPr>
            </w:pPr>
          </w:p>
        </w:tc>
        <w:tc>
          <w:tcPr>
            <w:tcW w:w="3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Various maturity dates with interest rate of 4.25%</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  652,834</w:t>
            </w:r>
          </w:p>
        </w:tc>
        <w:tc>
          <w:tcPr>
            <w:tcW w:w="100" w:type="dxa"/>
            <w:vAlign w:val="bottom"/>
            <w:shd w:val="clear" w:color="auto" w:fill="CCEEFF"/>
          </w:tcPr>
          <w:p>
            <w:pPr>
              <w:spacing w:after="0"/>
              <w:rPr>
                <w:sz w:val="17"/>
                <w:szCs w:val="17"/>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0" w:type="dxa"/>
            <w:vAlign w:val="bottom"/>
            <w:gridSpan w:val="3"/>
          </w:tcPr>
          <w:p>
            <w:pPr>
              <w:spacing w:after="0"/>
              <w:rPr>
                <w:sz w:val="9"/>
                <w:szCs w:val="9"/>
                <w:color w:val="auto"/>
              </w:rPr>
            </w:pPr>
          </w:p>
        </w:tc>
        <w:tc>
          <w:tcPr>
            <w:tcW w:w="6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80" w:type="dxa"/>
            <w:vAlign w:val="bottom"/>
            <w:gridSpan w:val="4"/>
          </w:tcPr>
          <w:p>
            <w:pPr>
              <w:ind w:left="180"/>
              <w:spacing w:after="0"/>
              <w:rPr>
                <w:sz w:val="20"/>
                <w:szCs w:val="20"/>
                <w:color w:val="auto"/>
              </w:rPr>
            </w:pPr>
            <w:r>
              <w:rPr>
                <w:rFonts w:ascii="Arial" w:cs="Arial" w:eastAsia="Arial" w:hAnsi="Arial"/>
                <w:sz w:val="18"/>
                <w:szCs w:val="18"/>
                <w:color w:val="auto"/>
              </w:rPr>
              <w:t>Party-in-interest</w:t>
            </w:r>
          </w:p>
        </w:tc>
        <w:tc>
          <w:tcPr>
            <w:tcW w:w="6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80" w:type="dxa"/>
            <w:vAlign w:val="bottom"/>
            <w:gridSpan w:val="2"/>
          </w:tcPr>
          <w:p>
            <w:pPr>
              <w:jc w:val="right"/>
              <w:ind w:right="286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WASTE MANAGEMENT RETIREMENT</w:t>
            </w:r>
          </w:p>
        </w:tc>
      </w:tr>
      <w:tr>
        <w:trPr>
          <w:trHeight w:val="216"/>
        </w:trPr>
        <w:tc>
          <w:tcPr>
            <w:tcW w:w="3520" w:type="dxa"/>
            <w:vAlign w:val="bottom"/>
          </w:tcPr>
          <w:p>
            <w:pPr>
              <w:spacing w:after="0"/>
              <w:rPr>
                <w:sz w:val="18"/>
                <w:szCs w:val="18"/>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SAVINGS PLAN FOR BARGAINING</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UNIT EMPLOYEES</w:t>
            </w:r>
          </w:p>
        </w:tc>
      </w:tr>
      <w:tr>
        <w:trPr>
          <w:trHeight w:val="447"/>
        </w:trPr>
        <w:tc>
          <w:tcPr>
            <w:tcW w:w="3520" w:type="dxa"/>
            <w:vAlign w:val="bottom"/>
          </w:tcPr>
          <w:p>
            <w:pPr>
              <w:spacing w:after="0"/>
              <w:rPr>
                <w:sz w:val="20"/>
                <w:szCs w:val="20"/>
                <w:color w:val="auto"/>
              </w:rPr>
            </w:pPr>
            <w:r>
              <w:rPr>
                <w:rFonts w:ascii="Arial" w:cs="Arial" w:eastAsia="Arial" w:hAnsi="Arial"/>
                <w:sz w:val="18"/>
                <w:szCs w:val="18"/>
                <w:color w:val="auto"/>
              </w:rPr>
              <w:t>Date: May 31, 2013</w:t>
            </w:r>
          </w:p>
        </w:tc>
        <w:tc>
          <w:tcPr>
            <w:tcW w:w="7900" w:type="dxa"/>
            <w:vAlign w:val="bottom"/>
            <w:gridSpan w:val="2"/>
          </w:tcPr>
          <w:p>
            <w:pPr>
              <w:ind w:left="2400"/>
              <w:spacing w:after="0"/>
              <w:rPr>
                <w:sz w:val="20"/>
                <w:szCs w:val="20"/>
                <w:color w:val="auto"/>
              </w:rPr>
            </w:pPr>
            <w:r>
              <w:rPr>
                <w:rFonts w:ascii="Arial" w:cs="Arial" w:eastAsia="Arial" w:hAnsi="Arial"/>
                <w:sz w:val="18"/>
                <w:szCs w:val="18"/>
                <w:color w:val="auto"/>
              </w:rPr>
              <w:t>By: /s/ Krista DelSota</w:t>
            </w:r>
          </w:p>
        </w:tc>
      </w:tr>
      <w:tr>
        <w:trPr>
          <w:trHeight w:val="202"/>
        </w:trPr>
        <w:tc>
          <w:tcPr>
            <w:tcW w:w="3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Krista DelSota</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Talent Acquisition, Learning and</w:t>
            </w:r>
          </w:p>
        </w:tc>
      </w:tr>
      <w:tr>
        <w:trPr>
          <w:trHeight w:val="216"/>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Organizational Development</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Waste Management, Inc.</w:t>
            </w:r>
          </w:p>
        </w:tc>
      </w:tr>
      <w:tr>
        <w:trPr>
          <w:trHeight w:val="331"/>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Member, Administrative Committee of the Waste</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Management Employee Benefit Plans</w:t>
            </w:r>
          </w:p>
        </w:tc>
      </w:tr>
      <w:tr>
        <w:trPr>
          <w:trHeight w:val="378"/>
        </w:trPr>
        <w:tc>
          <w:tcPr>
            <w:tcW w:w="352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16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7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tcPr>
          <w:p>
            <w:pPr>
              <w:spacing w:after="0" w:line="203"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10920" w:type="dxa"/>
            <w:vAlign w:val="bottom"/>
            <w:gridSpan w:val="2"/>
          </w:tcPr>
          <w:p>
            <w:pPr>
              <w:jc w:val="right"/>
              <w:ind w:right="55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333-184156) pertaining to the Waste Management Retirement Savings Plan for Bargaining Unit Employees of our report dated May 31, 2013, with respect to the financial statements and schedule of the Waste Management Retirement Savings Plan for Bargaining Unit Employees included in this Annual Report (Form 11-K) for the year ended December 31,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2019-12-06T02:24:11Z</dcterms:created>
  <dcterms:modified xsi:type="dcterms:W3CDTF">2019-12-06T02:24:11Z</dcterms:modified>
</cp:coreProperties>
</file>