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7" w:lineRule="exact"/>
        <w:rPr>
          <w:sz w:val="24"/>
          <w:szCs w:val="24"/>
          <w:color w:val="auto"/>
        </w:rPr>
      </w:pPr>
    </w:p>
    <w:p>
      <w:pPr>
        <w:ind w:left="480" w:right="120" w:hanging="337"/>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80" w:right="100" w:hanging="337"/>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48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73-1309529</w:t>
            </w:r>
          </w:p>
        </w:tc>
      </w:tr>
      <w:tr>
        <w:trPr>
          <w:trHeight w:val="203"/>
        </w:trPr>
        <w:tc>
          <w:tcPr>
            <w:tcW w:w="20" w:type="dxa"/>
            <w:vAlign w:val="bottom"/>
          </w:tcPr>
          <w:p>
            <w:pPr>
              <w:spacing w:after="0"/>
              <w:rPr>
                <w:sz w:val="17"/>
                <w:szCs w:val="17"/>
                <w:color w:val="auto"/>
              </w:rPr>
            </w:pPr>
          </w:p>
        </w:tc>
        <w:tc>
          <w:tcPr>
            <w:tcW w:w="3680" w:type="dxa"/>
            <w:vAlign w:val="bottom"/>
            <w:gridSpan w:val="3"/>
          </w:tcPr>
          <w:p>
            <w:pPr>
              <w:jc w:val="center"/>
              <w:ind w:left="1356"/>
              <w:spacing w:after="0" w:line="202" w:lineRule="exact"/>
              <w:rPr>
                <w:sz w:val="20"/>
                <w:szCs w:val="20"/>
                <w:color w:val="auto"/>
              </w:rPr>
            </w:pPr>
            <w:r>
              <w:rPr>
                <w:rFonts w:ascii="Arial" w:cs="Arial" w:eastAsia="Arial" w:hAnsi="Arial"/>
                <w:sz w:val="18"/>
                <w:szCs w:val="18"/>
                <w:i w:val="1"/>
                <w:iCs w:val="1"/>
                <w:color w:val="auto"/>
                <w:w w:val="94"/>
              </w:rPr>
              <w:t>(State or other jurisdiction of</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97"/>
              <w:spacing w:after="0" w:line="202"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i w:val="1"/>
                <w:iCs w:val="1"/>
                <w:color w:val="auto"/>
                <w:w w:val="95"/>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i w:val="1"/>
                <w:iCs w:val="1"/>
                <w:color w:val="auto"/>
                <w:w w:val="95"/>
              </w:rPr>
              <w:t>Identification No.)</w:t>
            </w:r>
          </w:p>
        </w:tc>
      </w:tr>
      <w:tr>
        <w:trPr>
          <w:trHeight w:val="31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800 Capitol Street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Suite 3000</w:t>
            </w:r>
          </w:p>
        </w:tc>
        <w:tc>
          <w:tcPr>
            <w:tcW w:w="3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Houston, Texas 77002</w:t>
            </w:r>
          </w:p>
        </w:tc>
        <w:tc>
          <w:tcPr>
            <w:tcW w:w="3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200" w:type="dxa"/>
            <w:vAlign w:val="bottom"/>
          </w:tcPr>
          <w:p>
            <w:pPr>
              <w:spacing w:after="0"/>
              <w:rPr>
                <w:sz w:val="20"/>
                <w:szCs w:val="20"/>
                <w:color w:val="auto"/>
              </w:rPr>
            </w:pPr>
          </w:p>
        </w:tc>
      </w:tr>
      <w:tr>
        <w:trPr>
          <w:trHeight w:val="32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Arial" w:cs="Arial" w:eastAsia="Arial" w:hAnsi="Arial"/>
                <w:sz w:val="18"/>
                <w:szCs w:val="18"/>
                <w:b w:val="1"/>
                <w:bCs w:val="1"/>
                <w:color w:val="auto"/>
                <w:w w:val="90"/>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Title of Each Class</w:t>
            </w:r>
          </w:p>
        </w:tc>
        <w:tc>
          <w:tcPr>
            <w:tcW w:w="3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Trading Symbol</w:t>
            </w:r>
          </w:p>
        </w:tc>
        <w:tc>
          <w:tcPr>
            <w:tcW w:w="3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176"/>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color w:val="auto"/>
                <w:w w:val="94"/>
              </w:rPr>
              <w:t>New York Stock Exchange</w:t>
            </w:r>
          </w:p>
        </w:tc>
      </w:tr>
    </w:tbl>
    <w:p>
      <w:pPr>
        <w:spacing w:after="0" w:line="7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900" w:right="839" w:bottom="1440" w:gutter="0" w:footer="0" w:header="0"/>
        </w:sectPr>
      </w:pP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7320" w:space="720"/>
            <w:col w:w="2180"/>
          </w:cols>
          <w:pgMar w:left="840" w:top="900" w:right="839" w:bottom="1440" w:gutter="0" w:footer="0" w:header="0"/>
          <w:type w:val="continuous"/>
        </w:sectPr>
      </w:pPr>
    </w:p>
    <w:p>
      <w:pPr>
        <w:ind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October 20, 2023 was 402,775,427 (excluding treasury shares of 227,507,034).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391795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14605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900"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0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04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w w:val="99"/>
              </w:rPr>
              <w:t>Accounts receivable, net of allowance for doubtful accounts of $26 and $26, respectively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2,646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2,461</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receivables, net of allowance for doubtful accounts of $4 and $7, respectively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Parts and supplies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3,562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3,551</w:t>
            </w:r>
          </w:p>
        </w:tc>
        <w:tc>
          <w:tcPr>
            <w:tcW w:w="0" w:type="dxa"/>
            <w:vAlign w:val="bottom"/>
          </w:tcPr>
          <w:p>
            <w:pPr>
              <w:spacing w:after="0"/>
              <w:rPr>
                <w:sz w:val="1"/>
                <w:szCs w:val="1"/>
                <w:color w:val="auto"/>
              </w:rPr>
            </w:pPr>
          </w:p>
        </w:tc>
      </w:tr>
      <w:tr>
        <w:trPr>
          <w:trHeight w:val="185"/>
        </w:trPr>
        <w:tc>
          <w:tcPr>
            <w:tcW w:w="67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2"/>
              </w:rPr>
              <w:t>Property and equipment, net of accumulated depreciation and depletion of $22,702 and $21,627,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15,719</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9,323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Restricted funds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31,935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31,367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80"/>
              <w:spacing w:after="0"/>
              <w:rPr>
                <w:sz w:val="20"/>
                <w:szCs w:val="20"/>
                <w:color w:val="auto"/>
              </w:rPr>
            </w:pPr>
            <w:r>
              <w:rPr>
                <w:rFonts w:ascii="Arial" w:cs="Arial" w:eastAsia="Arial" w:hAnsi="Arial"/>
                <w:sz w:val="17"/>
                <w:szCs w:val="17"/>
                <w:b w:val="1"/>
                <w:bCs w:val="1"/>
                <w:color w:val="auto"/>
              </w:rPr>
              <w:t>LIABILITIES AND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1,738</w:t>
            </w:r>
          </w:p>
        </w:tc>
        <w:tc>
          <w:tcPr>
            <w:tcW w:w="36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1,766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Deferred revenues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14,570</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1,733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Landfill and environmental remediation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24,969</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24,503</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20"/>
                <w:szCs w:val="20"/>
                <w:color w:val="auto"/>
              </w:rPr>
            </w:pPr>
            <w:r>
              <w:rPr>
                <w:rFonts w:ascii="Arial" w:cs="Arial" w:eastAsia="Arial" w:hAnsi="Arial"/>
                <w:sz w:val="17"/>
                <w:szCs w:val="17"/>
                <w:color w:val="auto"/>
              </w:rPr>
              <w:t>Commitments and contingencies (Note 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Common stock, $0.01 par value; 1,500,000,000 shares authorized; 630,282,461 shares issued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5,385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5,314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13,167</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7"/>
                <w:szCs w:val="17"/>
                <w:color w:val="auto"/>
              </w:rPr>
              <w:t>Accumulated other comprehensive (loss) income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227,456,833 and 222,396,166 shares, respectively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(12,507)</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(11,569)</w:t>
            </w:r>
          </w:p>
        </w:tc>
        <w:tc>
          <w:tcPr>
            <w:tcW w:w="0" w:type="dxa"/>
            <w:vAlign w:val="bottom"/>
          </w:tcPr>
          <w:p>
            <w:pPr>
              <w:spacing w:after="0"/>
              <w:rPr>
                <w:sz w:val="1"/>
                <w:szCs w:val="1"/>
                <w:color w:val="auto"/>
              </w:rPr>
            </w:pPr>
          </w:p>
        </w:tc>
      </w:tr>
      <w:tr>
        <w:trPr>
          <w:trHeight w:val="196"/>
        </w:trPr>
        <w:tc>
          <w:tcPr>
            <w:tcW w:w="6740" w:type="dxa"/>
            <w:vAlign w:val="bottom"/>
          </w:tcPr>
          <w:p>
            <w:pPr>
              <w:ind w:left="320"/>
              <w:spacing w:after="0"/>
              <w:rPr>
                <w:sz w:val="20"/>
                <w:szCs w:val="20"/>
                <w:color w:val="auto"/>
              </w:rPr>
            </w:pPr>
            <w:r>
              <w:rPr>
                <w:rFonts w:ascii="Arial" w:cs="Arial" w:eastAsia="Arial" w:hAnsi="Arial"/>
                <w:sz w:val="17"/>
                <w:szCs w:val="17"/>
                <w:color w:val="auto"/>
              </w:rPr>
              <w:t>Total 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6,950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6,849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Noncontrolling interests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equity</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6,864</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31,935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31,367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7"/>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jc w:val="right"/>
              <w:ind w:right="25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15,209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14,763</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(Gain) loss from divestitures, asset impairments and unusual items,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12,419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12,163</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Equity in net losses of unconsolidated entities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1.64</w:t>
            </w: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060" w:type="dxa"/>
            <w:vAlign w:val="bottom"/>
            <w:gridSpan w:val="16"/>
          </w:tcPr>
          <w:p>
            <w:pPr>
              <w:jc w:val="center"/>
              <w:ind w:left="75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jc w:val="center"/>
              <w:ind w:left="3390"/>
              <w:spacing w:after="0"/>
              <w:rPr>
                <w:sz w:val="20"/>
                <w:szCs w:val="20"/>
                <w:color w:val="auto"/>
              </w:rPr>
            </w:pPr>
            <w:r>
              <w:rPr>
                <w:rFonts w:ascii="Arial" w:cs="Arial" w:eastAsia="Arial" w:hAnsi="Arial"/>
                <w:sz w:val="18"/>
                <w:szCs w:val="18"/>
                <w:b w:val="1"/>
                <w:bCs w:val="1"/>
                <w:color w:val="auto"/>
                <w:w w:val="95"/>
              </w:rPr>
              <w:t>(In Millions)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center"/>
              <w:ind w:left="339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7"/>
          </w:tcPr>
          <w:p>
            <w:pPr>
              <w:jc w:val="right"/>
              <w:ind w:right="91"/>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7"/>
          </w:tcPr>
          <w:p>
            <w:pPr>
              <w:jc w:val="right"/>
              <w:ind w:right="2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2022</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Derivative instruments,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Available-for-sale securities, net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Post-retirement benefit obligations, net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22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4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1,807</w:t>
            </w:r>
          </w:p>
        </w:tc>
        <w:tc>
          <w:tcPr>
            <w:tcW w:w="400" w:type="dxa"/>
            <w:vAlign w:val="bottom"/>
            <w:gridSpan w:val="2"/>
          </w:tcPr>
          <w:p>
            <w:pPr>
              <w:jc w:val="right"/>
              <w:ind w:right="8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w w:val="99"/>
              </w:rPr>
              <w:t>Adjustments to reconcile consolidated net income to 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Arial" w:cs="Arial" w:eastAsia="Arial" w:hAnsi="Arial"/>
                <w:sz w:val="16"/>
                <w:szCs w:val="16"/>
                <w:color w:val="auto"/>
              </w:rPr>
              <w:t>Depreciation, depletion and amortization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income tax expense (benefit)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bad debts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Arial" w:cs="Arial" w:eastAsia="Arial" w:hAnsi="Arial"/>
                <w:sz w:val="16"/>
                <w:szCs w:val="16"/>
                <w:color w:val="auto"/>
              </w:rPr>
              <w:t>Equity-based compensation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gain on disposal of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Arial" w:cs="Arial" w:eastAsia="Arial" w:hAnsi="Arial"/>
                <w:sz w:val="16"/>
                <w:szCs w:val="16"/>
                <w:color w:val="auto"/>
              </w:rPr>
              <w:t>(Gain) loss from divestitures, asset impairments and other,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Equity in net losses of unconsolidated entities, net of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Arial" w:cs="Arial" w:eastAsia="Arial" w:hAnsi="Arial"/>
                <w:sz w:val="16"/>
                <w:szCs w:val="16"/>
                <w:color w:val="auto"/>
              </w:rPr>
              <w:t>Change in operating assets and liabilities, net of effects of acquisitions and divestitures: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Receivables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revenues and other liabilities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3,337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Arial" w:cs="Arial" w:eastAsia="Arial" w:hAnsi="Arial"/>
                <w:sz w:val="16"/>
                <w:szCs w:val="16"/>
                <w:color w:val="auto"/>
              </w:rPr>
              <w:t>Acquisitions of businesses, net of cash acquired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Arial" w:cs="Arial" w:eastAsia="Arial" w:hAnsi="Arial"/>
                <w:sz w:val="16"/>
                <w:szCs w:val="16"/>
                <w:color w:val="auto"/>
              </w:rPr>
              <w:t>New borrowings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Debt repayments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Arial" w:cs="Arial" w:eastAsia="Arial" w:hAnsi="Arial"/>
                <w:sz w:val="16"/>
                <w:szCs w:val="16"/>
                <w:color w:val="auto"/>
              </w:rPr>
              <w:t>Common stock repurchase program</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Arial" w:cs="Arial" w:eastAsia="Arial" w:hAnsi="Arial"/>
                <w:sz w:val="16"/>
                <w:szCs w:val="16"/>
                <w:color w:val="auto"/>
              </w:rPr>
              <w:t>Exercise of common stock options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rPr>
                <w:sz w:val="20"/>
                <w:szCs w:val="20"/>
                <w:color w:val="auto"/>
              </w:rPr>
            </w:pPr>
            <w:r>
              <w:rPr>
                <w:rFonts w:ascii="Arial" w:cs="Arial" w:eastAsia="Arial" w:hAnsi="Arial"/>
                <w:sz w:val="16"/>
                <w:szCs w:val="16"/>
                <w:color w:val="auto"/>
                <w:w w:val="92"/>
              </w:rPr>
              <w:t>Effect of exchange rate changes on cash, cash equivalents and restricted cash and cash equivalents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(Decrease) increase in cash, cash equivalents and restricted cash and cash equivalents</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w w:val="94"/>
              </w:rPr>
              <w:t>Reconciliation of cash, cash equivalents and restricted cash and cash equivalents at end of period: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150</w:t>
            </w:r>
          </w:p>
        </w:tc>
        <w:tc>
          <w:tcPr>
            <w:tcW w:w="400" w:type="dxa"/>
            <w:vAlign w:val="bottom"/>
            <w:gridSpan w:val="2"/>
          </w:tcPr>
          <w:p>
            <w:pPr>
              <w:jc w:val="right"/>
              <w:ind w:right="8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Restricted cash and cash equivalents included in restricted funds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2"/>
          </w:tcPr>
          <w:p>
            <w:pPr>
              <w:jc w:val="right"/>
              <w:ind w:right="440"/>
              <w:spacing w:after="0"/>
              <w:rPr>
                <w:sz w:val="20"/>
                <w:szCs w:val="20"/>
                <w:color w:val="auto"/>
              </w:rPr>
            </w:pPr>
            <w:r>
              <w:rPr>
                <w:rFonts w:ascii="Arial" w:cs="Arial" w:eastAsia="Arial" w:hAnsi="Arial"/>
                <w:sz w:val="13"/>
                <w:szCs w:val="13"/>
                <w:b w:val="1"/>
                <w:bCs w:val="1"/>
                <w:color w:val="auto"/>
              </w:rPr>
              <w:t>Waste Management, Inc. Stockholders’ Equity</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4"/>
              </w:rPr>
              <w:t>Retained</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w w:val="98"/>
              </w:rPr>
              <w:t>Comprehensive</w:t>
            </w:r>
          </w:p>
        </w:tc>
        <w:tc>
          <w:tcPr>
            <w:tcW w:w="138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Treasury Stock</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2"/>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2" w:lineRule="exact"/>
              <w:rPr>
                <w:sz w:val="20"/>
                <w:szCs w:val="20"/>
                <w:color w:val="auto"/>
              </w:rPr>
            </w:pPr>
            <w:r>
              <w:rPr>
                <w:rFonts w:ascii="Arial" w:cs="Arial" w:eastAsia="Arial" w:hAnsi="Arial"/>
                <w:sz w:val="13"/>
                <w:szCs w:val="13"/>
                <w:b w:val="1"/>
                <w:bCs w:val="1"/>
                <w:color w:val="auto"/>
                <w:w w:val="96"/>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92"/>
              </w:rPr>
              <w:t>Amounts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Capital</w:t>
            </w:r>
          </w:p>
        </w:tc>
        <w:tc>
          <w:tcPr>
            <w:tcW w:w="64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w w:val="93"/>
              </w:rPr>
              <w:t>Earnings</w:t>
            </w:r>
          </w:p>
        </w:tc>
        <w:tc>
          <w:tcPr>
            <w:tcW w:w="980" w:type="dxa"/>
            <w:vAlign w:val="bottom"/>
            <w:gridSpan w:val="3"/>
          </w:tcPr>
          <w:p>
            <w:pPr>
              <w:jc w:val="center"/>
              <w:ind w:right="120"/>
              <w:spacing w:after="0" w:line="142" w:lineRule="exact"/>
              <w:rPr>
                <w:sz w:val="20"/>
                <w:szCs w:val="20"/>
                <w:color w:val="auto"/>
              </w:rPr>
            </w:pPr>
            <w:r>
              <w:rPr>
                <w:rFonts w:ascii="Arial" w:cs="Arial" w:eastAsia="Arial" w:hAnsi="Arial"/>
                <w:sz w:val="13"/>
                <w:szCs w:val="13"/>
                <w:b w:val="1"/>
                <w:bCs w:val="1"/>
                <w:color w:val="auto"/>
                <w:w w:val="92"/>
              </w:rPr>
              <w:t>(Loss) Income</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9"/>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Arial" w:cs="Arial" w:eastAsia="Arial" w:hAnsi="Arial"/>
                <w:sz w:val="13"/>
                <w:szCs w:val="13"/>
                <w:b w:val="1"/>
                <w:bCs w:val="1"/>
                <w:color w:val="auto"/>
              </w:rPr>
              <w:t>Interests</w:t>
            </w:r>
          </w:p>
        </w:tc>
      </w:tr>
      <w:tr>
        <w:trPr>
          <w:trHeight w:val="128"/>
        </w:trPr>
        <w:tc>
          <w:tcPr>
            <w:tcW w:w="250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28"/>
        </w:trPr>
        <w:tc>
          <w:tcPr>
            <w:tcW w:w="22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5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June 30, 2023</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6,928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5,341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$ 13,744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(32)</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6"/>
              </w:rPr>
              <w:t>(225,407)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5"/>
              </w:rPr>
              <w:t>(12,150)</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w:t>
            </w:r>
          </w:p>
        </w:tc>
      </w:tr>
      <w:tr>
        <w:trPr>
          <w:trHeight w:val="148"/>
        </w:trPr>
        <w:tc>
          <w:tcPr>
            <w:tcW w:w="25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662</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663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5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Other comprehensive income (loss), net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of tax</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0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$0.70 per</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8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(283)</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(283)</w:t>
            </w:r>
          </w:p>
        </w:tc>
        <w:tc>
          <w:tcPr>
            <w:tcW w:w="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Equity-based compensation transactions,</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5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(373)</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(2,347)</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(373)</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5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82"/>
        </w:trPr>
        <w:tc>
          <w:tcPr>
            <w:tcW w:w="2500" w:type="dxa"/>
            <w:vAlign w:val="bottom"/>
            <w:tcBorders>
              <w:bottom w:val="single" w:sz="8" w:color="CCEEFF"/>
            </w:tcBorders>
            <w:gridSpan w:val="4"/>
          </w:tcPr>
          <w:p>
            <w:pPr>
              <w:ind w:left="20"/>
              <w:spacing w:after="0" w:line="142" w:lineRule="exact"/>
              <w:rPr>
                <w:sz w:val="20"/>
                <w:szCs w:val="20"/>
                <w:color w:val="auto"/>
              </w:rPr>
            </w:pPr>
            <w:r>
              <w:rPr>
                <w:rFonts w:ascii="Arial" w:cs="Arial" w:eastAsia="Arial" w:hAnsi="Arial"/>
                <w:sz w:val="14"/>
                <w:szCs w:val="14"/>
                <w:color w:val="auto"/>
              </w:rPr>
              <w:t>Balance, September 30, 2023</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6,966</w:t>
            </w:r>
          </w:p>
        </w:tc>
        <w:tc>
          <w:tcPr>
            <w:tcW w:w="8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5,385</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$ 14,124</w:t>
            </w:r>
          </w:p>
        </w:tc>
        <w:tc>
          <w:tcPr>
            <w:tcW w:w="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(227,457)</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(12,507)</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2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5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June 30, 2022</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7,192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5,257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$ 12,563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6"/>
              </w:rPr>
              <w:t>(217,006)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5"/>
              </w:rPr>
              <w:t>(10,619)</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5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639</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639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5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Other comprehensive income (loss), net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of tax</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0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$0.65 per</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48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1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(267)</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(267)</w:t>
            </w:r>
          </w:p>
        </w:tc>
        <w:tc>
          <w:tcPr>
            <w:tcW w:w="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Equity-based compensation transactions,</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5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(539)</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(3,232)</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(539)</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5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50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Balance, September 30, 2022</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7,012</w:t>
            </w: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5,299</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$ 12,933</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(219,743)</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(11,136)</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CONDENSED CONSOLIDATED STATEMENTS OF CHANGES IN EQUITY ─ (Continued)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ind w:left="240"/>
              <w:spacing w:after="0"/>
              <w:rPr>
                <w:sz w:val="20"/>
                <w:szCs w:val="20"/>
                <w:color w:val="auto"/>
              </w:rPr>
            </w:pPr>
            <w:r>
              <w:rPr>
                <w:rFonts w:ascii="Arial" w:cs="Arial" w:eastAsia="Arial" w:hAnsi="Arial"/>
                <w:sz w:val="13"/>
                <w:szCs w:val="13"/>
                <w:b w:val="1"/>
                <w:bCs w:val="1"/>
                <w:color w:val="auto"/>
              </w:rPr>
              <w:t>Waste Management, Inc. Stockholders’ Equity</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5"/>
          </w:tcPr>
          <w:p>
            <w:pPr>
              <w:ind w:left="16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1380" w:type="dxa"/>
            <w:vAlign w:val="bottom"/>
            <w:gridSpan w:val="5"/>
          </w:tcPr>
          <w:p>
            <w:pPr>
              <w:ind w:left="220"/>
              <w:spacing w:after="0"/>
              <w:rPr>
                <w:sz w:val="20"/>
                <w:szCs w:val="20"/>
                <w:color w:val="auto"/>
              </w:rPr>
            </w:pPr>
            <w:r>
              <w:rPr>
                <w:rFonts w:ascii="Arial" w:cs="Arial" w:eastAsia="Arial" w:hAnsi="Arial"/>
                <w:sz w:val="13"/>
                <w:szCs w:val="13"/>
                <w:b w:val="1"/>
                <w:bCs w:val="1"/>
                <w:color w:val="auto"/>
              </w:rPr>
              <w:t>Treasury Stock</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w w:val="96"/>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Earnings</w:t>
            </w:r>
          </w:p>
        </w:tc>
        <w:tc>
          <w:tcPr>
            <w:tcW w:w="980" w:type="dxa"/>
            <w:vAlign w:val="bottom"/>
            <w:gridSpan w:val="3"/>
          </w:tcPr>
          <w:p>
            <w:pPr>
              <w:jc w:val="center"/>
              <w:ind w:right="80"/>
              <w:spacing w:after="0" w:line="142" w:lineRule="exact"/>
              <w:rPr>
                <w:sz w:val="20"/>
                <w:szCs w:val="20"/>
                <w:color w:val="auto"/>
              </w:rPr>
            </w:pPr>
            <w:r>
              <w:rPr>
                <w:rFonts w:ascii="Arial" w:cs="Arial" w:eastAsia="Arial" w:hAnsi="Arial"/>
                <w:sz w:val="13"/>
                <w:szCs w:val="13"/>
                <w:b w:val="1"/>
                <w:bCs w:val="1"/>
                <w:color w:val="auto"/>
                <w:w w:val="92"/>
              </w:rPr>
              <w:t>(Loss) Income</w:t>
            </w:r>
          </w:p>
        </w:tc>
        <w:tc>
          <w:tcPr>
            <w:tcW w:w="6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3"/>
                <w:szCs w:val="13"/>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9"/>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w w:val="99"/>
              </w:rPr>
              <w:t>Interests</w:t>
            </w:r>
          </w:p>
        </w:tc>
      </w:tr>
      <w:tr>
        <w:trPr>
          <w:trHeight w:val="128"/>
        </w:trPr>
        <w:tc>
          <w:tcPr>
            <w:tcW w:w="260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28"/>
        </w:trPr>
        <w:tc>
          <w:tcPr>
            <w:tcW w:w="2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6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2022</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6,864</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5,314</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$ 13,167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(69)</w:t>
            </w: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(222,396)</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(11,569)</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1,807</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r>
      <w:tr>
        <w:trPr>
          <w:trHeight w:val="130"/>
        </w:trPr>
        <w:tc>
          <w:tcPr>
            <w:tcW w:w="26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$2.10 per</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8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1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(855)</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(855)</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w w:val="91"/>
              </w:rPr>
              <w:t>Equity-based compensation transactions, net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(1,001)</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(6,283)</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(1,001)</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r>
      <w:tr>
        <w:trPr>
          <w:trHeight w:val="182"/>
        </w:trPr>
        <w:tc>
          <w:tcPr>
            <w:tcW w:w="2600" w:type="dxa"/>
            <w:vAlign w:val="bottom"/>
            <w:tcBorders>
              <w:bottom w:val="single" w:sz="8" w:color="CCEEFF"/>
            </w:tcBorders>
            <w:gridSpan w:val="4"/>
          </w:tcPr>
          <w:p>
            <w:pPr>
              <w:ind w:left="20"/>
              <w:spacing w:after="0" w:line="142" w:lineRule="exact"/>
              <w:rPr>
                <w:sz w:val="20"/>
                <w:szCs w:val="20"/>
                <w:color w:val="auto"/>
              </w:rPr>
            </w:pPr>
            <w:r>
              <w:rPr>
                <w:rFonts w:ascii="Arial" w:cs="Arial" w:eastAsia="Arial" w:hAnsi="Arial"/>
                <w:sz w:val="14"/>
                <w:szCs w:val="14"/>
                <w:color w:val="auto"/>
              </w:rPr>
              <w:t>Balance, September 30, 2023</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6,966</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5,385</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$ 14,124</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w:t>
            </w:r>
          </w:p>
        </w:tc>
        <w:tc>
          <w:tcPr>
            <w:tcW w:w="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(227,457)</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(12,507)</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1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6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2021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7,126</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5,169</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$ 12,004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(214,159)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(10,072)</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1,740</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1,739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6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$1.95 per</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8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1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(811)</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(811)</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w w:val="91"/>
              </w:rPr>
              <w:t>Equity-based compensation transactions, net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(1,063)</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(7,084)</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(1,133)</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2"/>
        </w:trPr>
        <w:tc>
          <w:tcPr>
            <w:tcW w:w="260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Balance, September 30, 2022</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7,012</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5,299</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$ 12,933</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w:t>
            </w: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(219,743)</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(11,136)</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121" w:right="1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9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that we allocate to our natural gas fleet.</w:t>
      </w:r>
    </w:p>
    <w:p>
      <w:pPr>
        <w:spacing w:after="0" w:line="16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 We also provide additional services that are not managed through our Solid Waste business, which are presented in this report as “Other.” Additional information related to our segments is included in Note 7.</w:t>
      </w:r>
    </w:p>
    <w:p>
      <w:pPr>
        <w:spacing w:after="0" w:line="17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Condensed Consolidated Financial Statements as of September 30, 2023 and for the three and nine months ended September 30, 2023 and 2022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2022.</w:t>
      </w:r>
    </w:p>
    <w:p>
      <w:pPr>
        <w:spacing w:after="0" w:line="17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September 30, 2023 and December 31, 2022, we had $207 million and $192 million, respectively, of deferred contract costs, of which $145 million and $137 million, respectively, was related to deferred sales incentives.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Amounts for our operating lease right-of-use assets are recorded in long-term other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2023</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22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240" w:type="dxa"/>
            <w:vAlign w:val="bottom"/>
            <w:gridSpan w:val="4"/>
          </w:tcPr>
          <w:p>
            <w:pPr>
              <w:ind w:left="16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The changes to landfill and environmental remediation liabilities for the nine months ended September 30, 2023 are reflected in the table below (in millions):</w:t>
      </w:r>
    </w:p>
    <w:tbl>
      <w:tblPr>
        <w:tblLayout w:type="fixed"/>
        <w:tblInd w:w="60" w:type="dxa"/>
        <w:tblCellMar>
          <w:top w:w="0" w:type="dxa"/>
          <w:left w:w="0" w:type="dxa"/>
          <w:bottom w:w="0" w:type="dxa"/>
          <w:right w:w="0" w:type="dxa"/>
        </w:tblCellMar>
      </w:tblPr>
      <w:tr>
        <w:trPr>
          <w:trHeight w:val="141"/>
        </w:trPr>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2"/>
                <w:szCs w:val="12"/>
                <w:color w:val="auto"/>
              </w:rPr>
            </w:pPr>
          </w:p>
        </w:tc>
        <w:tc>
          <w:tcPr>
            <w:tcW w:w="9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69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Obligations incurred and capitalized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Obligations settled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Arial" w:cs="Arial" w:eastAsia="Arial" w:hAnsi="Arial"/>
                <w:sz w:val="18"/>
                <w:szCs w:val="18"/>
                <w:color w:val="auto"/>
              </w:rPr>
              <w:t>Interest accretion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Revisions in estimates and interest rate assumptions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Acquisitions, divestitures and other adjustments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Derivatives</w:t>
      </w:r>
    </w:p>
    <w:p>
      <w:pPr>
        <w:spacing w:after="0" w:line="229"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The following table summarizes the major components of debt at principal amounts as of each balance sheet date (in millions) and provides the maturities and interest rate ranges of each major category as of September 30, 2023:</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240" w:type="dxa"/>
            <w:vAlign w:val="bottom"/>
            <w:tcBorders>
              <w:bottom w:val="single" w:sz="8" w:color="CCEEFF"/>
            </w:tcBorders>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r>
      <w:tr>
        <w:trPr>
          <w:trHeight w:val="182"/>
        </w:trPr>
        <w:tc>
          <w:tcPr>
            <w:tcW w:w="694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Commercial paper program (weighted average interest rate of 5.5% as of September 30, 2023</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0"/>
        </w:trPr>
        <w:tc>
          <w:tcPr>
            <w:tcW w:w="6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4.9% as of December 31, 2022)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02"/>
        </w:trPr>
        <w:tc>
          <w:tcPr>
            <w:tcW w:w="69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4"/>
              </w:rPr>
              <w:t>Senior notes, maturing through 2050, interest rates ranging from 0.75% to 7.75% (weighted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6940" w:type="dxa"/>
            <w:vAlign w:val="bottom"/>
            <w:gridSpan w:val="2"/>
          </w:tcPr>
          <w:p>
            <w:pPr>
              <w:ind w:left="140"/>
              <w:spacing w:after="0"/>
              <w:rPr>
                <w:sz w:val="20"/>
                <w:szCs w:val="20"/>
                <w:color w:val="auto"/>
              </w:rPr>
            </w:pPr>
            <w:r>
              <w:rPr>
                <w:rFonts w:ascii="Arial" w:cs="Arial" w:eastAsia="Arial" w:hAnsi="Arial"/>
                <w:sz w:val="18"/>
                <w:szCs w:val="18"/>
                <w:color w:val="auto"/>
                <w:w w:val="91"/>
              </w:rPr>
              <w:t>average interest rate of 3.7% as of September 30, 2023 and 3.2% as of December 31, 2022)</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11,376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8,626</w:t>
            </w: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interest rate of 5.1% as of December 31, 2022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Canadian senior notes, C$500 million maturing September 2026, interest rate of 2.6%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02"/>
        </w:trPr>
        <w:tc>
          <w:tcPr>
            <w:tcW w:w="69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Tax-exempt bonds, maturing through 2048, fixed and variable interest rates ranging from</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0.55% to 4.4% (weighted average interest rate of 2.9% as of September 30, 2023 and 2.7%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6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December 31, 2022)</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02"/>
        </w:trPr>
        <w:tc>
          <w:tcPr>
            <w:tcW w:w="69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1"/>
              </w:rPr>
              <w:t>Financing leases and other, maturing through 2071 (weighted average interest rate of 4.8% as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6940" w:type="dxa"/>
            <w:vAlign w:val="bottom"/>
            <w:gridSpan w:val="2"/>
          </w:tcPr>
          <w:p>
            <w:pPr>
              <w:ind w:left="140"/>
              <w:spacing w:after="0"/>
              <w:rPr>
                <w:sz w:val="20"/>
                <w:szCs w:val="20"/>
                <w:color w:val="auto"/>
              </w:rPr>
            </w:pPr>
            <w:r>
              <w:rPr>
                <w:rFonts w:ascii="Arial" w:cs="Arial" w:eastAsia="Arial" w:hAnsi="Arial"/>
                <w:sz w:val="18"/>
                <w:szCs w:val="18"/>
                <w:color w:val="auto"/>
              </w:rPr>
              <w:t>of September 30, 2023 and 4.7% as of December 31, 2022) (a)</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issuance costs, discounts and other</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22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15,430</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14,984</w:t>
            </w: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09"/>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15,133</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w:t>
            </w:r>
          </w:p>
        </w:tc>
      </w:tr>
      <w:tr>
        <w:trPr>
          <w:trHeight w:val="20"/>
        </w:trPr>
        <w:tc>
          <w:tcPr>
            <w:tcW w:w="2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our landfill financing leases, the maturities of our financing leases and other debt obligations extend through 2059.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September 30, 2023, we had approximately $2.4 billion of debt maturing within the next 12 months, including</w:t>
      </w:r>
    </w:p>
    <w:p>
      <w:pPr>
        <w:spacing w:after="0" w:line="46" w:lineRule="exact"/>
        <w:rPr>
          <w:sz w:val="20"/>
          <w:szCs w:val="20"/>
          <w:color w:val="auto"/>
        </w:rPr>
      </w:pPr>
    </w:p>
    <w:p>
      <w:pPr>
        <w:ind w:left="300" w:hanging="250"/>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$489 million of short-term borrowings under our commercial paper program (net of related discount on issuance);</w:t>
      </w:r>
    </w:p>
    <w:p>
      <w:pPr>
        <w:spacing w:after="0" w:line="20" w:lineRule="exact"/>
        <w:rPr>
          <w:rFonts w:ascii="Arial" w:cs="Arial" w:eastAsia="Arial" w:hAnsi="Arial"/>
          <w:sz w:val="17"/>
          <w:szCs w:val="17"/>
          <w:color w:val="auto"/>
        </w:rPr>
      </w:pPr>
    </w:p>
    <w:p>
      <w:pPr>
        <w:jc w:val="both"/>
        <w:ind w:left="60" w:right="59" w:hanging="10"/>
        <w:spacing w:after="0" w:line="288" w:lineRule="auto"/>
        <w:tabs>
          <w:tab w:leader="none" w:pos="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$1.6 billion of tax-exempt bonds with term interest rate periods that expire within the next 12 months, which is prior to their scheduled maturities; (iii) $156 million of 3.5% senior notes that mature in May 2024 and (iv) $174 million of other debt with scheduled maturities within the next 12 months, including $60 million of tax-exempt bonds. As of September 30, 2023, we have classified $2.1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$297 million of debt maturing in the next 12 months is classified as current obligations.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Commercial Paper Program and Term Loan</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$3.5 Billion Revolving Credit Facility — </w:t>
      </w:r>
      <w:r>
        <w:rPr>
          <w:rFonts w:ascii="Arial" w:cs="Arial" w:eastAsia="Arial" w:hAnsi="Arial"/>
          <w:sz w:val="18"/>
          <w:szCs w:val="18"/>
          <w:color w:val="auto"/>
        </w:rPr>
        <w:t>Our $3.5 billion revolving credit facility, maturing May 2027, provides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credit capacity to be used for cash borrowings, to support letters of credit and to support our commercial paper program. The interest rates we pay on outstanding U.S. or Canadian loans are based on the Secured Overnight Financing Rate (“SOFR”) administered by the Federal Reserve Bank of New York or the Canadian Dollar Offered Rate (“CDOR”), respectively, plus a spread depending on WMI’s senior public debt rating assigned by Moody’s Investors Service, Inc. and Standard and Poor’s Global Ratings. As of September 30, 2023, we had no outstanding borrowings under this facility. We had $181 million of letters of credit issued and $489 million of outstanding borrowings (net of related discount on issuance) under our commercial paper program, both supported by the facility, leaving unused and available credit capacity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$2.8 billion as of September 30, 2023. WM Holdings, a wholly-owned subsidiary of WMI, guarantees all the obligations under the $3.5 billion revolving credit facility.</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 397</w:t>
      </w:r>
      <w:r>
        <w:rPr>
          <w:rFonts w:ascii="Arial" w:cs="Arial" w:eastAsia="Arial" w:hAnsi="Arial"/>
          <w:sz w:val="16"/>
          <w:szCs w:val="16"/>
          <w:i w:val="1"/>
          <w:iCs w:val="1"/>
          <w:color w:val="auto"/>
        </w:rPr>
        <w:t xml:space="preserve"> </w:t>
      </w:r>
      <w:r>
        <w:rPr>
          <w:rFonts w:ascii="Arial" w:cs="Arial" w:eastAsia="Arial" w:hAnsi="Arial"/>
          <w:sz w:val="16"/>
          <w:szCs w:val="16"/>
          <w:color w:val="auto"/>
        </w:rPr>
        <w:t>days at competitive interest rates. The rates we pay for outstanding borrowings are based on the term of the notes. The commercial paper program is fully supported by our $3.5 billion revolving credit facility. As of September 30, 2023, we had $489 million of outstanding borrowings (net of related discount on issuance) under our commercial paper program.</w:t>
      </w:r>
    </w:p>
    <w:p>
      <w:pPr>
        <w:spacing w:after="0" w:line="15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Term Loan — </w:t>
      </w:r>
      <w:r>
        <w:rPr>
          <w:rFonts w:ascii="Arial" w:cs="Arial" w:eastAsia="Arial" w:hAnsi="Arial"/>
          <w:sz w:val="17"/>
          <w:szCs w:val="17"/>
          <w:color w:val="auto"/>
        </w:rPr>
        <w:t>In May 2022, we entered into our $1.0 billion, two-year, U.S. term credit agreement maturing May 2024</w:t>
      </w:r>
      <w:r>
        <w:rPr>
          <w:rFonts w:ascii="Arial" w:cs="Arial" w:eastAsia="Arial" w:hAnsi="Arial"/>
          <w:sz w:val="17"/>
          <w:szCs w:val="17"/>
          <w:i w:val="1"/>
          <w:iCs w:val="1"/>
          <w:color w:val="auto"/>
        </w:rPr>
        <w:t xml:space="preserve"> </w:t>
      </w:r>
      <w:r>
        <w:rPr>
          <w:rFonts w:ascii="Arial" w:cs="Arial" w:eastAsia="Arial" w:hAnsi="Arial"/>
          <w:sz w:val="17"/>
          <w:szCs w:val="17"/>
          <w:color w:val="auto"/>
        </w:rPr>
        <w:t>(“Term Loan”) to support general corporate purposes. WM Holdings guaranteed all obligations under the Term Loan. The interest rate we paid on our Term Loan was generally based on SOFR, plus a spread depending on WMI’s senior public debt rating assigned by Moody’s Investors Service, Inc. and Standard and Poor’s Global Ratings. The Term Loan had a contractual maturity of May 2024, but we elected to repay all outstanding balances under the Term Loan in August 2023 with proceeds from our July 2023 senior notes issuance, which is discussed further below.</w:t>
      </w:r>
    </w:p>
    <w:p>
      <w:pPr>
        <w:spacing w:after="0" w:line="17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Lines — </w:t>
      </w:r>
      <w:r>
        <w:rPr>
          <w:rFonts w:ascii="Arial" w:cs="Arial" w:eastAsia="Arial" w:hAnsi="Arial"/>
          <w:sz w:val="18"/>
          <w:szCs w:val="18"/>
          <w:color w:val="auto"/>
        </w:rPr>
        <w:t>As of September 30, 2023, we had utilized $801 million of other uncommitted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lines with terms maturing through December 2026.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Commercial Paper Program </w:t>
      </w:r>
      <w:r>
        <w:rPr>
          <w:rFonts w:ascii="Arial" w:cs="Arial" w:eastAsia="Arial" w:hAnsi="Arial"/>
          <w:sz w:val="17"/>
          <w:szCs w:val="17"/>
          <w:color w:val="auto"/>
        </w:rPr>
        <w:t>— During the nine months ended September 30, 2023, we made cash repayments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$15.3 billion, which were partially offset by $14.1 billion of cash borrowings (net of related discount on issuance). A portion of these borrowings were repaid with proceeds from senior note issuances as discussed below.</w:t>
      </w:r>
    </w:p>
    <w:p>
      <w:pPr>
        <w:spacing w:after="0" w:line="165"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In February 2023, WMI issued $750 million and $500 million of 4.625% senior notes due</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2030 and February 2033, respectively, the net proceeds of which were $1.24 billion. We used the net proceeds to reduce outstanding borrowings under our commercial paper program, repay $500 million of WMI’s 2.4% senior notes upon maturity in May 2023, and for general corporate purposes, including our sustainability capital investment program.</w:t>
      </w:r>
    </w:p>
    <w:p>
      <w:pPr>
        <w:spacing w:after="0" w:line="155"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In July 2023, WMI issued $750 million and $1.25 billion of 4.875% senior notes due February 2029 and February 2034, respectively, the net proceeds of which were $1.97 billion. We used the net proceeds to reduce outstanding borrowings under our commercial paper program, repay $1.0 billion of outstanding borrowings under our Term Loan and for general corporate purposes.</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7"/>
          <w:szCs w:val="17"/>
          <w:i w:val="1"/>
          <w:iCs w:val="1"/>
          <w:color w:val="auto"/>
        </w:rPr>
        <w:t xml:space="preserve">Term Loan </w:t>
      </w:r>
      <w:r>
        <w:rPr>
          <w:rFonts w:ascii="Arial" w:cs="Arial" w:eastAsia="Arial" w:hAnsi="Arial"/>
          <w:sz w:val="17"/>
          <w:szCs w:val="17"/>
          <w:color w:val="auto"/>
        </w:rPr>
        <w:t>— In August 2023, we repaid $1.0 billion of outstanding borrowings under our Term Loan with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from our July 2023 senior notes issuance discussed above and contemporaneously terminated the facility.</w:t>
      </w:r>
    </w:p>
    <w:p>
      <w:pPr>
        <w:spacing w:after="0" w:line="14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7"/>
          <w:szCs w:val="17"/>
          <w:i w:val="1"/>
          <w:iCs w:val="1"/>
          <w:color w:val="auto"/>
        </w:rPr>
        <w:t xml:space="preserve">Tax-Exempt Bonds </w:t>
      </w:r>
      <w:r>
        <w:rPr>
          <w:rFonts w:ascii="Arial" w:cs="Arial" w:eastAsia="Arial" w:hAnsi="Arial"/>
          <w:sz w:val="17"/>
          <w:szCs w:val="17"/>
          <w:color w:val="auto"/>
        </w:rPr>
        <w:t>— We issued $50 million of tax-exempt bonds during the nine months ended September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The proceeds from the issuance of these bonds were deposited directly into a restricted trust fund to be used for the specific purpose for which the money was raised, which is generally to finance expenditures for solid waste disposal facility, material recovery facility and renewable natural gas facility construction and development. In 2023, we also repaid $65 million of our tax-exempt bonds with available cash at their scheduled maturities.</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Financing Leases and Other </w:t>
      </w:r>
      <w:r>
        <w:rPr>
          <w:rFonts w:ascii="Arial" w:cs="Arial" w:eastAsia="Arial" w:hAnsi="Arial"/>
          <w:sz w:val="18"/>
          <w:szCs w:val="18"/>
          <w:color w:val="auto"/>
        </w:rPr>
        <w:t>— The decrease in our financing leases and other debt obligations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2023 is due to $91 million of cash repayments of debt at maturity, partially offset by an increase of $78 million primarily related to non-cash financing leases.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Derivatives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2023, we entered into treasury rate locks with a total notional value of $800 million to secure underlying interest rates associated with our senior notes issuances discussed above. We designated our treasury rate locks as cash flow hedges. These treasury rate locks were terminated contemporaneously with the related issuances of senior notes and we received cash of $19 million to settle the related assets.</w:t>
      </w:r>
    </w:p>
    <w:p>
      <w:pPr>
        <w:spacing w:after="0" w:line="183"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effective income tax rate was 24.1% and 24.0% for the three and nine months ended September 30, 2023, respectively, compared with 22.8% and 23.5% for the three and nine months ended September 30, 2022, respectively.</w:t>
      </w:r>
    </w:p>
    <w:p>
      <w:pPr>
        <w:spacing w:after="0" w:line="12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increase in our effective income tax rate when comparing the three and nine months ended September 30, 2023 and 2022 was primarily driven by (i) an unfavorable increase in permanent differences between taxable income and accounting income associated with our treatment of landfill closure and post-closure costs and (ii) a decrease in the excess tax benefits associated with equity-based compensation. The impacts of these items were partially offset by increased federal tax credits.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evaluate our effective income tax rate at each interim period and adjust it as facts and circumstances warrant.</w:t>
      </w:r>
    </w:p>
    <w:p>
      <w:pPr>
        <w:spacing w:after="0" w:line="23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Permanent Differences </w:t>
      </w:r>
      <w:r>
        <w:rPr>
          <w:rFonts w:ascii="Arial" w:cs="Arial" w:eastAsia="Arial" w:hAnsi="Arial"/>
          <w:sz w:val="18"/>
          <w:szCs w:val="18"/>
          <w:color w:val="auto"/>
        </w:rPr>
        <w:t>— During the three and nine months ended September 30, 2023, we recognized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when compared to prior periods of $10 million and $16 million, respectively, related to permanent differences between taxable income and accounting income. This increase is largely due to an increase in taxable interest income associated with the Company’s election to deduct landfill closure and post-closure costs for income tax purposes when incurred and accrued. The increase in taxable interest income is due to the increase in the applicable federal rate published by the IRS.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and nine months ended September 30, 2023, we recognized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our income tax expense of $1 million and $11 million, respectively, for excess tax benefits related to the vesting or exercise of equity-based compensation awards compared with $5 million and $17 million, respectively, for the comparable prior year periods.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We have significant financial interests in entities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low-income housing properties. We support the operations of these entities in exchange for a pro-rata share of the tax credits they generate. The low-income housing investments qualify for federal tax credits that we expect to realize through 2033 under Section 42 or Section 45D of the Internal Revenue Code. 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w:t>
      </w:r>
    </w:p>
    <w:p>
      <w:pPr>
        <w:spacing w:after="0" w:line="19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During the three and nine months ended September 30, 2023, we recognized $18 million and $43 million of net losses, respectively, and a reduction in our income tax expense of $28 million and $76 million, respectively, primarily due to federal tax credits realized from these investments as well as the tax benefits from the pre-tax losses realized. In addition, during the three and nine months ended September 30, 2023, we recognized interest expense of $3 million and $10 million, respectively, associated with our investments in low-income housing properties.</w:t>
      </w:r>
    </w:p>
    <w:p>
      <w:pPr>
        <w:spacing w:after="0" w:line="1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During the three and nine months ended September 30, 2022, we recognized $16 million and $47 million of net losses, respectively, and a reduction in our income tax expense of $26 million and $74 million, respectively, primarily due to federal tax credits realized from these investments as well as the tax benefits from the pre-tax losses realized. In addition, during the three and nine months ended September 30, 2022, we recognized interest expense of $5 million and $10 million,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respectively, associated with our investments in low-income housing properties. See Note 13 for additional information related to these unconsolidated variable interest entities.</w:t>
      </w:r>
    </w:p>
    <w:p>
      <w:pPr>
        <w:spacing w:after="0" w:line="166"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Basic and diluted earnings per share were computed using the following common share data (shares in millions):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4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Effect of using weighted average common shares outstanding</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02"/>
        </w:trPr>
        <w:tc>
          <w:tcPr>
            <w:tcW w:w="5900" w:type="dxa"/>
            <w:vAlign w:val="bottom"/>
          </w:tcPr>
          <w:p>
            <w:pPr>
              <w:ind w:left="100"/>
              <w:spacing w:after="0" w:line="201" w:lineRule="exact"/>
              <w:rPr>
                <w:sz w:val="20"/>
                <w:szCs w:val="20"/>
                <w:color w:val="auto"/>
              </w:rPr>
            </w:pPr>
            <w:r>
              <w:rPr>
                <w:rFonts w:ascii="Arial" w:cs="Arial" w:eastAsia="Arial" w:hAnsi="Arial"/>
                <w:sz w:val="18"/>
                <w:szCs w:val="18"/>
                <w:color w:val="auto"/>
                <w:w w:val="96"/>
              </w:rPr>
              <w:t>Dilutive effect of equity-based compensation awards and other contingently</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issuable shares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16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1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1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shares outstanding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Refer to the Condensed Consolidated Statements of Operations for net income attributable to Waste Management, Inc.</w:t>
      </w:r>
    </w:p>
    <w:p>
      <w:pPr>
        <w:spacing w:after="0" w:line="244"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Insurance — </w:t>
      </w:r>
      <w:r>
        <w:rPr>
          <w:rFonts w:ascii="Arial" w:cs="Arial" w:eastAsia="Arial" w:hAnsi="Arial"/>
          <w:sz w:val="18"/>
          <w:szCs w:val="18"/>
          <w:color w:val="auto"/>
        </w:rPr>
        <w:t>We carry insurance coverage for protection of our assets and operations from certain risks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 incident deductible under the related insurance policy and any amounts that exceed our insured limits. Our exposure could increase if our insurers are unable to meet their commitments on a timely basis.</w:t>
      </w:r>
    </w:p>
    <w:p>
      <w:pPr>
        <w:spacing w:after="0" w:line="19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2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Guarantees — </w:t>
      </w:r>
      <w:r>
        <w:rPr>
          <w:rFonts w:ascii="Arial" w:cs="Arial" w:eastAsia="Arial" w:hAnsi="Arial"/>
          <w:sz w:val="17"/>
          <w:szCs w:val="17"/>
          <w:color w:val="auto"/>
        </w:rPr>
        <w:t>In the ordinary course of our business, WMI and WM Holdings enter into guarantee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of September 30, 2023,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19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w:t>
      </w:r>
      <w:r>
        <w:rPr>
          <w:rFonts w:ascii="Arial" w:cs="Arial" w:eastAsia="Arial" w:hAnsi="Arial"/>
          <w:sz w:val="17"/>
          <w:szCs w:val="17"/>
          <w:i w:val="1"/>
          <w:iCs w:val="1"/>
          <w:color w:val="auto"/>
        </w:rPr>
        <w:t xml:space="preserve"> </w:t>
      </w:r>
      <w:r>
        <w:rPr>
          <w:rFonts w:ascii="Arial" w:cs="Arial" w:eastAsia="Arial" w:hAnsi="Arial"/>
          <w:sz w:val="17"/>
          <w:szCs w:val="17"/>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$120 million higher than the $185 million recorded in the Condensed Consolidated Balance Sheet as of September 30, 2023.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71"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of September 30, 2023,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other 59 NPL sites, which we do not own, are at various procedural stages under the Comprehensive Environmental Response, Compensation and Liability Act of 1980, as amended, known as CERCLA or Superfund.</w:t>
      </w:r>
    </w:p>
    <w:p>
      <w:pPr>
        <w:spacing w:after="0" w:line="14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On October 11, 2017, the EPA issued its Record of Decision (“ROD”) with respect to the previously proposed remediation plan for the San Jacinto River Waste Pits Site in Harris County, Texas. McGinnes Industrial Maintenance Corporation (“MIMC”), a subsidiary of Waste Management of Texas, Inc., operated some of the waste pits from 1965 to 1966 and has been named as a site PRP. In 1998, WMI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and we recorded a liability for MIMC’s estimated potential share of the EPA’s proposed remedy and related costs, although allocation of responsibility among the PRPs for the proposed remedy has not been established. MIMC and International Paper Company have continued to work on a remedial design to support the EPA’s proposed remedy; however, design investigations indicate that fundamental changes are required to the proposed remedy and MIMC maintains its prior position that the remedy set forth in the ROD is not the best solution to protect the environment and public health. Due to further increases in the estimated cost of the remedy set forth in the ROD, we recorded an additional liability of $17 million as of March 31, 2022 for MIMC’s estimated potential share of such costs. As of September 30, 2023 and December 31, 2022, the recorded liability for MIMC’s estimated potential share of the EPA’s proposed remedy was $68 million. MIMC’s ultimate liability could be materially different from current estimates and MIMC will continue to engage the EPA regarding its proposed remedy.</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7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We are subject to various proceedings, lawsuits, disputes and claims arising in the ordinary course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based on alleged misrepresentations and omissions concerning the time for completion of our acquisition of Advanced Disposal. Our motion to dismiss is pending. We will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19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7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Tax Matters — </w:t>
      </w:r>
      <w:r>
        <w:rPr>
          <w:rFonts w:ascii="Arial" w:cs="Arial" w:eastAsia="Arial" w:hAnsi="Arial"/>
          <w:sz w:val="17"/>
          <w:szCs w:val="17"/>
          <w:color w:val="auto"/>
        </w:rPr>
        <w:t>We participate in the IRS’s Compliance Assurance Process, which means we work with the IRS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September 30, 2023 and December 31, 2022, the IRS deposit, net of reserve for uncertain tax positions, is classified as a component of other long-term assets in the Company’s Condensed Consolidated Balance Sheets.</w:t>
      </w:r>
    </w:p>
    <w:p>
      <w:pPr>
        <w:spacing w:after="0" w:line="17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addition, we are in the examination phase of IRS audits for the 2022 and 2023 tax years and expect the audits to be completed within the next 18 months. We are also currently undergoing audits by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72"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East and West Tiers are presented in this report and constitute our existing Solid Waste business.</w:t>
      </w:r>
    </w:p>
    <w:p>
      <w:pPr>
        <w:spacing w:after="0" w:line="178"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The operating segments not evaluated and overseen through our East and West Tiers are presented herein as “Other” as these operating segments do not meet the criteria to be aggregated with other operating segments and do not meet the quantitative criteria to be separately reported and are not qualitatively significant at this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Summarized financial information concerning our reportable segments is shown in the following table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6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6"/>
              </w:rPr>
              <w:t>Operating</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Revenues(d)</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Revenues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69"/>
        </w:trPr>
        <w:tc>
          <w:tcPr>
            <w:tcW w:w="2800" w:type="dxa"/>
            <w:vAlign w:val="bottom"/>
            <w:tcBorders>
              <w:top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w w:val="89"/>
              </w:rPr>
              <w:t>Three Months Ended September 30:</w:t>
            </w:r>
          </w:p>
        </w:tc>
        <w:tc>
          <w:tcPr>
            <w:tcW w:w="27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East Tier</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2,789</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2,214</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 Tier</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Solid Waste (a)</w:t>
            </w:r>
          </w:p>
        </w:tc>
        <w:tc>
          <w:tcPr>
            <w:tcW w:w="2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4,328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5,198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5,198</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East Tier</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2,652</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2,144</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 Tier</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Solid Waste (a)</w:t>
            </w:r>
          </w:p>
        </w:tc>
        <w:tc>
          <w:tcPr>
            <w:tcW w:w="2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4,221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5,075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320"/>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5,075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80" w:type="dxa"/>
            <w:vAlign w:val="bottom"/>
            <w:vMerge w:val="restart"/>
          </w:tcPr>
          <w:p>
            <w:pPr>
              <w:jc w:val="right"/>
              <w:ind w:right="9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Income</w:t>
            </w: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Operating</w:t>
            </w: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Revenues(d)</w:t>
            </w: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Operations</w:t>
            </w:r>
          </w:p>
        </w:tc>
      </w:tr>
      <w:tr>
        <w:trPr>
          <w:trHeight w:val="156"/>
        </w:trPr>
        <w:tc>
          <w:tcPr>
            <w:tcW w:w="550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East Tier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8,192</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6,514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16"/>
        </w:trPr>
        <w:tc>
          <w:tcPr>
            <w:tcW w:w="2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West Tier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09"/>
        </w:trPr>
        <w:tc>
          <w:tcPr>
            <w:tcW w:w="20" w:type="dxa"/>
            <w:vAlign w:val="bottom"/>
          </w:tcPr>
          <w:p>
            <w:pPr>
              <w:spacing w:after="0"/>
              <w:rPr>
                <w:sz w:val="18"/>
                <w:szCs w:val="18"/>
                <w:color w:val="auto"/>
              </w:rPr>
            </w:pPr>
          </w:p>
        </w:tc>
        <w:tc>
          <w:tcPr>
            <w:tcW w:w="5480" w:type="dxa"/>
            <w:vAlign w:val="bottom"/>
            <w:gridSpan w:val="3"/>
          </w:tcPr>
          <w:p>
            <w:pPr>
              <w:ind w:left="200"/>
              <w:spacing w:after="0"/>
              <w:rPr>
                <w:sz w:val="20"/>
                <w:szCs w:val="20"/>
                <w:color w:val="auto"/>
              </w:rPr>
            </w:pPr>
            <w:r>
              <w:rPr>
                <w:rFonts w:ascii="Arial" w:cs="Arial" w:eastAsia="Arial" w:hAnsi="Arial"/>
                <w:sz w:val="18"/>
                <w:szCs w:val="18"/>
                <w:color w:val="auto"/>
              </w:rPr>
              <w:t>Solid Waste (a)</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16,089</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12,695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w:t>
            </w:r>
          </w:p>
        </w:tc>
      </w:tr>
      <w:tr>
        <w:trPr>
          <w:trHeight w:val="216"/>
        </w:trPr>
        <w:tc>
          <w:tcPr>
            <w:tcW w:w="5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18,775</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15,209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3,659</w:t>
            </w:r>
          </w:p>
        </w:tc>
      </w:tr>
      <w:tr>
        <w:trPr>
          <w:trHeight w:val="216"/>
        </w:trPr>
        <w:tc>
          <w:tcPr>
            <w:tcW w:w="5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49"/>
        </w:trPr>
        <w:tc>
          <w:tcPr>
            <w:tcW w:w="20" w:type="dxa"/>
            <w:vAlign w:val="bottom"/>
            <w:tcBorders>
              <w:bottom w:val="single" w:sz="8" w:color="CCEEFF"/>
            </w:tcBorders>
          </w:tcPr>
          <w:p>
            <w:pPr>
              <w:spacing w:after="0"/>
              <w:rPr>
                <w:sz w:val="21"/>
                <w:szCs w:val="21"/>
                <w:color w:val="auto"/>
              </w:rPr>
            </w:pPr>
          </w:p>
        </w:tc>
        <w:tc>
          <w:tcPr>
            <w:tcW w:w="548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18,775</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15,209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w:t>
            </w:r>
          </w:p>
        </w:tc>
      </w:tr>
      <w:tr>
        <w:trPr>
          <w:trHeight w:val="197"/>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East Tier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7,644</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6,195</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16"/>
        </w:trPr>
        <w:tc>
          <w:tcPr>
            <w:tcW w:w="2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West Tier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09"/>
        </w:trPr>
        <w:tc>
          <w:tcPr>
            <w:tcW w:w="20" w:type="dxa"/>
            <w:vAlign w:val="bottom"/>
          </w:tcPr>
          <w:p>
            <w:pPr>
              <w:spacing w:after="0"/>
              <w:rPr>
                <w:sz w:val="18"/>
                <w:szCs w:val="18"/>
                <w:color w:val="auto"/>
              </w:rPr>
            </w:pPr>
          </w:p>
        </w:tc>
        <w:tc>
          <w:tcPr>
            <w:tcW w:w="5480" w:type="dxa"/>
            <w:vAlign w:val="bottom"/>
            <w:gridSpan w:val="3"/>
          </w:tcPr>
          <w:p>
            <w:pPr>
              <w:ind w:left="200"/>
              <w:spacing w:after="0"/>
              <w:rPr>
                <w:sz w:val="20"/>
                <w:szCs w:val="20"/>
                <w:color w:val="auto"/>
              </w:rPr>
            </w:pPr>
            <w:r>
              <w:rPr>
                <w:rFonts w:ascii="Arial" w:cs="Arial" w:eastAsia="Arial" w:hAnsi="Arial"/>
                <w:sz w:val="18"/>
                <w:szCs w:val="18"/>
                <w:color w:val="auto"/>
              </w:rPr>
              <w:t>Solid Waste (a)</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15,282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12,260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3,507</w:t>
            </w:r>
          </w:p>
        </w:tc>
      </w:tr>
      <w:tr>
        <w:trPr>
          <w:trHeight w:val="216"/>
        </w:trPr>
        <w:tc>
          <w:tcPr>
            <w:tcW w:w="5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17,952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14,763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3,526</w:t>
            </w:r>
          </w:p>
        </w:tc>
      </w:tr>
      <w:tr>
        <w:trPr>
          <w:trHeight w:val="216"/>
        </w:trPr>
        <w:tc>
          <w:tcPr>
            <w:tcW w:w="5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09"/>
        </w:trPr>
        <w:tc>
          <w:tcPr>
            <w:tcW w:w="20" w:type="dxa"/>
            <w:vAlign w:val="bottom"/>
          </w:tcPr>
          <w:p>
            <w:pPr>
              <w:spacing w:after="0"/>
              <w:rPr>
                <w:sz w:val="18"/>
                <w:szCs w:val="18"/>
                <w:color w:val="auto"/>
              </w:rPr>
            </w:pPr>
          </w:p>
        </w:tc>
        <w:tc>
          <w:tcPr>
            <w:tcW w:w="548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17,952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14,763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79"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Income from operations provided by our Solid Waste business is generally indicative of the margins provided by our collection, landfill, transfer and recycling lines of business and includes elements of profitability from our “Other” segment. From time to time, the operating results of our reportable segments are significantly affected by certain transactions or events that management believes are not indicative or representative of our results.</w:t>
      </w:r>
    </w:p>
    <w:p>
      <w:pPr>
        <w:spacing w:after="0" w:line="63" w:lineRule="exact"/>
        <w:rPr>
          <w:rFonts w:ascii="Arial" w:cs="Arial" w:eastAsia="Arial" w:hAnsi="Arial"/>
          <w:sz w:val="17"/>
          <w:szCs w:val="17"/>
          <w:color w:val="auto"/>
        </w:rPr>
      </w:pPr>
    </w:p>
    <w:p>
      <w:pPr>
        <w:jc w:val="both"/>
        <w:ind w:left="380" w:right="59"/>
        <w:spacing w:after="0" w:line="272" w:lineRule="auto"/>
        <w:rPr>
          <w:rFonts w:ascii="Arial" w:cs="Arial" w:eastAsia="Arial" w:hAnsi="Arial"/>
          <w:sz w:val="17"/>
          <w:szCs w:val="17"/>
          <w:color w:val="auto"/>
        </w:rPr>
      </w:pPr>
      <w:r>
        <w:rPr>
          <w:rFonts w:ascii="Arial" w:cs="Arial" w:eastAsia="Arial" w:hAnsi="Arial"/>
          <w:sz w:val="17"/>
          <w:szCs w:val="17"/>
          <w:color w:val="auto"/>
        </w:rPr>
        <w:t>Income from operations in our Solid Waste business increased primarily due to revenue growth in our collection and disposal business driven by yield. These increases were partially offset by (i) inflationary cost pressures; (ii) labor cost increases from frontline employee wage adjustments and annual merit increases and (iii) reduced profitability in our recycling business from the decline in recycling commodity prices. In addition, fuel tax credits in 2022 were not recognized until August 2022 due to the timing of the Inflation Reduction Act of 2022 (“IRA”). This created a $26 million negative impact to income from operations for the three months ended September 30, 2023, but is broadly flat for the nine months ended September 30, 2023.</w:t>
      </w:r>
    </w:p>
    <w:p>
      <w:pPr>
        <w:spacing w:after="0" w:line="69" w:lineRule="exact"/>
        <w:rPr>
          <w:rFonts w:ascii="Arial" w:cs="Arial" w:eastAsia="Arial" w:hAnsi="Arial"/>
          <w:sz w:val="17"/>
          <w:szCs w:val="17"/>
          <w:color w:val="auto"/>
        </w:rPr>
      </w:pPr>
    </w:p>
    <w:p>
      <w:pPr>
        <w:jc w:val="both"/>
        <w:ind w:left="380" w:right="79" w:hanging="330"/>
        <w:spacing w:after="0" w:line="293"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includes (i) elements of our Strategic Business Solutions (“WMSBS”) business that are not included in the operations of our reportable segments; (ii) elements of our sustainability business that includes landfill gas-to-energy operations managed by our WM Renewable Energy business, our Sustainability and Environmental Solutions business and recycling brokerage services and not included in the 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56" w:lineRule="exact"/>
        <w:rPr>
          <w:rFonts w:ascii="Arial" w:cs="Arial" w:eastAsia="Arial" w:hAnsi="Arial"/>
          <w:sz w:val="16"/>
          <w:szCs w:val="16"/>
          <w:color w:val="auto"/>
        </w:rPr>
      </w:pPr>
    </w:p>
    <w:p>
      <w:pPr>
        <w:jc w:val="both"/>
        <w:ind w:left="380" w:right="79"/>
        <w:spacing w:after="0" w:line="263" w:lineRule="auto"/>
        <w:rPr>
          <w:rFonts w:ascii="Arial" w:cs="Arial" w:eastAsia="Arial" w:hAnsi="Arial"/>
          <w:sz w:val="16"/>
          <w:szCs w:val="16"/>
          <w:color w:val="auto"/>
        </w:rPr>
      </w:pPr>
      <w:r>
        <w:rPr>
          <w:rFonts w:ascii="Arial" w:cs="Arial" w:eastAsia="Arial" w:hAnsi="Arial"/>
          <w:sz w:val="18"/>
          <w:szCs w:val="18"/>
          <w:color w:val="auto"/>
        </w:rPr>
        <w:t>The decrease in income from operations was due to (i) reduced profitability in our WM Renewable Energy business primarily driven by decreases in the value of energy prices and renewable fuel standard credits and (ii) the decline in recycling brokerage commodity prices affecting profitability in our recycling business.</w:t>
      </w:r>
    </w:p>
    <w:p>
      <w:pPr>
        <w:spacing w:after="0" w:line="75" w:lineRule="exact"/>
        <w:rPr>
          <w:rFonts w:ascii="Arial" w:cs="Arial" w:eastAsia="Arial" w:hAnsi="Arial"/>
          <w:sz w:val="16"/>
          <w:szCs w:val="16"/>
          <w:color w:val="auto"/>
        </w:rPr>
      </w:pPr>
    </w:p>
    <w:p>
      <w:pPr>
        <w:jc w:val="both"/>
        <w:ind w:left="380" w:right="79" w:hanging="330"/>
        <w:spacing w:after="0" w:line="311"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right="79"/>
        <w:spacing w:after="0" w:line="277" w:lineRule="auto"/>
        <w:rPr>
          <w:sz w:val="20"/>
          <w:szCs w:val="20"/>
          <w:color w:val="auto"/>
        </w:rPr>
      </w:pPr>
      <w:r>
        <w:rPr>
          <w:rFonts w:ascii="Arial" w:cs="Arial" w:eastAsia="Arial" w:hAnsi="Arial"/>
          <w:sz w:val="18"/>
          <w:szCs w:val="18"/>
          <w:color w:val="auto"/>
        </w:rPr>
        <w:t>Income from operations for “Corporate and Other” also includes costs associated with our long-term incentive program.</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improvement in income from operations was primarily driven by (i) lower annual incentive compensation costs;</w:t>
      </w:r>
    </w:p>
    <w:p>
      <w:pPr>
        <w:spacing w:after="0" w:line="46" w:lineRule="exact"/>
        <w:rPr>
          <w:sz w:val="20"/>
          <w:szCs w:val="20"/>
          <w:color w:val="auto"/>
        </w:rPr>
      </w:pPr>
    </w:p>
    <w:p>
      <w:pPr>
        <w:jc w:val="both"/>
        <w:ind w:left="380" w:right="59" w:hanging="6"/>
        <w:spacing w:after="0" w:line="273" w:lineRule="auto"/>
        <w:tabs>
          <w:tab w:leader="none" w:pos="663" w:val="left"/>
        </w:tabs>
        <w:numPr>
          <w:ilvl w:val="1"/>
          <w:numId w:val="12"/>
        </w:numPr>
        <w:rPr>
          <w:rFonts w:ascii="Arial" w:cs="Arial" w:eastAsia="Arial" w:hAnsi="Arial"/>
          <w:sz w:val="17"/>
          <w:szCs w:val="17"/>
          <w:color w:val="auto"/>
        </w:rPr>
      </w:pPr>
      <w:r>
        <w:rPr>
          <w:rFonts w:ascii="Arial" w:cs="Arial" w:eastAsia="Arial" w:hAnsi="Arial"/>
          <w:sz w:val="17"/>
          <w:szCs w:val="17"/>
          <w:color w:val="auto"/>
        </w:rPr>
        <w:t>lower professional fees in connection with investments in our digital program, as certain strategic projects have now been implemented and (iii) a charge during the first quarter of 2022 to adjust an indirect wholly-owned subsidiary’s estimated potential share of the liability for a proposed environmental remediation plan at a closed site. These lower costs were partially offset by annual merit increases and litigation costs.</w:t>
      </w:r>
    </w:p>
    <w:p>
      <w:pPr>
        <w:spacing w:after="0" w:line="68" w:lineRule="exact"/>
        <w:rPr>
          <w:rFonts w:ascii="Arial" w:cs="Arial" w:eastAsia="Arial" w:hAnsi="Arial"/>
          <w:sz w:val="17"/>
          <w:szCs w:val="17"/>
          <w:color w:val="auto"/>
        </w:rPr>
      </w:pPr>
    </w:p>
    <w:p>
      <w:pPr>
        <w:jc w:val="both"/>
        <w:ind w:left="380" w:right="79" w:hanging="330"/>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The mix of operating revenues from our major lines of business are as follows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4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22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42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24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2,744</w:t>
            </w:r>
          </w:p>
        </w:tc>
      </w:tr>
      <w:tr>
        <w:trPr>
          <w:trHeight w:val="216"/>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r>
      <w:tr>
        <w:trPr>
          <w:trHeight w:val="216"/>
        </w:trPr>
        <w:tc>
          <w:tcPr>
            <w:tcW w:w="5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collection</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09"/>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w:t>
            </w: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3,442</w:t>
            </w:r>
          </w:p>
        </w:tc>
      </w:tr>
      <w:tr>
        <w:trPr>
          <w:trHeight w:val="216"/>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16"/>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(1,215)</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(1,109)</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(3,566)</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(3,189)</w:t>
            </w:r>
          </w:p>
        </w:tc>
      </w:tr>
      <w:tr>
        <w:trPr>
          <w:trHeight w:val="209"/>
        </w:trPr>
        <w:tc>
          <w:tcPr>
            <w:tcW w:w="57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14,763</w:t>
            </w:r>
          </w:p>
        </w:tc>
      </w:tr>
      <w:tr>
        <w:trPr>
          <w:trHeight w:val="20"/>
        </w:trPr>
        <w:tc>
          <w:tcPr>
            <w:tcW w:w="22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93"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“Other” line of business includes (i) certain services provided by our WMSBS business; (ii) certain services within our sustainability business including our landfill gas-to-energy operations managed by our WM Renewable Energy business; (iii) certain other expanded service offerings and solutions and (iv)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56" w:lineRule="exact"/>
        <w:rPr>
          <w:rFonts w:ascii="Arial" w:cs="Arial" w:eastAsia="Arial" w:hAnsi="Arial"/>
          <w:sz w:val="16"/>
          <w:szCs w:val="16"/>
          <w:color w:val="auto"/>
        </w:rPr>
      </w:pPr>
    </w:p>
    <w:p>
      <w:pPr>
        <w:ind w:left="380" w:right="79" w:hanging="330"/>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6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6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57" w:lineRule="exact"/>
        <w:rPr>
          <w:sz w:val="20"/>
          <w:szCs w:val="20"/>
          <w:color w:val="auto"/>
        </w:rPr>
      </w:pPr>
    </w:p>
    <w:p>
      <w:pPr>
        <w:ind w:left="420" w:hanging="370"/>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nine months ended September 30, 2023, we completed solid waste and recycling acquisitions with total consideration of $138 million, which included $129 million in cash paid and $9 million of other consideration, specifically purchase price holdbacks. In addition, we paid $10 million of holdbacks, of which $6 million related to prior year acquisitions.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Total consideration for our 2023 acquisitions was allocated to $22 million of property and equipment, $46 million of other intangible assets, primarily customer relationships, and $76 million of goodwill with the remaining allocated to liabilities assumed from the ordinary course of business. We remain in the measurement period for most of our acquisitions, and adjustments to our preliminary purchase price allocation may occur. The goodwill was primarily a result of expected synergies from combining the acquired businesses with our existing operations and substantially all was tax deductible.</w:t>
      </w:r>
    </w:p>
    <w:p>
      <w:pPr>
        <w:spacing w:after="0" w:line="188" w:lineRule="exact"/>
        <w:rPr>
          <w:sz w:val="20"/>
          <w:szCs w:val="20"/>
          <w:color w:val="auto"/>
        </w:rPr>
      </w:pPr>
    </w:p>
    <w:p>
      <w:pPr>
        <w:ind w:left="420" w:hanging="370"/>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(Gain) loss from divestitures, asset impairments and unusual items, net for the nine months ended September 30, 2023 were nominal. During the first quarter of 2022, we recognized a $17 million charge pertaining to reserves for loss contingencies in our Corporate and Other segment to adjust an indirect wholly-owned subsidiary’s estimated potential share of the liability for a proposed environmental remediation plan at a closed site, as discussed in Note 6.</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Accumulated Other Comprehensive (Loss) Income</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(loss) income, net of tax, which is included as a component of Waste Management, Inc. stockholders’ equity, are as follows (in millions, with amounts in parentheses representing decreases to accumulated other comprehensive income):</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Post-</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Currency</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Retirement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Instruments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Adjustments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Obligations</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(69)</w:t>
            </w:r>
          </w:p>
        </w:tc>
        <w:tc>
          <w:tcPr>
            <w:tcW w:w="0" w:type="dxa"/>
            <w:vAlign w:val="bottom"/>
          </w:tcPr>
          <w:p>
            <w:pPr>
              <w:spacing w:after="0"/>
              <w:rPr>
                <w:sz w:val="1"/>
                <w:szCs w:val="1"/>
                <w:color w:val="auto"/>
              </w:rPr>
            </w:pPr>
          </w:p>
        </w:tc>
      </w:tr>
      <w:tr>
        <w:trPr>
          <w:trHeight w:val="202"/>
        </w:trPr>
        <w:tc>
          <w:tcPr>
            <w:tcW w:w="4940" w:type="dxa"/>
            <w:vAlign w:val="bottom"/>
          </w:tcPr>
          <w:p>
            <w:pPr>
              <w:ind w:left="120"/>
              <w:spacing w:after="0" w:line="201" w:lineRule="exact"/>
              <w:rPr>
                <w:sz w:val="20"/>
                <w:szCs w:val="20"/>
                <w:color w:val="auto"/>
              </w:rPr>
            </w:pPr>
            <w:r>
              <w:rPr>
                <w:rFonts w:ascii="Arial" w:cs="Arial" w:eastAsia="Arial" w:hAnsi="Arial"/>
                <w:sz w:val="18"/>
                <w:szCs w:val="18"/>
                <w:color w:val="auto"/>
                <w:w w:val="94"/>
              </w:rPr>
              <w:t>Other comprehensive income (loss) before reclassifications, net</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of tax expense (benefit) of $5, $0, $0 and $0, respectively</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Amounts reclassified from accumulated other comprehensive</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(income) loss, net of tax (expense) benefit of $0, $0, $0 and</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 respectively</w:t>
            </w: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3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2023</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Common Stock Repurchase Program</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first quarter of 2023, we entered into an accelerated share repurchase (“ASR”) agreement to repurchase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$350 million of our common stock. At the beginning of the repurchase period, we delivered $350 million cash and received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1.9 million shares based on a stock price of $150.34. The ASR agreement completed in May 2023 and we received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0.4 million additional shares based on a final weighted average price of $153.90.</w:t>
      </w:r>
    </w:p>
    <w:p>
      <w:pPr>
        <w:spacing w:after="0" w:line="21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the second quarter of 2023, we entered into an ASR agreement to repurchase $250 million of our common stock and received 1.5 million shares based on a final weighted average stock price of $163.62. Subsequent to the completion of the ASR, we repurchased 0.1 million shares of our common stock in open market transactions in compliance with Rule 10b5-1 and Rule 10b-18 of the Exchange Act for $22 million, inclusive of per-share commissions, at a weighted average price of $164.79, of which $2 million was paid in July 2023.</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the third quarter of 2023, we entered into an ASR agreement to repurchase $350 million of our common stock and received 2.2 million shares based on a final weighted average stock price of $156.87. Additionally, we repurchased 0.1 million shares of our common stock in open market transactions in compliance with Rule 10b5-1 and Rule 10b-18 of the Exchange Act for $19.5 million, inclusive of per-share commissions, at a weighted average price of $168.04, of which $1.5 million was paid in October 2023.</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Inflation Reduction Act of 2022 (“IRA”), which was enacted into law on August 16, 2022, imposed a nondeductible 1% excise tax on the net value of certain stock repurchases made after December 31, 2022. We reflected the applicable excise tax in treasury stock as part of the cost basis of the stock repurchased. The discussion of our common stock repurchase program above is exclusive of the 1% excise tax.</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of September 30, 2023, the Company has authorization for $508.5 million of future share repurchases, exclusive of the 1% excise tax discussed above.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240" w:type="dxa"/>
            <w:vAlign w:val="bottom"/>
            <w:tcBorders>
              <w:bottom w:val="single" w:sz="8" w:color="CCEEFF"/>
            </w:tcBorders>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r>
      <w:tr>
        <w:trPr>
          <w:trHeight w:val="196"/>
        </w:trPr>
        <w:tc>
          <w:tcPr>
            <w:tcW w:w="68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Quoted prices in active markets (Level 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Cash equivalents and money market funds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Significant other observable inputs (Level 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Available-for-sale securities (a)</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Significant unobservable inputs (Level 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Redeemable preferred stock (b)</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9"/>
        </w:trPr>
        <w:tc>
          <w:tcPr>
            <w:tcW w:w="6820" w:type="dxa"/>
            <w:vAlign w:val="bottom"/>
            <w:gridSpan w:val="2"/>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80" w:lineRule="exact"/>
        <w:rPr>
          <w:sz w:val="20"/>
          <w:szCs w:val="20"/>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available-for-sale securities primarily relate to debt securities with maturities over the next ten years.</w:t>
      </w:r>
    </w:p>
    <w:p>
      <w:pPr>
        <w:spacing w:after="0" w:line="117" w:lineRule="exact"/>
        <w:rPr>
          <w:rFonts w:ascii="Arial" w:cs="Arial" w:eastAsia="Arial" w:hAnsi="Arial"/>
          <w:sz w:val="18"/>
          <w:szCs w:val="18"/>
          <w:color w:val="auto"/>
        </w:rPr>
      </w:pPr>
    </w:p>
    <w:p>
      <w:pPr>
        <w:jc w:val="both"/>
        <w:ind w:left="380" w:right="79" w:hanging="330"/>
        <w:spacing w:after="0" w:line="311"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investment, which is classified as an available-for-sale debt security, has been measured based on third-party investors’ recent or pending transactions in these securities, which are considered the best evidence of fair value. When this evidence is not available, we use other valuation techniques as appropriate and available. These valuation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right="79"/>
        <w:spacing w:after="0" w:line="277" w:lineRule="auto"/>
        <w:rPr>
          <w:sz w:val="20"/>
          <w:szCs w:val="20"/>
          <w:color w:val="auto"/>
        </w:rPr>
      </w:pPr>
      <w:r>
        <w:rPr>
          <w:rFonts w:ascii="Arial" w:cs="Arial" w:eastAsia="Arial" w:hAnsi="Arial"/>
          <w:sz w:val="18"/>
          <w:szCs w:val="18"/>
          <w:color w:val="auto"/>
        </w:rPr>
        <w:t>methodologies may include transactions in similar instruments, discounted cash flow techniques, third-party appraisals or industry multiples and public company comparable transactions.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September 30, 2023 and December 31, 2022, the carrying value of our debt was $15.4 billion and $15.0 billion, respectively. The estimated fair value of our debt was approximately $13.8 billion as of September 30, 2023 and December 31, 2022.</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September 30, 2023 and December 31, 2022. These amounts have not been revalued since those dates, and current estimates of fair value could differ significantly from the amounts presented.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$278 million and $321 million as of September 30, 2023 and December 31, 2022, respectively. The debt balance related to our investments in low-income housing properties was $243 million and $295 million as of September 30, 2023 and December 31, 2022, respectively. Additional information related to these investments is discussed in Note 4.</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(loss) income. Our investments and receivables related to these trusts had an aggregate carrying value of $94 million and $93 million as of September 30, 2023 and December 31, 2022, respectively.</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are the primary beneficiary. These trust funds are recorded in restricted funds in our Condensed Consolidated Balance Sheets. Unrealized gains and losses on available-for-sale securities held by these trusts are recorded as a component of accumulated other comprehensive income (loss). These trusts had a fair value of $116 million and $113 million as of September 30, 2023 and December 31, 2022,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 w:name="page24"/>
    <w:bookmarkEnd w:id="23"/>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2022.</w:t>
      </w:r>
    </w:p>
    <w:p>
      <w:pPr>
        <w:spacing w:after="0" w:line="187" w:lineRule="exact"/>
        <w:rPr>
          <w:sz w:val="20"/>
          <w:szCs w:val="20"/>
          <w:color w:val="auto"/>
        </w:rPr>
      </w:pPr>
    </w:p>
    <w:p>
      <w:pPr>
        <w:jc w:val="both"/>
        <w:ind w:left="60" w:right="59" w:firstLine="389"/>
        <w:spacing w:after="0" w:line="283" w:lineRule="auto"/>
        <w:rPr>
          <w:sz w:val="20"/>
          <w:szCs w:val="20"/>
          <w:color w:val="auto"/>
        </w:rPr>
      </w:pPr>
      <w:r>
        <w:rPr>
          <w:rFonts w:ascii="Arial" w:cs="Arial" w:eastAsia="Arial" w:hAnsi="Arial"/>
          <w:sz w:val="16"/>
          <w:szCs w:val="16"/>
          <w:color w:val="auto"/>
        </w:rPr>
        <w:t xml:space="preserve">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“target,” “plan,” “forecast,” “project,” “estimate,” “intend,” “commit,” “potential,”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and environmental, social and governance performance and disclosure; increasing attention to sustainability matters and heightened scrutiny of sustainability measurements, objectives and disclosures, which could lead to increased litigation risk related to our sustainability efforts;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extreme weather and destructive climate events; failure to achieve our sustainability goals or execute on our sustainability-related strategy and initiatives; public health risk, increased costs and disruption due to a future resurgence of pandemic conditions and restrictions; macroeconomic conditions, geopolitical conflict and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negative outcomes of litigation or governmental proceedings; and decisions or developments that result in impairment charges and other risks discussed in our filings with the SEC, including Part I, Item 1A of our Annual Report on Form 10-K for the year ended December 31, 2022 as updated by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our Quarterly Report on Form 10-Q for the quarterly period ended March 31, 2023. We assume no obligation to update any forward-looking statement, including financial estimates and forecasts, whether as a result of future events, circumstances or developments or otherwise.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Through our subsidiaries, including our Waste Management Renewable Energy (“WM Renewable Energy”) business, we are also a leading developer, operator and owner of landfill gas-to-energy facilities in the U.S. and Canada that produce renewable electricity and renewable natural gas, which is a significant source of fuel that we allocate to our natural gas fleet. Additionally, we are a leading recycler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4" w:name="page25"/>
    <w:bookmarkEnd w:id="24"/>
    <w:p>
      <w:pPr>
        <w:jc w:val="both"/>
        <w:ind w:left="60" w:right="79"/>
        <w:spacing w:after="0" w:line="263" w:lineRule="auto"/>
        <w:rPr>
          <w:sz w:val="20"/>
          <w:szCs w:val="20"/>
          <w:color w:val="auto"/>
        </w:rPr>
      </w:pPr>
      <w:r>
        <w:rPr>
          <w:rFonts w:ascii="Arial" w:cs="Arial" w:eastAsia="Arial" w:hAnsi="Arial"/>
          <w:sz w:val="18"/>
          <w:szCs w:val="18"/>
          <w:color w:val="auto"/>
        </w:rPr>
        <w:t>in the U.S. and Canada, handling materials that include paper, cardboard, glass, plastic and metal. Our “Solid Waste” business is operated and managed locally by our subsidiaries that focus on distinct geographic areas and provide collection, transfer, disposal, and recycling and resource recovery services.</w:t>
      </w:r>
    </w:p>
    <w:p>
      <w:pPr>
        <w:spacing w:after="0" w:line="18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senior management evaluates, oversees and manages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w:t>
      </w:r>
    </w:p>
    <w:p>
      <w:pPr>
        <w:spacing w:after="0" w:line="16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Recycling revenues generally consist of tipping fees and the sale of recycling commodities to third parties. The fees we charge for our services generally include our environmental, energy surcharge and regulatory recovery fees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 will yield an attractive profit margin and enhanced service quality. We are furthering our strategy of focused differentiation and continuous improvement beyond our traditional waste operations through our sustainability growth strategy that includes significant planned investments in our WM Renewable Energy and recycling businesses, while increasing automation and reducing labor dependency. We are also evaluating and pursuing emerging diversion technologies that may generate additional value.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5" w:name="page26"/>
    <w:bookmarkEnd w:id="25"/>
    <w:p>
      <w:pPr>
        <w:jc w:val="both"/>
        <w:ind w:left="60" w:right="59"/>
        <w:spacing w:after="0" w:line="255" w:lineRule="auto"/>
        <w:rPr>
          <w:sz w:val="20"/>
          <w:szCs w:val="20"/>
          <w:color w:val="auto"/>
        </w:rPr>
      </w:pPr>
      <w:r>
        <w:rPr>
          <w:rFonts w:ascii="Arial" w:cs="Arial" w:eastAsia="Arial" w:hAnsi="Arial"/>
          <w:sz w:val="18"/>
          <w:szCs w:val="18"/>
          <w:color w:val="auto"/>
        </w:rPr>
        <w:t>published our 2023 Sustainability Report providing details on our environmental, social and governance (“ESG”) performance and outlining progress towards our 2030 ESG goals. The Sustainability Report conveys the strong linkage between the Company’s ESG goals and our growth strategy, inclusive of the planned expansion of the Company’s recycling and WM Renewable Energy businesses. The information in this report can be found at https://sustainability.wm.com but it does not constitute a part of, and is not incorporated by reference into, this Quarterly Report on Form 10-Q.</w:t>
      </w:r>
    </w:p>
    <w:p>
      <w:pPr>
        <w:spacing w:after="0" w:line="19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6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Enhancements made through these initiatives are intended to seamlessly and digitally connect all the Company’s functions required to service our customers in order to provide the best experience and service. In late 2021, we began to execute on the next phase of this technology enablement strategy to automate and optimize certain elements of our service delivery model. Our next and ongoing phase is to prioritize reduced labor dependency on certain high-turnover jobs, particularly in customer experience, recycling, and residential collection, while further elevating our customer self-service through digitalization and implementing technologies to enhance the safety, reliability and efficiency of our collection operations. Additionally, in 2022, we implemented a new general ledger accounting system, complementary finance enterprise resource planning system and a human capital management system, which will continue to drive operational and service excellence by empowering our people through a modern, simplified and connected employee experience.</w:t>
      </w:r>
    </w:p>
    <w:p>
      <w:pPr>
        <w:spacing w:after="0" w:line="18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Macroeconomic pressures, including inflation and rising interest rates, and market disruption resulting in labor, supply chain and transportation constraints have impacted our results. Significant global supply chain disruption has reduced availability of certain assets used in our business and inflation has increased costs for the goods and services we purchase, particularly for labor, repair and maintenance, and subcontractor costs. Supply chain constraints have caused delayed delivery of fleet, steel containers and other purchases. Aspects of our business rely on third-party transportation providers, and such services have become more limited and expensive.</w:t>
      </w:r>
    </w:p>
    <w:p>
      <w:pPr>
        <w:spacing w:after="0" w:line="17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With the significant decline in commodity prices that started in the second half of 2022 and has continued into 2023, we are currently experiencing margin pressures from our commodity-driven businesses, specifically within our recycling and WM Renewable Energy businesses. While there may be short-term fluctuations in our commodity-driven businesses as prices change, we continue to focus on adjusting our business models to protect against the down-side risk by spreading the inherent risk of changes in commodity prices across the vertically integrated value chain. The extent and duration of the impact of labor, supply chain, transportation and commodity 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geopolitical conflicts and responses and supply and demand for commodities. As we experience inflationary cost pressures, we focus on our pricing efforts, as well as operating efficiencies and cost controls, to maintain our earnings and cash flow and facilitate growth. With these macroeconomic pressures, we remain committed to putting our people first to ensure that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6" w:name="page27"/>
    <w:bookmarkEnd w:id="26"/>
    <w:p>
      <w:pPr>
        <w:jc w:val="both"/>
        <w:ind w:left="60" w:right="59"/>
        <w:spacing w:after="0" w:line="286" w:lineRule="auto"/>
        <w:rPr>
          <w:sz w:val="20"/>
          <w:szCs w:val="20"/>
          <w:color w:val="auto"/>
        </w:rPr>
      </w:pPr>
      <w:r>
        <w:rPr>
          <w:rFonts w:ascii="Arial" w:cs="Arial" w:eastAsia="Arial" w:hAnsi="Arial"/>
          <w:sz w:val="17"/>
          <w:szCs w:val="17"/>
          <w:color w:val="auto"/>
        </w:rPr>
        <w:t>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During the third quarter of 2023, we continued to focus on our priorities to advance our strategy—growing price to offset cost inflation, enhancing employee engagement, permanently reducing our cost to serve through the use of technology and automation, and investing in growth through our recycling and WM Renewable Energy businesses. This strategic focus, combined with strong operational execution resulted in increased revenue, income from operations and income from operations margin during the third quarter of 2023. We remain diligent in offering a competitive and differentiated service that meets the needs of our customers, and are focused on driving operating efficiencies and reducing discretionary spend. We continue to invest in our people through market wage adjustments, investments in our digital platform and training for our team members. We also continue to make investments in automation and optimization to enhance our operational efficiency and improve labor productivity for all lines of business. During the third quarter of 2023, we allocated $673 million of available cash to capital expenditures and $653 million to our shareholders through dividends and common stock repurchases.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financial results for the third quarter include:</w:t>
      </w:r>
    </w:p>
    <w:p>
      <w:pPr>
        <w:spacing w:after="0" w:line="117" w:lineRule="exact"/>
        <w:rPr>
          <w:sz w:val="20"/>
          <w:szCs w:val="20"/>
          <w:color w:val="auto"/>
        </w:rPr>
      </w:pPr>
    </w:p>
    <w:p>
      <w:pPr>
        <w:jc w:val="both"/>
        <w:ind w:left="720" w:right="79" w:hanging="319"/>
        <w:spacing w:after="0" w:line="291"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Revenues of $5,198 million, compared with $5,075 million in the prior year period, an increase of $123 million, or 2.4%. The increase is primarily attributable to (i) higher yield in our collection and disposal business;</w:t>
      </w:r>
    </w:p>
    <w:p>
      <w:pPr>
        <w:jc w:val="both"/>
        <w:ind w:left="720" w:right="79" w:firstLine="5"/>
        <w:spacing w:after="0" w:line="277" w:lineRule="auto"/>
        <w:tabs>
          <w:tab w:leader="none" w:pos="10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acquisitions, net of divestitures and (iii) increased volumes. These increases were partially offset by commodity price declines in our recycling and WM Renewable Energy businesses and decreased revenue from our energy surcharge program as a result of a decline in the price of fuel, particularly diesel;</w:t>
      </w:r>
    </w:p>
    <w:p>
      <w:pPr>
        <w:spacing w:after="0" w:line="64" w:lineRule="exact"/>
        <w:rPr>
          <w:rFonts w:ascii="Arial" w:cs="Arial" w:eastAsia="Arial" w:hAnsi="Arial"/>
          <w:sz w:val="17"/>
          <w:szCs w:val="17"/>
          <w:color w:val="auto"/>
        </w:rPr>
      </w:pPr>
    </w:p>
    <w:p>
      <w:pPr>
        <w:jc w:val="both"/>
        <w:ind w:left="720" w:right="79" w:hanging="319"/>
        <w:spacing w:after="0" w:line="296"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Operating expenses of $3,188 million, or 61.3% of revenues, compared with $3,156 million, or 62.2% of revenues, in the prior year period. The $32 million increase is primarily attributable to (i) inflationary cost pressures, particularly for maintenance and repairs and subcontractor costs and (ii) labor cost increases from merit increases and frontline employee market wage adjustments. These increases were offset, in part, by commodity-driven business impacts from lower recycling rebates reflected in costs of goods sold and lower fuel prices;</w:t>
      </w:r>
    </w:p>
    <w:p>
      <w:pPr>
        <w:spacing w:after="0" w:line="53" w:lineRule="exact"/>
        <w:rPr>
          <w:rFonts w:ascii="Arial" w:cs="Arial" w:eastAsia="Arial" w:hAnsi="Arial"/>
          <w:sz w:val="16"/>
          <w:szCs w:val="16"/>
          <w:color w:val="auto"/>
        </w:rPr>
      </w:pPr>
    </w:p>
    <w:p>
      <w:pPr>
        <w:jc w:val="both"/>
        <w:ind w:left="720" w:right="79" w:hanging="319"/>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expenses were $470 million, or 9.0% of revenues, compared with $473 million, or 9.3% of revenues, in the prior year period. The 30 basis point improvement was due to the increase in operating revenues and managing expenses through intentional steps to rationalize costs in corporate functions;</w:t>
      </w:r>
    </w:p>
    <w:p>
      <w:pPr>
        <w:spacing w:after="0" w:line="78"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from operations was $1,021 million, or 19.6% of revenues, compared with $942 million, or 18.6% of revenues, in the prior year period. The improved earnings in the current quarter are driven by higher earnings attributable to our collection and disposal business partially offset by (i) reduced profitability in our WM Renewable Energy business due to lower energy prices and (ii) the decline in recycling commodity prices affecting profitability in our recycling business;</w:t>
      </w:r>
    </w:p>
    <w:p>
      <w:pPr>
        <w:spacing w:after="0" w:line="79"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income attributable to Waste Management, Inc. was $663 million, or $1.63 per diluted share, compared with $639 million, or $1.54 per diluted share, in the prior year period. The increase in income from operations discussed above was partially offset by increases in interest expense and income tax expense;</w:t>
      </w:r>
    </w:p>
    <w:p>
      <w:pPr>
        <w:spacing w:after="0" w:line="57" w:lineRule="exact"/>
        <w:rPr>
          <w:rFonts w:ascii="Arial" w:cs="Arial" w:eastAsia="Arial" w:hAnsi="Arial"/>
          <w:sz w:val="17"/>
          <w:szCs w:val="17"/>
          <w:color w:val="auto"/>
        </w:rPr>
      </w:pPr>
    </w:p>
    <w:p>
      <w:pPr>
        <w:jc w:val="both"/>
        <w:ind w:left="720" w:right="79" w:hanging="319"/>
        <w:spacing w:after="0" w:line="274"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cash provided by operating activities was $1,263 million compared with $1,182 million in the prior year period, with the increase driven by (i) higher earnings attributable to our collection and disposal business and</w:t>
      </w:r>
    </w:p>
    <w:p>
      <w:pPr>
        <w:ind w:left="720" w:right="79" w:firstLine="5"/>
        <w:spacing w:after="0" w:line="260" w:lineRule="auto"/>
        <w:tabs>
          <w:tab w:leader="none" w:pos="1026" w:val="left"/>
        </w:tabs>
        <w:numPr>
          <w:ilvl w:val="1"/>
          <w:numId w:val="18"/>
        </w:numPr>
        <w:rPr>
          <w:rFonts w:ascii="Arial" w:cs="Arial" w:eastAsia="Arial" w:hAnsi="Arial"/>
          <w:sz w:val="18"/>
          <w:szCs w:val="18"/>
          <w:color w:val="auto"/>
        </w:rPr>
      </w:pPr>
      <w:r>
        <w:rPr>
          <w:rFonts w:ascii="Arial" w:cs="Arial" w:eastAsia="Arial" w:hAnsi="Arial"/>
          <w:sz w:val="18"/>
          <w:szCs w:val="18"/>
          <w:color w:val="auto"/>
        </w:rPr>
        <w:t>favorable changes in working capital, net of effects of acquisitions and divestitures. This increase was partially offset by higher interest and income tax payments; and</w:t>
      </w:r>
    </w:p>
    <w:p>
      <w:pPr>
        <w:spacing w:after="0" w:line="77" w:lineRule="exact"/>
        <w:rPr>
          <w:rFonts w:ascii="Arial" w:cs="Arial" w:eastAsia="Arial" w:hAnsi="Arial"/>
          <w:sz w:val="18"/>
          <w:szCs w:val="18"/>
          <w:color w:val="auto"/>
        </w:rPr>
      </w:pPr>
    </w:p>
    <w:p>
      <w:pPr>
        <w:jc w:val="both"/>
        <w:ind w:left="720" w:right="79" w:hanging="319"/>
        <w:spacing w:after="0" w:line="291"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Free cash flow was $612 million compared with $432 million in the prior year period. The increase in free cash flow is primarily attributable to (i) the increase in net cash provided by operating activities discussed above;</w:t>
      </w:r>
    </w:p>
    <w:p>
      <w:pPr>
        <w:ind w:left="1000" w:hanging="275"/>
        <w:spacing w:after="0"/>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lower capital spending and (iii) higher proceeds from divestitures of businesses and other assets. Free cash</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7" w:name="page28"/>
    <w:bookmarkEnd w:id="27"/>
    <w:p>
      <w:pPr>
        <w:jc w:val="both"/>
        <w:ind w:left="720" w:right="79"/>
        <w:spacing w:after="0" w:line="263" w:lineRule="auto"/>
        <w:rPr>
          <w:sz w:val="20"/>
          <w:szCs w:val="20"/>
          <w:color w:val="auto"/>
        </w:rPr>
      </w:pPr>
      <w:r>
        <w:rPr>
          <w:rFonts w:ascii="Arial" w:cs="Arial" w:eastAsia="Arial" w:hAnsi="Arial"/>
          <w:sz w:val="18"/>
          <w:szCs w:val="18"/>
          <w:color w:val="auto"/>
        </w:rPr>
        <w:t xml:space="preserve">flow is a non-GAAP measure of liquidity. Refer to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We also provide additional services that are not managed through our Solid Waste business, including both our Strategic Business Solutions (“WMSBS”) and sustainability businesses, which include landfill gas-to-energy services, environmental solutions services and recycling brokerage services. We also offer certain other expanded service offerings and solutions. The mix of operating revenues from our major lines of business are as follows (in millions):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Industrial</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2,744</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35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collection</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3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35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(1,109)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(3,189)</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15,209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14,763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93"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“Other” line of business includes (i) certain services provided by our WMSBS business; (ii) certain services within our sustainability business including our landfill gas-to-energy operations managed by our WM Renewable Energy business; (iii) certain other expanded service offerings and solutions and (iv)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56" w:lineRule="exact"/>
        <w:rPr>
          <w:rFonts w:ascii="Arial" w:cs="Arial" w:eastAsia="Arial" w:hAnsi="Arial"/>
          <w:sz w:val="16"/>
          <w:szCs w:val="16"/>
          <w:color w:val="auto"/>
        </w:rPr>
      </w:pPr>
    </w:p>
    <w:p>
      <w:pPr>
        <w:ind w:left="380" w:right="79" w:hanging="330"/>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8" w:name="page29"/>
    <w:bookmarkEnd w:id="28"/>
    <w:p>
      <w:pPr>
        <w:ind w:left="60" w:right="7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gridSpan w:val="9"/>
          </w:tcPr>
          <w:p>
            <w:pPr>
              <w:jc w:val="center"/>
              <w:ind w:right="670"/>
              <w:spacing w:after="0"/>
              <w:rPr>
                <w:sz w:val="20"/>
                <w:szCs w:val="20"/>
                <w:color w:val="auto"/>
              </w:rPr>
            </w:pPr>
            <w:r>
              <w:rPr>
                <w:rFonts w:ascii="Arial" w:cs="Arial" w:eastAsia="Arial" w:hAnsi="Arial"/>
                <w:sz w:val="14"/>
                <w:szCs w:val="14"/>
                <w:b w:val="1"/>
                <w:bCs w:val="1"/>
                <w:color w:val="auto"/>
                <w:w w:val="94"/>
              </w:rPr>
              <w:t>Period-to-Period Change 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00" w:type="dxa"/>
            <w:vAlign w:val="bottom"/>
            <w:gridSpan w:val="9"/>
          </w:tcPr>
          <w:p>
            <w:pPr>
              <w:jc w:val="center"/>
              <w:ind w:right="530"/>
              <w:spacing w:after="0"/>
              <w:rPr>
                <w:sz w:val="20"/>
                <w:szCs w:val="20"/>
                <w:color w:val="auto"/>
              </w:rPr>
            </w:pPr>
            <w:r>
              <w:rPr>
                <w:rFonts w:ascii="Arial" w:cs="Arial" w:eastAsia="Arial" w:hAnsi="Arial"/>
                <w:sz w:val="14"/>
                <w:szCs w:val="14"/>
                <w:b w:val="1"/>
                <w:bCs w:val="1"/>
                <w:color w:val="auto"/>
                <w:w w:val="94"/>
              </w:rPr>
              <w:t>Period-to-Period Change for the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center"/>
              <w:ind w:left="85"/>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center"/>
              <w:ind w:left="165"/>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gridSpan w:val="9"/>
          </w:tcPr>
          <w:p>
            <w:pPr>
              <w:jc w:val="center"/>
              <w:ind w:right="670"/>
              <w:spacing w:after="0"/>
              <w:rPr>
                <w:sz w:val="20"/>
                <w:szCs w:val="20"/>
                <w:color w:val="auto"/>
              </w:rPr>
            </w:pPr>
            <w:r>
              <w:rPr>
                <w:rFonts w:ascii="Arial" w:cs="Arial" w:eastAsia="Arial" w:hAnsi="Arial"/>
                <w:sz w:val="14"/>
                <w:szCs w:val="14"/>
                <w:b w:val="1"/>
                <w:bCs w:val="1"/>
                <w:color w:val="auto"/>
                <w:w w:val="90"/>
              </w:rPr>
              <w:t>September 30, 2023 vs. 2022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8"/>
          </w:tcPr>
          <w:p>
            <w:pPr>
              <w:jc w:val="center"/>
              <w:ind w:right="670"/>
              <w:spacing w:after="0"/>
              <w:rPr>
                <w:sz w:val="20"/>
                <w:szCs w:val="20"/>
                <w:color w:val="auto"/>
              </w:rPr>
            </w:pPr>
            <w:r>
              <w:rPr>
                <w:rFonts w:ascii="Arial" w:cs="Arial" w:eastAsia="Arial" w:hAnsi="Arial"/>
                <w:sz w:val="14"/>
                <w:szCs w:val="14"/>
                <w:b w:val="1"/>
                <w:bCs w:val="1"/>
                <w:color w:val="auto"/>
                <w:w w:val="90"/>
              </w:rPr>
              <w:t>September 30, 2023 vs. 2022</w:t>
            </w: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right"/>
              <w:ind w:right="347"/>
              <w:spacing w:after="0" w:line="119" w:lineRule="exact"/>
              <w:rPr>
                <w:sz w:val="20"/>
                <w:szCs w:val="20"/>
                <w:color w:val="auto"/>
              </w:rPr>
            </w:pPr>
            <w:r>
              <w:rPr>
                <w:rFonts w:ascii="Arial" w:cs="Arial" w:eastAsia="Arial" w:hAnsi="Arial"/>
                <w:sz w:val="13"/>
                <w:szCs w:val="13"/>
                <w:b w:val="1"/>
                <w:bCs w:val="1"/>
                <w:color w:val="auto"/>
              </w:rPr>
              <w:t>As a % of</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right"/>
              <w:ind w:right="350"/>
              <w:spacing w:after="0" w:line="119" w:lineRule="exact"/>
              <w:rPr>
                <w:sz w:val="20"/>
                <w:szCs w:val="20"/>
                <w:color w:val="auto"/>
              </w:rPr>
            </w:pPr>
            <w:r>
              <w:rPr>
                <w:rFonts w:ascii="Arial" w:cs="Arial" w:eastAsia="Arial" w:hAnsi="Arial"/>
                <w:sz w:val="13"/>
                <w:szCs w:val="13"/>
                <w:b w:val="1"/>
                <w:bCs w:val="1"/>
                <w:color w:val="auto"/>
              </w:rPr>
              <w:t>As a % of</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80" w:type="dxa"/>
            <w:vAlign w:val="bottom"/>
            <w:gridSpan w:val="3"/>
          </w:tcPr>
          <w:p>
            <w:pPr>
              <w:jc w:val="right"/>
              <w:ind w:right="427"/>
              <w:spacing w:after="0" w:line="149" w:lineRule="exact"/>
              <w:rPr>
                <w:sz w:val="20"/>
                <w:szCs w:val="20"/>
                <w:color w:val="auto"/>
              </w:rPr>
            </w:pPr>
            <w:r>
              <w:rPr>
                <w:rFonts w:ascii="Arial" w:cs="Arial" w:eastAsia="Arial" w:hAnsi="Arial"/>
                <w:sz w:val="14"/>
                <w:szCs w:val="14"/>
                <w:b w:val="1"/>
                <w:bCs w:val="1"/>
                <w:color w:val="auto"/>
              </w:rPr>
              <w:t>Related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80" w:type="dxa"/>
            <w:vAlign w:val="bottom"/>
            <w:gridSpan w:val="3"/>
          </w:tcPr>
          <w:p>
            <w:pPr>
              <w:jc w:val="right"/>
              <w:ind w:right="410"/>
              <w:spacing w:after="0" w:line="149" w:lineRule="exact"/>
              <w:rPr>
                <w:sz w:val="20"/>
                <w:szCs w:val="20"/>
                <w:color w:val="auto"/>
              </w:rPr>
            </w:pPr>
            <w:r>
              <w:rPr>
                <w:rFonts w:ascii="Arial" w:cs="Arial" w:eastAsia="Arial" w:hAnsi="Arial"/>
                <w:sz w:val="14"/>
                <w:szCs w:val="14"/>
                <w:b w:val="1"/>
                <w:bCs w:val="1"/>
                <w:color w:val="auto"/>
              </w:rPr>
              <w:t>Related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700" w:type="dxa"/>
            <w:vAlign w:val="bottom"/>
            <w:gridSpan w:val="6"/>
          </w:tcPr>
          <w:p>
            <w:pPr>
              <w:ind w:left="140"/>
              <w:spacing w:after="0"/>
              <w:rPr>
                <w:sz w:val="20"/>
                <w:szCs w:val="20"/>
                <w:color w:val="auto"/>
              </w:rPr>
            </w:pPr>
            <w:r>
              <w:rPr>
                <w:rFonts w:ascii="Arial" w:cs="Arial" w:eastAsia="Arial" w:hAnsi="Arial"/>
                <w:sz w:val="14"/>
                <w:szCs w:val="14"/>
                <w:b w:val="1"/>
                <w:bCs w:val="1"/>
                <w:color w:val="auto"/>
              </w:rPr>
              <w:t>Business(a)   Amount</w:t>
            </w:r>
          </w:p>
        </w:tc>
        <w:tc>
          <w:tcPr>
            <w:tcW w:w="106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3"/>
              </w:rPr>
              <w:t>Company(b)</w:t>
            </w: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700" w:type="dxa"/>
            <w:vAlign w:val="bottom"/>
            <w:gridSpan w:val="6"/>
          </w:tcPr>
          <w:p>
            <w:pPr>
              <w:ind w:left="140"/>
              <w:spacing w:after="0"/>
              <w:rPr>
                <w:sz w:val="20"/>
                <w:szCs w:val="20"/>
                <w:color w:val="auto"/>
              </w:rPr>
            </w:pPr>
            <w:r>
              <w:rPr>
                <w:rFonts w:ascii="Arial" w:cs="Arial" w:eastAsia="Arial" w:hAnsi="Arial"/>
                <w:sz w:val="14"/>
                <w:szCs w:val="14"/>
                <w:b w:val="1"/>
                <w:bCs w:val="1"/>
                <w:color w:val="auto"/>
              </w:rPr>
              <w:t>Business(a)   Amount</w:t>
            </w:r>
          </w:p>
        </w:tc>
        <w:tc>
          <w:tcPr>
            <w:tcW w:w="100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Recycling and WM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Renewable Energy (c)(d)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(108)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(399)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Energy surcharge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mandated fees (d)(e)</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20"/>
              <w:spacing w:after="0"/>
              <w:rPr>
                <w:sz w:val="20"/>
                <w:szCs w:val="20"/>
                <w:color w:val="auto"/>
              </w:rPr>
            </w:pPr>
            <w:r>
              <w:rPr>
                <w:rFonts w:ascii="Arial" w:cs="Arial" w:eastAsia="Arial" w:hAnsi="Arial"/>
                <w:sz w:val="18"/>
                <w:szCs w:val="18"/>
                <w:color w:val="auto"/>
              </w:rPr>
              <w:t>Total average yield (f)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230</w:t>
            </w: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220"/>
              <w:spacing w:after="0"/>
              <w:rPr>
                <w:sz w:val="20"/>
                <w:szCs w:val="20"/>
                <w:color w:val="auto"/>
              </w:rPr>
            </w:pPr>
            <w:r>
              <w:rPr>
                <w:rFonts w:ascii="Arial" w:cs="Arial" w:eastAsia="Arial" w:hAnsi="Arial"/>
                <w:sz w:val="18"/>
                <w:szCs w:val="18"/>
                <w:color w:val="auto"/>
              </w:rPr>
              <w:t>Internal revenue growth</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4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446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in both our recycling and WM Renewable Energy businesses, as well as changes in fees in our recycling business.</w:t>
      </w:r>
    </w:p>
    <w:p>
      <w:pPr>
        <w:spacing w:after="0" w:line="62" w:lineRule="exact"/>
        <w:rPr>
          <w:rFonts w:ascii="Arial" w:cs="Arial" w:eastAsia="Arial" w:hAnsi="Arial"/>
          <w:sz w:val="18"/>
          <w:szCs w:val="18"/>
          <w:color w:val="auto"/>
        </w:rPr>
      </w:pPr>
    </w:p>
    <w:p>
      <w:pPr>
        <w:jc w:val="both"/>
        <w:ind w:left="380" w:right="79" w:hanging="330"/>
        <w:spacing w:after="0" w:line="286"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Beginning in 2023, Recycling and WM Renewable Energy includes changes in our revenue attributable to our WM Renewable Energy business. Previously these changes in revenue were included in energy surcharges and mandated fees. We have revised our prior year results to conform with the current year presentation.</w:t>
      </w:r>
    </w:p>
    <w:p>
      <w:pPr>
        <w:spacing w:after="0" w:line="57" w:lineRule="exact"/>
        <w:rPr>
          <w:rFonts w:ascii="Arial" w:cs="Arial" w:eastAsia="Arial" w:hAnsi="Arial"/>
          <w:sz w:val="17"/>
          <w:szCs w:val="17"/>
          <w:color w:val="auto"/>
        </w:rPr>
      </w:pPr>
    </w:p>
    <w:p>
      <w:pPr>
        <w:ind w:left="380" w:right="79" w:hanging="330"/>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energy surcharge was revised in the second quarter of 2023 to incorporate market prices for both diesel and compressed natural gas (“CNG”).</w:t>
      </w:r>
    </w:p>
    <w:p>
      <w:pPr>
        <w:spacing w:after="0" w:line="62" w:lineRule="exact"/>
        <w:rPr>
          <w:rFonts w:ascii="Arial" w:cs="Arial" w:eastAsia="Arial" w:hAnsi="Arial"/>
          <w:sz w:val="18"/>
          <w:szCs w:val="18"/>
          <w:color w:val="auto"/>
        </w:rPr>
      </w:pPr>
    </w:p>
    <w:p>
      <w:pPr>
        <w:ind w:left="380" w:right="179" w:hanging="330"/>
        <w:spacing w:after="0" w:line="402"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The following provides further details about our period-to-period change in revenues: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9" w:name="page30"/>
    <w:bookmarkEnd w:id="29"/>
    <w:p>
      <w:pPr>
        <w:ind w:left="38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34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3"/>
              </w:rPr>
              <w:t>Period-to-Period Change for the</w:t>
            </w:r>
          </w:p>
        </w:tc>
        <w:tc>
          <w:tcPr>
            <w:tcW w:w="224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4"/>
              </w:rPr>
              <w:t>Period-to-Period Change for the</w:t>
            </w: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4"/>
          </w:tcPr>
          <w:p>
            <w:pPr>
              <w:jc w:val="center"/>
              <w:ind w:right="31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c>
          <w:tcPr>
            <w:tcW w:w="2120" w:type="dxa"/>
            <w:vAlign w:val="bottom"/>
            <w:gridSpan w:val="4"/>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90"/>
              </w:rPr>
              <w:t>September 30, 2023 vs. 2022</w:t>
            </w:r>
          </w:p>
        </w:tc>
        <w:tc>
          <w:tcPr>
            <w:tcW w:w="120" w:type="dxa"/>
            <w:vAlign w:val="bottom"/>
          </w:tcPr>
          <w:p>
            <w:pPr>
              <w:spacing w:after="0"/>
              <w:rPr>
                <w:sz w:val="14"/>
                <w:szCs w:val="14"/>
                <w:color w:val="auto"/>
              </w:rPr>
            </w:pPr>
          </w:p>
        </w:tc>
        <w:tc>
          <w:tcPr>
            <w:tcW w:w="212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0"/>
              </w:rPr>
              <w:t>September 30, 2023 vs. 2022</w:t>
            </w:r>
          </w:p>
        </w:tc>
      </w:tr>
      <w:tr>
        <w:trPr>
          <w:trHeight w:val="119"/>
        </w:trPr>
        <w:tc>
          <w:tcPr>
            <w:tcW w:w="4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r>
      <w:tr>
        <w:trPr>
          <w:trHeight w:val="175"/>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0"/>
              </w:rPr>
              <w:t>Related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0"/>
              </w:rPr>
              <w:t>Related</w:t>
            </w: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6"/>
              </w:rPr>
              <w:t>Business</w:t>
            </w: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08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3"/>
              </w:rPr>
              <w:t>Business</w:t>
            </w: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5"/>
              </w:rPr>
              <w:t>5.9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w w:val="95"/>
              </w:rPr>
              <w:t>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5"/>
              </w:rPr>
              <w:t>6.3</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r>
      <w:tr>
        <w:trPr>
          <w:trHeight w:val="209"/>
        </w:trPr>
        <w:tc>
          <w:tcPr>
            <w:tcW w:w="432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w w:val="95"/>
              </w:rPr>
              <w:t>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5"/>
              </w:rPr>
              <w:t>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0" w:type="dxa"/>
            <w:vAlign w:val="bottom"/>
            <w:tcBorders>
              <w:bottom w:val="single" w:sz="8" w:color="CCEEFF"/>
            </w:tcBorders>
            <w:gridSpan w:val="2"/>
          </w:tcPr>
          <w:p>
            <w:pPr>
              <w:ind w:left="940"/>
              <w:spacing w:after="0"/>
              <w:rPr>
                <w:sz w:val="20"/>
                <w:szCs w:val="20"/>
                <w:color w:val="auto"/>
              </w:rPr>
            </w:pPr>
            <w:r>
              <w:rPr>
                <w:rFonts w:ascii="Arial" w:cs="Arial" w:eastAsia="Arial" w:hAnsi="Arial"/>
                <w:sz w:val="18"/>
                <w:szCs w:val="18"/>
                <w:color w:val="auto"/>
                <w:w w:val="95"/>
              </w:rPr>
              <w:t>7.1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0" w:type="dxa"/>
            <w:vAlign w:val="bottom"/>
            <w:tcBorders>
              <w:bottom w:val="single" w:sz="8" w:color="CCEEFF"/>
            </w:tcBorders>
            <w:gridSpan w:val="2"/>
          </w:tcPr>
          <w:p>
            <w:pPr>
              <w:ind w:left="920"/>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tcPr>
          <w:p>
            <w:pPr>
              <w:spacing w:after="0"/>
              <w:rPr>
                <w:sz w:val="18"/>
                <w:szCs w:val="18"/>
                <w:color w:val="auto"/>
              </w:rPr>
            </w:pPr>
          </w:p>
        </w:tc>
      </w:tr>
      <w:tr>
        <w:trPr>
          <w:trHeight w:val="210"/>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6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36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w w:val="91"/>
              </w:rPr>
              <w:t>5.6 %</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This is a capital and labor intensive business. Our capital investments and operating costs needed to serve our customers are increasing. Our overall pricing efforts are focused on keeping pace with these higher costs. We experienced average yield growth in our collection line of business of 5.8% and 6.5% for the three and nine months ended September 30, 2023, respectively. We are also continuing to see growth in our disposal business with our municipal solid waste business experiencing average yield of 4.1% and 5.0% for the three and nine months ended September 30, 2023, respectively.</w:t>
      </w:r>
    </w:p>
    <w:p>
      <w:pPr>
        <w:spacing w:after="0" w:line="19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Recycling and WM Renewable Energy </w:t>
      </w:r>
      <w:r>
        <w:rPr>
          <w:rFonts w:ascii="Arial" w:cs="Arial" w:eastAsia="Arial" w:hAnsi="Arial"/>
          <w:sz w:val="17"/>
          <w:szCs w:val="17"/>
          <w:color w:val="auto"/>
        </w:rPr>
        <w:t>— The downturn in market prices for recycling commodities that started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half of 2022 has persisted in 2023. Decreases in the market prices for recycling commodities resulted in a revenue decline of $91 million and $339 million for the three and nine months ended September 30, 2023, respectively, as compared with the prior year periods. Average market prices for single-stream recycled commodities were down more than 50% in the first nine months of 2023 when compared to the comparable prior year period. The decrease is due to the slowdown in the global economy which reduced retail demand and the corresponding need for cardboard packaging to ship retail goods. Additionally, revenue in our WM Renewable Energy business declined $17 million and $60 million for the three and nine months ended September 30, 2023, respectively, as compared to the prior year periods, primarily driven by decreases in the value of energy prices and renewable fuel standard credits.</w:t>
      </w:r>
    </w:p>
    <w:p>
      <w:pPr>
        <w:spacing w:after="0" w:line="18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Energy Surcharge and Mandated Fees — </w:t>
      </w:r>
      <w:r>
        <w:rPr>
          <w:rFonts w:ascii="Arial" w:cs="Arial" w:eastAsia="Arial" w:hAnsi="Arial"/>
          <w:sz w:val="17"/>
          <w:szCs w:val="17"/>
          <w:color w:val="auto"/>
        </w:rPr>
        <w:t>These fees decreased $54 million and $70 million for the three and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2023, respectively, as compared with the prior year periods. Beginning in the second quarter of 2023, our energy surcharge was revised to incorporate market prices for both diesel and CNG. The decrease in energy surcharge revenues is primarily due to a decline of approximately 15% in market prices for diesel fuel for the three and nine months ended September 30, 2023, respectively, as compared with the prior year periods. The mandated fees are primarily related to fees and taxes assessed by various state, county and municipal government agencies at our landfills and transfer stations. These amounts have not significantly impacted the change in revenue for the three and nine months ended September 30, 2023, as compared with the prior year periods.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revenues from volume (excluding volumes from acquisitions and divestitures) increased $27 million, or 0.5%, and $94 million, or 0.6%, for the three and nine months ended September 30, 2023, respectively. These results reflect increases in special waste volumes at our landfills, primarily due to event-driven projects, and an increase in WMSBS volumes, which were partially offset by a decrease in temporary industrial collection volumes and the intentional shedding of low-margin residential collection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0" w:name="page31"/>
    <w:bookmarkEnd w:id="30"/>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 millions of dollars and as a percentage of revenues):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 and related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17.6 %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17.3 %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$ 2,750</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18.1 %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$ 2,563</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17.4 %</w:t>
            </w: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Transfer and disposal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r>
      <w:tr>
        <w:trPr>
          <w:trHeight w:val="43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and repairs</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24"/>
                <w:szCs w:val="24"/>
                <w:color w:val="auto"/>
              </w:rPr>
            </w:pPr>
          </w:p>
        </w:tc>
      </w:tr>
      <w:tr>
        <w:trPr>
          <w:trHeight w:val="432"/>
        </w:trPr>
        <w:tc>
          <w:tcPr>
            <w:tcW w:w="3160" w:type="dxa"/>
            <w:vAlign w:val="bottom"/>
          </w:tcPr>
          <w:p>
            <w:pPr>
              <w:ind w:left="20"/>
              <w:spacing w:after="0"/>
              <w:rPr>
                <w:sz w:val="20"/>
                <w:szCs w:val="20"/>
                <w:color w:val="auto"/>
              </w:rPr>
            </w:pPr>
            <w:r>
              <w:rPr>
                <w:rFonts w:ascii="Arial" w:cs="Arial" w:eastAsia="Arial" w:hAnsi="Arial"/>
                <w:sz w:val="18"/>
                <w:szCs w:val="18"/>
                <w:color w:val="auto"/>
              </w:rPr>
              <w:t>Subcontractor costs</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10.9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10.5</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1,627</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10.7</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1,496</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Fuel</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 and franchise fees and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Landfill operating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management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tcPr>
          <w:p>
            <w:pPr>
              <w:spacing w:after="0"/>
              <w:rPr>
                <w:sz w:val="18"/>
                <w:szCs w:val="18"/>
                <w:color w:val="auto"/>
              </w:rPr>
            </w:pPr>
          </w:p>
        </w:tc>
      </w:tr>
      <w:tr>
        <w:trPr>
          <w:trHeight w:val="425"/>
        </w:trPr>
        <w:tc>
          <w:tcPr>
            <w:tcW w:w="3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3,188</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61.3 %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3,156</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62.2 %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$ 9,460</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62.2 %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$ 9,201</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62.3 %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operating expenses increased primarily due to (i) inflationary cost pressures, particularly for maintenance and repairs and subcontractor costs and (ii) labor cost pressure from merit increases and frontline employee market wage adjustments. These increases were offset, in part, by commodity-driven business impacts, particularly from lower recycling rebates reflected in costs of goods sold and lower fuel prices.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comparison of operating expenses for the reported periods include: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was primarily driven by (i) merit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and proactive market wage adjustments to hire and retain talent; (ii) increased headcount primarily from acquisitions and (iii) increases in health and welfare costs and in medical care activity. These increases were offset, in part, by lower annual incentive compensation.</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The increase in transfer and disposal costs was primarily due to inflationary cost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which includes increased disposal fees at third-party sites and higher rates from our third-party haulers, offset, in part, by a slight decrease in collection volumes.</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was primarily driven by (i)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inflationary cost increases for parts, supplies and third-party services, although the impact of such inflationary cost increases has progressively moderated from earlier in the year to the third quarter of 2023 and (ii) labor cost increases for our technicians, including additional headcount, market wage adjustments and merit increases. Through the first half of 2023, our maintenance and repairs costs were also elevated due to supply chain constraints that were causing delays in truck deliveries. These constraints have moderated and, accordingly, the pressure on maintenance and repairs costs has lessened in the third quarter of 2023.</w:t>
      </w:r>
    </w:p>
    <w:p>
      <w:pPr>
        <w:spacing w:after="0" w:line="19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Subcontractor Costs </w:t>
      </w:r>
      <w:r>
        <w:rPr>
          <w:rFonts w:ascii="Arial" w:cs="Arial" w:eastAsia="Arial" w:hAnsi="Arial"/>
          <w:sz w:val="16"/>
          <w:szCs w:val="16"/>
          <w:color w:val="auto"/>
        </w:rPr>
        <w:t>— The increase in subcontractor costs was primarily due to (i) continued inflationary cost</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particularly labor and fuel costs from third-party haulers, although the impact of such inflationary cost increases has progressively moderated from earlier in the year to the third quarter of 2023 due to lower diesel prices that reduced fuel surcharges from our third-party transportation providers and (ii) an increase in volumes in our WMSBS business and SES offerings, which rely more extensively on subcontracted hauling and services than our collection and disposal business.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1" w:name="page32"/>
    <w:bookmarkEnd w:id="31"/>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decrease in cost of goods sold was primarily driven by an approximate 40% and 50%</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single-stream recycling commodity prices for the three and nine months ended September 30, 2023, respectively, as compared to the prior year periods.</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decrease in fuel costs was primarily due to a decrease of approximately 15% in market prices for diesel</w:t>
      </w:r>
      <w:r>
        <w:rPr>
          <w:rFonts w:ascii="Arial" w:cs="Arial" w:eastAsia="Arial" w:hAnsi="Arial"/>
          <w:sz w:val="18"/>
          <w:szCs w:val="18"/>
          <w:i w:val="1"/>
          <w:iCs w:val="1"/>
          <w:color w:val="auto"/>
        </w:rPr>
        <w:t xml:space="preserve"> </w:t>
      </w:r>
      <w:r>
        <w:rPr>
          <w:rFonts w:ascii="Arial" w:cs="Arial" w:eastAsia="Arial" w:hAnsi="Arial"/>
          <w:sz w:val="18"/>
          <w:szCs w:val="18"/>
          <w:color w:val="auto"/>
        </w:rPr>
        <w:t>fuel during the three and nine months ended September 30, 2023, as compared to the prior year periods. In the third quarter of 2022, we recognized a $26 million catch-up benefit from the extension of alternative fuel tax credits that was retroactive to January 1, 2022. In 2023, these alternative fuel tax credits have been recognized ratably throughout the year. Accordingly, the timing of the regulatory decision in 2022 impacts the comparison of our fuel costs for the three months ended September 30, 2023 and the comparable prior year period, but has no impact on the comparability of the year-to-date periods.</w:t>
      </w:r>
    </w:p>
    <w:p>
      <w:pPr>
        <w:spacing w:after="0" w:line="19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Disposal and Franchise Fees and Taxes </w:t>
      </w:r>
      <w:r>
        <w:rPr>
          <w:rFonts w:ascii="Arial" w:cs="Arial" w:eastAsia="Arial" w:hAnsi="Arial"/>
          <w:sz w:val="18"/>
          <w:szCs w:val="18"/>
          <w:color w:val="auto"/>
        </w:rPr>
        <w:t>— The increase in disposal and franchise fees and taxes was primarily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an increase in landfill volumes and an overall rate increase in fees and taxes paid to municipalities on our disposal volumes.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Landfill Operating Costs </w:t>
      </w:r>
      <w:r>
        <w:rPr>
          <w:rFonts w:ascii="Arial" w:cs="Arial" w:eastAsia="Arial" w:hAnsi="Arial"/>
          <w:sz w:val="16"/>
          <w:szCs w:val="16"/>
          <w:color w:val="auto"/>
        </w:rPr>
        <w:t>— Landfill operating costs increased for the three months ended September 30, 2023,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the prior year period, primarily due to higher costs for landfill accretion and site monitoring and testing. The increase for the nine months ended September 30, 2023, as compared with the prior year period, was primarily due to higher expenses for (i) landfill site costs, including costs for leachate collection and treatment, maintenance, and monitoring and testing; (ii) landfill accretion and (iii) remediation expense. Within landfill operating costs, accretion expense was $32 million and $97 million for the three and nine months ended September 30, 2023, respectively, compared with $30 million and $84 million, for the comparable prior year periods. The increase in remediation expense for the nine months ended September 30, 2023, as compared with the prior year period, was primarily due to changes in the measurement of our environmental remediation obligations and recovery assets in both 2023 and 2022. Our measurement of these balances includes the application of a risk-free discount rate, which is based on the rate for U.S. Treasury bonds. During the nine months ended September 30, 2022, the increases in the discount rate were greater than the increase experienced in the third quarter of 2023, which contributed to an increase in remediation expense between the comparable periods. Any increase in discount rate results in a reduction in the net liability and a credit to expense.</w:t>
      </w:r>
    </w:p>
    <w:p>
      <w:pPr>
        <w:spacing w:after="0" w:line="17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decrease in risk management for the three and nine months ended September 2023,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prior year periods, was primarily due to lower claims expense. An overall increase in insurance premiums partially offset this cost decrease. Our claims costs for our risk management program were particularly elevated during the first half of 2022 due to unfavorable cost development on a limited population of severe cases. The absence of these costs is the largest driver of the favorable variance for the nine months ended September 2023 compared to the prior year.</w:t>
      </w:r>
    </w:p>
    <w:p>
      <w:pPr>
        <w:spacing w:after="0" w:line="19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Other operating costs decreased for the three months ended September 30, 2023, as compared with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period, primarily due to a write down of assets and inventory related to Hurricane Ian during the third quarter of 2022 and net gains on the sale of certain assets during the third quarter of 2023. These decreases were offset, in part, by</w:t>
      </w:r>
    </w:p>
    <w:p>
      <w:pPr>
        <w:spacing w:after="0" w:line="2" w:lineRule="exact"/>
        <w:rPr>
          <w:sz w:val="20"/>
          <w:szCs w:val="20"/>
          <w:color w:val="auto"/>
        </w:rPr>
      </w:pPr>
    </w:p>
    <w:p>
      <w:pPr>
        <w:jc w:val="both"/>
        <w:ind w:left="60" w:right="79" w:hanging="10"/>
        <w:spacing w:after="0" w:line="253" w:lineRule="auto"/>
        <w:tabs>
          <w:tab w:leader="none" w:pos="3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inflationary cost pressures, although the impact of such continued inflationary cost increases has progressively moderated from earlier in the year to the third quarter of 2023 and (ii) higher utility costs at our facilities. In addition to the foregoing, other operating cost increases for the nine-month period ended September 30, 2023 were primarily due to an increase in business travel and higher equipment rental costs.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2" w:name="page33"/>
    <w:bookmarkEnd w:id="32"/>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(in millions of dollars and as a percentage of revenues):</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4"/>
              </w:rPr>
              <w:t>Nine Months Ended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7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4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$ 280</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w:t>
            </w: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5.8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Professional fees</w:t>
            </w:r>
          </w:p>
        </w:tc>
        <w:tc>
          <w:tcPr>
            <w:tcW w:w="1400" w:type="dxa"/>
            <w:vAlign w:val="bottom"/>
            <w:gridSpan w:val="2"/>
          </w:tcPr>
          <w:p>
            <w:pPr>
              <w:jc w:val="right"/>
              <w:ind w:right="2"/>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95"/>
              </w:rPr>
              <w:t>1.1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w w:val="87"/>
              </w:rPr>
              <w:t>1.3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95"/>
              </w:rPr>
              <w:t>1.1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95"/>
              </w:rPr>
              <w:t>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4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0.3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0.2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0.2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0.2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2"/>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2.2</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7"/>
              </w:rPr>
              <w:t>2.0</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2.2</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2.1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r>
      <w:tr>
        <w:trPr>
          <w:trHeight w:val="425"/>
        </w:trPr>
        <w:tc>
          <w:tcPr>
            <w:tcW w:w="27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$ 470</w:t>
            </w:r>
          </w:p>
        </w:tc>
        <w:tc>
          <w:tcPr>
            <w:tcW w:w="140" w:type="dxa"/>
            <w:vAlign w:val="bottom"/>
            <w:shd w:val="clear" w:color="auto" w:fill="CCEEFF"/>
          </w:tcPr>
          <w:p>
            <w:pPr>
              <w:spacing w:after="0"/>
              <w:rPr>
                <w:sz w:val="24"/>
                <w:szCs w:val="24"/>
                <w:color w:val="auto"/>
              </w:rPr>
            </w:pP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9.0 %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$ 473</w:t>
            </w:r>
          </w:p>
        </w:tc>
        <w:tc>
          <w:tcPr>
            <w:tcW w:w="160" w:type="dxa"/>
            <w:vAlign w:val="bottom"/>
            <w:shd w:val="clear" w:color="auto" w:fill="CCEEFF"/>
          </w:tcPr>
          <w:p>
            <w:pPr>
              <w:spacing w:after="0"/>
              <w:rPr>
                <w:sz w:val="24"/>
                <w:szCs w:val="24"/>
                <w:color w:val="auto"/>
              </w:rPr>
            </w:pP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9.3 %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1,413</w:t>
            </w:r>
          </w:p>
        </w:tc>
        <w:tc>
          <w:tcPr>
            <w:tcW w:w="160" w:type="dxa"/>
            <w:vAlign w:val="bottom"/>
            <w:shd w:val="clear" w:color="auto" w:fill="CCEEFF"/>
          </w:tcPr>
          <w:p>
            <w:pPr>
              <w:spacing w:after="0"/>
              <w:rPr>
                <w:sz w:val="24"/>
                <w:szCs w:val="24"/>
                <w:color w:val="auto"/>
              </w:rPr>
            </w:pP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9.3 %</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1,451</w:t>
            </w:r>
          </w:p>
        </w:tc>
        <w:tc>
          <w:tcPr>
            <w:tcW w:w="140" w:type="dxa"/>
            <w:vAlign w:val="bottom"/>
            <w:shd w:val="clear" w:color="auto" w:fill="CCEEFF"/>
          </w:tcPr>
          <w:p>
            <w:pPr>
              <w:spacing w:after="0"/>
              <w:rPr>
                <w:sz w:val="24"/>
                <w:szCs w:val="24"/>
                <w:color w:val="auto"/>
              </w:rPr>
            </w:pPr>
          </w:p>
        </w:tc>
        <w:tc>
          <w:tcPr>
            <w:tcW w:w="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9.8 %</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Selling, general and administrative expenses have decreased primarily due to lower annual incentive compensation costs and reduced professional fees in connection with investments in our digital platform, as certain strategic digital projects have now been implemented. Partially offsetting these reductions are annual merit increases and increased litigation costs. The effective management of our costs, along with the increase in revenue resulted in a significant reduction in our selling, general and administrative expenses as a percentage of revenues when compared with the prior year period.</w:t>
      </w:r>
    </w:p>
    <w:p>
      <w:pPr>
        <w:spacing w:after="0" w:line="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for the reported periods include:</w:t>
      </w:r>
    </w:p>
    <w:p>
      <w:pPr>
        <w:spacing w:after="0" w:line="170"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decrease in labor and related benefits costs was primarily related to lower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compensation costs and lower contract labor expenses. These decreases were partially offset by annual merit increases for our employees and market adjustments for deferred compensation plans related to investment performance.</w:t>
      </w:r>
    </w:p>
    <w:p>
      <w:pPr>
        <w:spacing w:after="0" w:line="14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decrease in professional fees was primarily attributable to reduced expenses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our digital platform, as certain strategic projects have now been implemented.</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Provision for Bad Debts </w:t>
      </w:r>
      <w:r>
        <w:rPr>
          <w:rFonts w:ascii="Arial" w:cs="Arial" w:eastAsia="Arial" w:hAnsi="Arial"/>
          <w:sz w:val="17"/>
          <w:szCs w:val="17"/>
          <w:color w:val="auto"/>
        </w:rPr>
        <w:t>— The increase in provision for bad debts during the three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2023, as compared with the prior year period, is primarily related to an increase in the aging of certain receivables as well as customer-specific provisions required for bankruptcies of two of our WMSBS customers.</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increase in other expenses was primarily related to litigation costs and higher advertising costs,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were partially offset by lower telecommunications costs.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Depreciation, Depletion and Amortization Expenses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depletion and amortization expenses (in millions of dollars and as a percentage of revenues):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95"/>
        </w:trPr>
        <w:tc>
          <w:tcPr>
            <w:tcW w:w="35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Depreciation of tangible property and</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$ 298</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$ 287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432"/>
        </w:trPr>
        <w:tc>
          <w:tcPr>
            <w:tcW w:w="3540" w:type="dxa"/>
            <w:vAlign w:val="bottom"/>
          </w:tcPr>
          <w:p>
            <w:pPr>
              <w:ind w:left="20"/>
              <w:spacing w:after="0"/>
              <w:rPr>
                <w:sz w:val="20"/>
                <w:szCs w:val="20"/>
                <w:color w:val="auto"/>
              </w:rPr>
            </w:pPr>
            <w:r>
              <w:rPr>
                <w:rFonts w:ascii="Arial" w:cs="Arial" w:eastAsia="Arial" w:hAnsi="Arial"/>
                <w:sz w:val="18"/>
                <w:szCs w:val="18"/>
                <w:color w:val="auto"/>
              </w:rPr>
              <w:t>Depletion of landfill airspace</w:t>
            </w: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r>
      <w:tr>
        <w:trPr>
          <w:trHeight w:val="425"/>
        </w:trPr>
        <w:tc>
          <w:tcPr>
            <w:tcW w:w="3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$ 519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10.0 %</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$ 503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9.9 %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1,545</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10.2 %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1,493</w:t>
            </w: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10.1 %</w:t>
            </w:r>
          </w:p>
        </w:tc>
      </w:tr>
      <w:tr>
        <w:trPr>
          <w:trHeight w:val="20"/>
        </w:trPr>
        <w:tc>
          <w:tcPr>
            <w:tcW w:w="3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increase in depreciation of tangible property and equipment for the three months ended September 30, 2023 was primarily driven by additional depreciation due to investments in capital assets to service our customers, including machinery and trucks. The increase in depreciation of tangible property and equipment for the nine months ended</w:t>
      </w:r>
    </w:p>
    <w:p>
      <w:pPr>
        <w:sectPr>
          <w:pgSz w:w="11900" w:h="16838" w:orient="portrait"/>
          <w:cols w:equalWidth="0" w:num="1">
            <w:col w:w="9019"/>
          </w:cols>
          <w:pgMar w:left="1440" w:top="881"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type w:val="continuous"/>
        </w:sectPr>
      </w:pPr>
    </w:p>
    <w:bookmarkStart w:id="33" w:name="page34"/>
    <w:bookmarkEnd w:id="33"/>
    <w:p>
      <w:pPr>
        <w:jc w:val="both"/>
        <w:ind w:left="60" w:right="59"/>
        <w:spacing w:after="0" w:line="259" w:lineRule="auto"/>
        <w:rPr>
          <w:sz w:val="20"/>
          <w:szCs w:val="20"/>
          <w:color w:val="auto"/>
        </w:rPr>
      </w:pPr>
      <w:r>
        <w:rPr>
          <w:rFonts w:ascii="Arial" w:cs="Arial" w:eastAsia="Arial" w:hAnsi="Arial"/>
          <w:sz w:val="18"/>
          <w:szCs w:val="18"/>
          <w:color w:val="auto"/>
        </w:rPr>
        <w:t>September 30, 2023 was primarily driven by additional depreciation due to investments in capital assets, including strategic investments in our digital platform and machinery and containers to service our customers. The increase in depletion of landfill airspace for the three and nine months ended September 30, 2023 was primarily driven by increased volumes from the reopening of a previously closed landfill in our East Tier.</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(Gain) loss from divestitures, asset impairments and unusual items, net for the nine months ended September 30, 2023 were nominal. During the first quarter of 2022, we recognized a $17 million charge pertaining to reserves for loss contingencies in our Corporate and Other segment to adjust an indirect wholly-owned subsidiary’s estimated potential share of the liability for a proposed environmental remediation plan at a closed site, as discussed in Note 6 to the Condensed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income from operations for our reportable segments (dollars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Period-to-Period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Period-to-Period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72"/>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Change</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Pr>
          <w:p>
            <w:pPr>
              <w:ind w:left="100"/>
              <w:spacing w:after="0"/>
              <w:rPr>
                <w:sz w:val="20"/>
                <w:szCs w:val="20"/>
                <w:color w:val="auto"/>
              </w:rPr>
            </w:pPr>
            <w:r>
              <w:rPr>
                <w:rFonts w:ascii="Arial" w:cs="Arial" w:eastAsia="Arial" w:hAnsi="Arial"/>
                <w:sz w:val="18"/>
                <w:szCs w:val="18"/>
                <w:color w:val="auto"/>
              </w:rPr>
              <w:t>East Tier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$ 1,846</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$ 1,728</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$ 118</w:t>
            </w: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 Tier</w:t>
            </w:r>
          </w:p>
        </w:tc>
        <w:tc>
          <w:tcPr>
            <w:tcW w:w="10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60" w:type="dxa"/>
            <w:vAlign w:val="bottom"/>
            <w:shd w:val="clear" w:color="auto" w:fill="CCEEFF"/>
          </w:tcPr>
          <w:p>
            <w:pPr>
              <w:spacing w:after="0"/>
              <w:rPr>
                <w:sz w:val="24"/>
                <w:szCs w:val="24"/>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Borders>
              <w:right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Solid Waste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1,324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1,238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3,689</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3,507</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and Other (b)</w:t>
            </w: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$ 2,790</w:t>
            </w:r>
          </w:p>
        </w:tc>
        <w:tc>
          <w:tcPr>
            <w:tcW w:w="16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$ 2,600</w:t>
            </w:r>
          </w:p>
        </w:tc>
        <w:tc>
          <w:tcPr>
            <w:tcW w:w="160" w:type="dxa"/>
            <w:vAlign w:val="bottom"/>
            <w:tcBorders>
              <w:right w:val="single" w:sz="8" w:color="CCEEFF"/>
            </w:tcBorders>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40" w:type="dxa"/>
            <w:vAlign w:val="bottom"/>
            <w:gridSpan w:val="2"/>
            <w:vMerge w:val="restart"/>
          </w:tcPr>
          <w:p>
            <w:pPr>
              <w:ind w:left="20"/>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w:t>
            </w:r>
          </w:p>
        </w:tc>
        <w:tc>
          <w:tcPr>
            <w:tcW w:w="160" w:type="dxa"/>
            <w:vAlign w:val="bottom"/>
          </w:tcPr>
          <w:p>
            <w:pPr>
              <w:jc w:val="center"/>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w:t>
            </w:r>
          </w:p>
        </w:tc>
        <w:tc>
          <w:tcPr>
            <w:tcW w:w="160" w:type="dxa"/>
            <w:vAlign w:val="bottom"/>
          </w:tcPr>
          <w:p>
            <w:pPr>
              <w:jc w:val="center"/>
              <w:spacing w:after="0" w:line="196" w:lineRule="exact"/>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change does not provide a meaningful comparison.</w:t>
      </w:r>
    </w:p>
    <w:p>
      <w:pPr>
        <w:spacing w:after="0" w:line="117" w:lineRule="exact"/>
        <w:rPr>
          <w:sz w:val="20"/>
          <w:szCs w:val="20"/>
          <w:color w:val="auto"/>
        </w:rPr>
      </w:pPr>
    </w:p>
    <w:p>
      <w:pPr>
        <w:jc w:val="both"/>
        <w:ind w:left="380" w:right="79" w:hanging="330"/>
        <w:spacing w:after="0" w:line="255"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includes (i) elements of our WMSBS business that are not included in the operations of our reportable segments; (ii) elements of our sustainability business that includes landfill gas-to-energy operations managed by our WM Renewable Energy business, our SES business and recycling brokerage services and not included in the 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84" w:lineRule="exact"/>
        <w:rPr>
          <w:rFonts w:ascii="Arial" w:cs="Arial" w:eastAsia="Arial" w:hAnsi="Arial"/>
          <w:sz w:val="18"/>
          <w:szCs w:val="18"/>
          <w:color w:val="auto"/>
        </w:rPr>
      </w:pPr>
    </w:p>
    <w:p>
      <w:pPr>
        <w:jc w:val="both"/>
        <w:ind w:left="380" w:right="79" w:hanging="330"/>
        <w:spacing w:after="0" w:line="25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significant items affecting income from operations for our segments during the three and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as compared with the prior year periods, are summarized below:</w:t>
      </w:r>
    </w:p>
    <w:p>
      <w:pPr>
        <w:spacing w:after="0" w:line="103" w:lineRule="exact"/>
        <w:rPr>
          <w:sz w:val="20"/>
          <w:szCs w:val="20"/>
          <w:color w:val="auto"/>
        </w:rPr>
      </w:pPr>
    </w:p>
    <w:p>
      <w:pPr>
        <w:jc w:val="both"/>
        <w:ind w:left="720" w:right="79" w:hanging="319"/>
        <w:spacing w:after="0" w:line="291"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Solid Waste </w:t>
      </w:r>
      <w:r>
        <w:rPr>
          <w:rFonts w:ascii="Arial" w:cs="Arial" w:eastAsia="Arial" w:hAnsi="Arial"/>
          <w:sz w:val="16"/>
          <w:szCs w:val="16"/>
          <w:color w:val="auto"/>
        </w:rPr>
        <w:t>— Income from operations in our Solid Waste business increased primarily due to revenue growth in</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and disposal business driven by yield. These increases were partially offset by (i) inflationary cost pressures; (ii) labor cost increases from frontline employee wage adjustments and annual merit increases and (iii) reduced profitability in our recycling business from the decline in recycling commodity prices. In addition, fuel tax credits in 2022 were not recognized until August 2022 due to the timing of the Inflation Reduction Act of 2022 (“IRA”). This created a $26 million negative impact to income from operations for the three months ended September 30, 2023, but is broadly flat for the nine months ended September 30, 2023.</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4" w:name="page35"/>
    <w:bookmarkEnd w:id="34"/>
    <w:p>
      <w:pPr>
        <w:jc w:val="both"/>
        <w:ind w:left="720" w:right="79" w:hanging="319"/>
        <w:spacing w:after="0" w:line="311"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The decrease in income from operations was due to (i) reduced profitability in our WM Renewable</w:t>
      </w:r>
      <w:r>
        <w:rPr>
          <w:rFonts w:ascii="Arial" w:cs="Arial" w:eastAsia="Arial" w:hAnsi="Arial"/>
          <w:sz w:val="16"/>
          <w:szCs w:val="16"/>
          <w:i w:val="1"/>
          <w:iCs w:val="1"/>
          <w:color w:val="auto"/>
        </w:rPr>
        <w:t xml:space="preserve"> </w:t>
      </w:r>
      <w:r>
        <w:rPr>
          <w:rFonts w:ascii="Arial" w:cs="Arial" w:eastAsia="Arial" w:hAnsi="Arial"/>
          <w:sz w:val="16"/>
          <w:szCs w:val="16"/>
          <w:color w:val="auto"/>
        </w:rPr>
        <w:t>Energy business primarily driven by decreases in the value of energy prices and renewable fuel standard credits and (ii) the decline in recycling brokerage commodity prices affecting profitability in our recycling business.</w:t>
      </w:r>
    </w:p>
    <w:p>
      <w:pPr>
        <w:spacing w:after="0" w:line="40" w:lineRule="exact"/>
        <w:rPr>
          <w:rFonts w:ascii="Arial" w:cs="Arial" w:eastAsia="Arial" w:hAnsi="Arial"/>
          <w:sz w:val="16"/>
          <w:szCs w:val="16"/>
          <w:color w:val="auto"/>
        </w:rPr>
      </w:pPr>
    </w:p>
    <w:p>
      <w:pPr>
        <w:jc w:val="both"/>
        <w:ind w:left="720" w:right="79" w:hanging="319"/>
        <w:spacing w:after="0" w:line="255"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The improvement in income from operations was primarily driven by (i) lower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costs; (ii) lower professional fees in connection with investments in our digital program, as certain strategic projects have now been implemented and (iii) a charge during the first quarter of 2022 to adjust an indirect wholly-owned subsidiary’s estimated potential share of the liability for a proposed environmental remediation plan at a closed site. These lower costs were partially offset by annual merit increases and litigation costs.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w:t>
      </w:r>
    </w:p>
    <w:p>
      <w:pPr>
        <w:spacing w:after="0" w:line="225" w:lineRule="exact"/>
        <w:rPr>
          <w:sz w:val="20"/>
          <w:szCs w:val="20"/>
          <w:color w:val="auto"/>
        </w:rPr>
      </w:pPr>
    </w:p>
    <w:p>
      <w:pPr>
        <w:jc w:val="both"/>
        <w:ind w:left="60" w:right="59" w:firstLine="259"/>
        <w:spacing w:after="0" w:line="290" w:lineRule="auto"/>
        <w:rPr>
          <w:sz w:val="20"/>
          <w:szCs w:val="20"/>
          <w:color w:val="auto"/>
        </w:rPr>
      </w:pPr>
      <w:r>
        <w:rPr>
          <w:rFonts w:ascii="Arial" w:cs="Arial" w:eastAsia="Arial" w:hAnsi="Arial"/>
          <w:sz w:val="16"/>
          <w:szCs w:val="16"/>
          <w:color w:val="auto"/>
        </w:rPr>
        <w:t xml:space="preserve">Our interest expense, net was $127 million and $372 million for the three and nine months ended September 30, 2023, respectively, compared to $91 million and $269 million for the three and nine months ended September 30, 2022, respectively. The increase is primarily related to an increase in our weighted average borrowing rate of approximately 90 basis points due to increased rates on floating-rate debt and higher fixed rates on refinancing as well as an increase in average debt balances to fund growth. To mitigate the impact of increasing interest rates and to provide certainty in cost, we elected to replace certain floating-rate debt, specifically our Term Loan and commercial paper borrowings, with longer-term, fixed-rate debt through our senior notes issuances as discussed within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below. See Note 3 to the Condensed Consolidated Financial Statements for more information related to our debt balances.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recognized equity in net losses of unconsolidated entities of $18 million and $41 million during the three and nine months ended September 30, 2023, respectively, compared to $17 million and $49 million for the three months and nine months ended September 30, 2022, respectively. The losses for each period were primarily related to our noncontrolling interests in entities established to invest in and manage low-income housing properties. We generate tax benefits, including tax credits, from the losses incurred from these investments. The losses are more than offset by the tax benefits generated by these investments as further discussed in Note 4 to the Condensed Consolidated Financial Statements.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income tax expense was $210 million and $570 million for the three and nine months ended September 30, 2023, respectively, compared to $189 million and $535 million for the three and nine months ended September 30, 2022, respectively. Our effective income tax rate was 24.1% and 24.0% for the three and nine months ended September 30, 2023, respectively, compared to 22.8% and 23.5% for the three and nine months ended September 30, 2022, respectively. See Note 4 to the Condensed Consolidated Financial Statements for more information related to income taxes.</w:t>
      </w:r>
    </w:p>
    <w:p>
      <w:pPr>
        <w:spacing w:after="0" w:line="16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Tax Legislation </w:t>
      </w:r>
      <w:r>
        <w:rPr>
          <w:rFonts w:ascii="Arial" w:cs="Arial" w:eastAsia="Arial" w:hAnsi="Arial"/>
          <w:sz w:val="16"/>
          <w:szCs w:val="16"/>
          <w:color w:val="auto"/>
        </w:rPr>
        <w:t>— The IRA was signed into law by President Biden on August 16, 2022, and contains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tax-related provisions. The provisions of the IRA related to alternative fuel tax credits secure approximately $55 million of annual pre-tax benefit (recorded as a reduction in our operating expense) for tax credits in each of 2022, 2023 and 2024. The IRA contains a number of additional provisions related to tax incentives for investments in renewable energy production, carbon capture, and other climate actions, as well as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With respect to only the investment tax credit aspect of the IRA, we expect the cumulative benefit to be between $250 million and $350 million, a large portion of which is anticipated to be realized in 2024, 2025 and 2026. Additionally, the production tax credit incentives for investments in renewable energy and the carbon capture provisions of the IRA will likely result in incremental benefit, although at this time the amount of those benefits has not been quantified. Additionally, we incur an excise tax of 1% for common stock repurchases, which is reflected in the cost of purchasing the underlying shares as a component of treasury stock in our Condensed Consolidated Balance Sheet. See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5" w:name="page36"/>
    <w:bookmarkEnd w:id="35"/>
    <w:p>
      <w:pPr>
        <w:jc w:val="both"/>
        <w:ind w:left="60" w:right="79"/>
        <w:spacing w:after="0" w:line="277" w:lineRule="auto"/>
        <w:rPr>
          <w:sz w:val="20"/>
          <w:szCs w:val="20"/>
          <w:color w:val="auto"/>
        </w:rPr>
      </w:pPr>
      <w:r>
        <w:rPr>
          <w:rFonts w:ascii="Arial" w:cs="Arial" w:eastAsia="Arial" w:hAnsi="Arial"/>
          <w:sz w:val="18"/>
          <w:szCs w:val="18"/>
          <w:color w:val="auto"/>
        </w:rPr>
        <w:t>Note 11 to the Condensed Consolidated Financial Statements for additional information. The current expectation is the IRA’s minimum corporate tax will not have an impact on the Company.</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Additionally, numerous countries have agreed to a statement in support of the Organization for Economic Co-operation and Development model rules that propose a global minimum tax rate of 15%. As legislation to enact a minimum tax becomes effective in countries in which we do business, we do not expect a material impact to our income taxes. We will continue to monitor pending legislation and implementation by individual countries and evaluate the potential impact on our business in future periods.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additional ability to manage liquidity during periods of significant financial market disruption through temporary modification of our capital expenditure and share repurchase plans.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Funds and Debt Obligations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summary of our cash and cash equivalents, restricted funds and debt balances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40" w:type="dxa"/>
            <w:vAlign w:val="bottom"/>
            <w:gridSpan w:val="4"/>
          </w:tcPr>
          <w:p>
            <w:pPr>
              <w:ind w:left="7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funds:</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Insurance reserves</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restricted funds (a)</w:t>
            </w:r>
          </w:p>
        </w:tc>
        <w:tc>
          <w:tcPr>
            <w:tcW w:w="7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Current portion</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portion</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Total debt</w:t>
            </w: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September 30, 2023 and December 31, 2022, $80 million and $83 million, respectively, of these account balances were included in other current assets in our Condensed Consolidated Balance Sheets.</w:t>
      </w:r>
    </w:p>
    <w:p>
      <w:pPr>
        <w:spacing w:after="0" w:line="1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 As of September 30, 2023, we had approximately $2.4 billion of debt maturing within the next 12 months,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$489 million of short-term borrowings under our commercial paper program (net of related discount on issuance); (ii) $1.6 billion of tax-exempt bonds with term interest rate periods that expire within the next 12 months, which is prior to their scheduled maturities; (iii) $156 million of 3.5% senior notes that mature in May 2024 and (iv) $174 million of other debt with scheduled maturities within the next 12 months, including $60 million of tax-exempt bonds. As of September 30, 2023, we have classified $2.1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$297 million of debt maturing in the next 12 months is classified as current obligations.</w:t>
      </w:r>
    </w:p>
    <w:p>
      <w:pPr>
        <w:spacing w:after="0" w:line="166"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In February 2023, WMI issued $750 million and $500 million of 4.625% senior notes due February 2030 and February 2033, respectively, the net proceeds of which were $1.24 billion. We used the net proceeds to reduce outstanding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6" w:name="page37"/>
    <w:bookmarkEnd w:id="36"/>
    <w:p>
      <w:pPr>
        <w:jc w:val="both"/>
        <w:ind w:left="60" w:right="59"/>
        <w:spacing w:after="0" w:line="277" w:lineRule="auto"/>
        <w:rPr>
          <w:sz w:val="20"/>
          <w:szCs w:val="20"/>
          <w:color w:val="auto"/>
        </w:rPr>
      </w:pPr>
      <w:r>
        <w:rPr>
          <w:rFonts w:ascii="Arial" w:cs="Arial" w:eastAsia="Arial" w:hAnsi="Arial"/>
          <w:sz w:val="18"/>
          <w:szCs w:val="18"/>
          <w:color w:val="auto"/>
        </w:rPr>
        <w:t>borrowings under our commercial paper program, repay $500 million of WMI’s 2.4% senior notes upon maturity in May 2023, and for general corporate purposes, including our sustainability capital investment program.</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July 2023, WMI issued $750 million and $1.25 billion of 4.875% senior notes due February 2029 and February 2034, respectively, the net proceeds of which were $1.97 billion. We used the net proceeds to reduce outstanding borrowings under our commercial paper program, repay $1.0 billion of outstanding borrowings under our Term Loan and for general corporate purposes.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Advances due to affiliates</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20,939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19,740</w:t>
            </w: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w:t>
            </w:r>
          </w:p>
        </w:tc>
      </w:tr>
      <w:tr>
        <w:trPr>
          <w:trHeight w:val="355"/>
        </w:trPr>
        <w:tc>
          <w:tcPr>
            <w:tcW w:w="6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8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September 30, 2023</w:t>
            </w: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r>
    </w:tbl>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nine months ended September 30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(2,007)</w:t>
            </w: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(1,525)</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Net Cash Provided by Operating Activities — </w:t>
      </w:r>
      <w:r>
        <w:rPr>
          <w:rFonts w:ascii="Arial" w:cs="Arial" w:eastAsia="Arial" w:hAnsi="Arial"/>
          <w:sz w:val="16"/>
          <w:szCs w:val="16"/>
          <w:color w:val="auto"/>
        </w:rPr>
        <w:t>Our operating cash flows decreased by $150 million as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period, driven by (i) higher interest payments; (ii) unfavorable changes in working capital, net of effects of acquisitions and divestitures; (iii) higher incentive compensation payments and (iv) higher income tax payments. This decrease was partially offset by increased earnings attributable to our collection and disposal business.</w:t>
      </w:r>
    </w:p>
    <w:p>
      <w:pPr>
        <w:spacing w:after="0" w:line="15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2023 and 2022 are summarized below:</w:t>
      </w:r>
    </w:p>
    <w:p>
      <w:pPr>
        <w:spacing w:after="0" w:line="62" w:lineRule="exact"/>
        <w:rPr>
          <w:sz w:val="20"/>
          <w:szCs w:val="20"/>
          <w:color w:val="auto"/>
        </w:rPr>
      </w:pPr>
    </w:p>
    <w:p>
      <w:pPr>
        <w:ind w:left="720" w:right="79" w:hanging="319"/>
        <w:spacing w:after="0" w:line="308"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 </w:t>
      </w:r>
      <w:r>
        <w:rPr>
          <w:rFonts w:ascii="Arial" w:cs="Arial" w:eastAsia="Arial" w:hAnsi="Arial"/>
          <w:sz w:val="17"/>
          <w:szCs w:val="17"/>
          <w:color w:val="auto"/>
        </w:rPr>
        <w:t>We used $1,853 million and $1,725 million for capital expenditures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2023 and 2022, respectively. The increase in capital spending is primarily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7" w:name="page38"/>
    <w:bookmarkEnd w:id="37"/>
    <w:p>
      <w:pPr>
        <w:jc w:val="both"/>
        <w:ind w:left="720" w:right="79"/>
        <w:spacing w:after="0" w:line="255" w:lineRule="auto"/>
        <w:rPr>
          <w:sz w:val="20"/>
          <w:szCs w:val="20"/>
          <w:color w:val="auto"/>
        </w:rPr>
      </w:pPr>
      <w:r>
        <w:rPr>
          <w:rFonts w:ascii="Arial" w:cs="Arial" w:eastAsia="Arial" w:hAnsi="Arial"/>
          <w:sz w:val="18"/>
          <w:szCs w:val="18"/>
          <w:color w:val="auto"/>
        </w:rPr>
        <w:t>driven by our intentional investment in sustainability growth capital spending on recycling and renewable energy projects, as well as inflationary increases in many fixed asset purchases made to support ongoing operations and intentional investments in the Company’s landfills to reduce greenhouse gas emissions. The Company continues to maintain a disciplined focus on capital management to prioritize investments for expansion, the replacement of aging assets and assets that support our strategy of differentiation and continuous improvement through efficiency and innovation.</w:t>
      </w:r>
    </w:p>
    <w:p>
      <w:pPr>
        <w:spacing w:after="0" w:line="84" w:lineRule="exact"/>
        <w:rPr>
          <w:sz w:val="20"/>
          <w:szCs w:val="20"/>
          <w:color w:val="auto"/>
        </w:rPr>
      </w:pPr>
    </w:p>
    <w:p>
      <w:pPr>
        <w:jc w:val="both"/>
        <w:ind w:left="720" w:right="79" w:hanging="319"/>
        <w:spacing w:after="0" w:line="25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 The year-over-year changes in other investing activities were primarily driven by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portfolio associated with a wholly-owned insurance captive. During the nine months ended September 30, 2023 and 2022, we used $71 million and $36 million, respectively, of cash from restricted cash and cash equivalents to invest in available-for-sale securities within our investment portfolio associated with a wholly-owned insurance captive. Additionally, in 2022, we used $57 million to fund secured convertible promissory notes associated with an acquisition and $28 million to make an initial cash payment associated with a low-income housing investment.</w:t>
      </w:r>
    </w:p>
    <w:p>
      <w:pPr>
        <w:spacing w:after="0" w:line="87"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nine months ended September 30, 2023 and 2022 are summarized below:</w:t>
      </w:r>
    </w:p>
    <w:p>
      <w:pPr>
        <w:spacing w:after="0" w:line="62" w:lineRule="exact"/>
        <w:rPr>
          <w:sz w:val="20"/>
          <w:szCs w:val="20"/>
          <w:color w:val="auto"/>
        </w:rPr>
      </w:pPr>
    </w:p>
    <w:p>
      <w:pPr>
        <w:ind w:left="720" w:right="7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and Repayments — </w:t>
      </w:r>
      <w:r>
        <w:rPr>
          <w:rFonts w:ascii="Arial" w:cs="Arial" w:eastAsia="Arial" w:hAnsi="Arial"/>
          <w:sz w:val="18"/>
          <w:szCs w:val="18"/>
          <w:color w:val="auto"/>
        </w:rPr>
        <w:t>The following summarizes our cash borrowings (net of related discount)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repayments of debt for the nine months ended September 30 (in millions):</w:t>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2022</w:t>
            </w: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14,062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3,924</w:t>
            </w: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Term loan</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17,319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432"/>
        </w:trPr>
        <w:tc>
          <w:tcPr>
            <w:tcW w:w="60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(15,335)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(4,864)</w:t>
            </w: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Term loan</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ind w:left="220"/>
              <w:spacing w:after="0"/>
              <w:rPr>
                <w:sz w:val="20"/>
                <w:szCs w:val="20"/>
                <w:color w:val="auto"/>
              </w:rPr>
            </w:pPr>
            <w:r>
              <w:rPr>
                <w:rFonts w:ascii="Arial" w:cs="Arial" w:eastAsia="Arial" w:hAnsi="Arial"/>
                <w:sz w:val="18"/>
                <w:szCs w:val="18"/>
                <w:color w:val="auto"/>
              </w:rPr>
              <w:t>Other debt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6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425"/>
        </w:trPr>
        <w:tc>
          <w:tcPr>
            <w:tcW w:w="60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(16,991)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(5,429)</w:t>
            </w:r>
          </w:p>
        </w:tc>
      </w:tr>
      <w:tr>
        <w:trPr>
          <w:trHeight w:val="210"/>
        </w:trPr>
        <w:tc>
          <w:tcPr>
            <w:tcW w:w="6000" w:type="dxa"/>
            <w:vAlign w:val="bottom"/>
          </w:tcPr>
          <w:p>
            <w:pPr>
              <w:spacing w:after="0"/>
              <w:rPr>
                <w:sz w:val="20"/>
                <w:szCs w:val="20"/>
                <w:color w:val="auto"/>
              </w:rPr>
            </w:pPr>
            <w:r>
              <w:rPr>
                <w:rFonts w:ascii="Arial" w:cs="Arial" w:eastAsia="Arial" w:hAnsi="Arial"/>
                <w:sz w:val="18"/>
                <w:szCs w:val="18"/>
                <w:i w:val="1"/>
                <w:iCs w:val="1"/>
                <w:color w:val="auto"/>
              </w:rPr>
              <w:t>Net cash borrowings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720" w:right="79" w:hanging="319"/>
        <w:spacing w:after="0" w:line="301"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Repurchase Program — </w:t>
      </w:r>
      <w:r>
        <w:rPr>
          <w:rFonts w:ascii="Arial" w:cs="Arial" w:eastAsia="Arial" w:hAnsi="Arial"/>
          <w:sz w:val="16"/>
          <w:szCs w:val="16"/>
          <w:color w:val="auto"/>
        </w:rPr>
        <w:t>During the nine months ended September 30, 2023, we repurchased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$950 million of our common stock pursuant to three accelerated share repurchase (“ASR”) agreements and repurchased $41.5 million of our common stock in open market transactions, of which $1.5 million was paid in October 2023. See Note 11 to the Condensed Consolidated Financial Statements for additional information.</w:t>
      </w:r>
    </w:p>
    <w:p>
      <w:pPr>
        <w:spacing w:after="0" w:line="49"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During the nine months ended September 30, 2022, we repurchased $1.0 billion of our common stock pursuant to three ASR agreements and repurchased $63 million of our common stock in open market transactions, of which $2 million was paid in October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8" w:name="page39"/>
    <w:bookmarkEnd w:id="38"/>
    <w:p>
      <w:pPr>
        <w:jc w:val="both"/>
        <w:ind w:left="720" w:right="79" w:hanging="319"/>
        <w:spacing w:after="0" w:line="259"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Cash Dividends — </w:t>
      </w:r>
      <w:r>
        <w:rPr>
          <w:rFonts w:ascii="Arial" w:cs="Arial" w:eastAsia="Arial" w:hAnsi="Arial"/>
          <w:sz w:val="18"/>
          <w:szCs w:val="18"/>
          <w:color w:val="auto"/>
        </w:rPr>
        <w:t>For the periods presented, all dividends have been declared by our Board of Directors. We</w:t>
      </w:r>
      <w:r>
        <w:rPr>
          <w:rFonts w:ascii="Arial" w:cs="Arial" w:eastAsia="Arial" w:hAnsi="Arial"/>
          <w:sz w:val="18"/>
          <w:szCs w:val="18"/>
          <w:i w:val="1"/>
          <w:iCs w:val="1"/>
          <w:color w:val="auto"/>
        </w:rPr>
        <w:t xml:space="preserve"> </w:t>
      </w:r>
      <w:r>
        <w:rPr>
          <w:rFonts w:ascii="Arial" w:cs="Arial" w:eastAsia="Arial" w:hAnsi="Arial"/>
          <w:sz w:val="18"/>
          <w:szCs w:val="18"/>
          <w:color w:val="auto"/>
        </w:rPr>
        <w:t>paid cash dividends of $855 million and $811 million during the nine months ended September 30, 2023 and 2022, respectively. The increase in dividend payments is due to our quarterly per share dividend increasing from $0.65 in 2022 to $0.70 in 2023.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1"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jc w:val="right"/>
              <w:ind w:right="193"/>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r>
      <w:tr>
        <w:trPr>
          <w:trHeight w:val="216"/>
        </w:trPr>
        <w:tc>
          <w:tcPr>
            <w:tcW w:w="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Capital expenditures to support the business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(1,403)</w:t>
            </w: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Capital expenditures - sustainability growth investments (a)</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09"/>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Total capital expenditures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02"/>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Proceeds from divestitures of businesses and other assets, net of</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divested</w:t>
            </w:r>
          </w:p>
        </w:tc>
        <w:tc>
          <w:tcPr>
            <w:tcW w:w="3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20" w:type="dxa"/>
            <w:vAlign w:val="bottom"/>
          </w:tcPr>
          <w:p>
            <w:pPr>
              <w:spacing w:after="0"/>
              <w:rPr>
                <w:sz w:val="18"/>
                <w:szCs w:val="18"/>
                <w:color w:val="auto"/>
              </w:rPr>
            </w:pP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Free cash flow</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growth investments are intended to further our sustainability leadership position by increasing recycling volumes and growing renewable natural gas generation and we expect they will deliver circular solutions for our customers and drive environmental value to the communities we serve.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2022. Actual results could differ materially from the estimates and assumptions that we use in the preparation of our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Our operating revenues tend to be somewhat higher in summer months, primarily due to higher construction and demolition waste volumes. The volumes of industrial and residential waste in certain regions where we operate also tend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9" w:name="page40"/>
    <w:bookmarkEnd w:id="39"/>
    <w:p>
      <w:pPr>
        <w:jc w:val="both"/>
        <w:ind w:left="60" w:right="79"/>
        <w:spacing w:after="0" w:line="277" w:lineRule="auto"/>
        <w:rPr>
          <w:sz w:val="20"/>
          <w:szCs w:val="20"/>
          <w:color w:val="auto"/>
        </w:rPr>
      </w:pPr>
      <w:r>
        <w:rPr>
          <w:rFonts w:ascii="Arial" w:cs="Arial" w:eastAsia="Arial" w:hAnsi="Arial"/>
          <w:sz w:val="18"/>
          <w:szCs w:val="18"/>
          <w:color w:val="auto"/>
        </w:rPr>
        <w:t>to increase during the summer months. Our second and third quarter revenues and results of operations typically reflect these seasonal trends.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Macroeconomic pressures, including inflation and rising interest rates, and market disruption resulting in labor, supply chain and transportation constraints have impacted our results. Significant global supply chain disruption has reduced availability of certain assets used in our business and inflation has increased costs for the goods and services we purchase, particularly for labor, repair and maintenance, and subcontractor costs. Supply chain constraints have caused delayed delivery of fleet, steel containers and other purchases. Aspects of our business rely on third-party transportation providers, and such services have become more limited and expensive. We continue to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78"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 xml:space="preserve">Except for the general financial institution instability that was publicly reported during the first quarter of 2023, as described further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our Quarterly Report on Form 10-Q for the quarterly period ended March 31, 2023, the information about market risks as of September 30, 2023 does not materially differ from that discussed under Item 7A in our Annual Report on Form 10-K for the year ended December 31, 2022.</w:t>
      </w:r>
    </w:p>
    <w:p>
      <w:pPr>
        <w:spacing w:after="0" w:line="16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2023 (the end of the period covered by this Quarterly Report on Form 10-Q) at a reasonable assurance level.</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Management, together with our CEO and CFO, evaluated the changes in our internal control over financial reporting during the quarter ended September 30, 2023. We determined that there were no changes in our internal control over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0" w:name="page41"/>
    <w:bookmarkEnd w:id="40"/>
    <w:p>
      <w:pPr>
        <w:ind w:left="60" w:right="79"/>
        <w:spacing w:after="0" w:line="277" w:lineRule="auto"/>
        <w:rPr>
          <w:sz w:val="20"/>
          <w:szCs w:val="20"/>
          <w:color w:val="auto"/>
        </w:rPr>
      </w:pPr>
      <w:r>
        <w:rPr>
          <w:rFonts w:ascii="Arial" w:cs="Arial" w:eastAsia="Arial" w:hAnsi="Arial"/>
          <w:sz w:val="18"/>
          <w:szCs w:val="18"/>
          <w:color w:val="auto"/>
        </w:rPr>
        <w:t>financial reporting during the quarter ended September 30, 2023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have been no material changes to the risk factors previously disclosed in Part I, Item 1A of our Annual Report on Form 10-K for the year ended December 31, 2022, as updated by Part II, Item 1A of our Quarterly Report on Form 10-Q for the quarter ended March 31, 2023.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180" w:right="79" w:firstLine="324"/>
        <w:spacing w:after="0" w:line="277" w:lineRule="auto"/>
        <w:rPr>
          <w:sz w:val="20"/>
          <w:szCs w:val="20"/>
          <w:color w:val="auto"/>
        </w:rPr>
      </w:pPr>
      <w:r>
        <w:rPr>
          <w:rFonts w:ascii="Arial" w:cs="Arial" w:eastAsia="Arial" w:hAnsi="Arial"/>
          <w:sz w:val="18"/>
          <w:szCs w:val="18"/>
          <w:color w:val="auto"/>
        </w:rPr>
        <w:t>The following table summarizes common stock repurchases made during the third quarter of 2023 (shares in millions):</w:t>
      </w:r>
    </w:p>
    <w:p>
      <w:pPr>
        <w:spacing w:after="0" w:line="5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Approximate Maximum</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8"/>
        </w:trPr>
        <w:tc>
          <w:tcPr>
            <w:tcW w:w="2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Announced Plans or</w:t>
            </w:r>
          </w:p>
        </w:tc>
        <w:tc>
          <w:tcPr>
            <w:tcW w:w="420" w:type="dxa"/>
            <w:vAlign w:val="bottom"/>
          </w:tcPr>
          <w:p>
            <w:pPr>
              <w:spacing w:after="0"/>
              <w:rPr>
                <w:sz w:val="12"/>
                <w:szCs w:val="12"/>
                <w:color w:val="auto"/>
              </w:rPr>
            </w:pPr>
          </w:p>
        </w:tc>
        <w:tc>
          <w:tcPr>
            <w:tcW w:w="2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2280" w:type="dxa"/>
            <w:vAlign w:val="bottom"/>
            <w:gridSpan w:val="3"/>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per Share(a)</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the Plans or Programs(a)</w:t>
            </w:r>
          </w:p>
        </w:tc>
        <w:tc>
          <w:tcPr>
            <w:tcW w:w="0" w:type="dxa"/>
            <w:vAlign w:val="bottom"/>
          </w:tcPr>
          <w:p>
            <w:pPr>
              <w:spacing w:after="0"/>
              <w:rPr>
                <w:sz w:val="1"/>
                <w:szCs w:val="1"/>
                <w:color w:val="auto"/>
              </w:rPr>
            </w:pP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 31 (b)</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4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9"/>
              </w:rPr>
              <w:t>860 million</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3"/>
          </w:tcPr>
          <w:p>
            <w:pPr>
              <w:ind w:left="20"/>
              <w:spacing w:after="0"/>
              <w:rPr>
                <w:sz w:val="20"/>
                <w:szCs w:val="20"/>
                <w:color w:val="auto"/>
              </w:rPr>
            </w:pPr>
            <w:r>
              <w:rPr>
                <w:rFonts w:ascii="Arial" w:cs="Arial" w:eastAsia="Arial" w:hAnsi="Arial"/>
                <w:sz w:val="18"/>
                <w:szCs w:val="18"/>
                <w:color w:val="auto"/>
              </w:rPr>
              <w:t>August 1 — 31 (c)</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163.97</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ind w:left="940"/>
              <w:spacing w:after="0"/>
              <w:rPr>
                <w:sz w:val="20"/>
                <w:szCs w:val="20"/>
                <w:color w:val="auto"/>
              </w:rPr>
            </w:pPr>
            <w:r>
              <w:rPr>
                <w:rFonts w:ascii="Arial" w:cs="Arial" w:eastAsia="Arial" w:hAnsi="Arial"/>
                <w:sz w:val="18"/>
                <w:szCs w:val="18"/>
                <w:color w:val="auto"/>
              </w:rPr>
              <w:t>510 million</w:t>
            </w: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September 1 — 30 (c)</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4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8"/>
              </w:rPr>
              <w:t>508.5 million (d)</w:t>
            </w:r>
          </w:p>
        </w:tc>
        <w:tc>
          <w:tcPr>
            <w:tcW w:w="0" w:type="dxa"/>
            <w:vAlign w:val="bottom"/>
          </w:tcPr>
          <w:p>
            <w:pPr>
              <w:spacing w:after="0"/>
              <w:rPr>
                <w:sz w:val="1"/>
                <w:szCs w:val="1"/>
                <w:color w:val="auto"/>
              </w:rPr>
            </w:pPr>
          </w:p>
        </w:tc>
      </w:tr>
      <w:tr>
        <w:trPr>
          <w:trHeight w:val="209"/>
        </w:trPr>
        <w:tc>
          <w:tcPr>
            <w:tcW w:w="22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157.42</w:t>
            </w:r>
          </w:p>
        </w:tc>
        <w:tc>
          <w:tcPr>
            <w:tcW w:w="4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75"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Inflation Reduction Act of 2022, which was enacted into law on August 16, 2022, imposed a nondeductible 1% excise tax on the net value of certain stock repurchases made after December 31, 2022. We reflected the applicable excise tax in treasury stock as part of the cost basis of the stock repurchased. In the table above and footnotes below, the average price paid per share, total repurchase costs and approximate maximum dollar value of shares that may yet be purchased under the plans or programs exclude the 1% excise tax.</w:t>
      </w:r>
    </w:p>
    <w:p>
      <w:pPr>
        <w:spacing w:after="0" w:line="68" w:lineRule="exact"/>
        <w:rPr>
          <w:rFonts w:ascii="Arial" w:cs="Arial" w:eastAsia="Arial" w:hAnsi="Arial"/>
          <w:sz w:val="17"/>
          <w:szCs w:val="17"/>
          <w:color w:val="auto"/>
        </w:rPr>
      </w:pPr>
    </w:p>
    <w:p>
      <w:pPr>
        <w:jc w:val="both"/>
        <w:ind w:left="380" w:right="79" w:hanging="330"/>
        <w:spacing w:after="0" w:line="263"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July 2023, we repurchased 0.1 million shares of our common stock in open market transactions in compliance with Rule 10b5-1 and Rule 10b-18 of the Exchange Act for $18 million, inclusive of per-share commissions, at a weighted average price of $169.33.</w:t>
      </w:r>
    </w:p>
    <w:p>
      <w:pPr>
        <w:spacing w:after="0" w:line="75" w:lineRule="exact"/>
        <w:rPr>
          <w:rFonts w:ascii="Arial" w:cs="Arial" w:eastAsia="Arial" w:hAnsi="Arial"/>
          <w:sz w:val="18"/>
          <w:szCs w:val="18"/>
          <w:color w:val="auto"/>
        </w:rPr>
      </w:pPr>
    </w:p>
    <w:p>
      <w:pPr>
        <w:jc w:val="both"/>
        <w:ind w:left="380" w:right="79" w:hanging="330"/>
        <w:spacing w:after="0" w:line="272"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August 2023, we repurchased $350 million of our common stock pursuant to an accelerated share repurchase (“ASR”) agreement. At the beginning of the repurchase period, we delivered $350 million cash and received 1.7 million shares based on a stock price of $163.97. The ASR agreement completed in September 2023, at which time we received 0.5 million additional shares based on a final weighted average price of $156.87. In September 2023, after the completion of the ASR agreement, we repurchased 9,744 shares of our common stock in open market transactions in compliance with Rule 10b5-1 and Rule 10b-18 of the Exchange Act for $1.5 million, inclusive of per share commissions, at a weighted average price of $153.93, which was paid in October 2023.</w:t>
      </w:r>
    </w:p>
    <w:p>
      <w:pPr>
        <w:spacing w:after="0" w:line="69" w:lineRule="exact"/>
        <w:rPr>
          <w:rFonts w:ascii="Arial" w:cs="Arial" w:eastAsia="Arial" w:hAnsi="Arial"/>
          <w:sz w:val="17"/>
          <w:szCs w:val="17"/>
          <w:color w:val="auto"/>
        </w:rPr>
      </w:pPr>
    </w:p>
    <w:p>
      <w:pPr>
        <w:ind w:left="380" w:right="79"/>
        <w:spacing w:after="0" w:line="277" w:lineRule="auto"/>
        <w:rPr>
          <w:rFonts w:ascii="Arial" w:cs="Arial" w:eastAsia="Arial" w:hAnsi="Arial"/>
          <w:sz w:val="17"/>
          <w:szCs w:val="17"/>
          <w:color w:val="auto"/>
        </w:rPr>
      </w:pPr>
      <w:r>
        <w:rPr>
          <w:rFonts w:ascii="Arial" w:cs="Arial" w:eastAsia="Arial" w:hAnsi="Arial"/>
          <w:sz w:val="18"/>
          <w:szCs w:val="18"/>
          <w:color w:val="auto"/>
        </w:rPr>
        <w:t>The “Average Price Paid per Share” in the table for September represents the final weighted average price per share paid for the August 2023 ASR agreement and the September 2023 open market transactions.</w:t>
      </w:r>
    </w:p>
    <w:p>
      <w:pPr>
        <w:spacing w:after="0" w:line="62" w:lineRule="exact"/>
        <w:rPr>
          <w:rFonts w:ascii="Arial" w:cs="Arial" w:eastAsia="Arial" w:hAnsi="Arial"/>
          <w:sz w:val="17"/>
          <w:szCs w:val="17"/>
          <w:color w:val="auto"/>
        </w:rPr>
      </w:pPr>
    </w:p>
    <w:p>
      <w:pPr>
        <w:jc w:val="both"/>
        <w:ind w:left="380" w:right="79" w:hanging="330"/>
        <w:spacing w:after="0" w:line="25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September 30, 2023, the Company has authorization for $508.5 million of future share repurchases, exclusive of the 1% excise tax discussed above.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r>
        <w:rPr>
          <w:rFonts w:ascii="Arial" w:cs="Arial" w:eastAsia="Arial" w:hAnsi="Arial"/>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229"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During the quarter ended September 30, 2023, the following executive officers adopted the stock trading plans described below, each of which is intended to satisfy the affirmative defense of Rule 10b5-1(c) under the Exchange Act:</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Plan</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Plan</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Executive Officer</w:t>
            </w:r>
          </w:p>
        </w:tc>
        <w:tc>
          <w:tcPr>
            <w:tcW w:w="140" w:type="dxa"/>
            <w:vAlign w:val="bottom"/>
            <w:vMerge w:val="restart"/>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Adoption</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Effective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2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 of Transaction</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Date(a)</w:t>
            </w:r>
          </w:p>
        </w:tc>
        <w:tc>
          <w:tcPr>
            <w:tcW w:w="140" w:type="dxa"/>
            <w:vAlign w:val="bottom"/>
            <w:tcBorders>
              <w:bottom w:val="single" w:sz="8" w:color="CCEEFF"/>
            </w:tcBorders>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Rafael Carrasco</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8/14/2023</w:t>
            </w:r>
          </w:p>
        </w:tc>
        <w:tc>
          <w:tcPr>
            <w:tcW w:w="16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12/1/2023</w:t>
            </w: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8"/>
              </w:rPr>
              <w:t>None</w:t>
            </w:r>
          </w:p>
        </w:tc>
        <w:tc>
          <w:tcPr>
            <w:tcW w:w="2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Sell-to-Cover Taxes (b)</w:t>
            </w:r>
          </w:p>
        </w:tc>
        <w:tc>
          <w:tcPr>
            <w:tcW w:w="0" w:type="dxa"/>
            <w:vAlign w:val="bottom"/>
          </w:tcPr>
          <w:p>
            <w:pPr>
              <w:spacing w:after="0"/>
              <w:rPr>
                <w:sz w:val="1"/>
                <w:szCs w:val="1"/>
                <w:color w:val="auto"/>
              </w:rPr>
            </w:pPr>
          </w:p>
        </w:tc>
      </w:tr>
      <w:tr>
        <w:trPr>
          <w:trHeight w:val="122"/>
        </w:trPr>
        <w:tc>
          <w:tcPr>
            <w:tcW w:w="35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Senior Vice President, Enterprise Strategy</w:t>
            </w:r>
          </w:p>
        </w:tc>
        <w:tc>
          <w:tcPr>
            <w:tcW w:w="78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2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20" w:type="dxa"/>
            <w:vAlign w:val="bottom"/>
            <w:gridSpan w:val="2"/>
            <w:vMerge w:val="continue"/>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Michael Watson</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vMerge w:val="restart"/>
          </w:tcPr>
          <w:p>
            <w:pPr>
              <w:jc w:val="center"/>
              <w:spacing w:after="0"/>
              <w:rPr>
                <w:sz w:val="20"/>
                <w:szCs w:val="20"/>
                <w:color w:val="auto"/>
              </w:rPr>
            </w:pPr>
            <w:r>
              <w:rPr>
                <w:rFonts w:ascii="Arial" w:cs="Arial" w:eastAsia="Arial" w:hAnsi="Arial"/>
                <w:sz w:val="18"/>
                <w:szCs w:val="18"/>
                <w:color w:val="auto"/>
                <w:w w:val="87"/>
              </w:rPr>
              <w:t>Cashless Exercise and Sale (c)</w:t>
            </w:r>
          </w:p>
        </w:tc>
        <w:tc>
          <w:tcPr>
            <w:tcW w:w="0" w:type="dxa"/>
            <w:vAlign w:val="bottom"/>
          </w:tcPr>
          <w:p>
            <w:pPr>
              <w:spacing w:after="0"/>
              <w:rPr>
                <w:sz w:val="1"/>
                <w:szCs w:val="1"/>
                <w:color w:val="auto"/>
              </w:rPr>
            </w:pPr>
          </w:p>
        </w:tc>
      </w:tr>
      <w:tr>
        <w:trPr>
          <w:trHeight w:val="108"/>
        </w:trPr>
        <w:tc>
          <w:tcPr>
            <w:tcW w:w="35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0"/>
              </w:rPr>
              <w:t>Senior Vice President</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2"/>
              </w:rPr>
              <w:t>8/22/2023</w:t>
            </w:r>
          </w:p>
        </w:tc>
        <w:tc>
          <w:tcPr>
            <w:tcW w:w="16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11/20/2023</w:t>
            </w:r>
          </w:p>
        </w:tc>
        <w:tc>
          <w:tcPr>
            <w:tcW w:w="14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2"/>
              </w:rPr>
              <w:t>1/31/2024</w:t>
            </w:r>
          </w:p>
        </w:tc>
        <w:tc>
          <w:tcPr>
            <w:tcW w:w="14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560" w:type="dxa"/>
            <w:vAlign w:val="bottom"/>
            <w:vMerge w:val="restart"/>
          </w:tcPr>
          <w:p>
            <w:pPr>
              <w:jc w:val="center"/>
              <w:spacing w:after="0"/>
              <w:rPr>
                <w:sz w:val="20"/>
                <w:szCs w:val="20"/>
                <w:color w:val="auto"/>
              </w:rPr>
            </w:pPr>
            <w:r>
              <w:rPr>
                <w:rFonts w:ascii="Arial" w:cs="Arial" w:eastAsia="Arial" w:hAnsi="Arial"/>
                <w:sz w:val="18"/>
                <w:szCs w:val="18"/>
                <w:color w:val="auto"/>
                <w:w w:val="89"/>
              </w:rPr>
              <w:t>Cashless Exercise and Hold (d)</w:t>
            </w:r>
          </w:p>
        </w:tc>
        <w:tc>
          <w:tcPr>
            <w:tcW w:w="0" w:type="dxa"/>
            <w:vAlign w:val="bottom"/>
          </w:tcPr>
          <w:p>
            <w:pPr>
              <w:spacing w:after="0"/>
              <w:rPr>
                <w:sz w:val="1"/>
                <w:szCs w:val="1"/>
                <w:color w:val="auto"/>
              </w:rPr>
            </w:pPr>
          </w:p>
        </w:tc>
      </w:tr>
      <w:tr>
        <w:trPr>
          <w:trHeight w:val="122"/>
        </w:trPr>
        <w:tc>
          <w:tcPr>
            <w:tcW w:w="35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4"/>
              </w:rPr>
              <w:t>&amp; Chief Customer Officer</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5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8"/>
              </w:rPr>
              <w:t>Tara Hemmer</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Donation (e)</w:t>
            </w:r>
          </w:p>
        </w:tc>
        <w:tc>
          <w:tcPr>
            <w:tcW w:w="0" w:type="dxa"/>
            <w:vAlign w:val="bottom"/>
          </w:tcPr>
          <w:p>
            <w:pPr>
              <w:spacing w:after="0"/>
              <w:rPr>
                <w:sz w:val="1"/>
                <w:szCs w:val="1"/>
                <w:color w:val="auto"/>
              </w:rPr>
            </w:pPr>
          </w:p>
        </w:tc>
      </w:tr>
      <w:tr>
        <w:trPr>
          <w:trHeight w:val="108"/>
        </w:trPr>
        <w:tc>
          <w:tcPr>
            <w:tcW w:w="3520" w:type="dxa"/>
            <w:vAlign w:val="bottom"/>
            <w:gridSpan w:val="2"/>
            <w:vMerge w:val="continue"/>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Open Market Sale Upon Payout of</w:t>
            </w:r>
          </w:p>
        </w:tc>
        <w:tc>
          <w:tcPr>
            <w:tcW w:w="0" w:type="dxa"/>
            <w:vAlign w:val="bottom"/>
          </w:tcPr>
          <w:p>
            <w:pPr>
              <w:spacing w:after="0"/>
              <w:rPr>
                <w:sz w:val="1"/>
                <w:szCs w:val="1"/>
                <w:color w:val="auto"/>
              </w:rPr>
            </w:pPr>
          </w:p>
        </w:tc>
      </w:tr>
      <w:tr>
        <w:trPr>
          <w:trHeight w:val="108"/>
        </w:trPr>
        <w:tc>
          <w:tcPr>
            <w:tcW w:w="35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8"/>
                <w:szCs w:val="18"/>
                <w:color w:val="auto"/>
                <w:w w:val="90"/>
              </w:rPr>
              <w:t>Senior Vice President</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8/28/2023</w:t>
            </w:r>
          </w:p>
        </w:tc>
        <w:tc>
          <w:tcPr>
            <w:tcW w:w="1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11/27/2023</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3/28/2024</w:t>
            </w:r>
          </w:p>
        </w:tc>
        <w:tc>
          <w:tcPr>
            <w:tcW w:w="140" w:type="dxa"/>
            <w:vAlign w:val="bottom"/>
            <w:shd w:val="clear" w:color="auto" w:fill="CCEEFF"/>
          </w:tcPr>
          <w:p>
            <w:pPr>
              <w:spacing w:after="0"/>
              <w:rPr>
                <w:sz w:val="9"/>
                <w:szCs w:val="9"/>
                <w:color w:val="auto"/>
              </w:rPr>
            </w:pPr>
          </w:p>
        </w:tc>
        <w:tc>
          <w:tcPr>
            <w:tcW w:w="25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2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Performance Share Units (f)</w:t>
            </w:r>
          </w:p>
        </w:tc>
        <w:tc>
          <w:tcPr>
            <w:tcW w:w="0" w:type="dxa"/>
            <w:vAlign w:val="bottom"/>
          </w:tcPr>
          <w:p>
            <w:pPr>
              <w:spacing w:after="0"/>
              <w:rPr>
                <w:sz w:val="1"/>
                <w:szCs w:val="1"/>
                <w:color w:val="auto"/>
              </w:rPr>
            </w:pPr>
          </w:p>
        </w:tc>
      </w:tr>
      <w:tr>
        <w:trPr>
          <w:trHeight w:val="108"/>
        </w:trPr>
        <w:tc>
          <w:tcPr>
            <w:tcW w:w="35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5"/>
              </w:rPr>
              <w:t>&amp; Chief Sustainability Officer</w:t>
            </w: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5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52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Cashless Exercise and Hold (g)</w:t>
            </w:r>
          </w:p>
        </w:tc>
        <w:tc>
          <w:tcPr>
            <w:tcW w:w="0" w:type="dxa"/>
            <w:vAlign w:val="bottom"/>
          </w:tcPr>
          <w:p>
            <w:pPr>
              <w:spacing w:after="0"/>
              <w:rPr>
                <w:sz w:val="1"/>
                <w:szCs w:val="1"/>
                <w:color w:val="auto"/>
              </w:rPr>
            </w:pPr>
          </w:p>
        </w:tc>
      </w:tr>
      <w:tr>
        <w:trPr>
          <w:trHeight w:val="108"/>
        </w:trPr>
        <w:tc>
          <w:tcPr>
            <w:tcW w:w="3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5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John Morris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jc w:val="center"/>
              <w:spacing w:after="0" w:line="201" w:lineRule="exact"/>
              <w:rPr>
                <w:sz w:val="20"/>
                <w:szCs w:val="20"/>
                <w:color w:val="auto"/>
              </w:rPr>
            </w:pPr>
            <w:r>
              <w:rPr>
                <w:rFonts w:ascii="Arial" w:cs="Arial" w:eastAsia="Arial" w:hAnsi="Arial"/>
                <w:sz w:val="18"/>
                <w:szCs w:val="18"/>
                <w:color w:val="auto"/>
                <w:w w:val="91"/>
              </w:rPr>
              <w:t>Open Market Sale Upon Payout of</w:t>
            </w:r>
          </w:p>
        </w:tc>
        <w:tc>
          <w:tcPr>
            <w:tcW w:w="0" w:type="dxa"/>
            <w:vAlign w:val="bottom"/>
          </w:tcPr>
          <w:p>
            <w:pPr>
              <w:spacing w:after="0"/>
              <w:rPr>
                <w:sz w:val="1"/>
                <w:szCs w:val="1"/>
                <w:color w:val="auto"/>
              </w:rPr>
            </w:pPr>
          </w:p>
        </w:tc>
      </w:tr>
      <w:tr>
        <w:trPr>
          <w:trHeight w:val="216"/>
        </w:trPr>
        <w:tc>
          <w:tcPr>
            <w:tcW w:w="35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Executive Vice President</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9/5/2023</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12/4/2023</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6/28/2024</w:t>
            </w:r>
          </w:p>
        </w:tc>
        <w:tc>
          <w:tcPr>
            <w:tcW w:w="14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Performance Share Units (h)</w:t>
            </w:r>
          </w:p>
        </w:tc>
        <w:tc>
          <w:tcPr>
            <w:tcW w:w="0" w:type="dxa"/>
            <w:vAlign w:val="bottom"/>
          </w:tcPr>
          <w:p>
            <w:pPr>
              <w:spacing w:after="0"/>
              <w:rPr>
                <w:sz w:val="1"/>
                <w:szCs w:val="1"/>
                <w:color w:val="auto"/>
              </w:rPr>
            </w:pPr>
          </w:p>
        </w:tc>
      </w:tr>
      <w:tr>
        <w:trPr>
          <w:trHeight w:val="230"/>
        </w:trPr>
        <w:tc>
          <w:tcPr>
            <w:tcW w:w="35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&amp; Chief Operating Officer</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8"/>
              </w:rPr>
              <w:t>Cashless Exercise and Sale (i)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jc w:val="both"/>
        <w:ind w:left="380" w:right="79" w:hanging="330"/>
        <w:spacing w:after="0" w:line="259"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Carrasco’s stock trading plan provides that it shall remain in effect for as long as he is employed, unless affirmatively terminated sooner. The remaining stock trading plans will automatically terminate at the earlier of the applicable Plan Expiration Date set forth above or the completion of all of the contemplated transactions set forth therein.</w:t>
      </w:r>
    </w:p>
    <w:p>
      <w:pPr>
        <w:spacing w:after="0" w:line="78" w:lineRule="exact"/>
        <w:rPr>
          <w:rFonts w:ascii="Arial" w:cs="Arial" w:eastAsia="Arial" w:hAnsi="Arial"/>
          <w:sz w:val="18"/>
          <w:szCs w:val="18"/>
          <w:color w:val="auto"/>
        </w:rPr>
      </w:pPr>
    </w:p>
    <w:p>
      <w:pPr>
        <w:jc w:val="both"/>
        <w:ind w:left="380" w:right="79" w:hanging="330"/>
        <w:spacing w:after="0" w:line="271"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Carrasco’s stock trading plan provides that, upon future vesting and payout of equity compensation awards granted to Mr. Carrasco by the Company or any affiliate, the Corporate Secretary shall cause to be sold the number of shares of common stock that, when added to tax withholding by the Company, will generate sufficient proceeds to cover the full anticipated personal federal tax obligations on account of such equity compensation award. The proceeds shall be remitted directly to the U.S. Internal Revenue Service. The number of shares of common stock to potentially be sold pursuant to this stock trading plan will depend on the terms of current unvested and future equity compensation awards granted to Mr. Carrasco and the Company’s achievement relative to applicable performance measures for such current unvested and future equity compensation awards.</w:t>
      </w:r>
    </w:p>
    <w:p>
      <w:pPr>
        <w:spacing w:after="0" w:line="70" w:lineRule="exact"/>
        <w:rPr>
          <w:rFonts w:ascii="Arial" w:cs="Arial" w:eastAsia="Arial" w:hAnsi="Arial"/>
          <w:sz w:val="17"/>
          <w:szCs w:val="17"/>
          <w:color w:val="auto"/>
        </w:rPr>
      </w:pPr>
    </w:p>
    <w:p>
      <w:pPr>
        <w:jc w:val="both"/>
        <w:ind w:left="380" w:right="79" w:hanging="330"/>
        <w:spacing w:after="0" w:line="286"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Watson’s stock trading plan provides for the potential cashless exercise of 8,184 stock options, upon our common stock reaching a specified market price, pursuant to which shares of common stock will be sold to cover option costs, tax obligations, commissions and fees, and all net shares received after settlement will also be sold.</w:t>
      </w:r>
    </w:p>
    <w:p>
      <w:pPr>
        <w:spacing w:after="0" w:line="57" w:lineRule="exact"/>
        <w:rPr>
          <w:rFonts w:ascii="Arial" w:cs="Arial" w:eastAsia="Arial" w:hAnsi="Arial"/>
          <w:sz w:val="17"/>
          <w:szCs w:val="17"/>
          <w:color w:val="auto"/>
        </w:rPr>
      </w:pPr>
    </w:p>
    <w:p>
      <w:pPr>
        <w:jc w:val="both"/>
        <w:ind w:left="380" w:right="79" w:hanging="330"/>
        <w:spacing w:after="0" w:line="259"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Watson’s stock trading plan also provides for the potential cashless exercise of 8,183 stock options, upon our common stock reaching a specified market price, pursuant to which shares of common stock will be sold to cover option costs, tax obligations, commissions and fees; Mr. Watson will then continue to hold all remaining shares of common stock resulting from the option exercise after the settlement.</w:t>
      </w:r>
    </w:p>
    <w:p>
      <w:pPr>
        <w:spacing w:after="0" w:line="78"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Hemmer’s stock trading plan provides for a donation of 900 shares of our common stock upon our common stock reaching a specified market price.</w:t>
      </w:r>
    </w:p>
    <w:p>
      <w:pPr>
        <w:spacing w:after="0" w:line="62" w:lineRule="exact"/>
        <w:rPr>
          <w:rFonts w:ascii="Arial" w:cs="Arial" w:eastAsia="Arial" w:hAnsi="Arial"/>
          <w:sz w:val="18"/>
          <w:szCs w:val="18"/>
          <w:color w:val="auto"/>
        </w:rPr>
      </w:pPr>
    </w:p>
    <w:p>
      <w:pPr>
        <w:jc w:val="both"/>
        <w:ind w:left="380" w:right="79" w:hanging="330"/>
        <w:spacing w:after="0" w:line="293" w:lineRule="auto"/>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Ms. Hemmer’s stock trading plan also provides for the sale of 25% of net after-tax shares of our common stock received upon the payout of performance share unit (“PSU”) equity compensation awards in 2024, for the performance period ending December 31, 2023, upon our common stock reaching each of three specified market prices, for an aggregate total sale of up to 75% of such net after-tax shares. Ms. Hemmer received a target grant of 11,930 PSU awards with a performance period ending December 31, 2023; the number of shares to be delivered to Ms. Hemmer on account of these PSU awards can range from zero to 200% of the initial target grant. As a result, the number 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3" w:name="page44"/>
    <w:bookmarkEnd w:id="43"/>
    <w:p>
      <w:pPr>
        <w:ind w:left="380" w:right="79"/>
        <w:spacing w:after="0" w:line="277" w:lineRule="auto"/>
        <w:rPr>
          <w:sz w:val="20"/>
          <w:szCs w:val="20"/>
          <w:color w:val="auto"/>
        </w:rPr>
      </w:pPr>
      <w:r>
        <w:rPr>
          <w:rFonts w:ascii="Arial" w:cs="Arial" w:eastAsia="Arial" w:hAnsi="Arial"/>
          <w:sz w:val="18"/>
          <w:szCs w:val="18"/>
          <w:color w:val="auto"/>
        </w:rPr>
        <w:t>shares of common stock to potentially be sold pursuant to this instruction will be determined based on the Company’s achievement relative to applicable performance measures for the underlying PSU awards.</w:t>
      </w:r>
    </w:p>
    <w:p>
      <w:pPr>
        <w:spacing w:after="0" w:line="62" w:lineRule="exact"/>
        <w:rPr>
          <w:sz w:val="20"/>
          <w:szCs w:val="20"/>
          <w:color w:val="auto"/>
        </w:rPr>
      </w:pPr>
    </w:p>
    <w:p>
      <w:pPr>
        <w:jc w:val="both"/>
        <w:ind w:left="380" w:right="79" w:hanging="330"/>
        <w:spacing w:after="0" w:line="279"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Ms. Hemmer’s stock trading plan also provides for the potential cashless exercise of an aggregate of 27,005 stock options upon our common stock reaching specified market prices, pursuant to which shares of common stock will be sold to cover option costs, tax obligations, commissions and fees; Ms. Hemmer will then continue to hold all remaining shares of common stock resulting from the option exercise after settlement.</w:t>
      </w:r>
    </w:p>
    <w:p>
      <w:pPr>
        <w:spacing w:after="0" w:line="63" w:lineRule="exact"/>
        <w:rPr>
          <w:rFonts w:ascii="Arial" w:cs="Arial" w:eastAsia="Arial" w:hAnsi="Arial"/>
          <w:sz w:val="17"/>
          <w:szCs w:val="17"/>
          <w:color w:val="auto"/>
        </w:rPr>
      </w:pPr>
    </w:p>
    <w:p>
      <w:pPr>
        <w:jc w:val="both"/>
        <w:ind w:left="380" w:right="79" w:hanging="330"/>
        <w:spacing w:after="0" w:line="272"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Morris’s stock trading plan provides for the sale of all net after-tax shares of our common stock received upon payout of PSU equity compensation awards in 2024, for the performance period ending December 31, 2023, upon our common stock reaching a specified market price. Mr. Morris received a target grant of 16,140 PSU awards with a performance period ending December 31, 2023; the number of shares to be delivered to Mr. Morris on account of these PSU awards can range from zero to 200% of the initial target grant. As a result, the number of shares of common stock to potentially be sold pursuant to this instruction will be determined based on the Company’s achievement relative to applicable performance measures for the underlying PSU awards.</w:t>
      </w:r>
    </w:p>
    <w:p>
      <w:pPr>
        <w:spacing w:after="0" w:line="69" w:lineRule="exact"/>
        <w:rPr>
          <w:rFonts w:ascii="Arial" w:cs="Arial" w:eastAsia="Arial" w:hAnsi="Arial"/>
          <w:sz w:val="17"/>
          <w:szCs w:val="17"/>
          <w:color w:val="auto"/>
        </w:rPr>
      </w:pPr>
    </w:p>
    <w:p>
      <w:pPr>
        <w:jc w:val="both"/>
        <w:ind w:left="380" w:right="79" w:hanging="330"/>
        <w:spacing w:after="0" w:line="286"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Morris’s stock trading plan also provides for the potential cashless exercise of 17,778 stock options upon our common stock reaching a specified market price, pursuant to which shares of common stock will be sold to cover option costs, tax obligations, commissions and fees, and all net shares received after settlement will also be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60" w:type="dxa"/>
            <w:vAlign w:val="bottom"/>
            <w:gridSpan w:val="13"/>
          </w:tcPr>
          <w:p>
            <w:pPr>
              <w:ind w:left="16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60" w:type="dxa"/>
            <w:vAlign w:val="bottom"/>
            <w:tcBorders>
              <w:top w:val="single" w:sz="8" w:color="auto"/>
            </w:tcBorders>
            <w:gridSpan w:val="16"/>
          </w:tcPr>
          <w:p>
            <w:pPr>
              <w:spacing w:after="0" w:line="169" w:lineRule="exact"/>
              <w:rPr>
                <w:sz w:val="20"/>
                <w:szCs w:val="20"/>
                <w:color w:val="auto"/>
              </w:rPr>
            </w:pPr>
            <w:r>
              <w:rPr>
                <w:rFonts w:ascii="Arial" w:cs="Arial" w:eastAsia="Arial" w:hAnsi="Arial"/>
                <w:sz w:val="18"/>
                <w:szCs w:val="18"/>
                <w:color w:val="0000EE"/>
                <w:w w:val="99"/>
              </w:rPr>
              <w:t>Officers’ Certificate delivered pursuant to Section 301 of the Indenture dated September 10, 1997</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establishing the terms and form of the 4.875% Senior Notes due 2029</w:t>
            </w:r>
            <w:r>
              <w:rPr>
                <w:rFonts w:ascii="Arial" w:cs="Arial" w:eastAsia="Arial" w:hAnsi="Arial"/>
                <w:sz w:val="18"/>
                <w:szCs w:val="18"/>
                <w:color w:val="000000"/>
              </w:rPr>
              <w:t>.</w:t>
            </w:r>
          </w:p>
        </w:tc>
        <w:tc>
          <w:tcPr>
            <w:tcW w:w="740" w:type="dxa"/>
            <w:vAlign w:val="bottom"/>
            <w:gridSpan w:val="6"/>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7780" w:type="dxa"/>
            <w:vAlign w:val="bottom"/>
            <w:gridSpan w:val="17"/>
          </w:tcPr>
          <w:p>
            <w:pPr>
              <w:spacing w:after="0"/>
              <w:rPr>
                <w:sz w:val="20"/>
                <w:szCs w:val="20"/>
                <w:color w:val="auto"/>
              </w:rPr>
            </w:pPr>
            <w:r>
              <w:rPr>
                <w:rFonts w:ascii="Arial" w:cs="Arial" w:eastAsia="Arial" w:hAnsi="Arial"/>
                <w:sz w:val="18"/>
                <w:szCs w:val="18"/>
                <w:color w:val="0000EE"/>
              </w:rPr>
              <w:t>Officers’ Certificate delivered pursuant to Section 301 of the Indenture dated September 10, 1997</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establishing the terms and form of the 4.875% Senior Notes due 2034.</w:t>
            </w:r>
          </w:p>
        </w:tc>
        <w:tc>
          <w:tcPr>
            <w:tcW w:w="1960" w:type="dxa"/>
            <w:vAlign w:val="bottom"/>
            <w:tcBorders>
              <w:top w:val="single" w:sz="8" w:color="0000EE"/>
            </w:tcBorders>
          </w:tcPr>
          <w:p>
            <w:pPr>
              <w:spacing w:after="0"/>
              <w:rPr>
                <w:sz w:val="17"/>
                <w:szCs w:val="17"/>
                <w:color w:val="auto"/>
              </w:rPr>
            </w:pPr>
          </w:p>
        </w:tc>
        <w:tc>
          <w:tcPr>
            <w:tcW w:w="740" w:type="dxa"/>
            <w:vAlign w:val="bottom"/>
            <w:gridSpan w:val="6"/>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7780" w:type="dxa"/>
            <w:vAlign w:val="bottom"/>
            <w:gridSpan w:val="17"/>
          </w:tcPr>
          <w:p>
            <w:pPr>
              <w:spacing w:after="0"/>
              <w:rPr>
                <w:sz w:val="20"/>
                <w:szCs w:val="20"/>
                <w:color w:val="auto"/>
              </w:rPr>
            </w:pPr>
            <w:r>
              <w:rPr>
                <w:rFonts w:ascii="Arial" w:cs="Arial" w:eastAsia="Arial" w:hAnsi="Arial"/>
                <w:sz w:val="18"/>
                <w:szCs w:val="18"/>
                <w:color w:val="0000EE"/>
                <w:w w:val="94"/>
              </w:rPr>
              <w:t>Guarantee Agreement by WM Holdings in favor of The Bank of New York Mellon Trust Company, N.A.,</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as Trustee for the holders of the 4.875% Senior Notes due 2029.</w:t>
            </w:r>
          </w:p>
        </w:tc>
        <w:tc>
          <w:tcPr>
            <w:tcW w:w="2980" w:type="dxa"/>
            <w:vAlign w:val="bottom"/>
            <w:tcBorders>
              <w:top w:val="single" w:sz="8" w:color="0000EE"/>
            </w:tcBorders>
            <w:gridSpan w:val="7"/>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7780" w:type="dxa"/>
            <w:vAlign w:val="bottom"/>
            <w:gridSpan w:val="17"/>
          </w:tcPr>
          <w:p>
            <w:pPr>
              <w:spacing w:after="0"/>
              <w:rPr>
                <w:sz w:val="20"/>
                <w:szCs w:val="20"/>
                <w:color w:val="auto"/>
              </w:rPr>
            </w:pPr>
            <w:r>
              <w:rPr>
                <w:rFonts w:ascii="Arial" w:cs="Arial" w:eastAsia="Arial" w:hAnsi="Arial"/>
                <w:sz w:val="18"/>
                <w:szCs w:val="18"/>
                <w:color w:val="0000EE"/>
                <w:w w:val="94"/>
              </w:rPr>
              <w:t>Guarantee Agreement by WM Holdings in favor of The Bank of New York Mellon Trust Company, N.A.,</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2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as Trustee for the holders of the 4.875% Senior Notes due 2034.</w:t>
            </w:r>
          </w:p>
        </w:tc>
        <w:tc>
          <w:tcPr>
            <w:tcW w:w="160" w:type="dxa"/>
            <w:vAlign w:val="bottom"/>
            <w:gridSpan w:val="3"/>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4"/>
                <w:szCs w:val="24"/>
                <w:color w:val="auto"/>
              </w:rPr>
            </w:pPr>
          </w:p>
        </w:tc>
        <w:tc>
          <w:tcPr>
            <w:tcW w:w="46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Guarantor Subsidiary.</w:t>
            </w:r>
          </w:p>
        </w:tc>
        <w:tc>
          <w:tcPr>
            <w:tcW w:w="3160" w:type="dxa"/>
            <w:vAlign w:val="bottom"/>
            <w:gridSpan w:val="11"/>
          </w:tcPr>
          <w:p>
            <w:pPr>
              <w:spacing w:after="0"/>
              <w:rPr>
                <w:sz w:val="24"/>
                <w:szCs w:val="24"/>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76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Certification Pursuant to Rules 13a-14(a) and 15d-14(a) under the Securities Exchange Act of 1934 James</w:t>
            </w:r>
          </w:p>
        </w:tc>
        <w:tc>
          <w:tcPr>
            <w:tcW w:w="12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C. Fish, Jr., President and Chief Executive Officer.</w:t>
            </w:r>
          </w:p>
        </w:tc>
        <w:tc>
          <w:tcPr>
            <w:tcW w:w="4120" w:type="dxa"/>
            <w:vAlign w:val="bottom"/>
            <w:gridSpan w:val="12"/>
          </w:tcPr>
          <w:p>
            <w:pPr>
              <w:spacing w:after="0"/>
              <w:rPr>
                <w:sz w:val="17"/>
                <w:szCs w:val="17"/>
                <w:color w:val="auto"/>
              </w:rPr>
            </w:pPr>
          </w:p>
        </w:tc>
      </w:tr>
      <w:tr>
        <w:trPr>
          <w:trHeight w:val="317"/>
        </w:trPr>
        <w:tc>
          <w:tcPr>
            <w:tcW w:w="900" w:type="dxa"/>
            <w:vAlign w:val="bottom"/>
            <w:gridSpan w:val="2"/>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77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0"/>
              </w:rPr>
              <w:t>Certification Pursuant to Rules 13a-14(a) and 15d-14(a) under the Securities Exchange Act of 1934 Devina</w:t>
            </w: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7"/>
          </w:tcPr>
          <w:p>
            <w:pPr>
              <w:spacing w:after="0" w:line="196" w:lineRule="exact"/>
              <w:rPr>
                <w:sz w:val="20"/>
                <w:szCs w:val="20"/>
                <w:color w:val="auto"/>
              </w:rPr>
            </w:pPr>
            <w:r>
              <w:rPr>
                <w:rFonts w:ascii="Arial" w:cs="Arial" w:eastAsia="Arial" w:hAnsi="Arial"/>
                <w:sz w:val="18"/>
                <w:szCs w:val="18"/>
                <w:color w:val="0000EE"/>
              </w:rPr>
              <w:t>A. Rankin, Executive Vice President and Chief Financial Officer.</w:t>
            </w: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4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Certification Pursuant to 18 U.S.C. §1350 of James C. Fish, Jr., President and Chief Executive Officer.</w:t>
            </w:r>
          </w:p>
        </w:tc>
        <w:tc>
          <w:tcPr>
            <w:tcW w:w="380" w:type="dxa"/>
            <w:vAlign w:val="bottom"/>
            <w:gridSpan w:val="4"/>
          </w:tcPr>
          <w:p>
            <w:pPr>
              <w:spacing w:after="0"/>
              <w:rPr>
                <w:sz w:val="24"/>
                <w:szCs w:val="24"/>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72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1"/>
              </w:rPr>
              <w:t>Certification Pursuant to 18 U.S.C. §1350 of Devina A. Rankin, Executive Vice President and Chief</w:t>
            </w:r>
          </w:p>
        </w:tc>
        <w:tc>
          <w:tcPr>
            <w:tcW w:w="56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Financial Officer.</w:t>
            </w:r>
          </w:p>
        </w:tc>
        <w:tc>
          <w:tcPr>
            <w:tcW w:w="6500" w:type="dxa"/>
            <w:vAlign w:val="bottom"/>
            <w:gridSpan w:val="15"/>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7780" w:type="dxa"/>
            <w:vAlign w:val="bottom"/>
            <w:gridSpan w:val="17"/>
          </w:tcPr>
          <w:p>
            <w:pPr>
              <w:spacing w:after="0"/>
              <w:rPr>
                <w:sz w:val="20"/>
                <w:szCs w:val="20"/>
                <w:color w:val="auto"/>
              </w:rPr>
            </w:pPr>
            <w:r>
              <w:rPr>
                <w:rFonts w:ascii="Arial" w:cs="Arial" w:eastAsia="Arial" w:hAnsi="Arial"/>
                <w:sz w:val="18"/>
                <w:szCs w:val="18"/>
                <w:color w:val="0000EE"/>
              </w:rPr>
              <w:t>Mine Safety Disclosures.</w:t>
            </w:r>
          </w:p>
        </w:tc>
      </w:tr>
      <w:tr>
        <w:trPr>
          <w:trHeight w:val="358"/>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Inline XBRL Instance.</w:t>
            </w:r>
          </w:p>
        </w:tc>
        <w:tc>
          <w:tcPr>
            <w:tcW w:w="5960" w:type="dxa"/>
            <w:vAlign w:val="bottom"/>
            <w:gridSpan w:val="13"/>
          </w:tcPr>
          <w:p>
            <w:pPr>
              <w:spacing w:after="0"/>
              <w:rPr>
                <w:sz w:val="24"/>
                <w:szCs w:val="24"/>
                <w:color w:val="auto"/>
              </w:rPr>
            </w:pPr>
          </w:p>
        </w:tc>
      </w:tr>
      <w:tr>
        <w:trPr>
          <w:trHeight w:val="337"/>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77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778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77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Labels.</w:t>
            </w: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778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778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7780" w:type="dxa"/>
            <w:vAlign w:val="bottom"/>
            <w:gridSpan w:val="1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0" w:lineRule="exact"/>
        <w:rPr>
          <w:sz w:val="20"/>
          <w:szCs w:val="20"/>
          <w:color w:val="auto"/>
        </w:rPr>
      </w:pPr>
    </w:p>
    <w:p>
      <w:pPr>
        <w:ind w:left="300" w:hanging="250"/>
        <w:spacing w:after="0"/>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Filed herewith.</w:t>
      </w:r>
    </w:p>
    <w:p>
      <w:pPr>
        <w:ind w:left="60"/>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JOHN CARROLL</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2"/>
              </w:rPr>
              <w:t>John Carroll</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8"/>
              </w:rPr>
              <w:t>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3"/>
              </w:rPr>
              <w:t>Chief Accounting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6" w:name="page47"/>
    <w:bookmarkEnd w:id="46"/>
    <w:p>
      <w:pPr>
        <w:jc w:val="right"/>
        <w:ind w:right="219"/>
        <w:spacing w:after="0"/>
        <w:rPr>
          <w:sz w:val="20"/>
          <w:szCs w:val="20"/>
          <w:color w:val="auto"/>
        </w:rPr>
      </w:pPr>
      <w:r>
        <w:rPr>
          <w:rFonts w:ascii="Arial" w:cs="Arial" w:eastAsia="Arial" w:hAnsi="Arial"/>
          <w:sz w:val="22"/>
          <w:szCs w:val="22"/>
          <w:b w:val="1"/>
          <w:bCs w:val="1"/>
          <w:color w:val="auto"/>
        </w:rPr>
        <w:t>Exhibit 4.1</w:t>
      </w:r>
    </w:p>
    <w:p>
      <w:pPr>
        <w:spacing w:after="0" w:line="396" w:lineRule="exact"/>
        <w:rPr>
          <w:sz w:val="20"/>
          <w:szCs w:val="20"/>
          <w:color w:val="auto"/>
        </w:rPr>
      </w:pPr>
    </w:p>
    <w:p>
      <w:pPr>
        <w:jc w:val="center"/>
        <w:ind w:left="200" w:right="219"/>
        <w:spacing w:after="0" w:line="243" w:lineRule="auto"/>
        <w:rPr>
          <w:sz w:val="20"/>
          <w:szCs w:val="20"/>
          <w:color w:val="auto"/>
        </w:rPr>
      </w:pPr>
      <w:r>
        <w:rPr>
          <w:rFonts w:ascii="Arial" w:cs="Arial" w:eastAsia="Arial" w:hAnsi="Arial"/>
          <w:sz w:val="22"/>
          <w:szCs w:val="22"/>
          <w:b w:val="1"/>
          <w:bCs w:val="1"/>
          <w:color w:val="auto"/>
        </w:rPr>
        <w:t>WASTE MANAGEMENT, INC. Officers’ Certificate Delivered Pursuant to Section 301 of the Indenture dated as of September 10, 1997</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August 3, 2023</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 undersigned, the Vice President and Treasurer, and the Vice President and</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Corporate Secretary of Waste Management, Inc. (the “Company”), hereby certify that:</w:t>
      </w:r>
    </w:p>
    <w:p>
      <w:pPr>
        <w:spacing w:after="0" w:line="188" w:lineRule="exact"/>
        <w:rPr>
          <w:sz w:val="20"/>
          <w:szCs w:val="20"/>
          <w:color w:val="auto"/>
        </w:rPr>
      </w:pPr>
    </w:p>
    <w:p>
      <w:pPr>
        <w:jc w:val="both"/>
        <w:ind w:left="200" w:right="219" w:firstLine="1305"/>
        <w:spacing w:after="0" w:line="277" w:lineRule="auto"/>
        <w:tabs>
          <w:tab w:leader="none" w:pos="2144"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August 3, 2023 (the “Order”) for the authentication and delivery by the Trustee of $750,000,000 aggregate principal amount of 4.875% Senior Notes due 2029 (the “Notes”).</w:t>
      </w:r>
    </w:p>
    <w:p>
      <w:pPr>
        <w:spacing w:after="0" w:line="151" w:lineRule="exact"/>
        <w:rPr>
          <w:rFonts w:ascii="Arial" w:cs="Arial" w:eastAsia="Arial" w:hAnsi="Arial"/>
          <w:sz w:val="19"/>
          <w:szCs w:val="19"/>
          <w:color w:val="auto"/>
        </w:rPr>
      </w:pPr>
    </w:p>
    <w:p>
      <w:pPr>
        <w:ind w:left="200" w:right="219" w:firstLine="1305"/>
        <w:spacing w:after="0" w:line="250" w:lineRule="auto"/>
        <w:tabs>
          <w:tab w:leader="none" w:pos="21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undersigned have read Sections 102, 103, 301 and 303 of the Indenture and the definitions in the Indenture relating thereto.</w:t>
      </w:r>
    </w:p>
    <w:p>
      <w:pPr>
        <w:spacing w:after="0" w:line="174" w:lineRule="exact"/>
        <w:rPr>
          <w:rFonts w:ascii="Arial" w:cs="Arial" w:eastAsia="Arial" w:hAnsi="Arial"/>
          <w:sz w:val="22"/>
          <w:szCs w:val="22"/>
          <w:color w:val="auto"/>
        </w:rPr>
      </w:pPr>
    </w:p>
    <w:p>
      <w:pPr>
        <w:jc w:val="both"/>
        <w:ind w:left="200" w:right="239" w:firstLine="1305"/>
        <w:spacing w:after="0" w:line="238" w:lineRule="auto"/>
        <w:tabs>
          <w:tab w:leader="none" w:pos="21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4" w:lineRule="exact"/>
        <w:rPr>
          <w:rFonts w:ascii="Arial" w:cs="Arial" w:eastAsia="Arial" w:hAnsi="Arial"/>
          <w:sz w:val="22"/>
          <w:szCs w:val="22"/>
          <w:color w:val="auto"/>
        </w:rPr>
      </w:pPr>
    </w:p>
    <w:p>
      <w:pPr>
        <w:ind w:left="200" w:right="239" w:firstLine="1305"/>
        <w:spacing w:after="0" w:line="250" w:lineRule="auto"/>
        <w:tabs>
          <w:tab w:leader="none" w:pos="21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undersigned have examined the Order, and they have read the covenants, conditions and provisions of the Indenture relating thereto.</w:t>
      </w:r>
    </w:p>
    <w:p>
      <w:pPr>
        <w:spacing w:after="0" w:line="17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8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The terms of the Notes (including the Form of Note) as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to this Certificate have been approved by officers of the Company as authorized by resolutions duly adopted on March 1, 2022 by the Board of Directors of the Company, which are in full force and effect as of the date hereof.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641350</wp:posOffset>
            </wp:positionV>
            <wp:extent cx="545211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p>
      <w:pPr>
        <w:ind w:left="200" w:right="439" w:firstLine="1296"/>
        <w:spacing w:after="0" w:line="251" w:lineRule="auto"/>
        <w:rPr>
          <w:sz w:val="20"/>
          <w:szCs w:val="20"/>
          <w:color w:val="auto"/>
        </w:rPr>
      </w:pPr>
      <w:r>
        <w:rPr>
          <w:rFonts w:ascii="Arial" w:cs="Arial" w:eastAsia="Arial" w:hAnsi="Arial"/>
          <w:sz w:val="22"/>
          <w:szCs w:val="22"/>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Arial" w:cs="Arial" w:eastAsia="Arial" w:hAnsi="Arial"/>
          <w:sz w:val="22"/>
          <w:szCs w:val="22"/>
          <w:i w:val="1"/>
          <w:iCs w:val="1"/>
          <w:color w:val="auto"/>
        </w:rPr>
        <w:t>/s/ Leslie K. Nagy</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-157480</wp:posOffset>
            </wp:positionV>
            <wp:extent cx="26060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Vice President and Treasurer</w:t>
      </w:r>
    </w:p>
    <w:p>
      <w:pPr>
        <w:spacing w:after="0" w:line="215" w:lineRule="exact"/>
        <w:rPr>
          <w:sz w:val="20"/>
          <w:szCs w:val="20"/>
          <w:color w:val="auto"/>
        </w:rPr>
      </w:pPr>
    </w:p>
    <w:p>
      <w:pPr>
        <w:ind w:left="4600"/>
        <w:spacing w:after="0"/>
        <w:rPr>
          <w:sz w:val="20"/>
          <w:szCs w:val="20"/>
          <w:color w:val="auto"/>
        </w:rPr>
      </w:pPr>
      <w:r>
        <w:rPr>
          <w:rFonts w:ascii="Arial" w:cs="Arial" w:eastAsia="Arial" w:hAnsi="Arial"/>
          <w:sz w:val="22"/>
          <w:szCs w:val="22"/>
          <w:i w:val="1"/>
          <w:iCs w:val="1"/>
          <w:color w:val="auto"/>
        </w:rPr>
        <w:t>/s/ Courtney A. Tippy</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-157480</wp:posOffset>
            </wp:positionV>
            <wp:extent cx="2606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Vice President and Corporate Secretary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i w:val="1"/>
          <w:iCs w:val="1"/>
          <w:color w:val="auto"/>
        </w:rPr>
        <w:t>Annex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of the Notes</w:t>
      </w:r>
    </w:p>
    <w:p>
      <w:pPr>
        <w:spacing w:after="0" w:line="215" w:lineRule="exact"/>
        <w:rPr>
          <w:sz w:val="20"/>
          <w:szCs w:val="20"/>
          <w:color w:val="auto"/>
        </w:rPr>
      </w:pPr>
    </w:p>
    <w:p>
      <w:pPr>
        <w:jc w:val="both"/>
        <w:ind w:left="200" w:right="219" w:firstLine="1296"/>
        <w:spacing w:after="0" w:line="275" w:lineRule="auto"/>
        <w:rPr>
          <w:sz w:val="20"/>
          <w:szCs w:val="20"/>
          <w:color w:val="auto"/>
        </w:rPr>
      </w:pPr>
      <w:r>
        <w:rPr>
          <w:rFonts w:ascii="Arial" w:cs="Arial" w:eastAsia="Arial" w:hAnsi="Arial"/>
          <w:sz w:val="19"/>
          <w:szCs w:val="19"/>
          <w:color w:val="auto"/>
        </w:rPr>
        <w:t>Pursuant to authority granted by the Board of Directors of the Company on March 1, 2022 and the Sole Director of Waste Management Holdings, Inc. on July 18, 2023,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57" w:lineRule="exact"/>
        <w:rPr>
          <w:sz w:val="20"/>
          <w:szCs w:val="20"/>
          <w:color w:val="auto"/>
        </w:rPr>
      </w:pPr>
    </w:p>
    <w:p>
      <w:pPr>
        <w:ind w:left="860" w:hanging="651"/>
        <w:spacing w:after="0"/>
        <w:tabs>
          <w:tab w:leader="none" w:pos="8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title of the series of Securities shall be “4.875% Senior Notes due 2029” (the “Notes”).</w:t>
      </w:r>
    </w:p>
    <w:p>
      <w:pPr>
        <w:spacing w:after="0" w:line="240" w:lineRule="exact"/>
        <w:rPr>
          <w:rFonts w:ascii="Arial" w:cs="Arial" w:eastAsia="Arial" w:hAnsi="Arial"/>
          <w:sz w:val="19"/>
          <w:szCs w:val="19"/>
          <w:color w:val="auto"/>
        </w:rPr>
      </w:pPr>
    </w:p>
    <w:p>
      <w:pPr>
        <w:ind w:left="860" w:hanging="651"/>
        <w:spacing w:after="0"/>
        <w:tabs>
          <w:tab w:leader="none" w:pos="8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Notes shall be general unsecured, senior obligations of the Company.</w:t>
      </w:r>
    </w:p>
    <w:p>
      <w:pPr>
        <w:spacing w:after="0" w:line="206" w:lineRule="exact"/>
        <w:rPr>
          <w:rFonts w:ascii="Arial" w:cs="Arial" w:eastAsia="Arial" w:hAnsi="Arial"/>
          <w:sz w:val="22"/>
          <w:szCs w:val="22"/>
          <w:color w:val="auto"/>
        </w:rPr>
      </w:pPr>
    </w:p>
    <w:p>
      <w:pPr>
        <w:jc w:val="both"/>
        <w:ind w:left="860" w:right="219" w:hanging="651"/>
        <w:spacing w:after="0" w:line="246" w:lineRule="auto"/>
        <w:tabs>
          <w:tab w:leader="none" w:pos="8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4" w:lineRule="exact"/>
        <w:rPr>
          <w:rFonts w:ascii="Arial" w:cs="Arial" w:eastAsia="Arial" w:hAnsi="Arial"/>
          <w:sz w:val="21"/>
          <w:szCs w:val="21"/>
          <w:color w:val="auto"/>
        </w:rPr>
      </w:pPr>
    </w:p>
    <w:p>
      <w:pPr>
        <w:ind w:left="860" w:hanging="651"/>
        <w:spacing w:after="0"/>
        <w:tabs>
          <w:tab w:leader="none" w:pos="8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principal amount of each Note shall be payable on February 15, 2029.</w:t>
      </w:r>
    </w:p>
    <w:p>
      <w:pPr>
        <w:spacing w:after="0" w:line="206" w:lineRule="exact"/>
        <w:rPr>
          <w:rFonts w:ascii="Arial" w:cs="Arial" w:eastAsia="Arial" w:hAnsi="Arial"/>
          <w:sz w:val="22"/>
          <w:szCs w:val="22"/>
          <w:color w:val="auto"/>
        </w:rPr>
      </w:pPr>
    </w:p>
    <w:p>
      <w:pPr>
        <w:jc w:val="both"/>
        <w:ind w:left="860" w:right="219" w:hanging="651"/>
        <w:spacing w:after="0" w:line="277" w:lineRule="auto"/>
        <w:tabs>
          <w:tab w:leader="none" w:pos="8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Each Note shall bear interest from August 3, 2023 at the fixed rate of 4.875% per annum; the Interest Payment Dates on which such interest shall be payable shall be February 15 and August 15 of each year, commencing February 15, 2024, until maturity, unless such date falls on a day that is not a Business Day, in which case, such payment shall be made on the next day that is a Business Day. The Regular Record Date for the determination of Holders to whom interest is payable shall be February 1 or August 1, respectively, immediately preceding such date, as the case may be.</w:t>
      </w:r>
    </w:p>
    <w:p>
      <w:pPr>
        <w:spacing w:after="0" w:line="151" w:lineRule="exact"/>
        <w:rPr>
          <w:rFonts w:ascii="Arial" w:cs="Arial" w:eastAsia="Arial" w:hAnsi="Arial"/>
          <w:sz w:val="19"/>
          <w:szCs w:val="19"/>
          <w:color w:val="auto"/>
        </w:rPr>
      </w:pPr>
    </w:p>
    <w:p>
      <w:pPr>
        <w:jc w:val="both"/>
        <w:ind w:left="860" w:right="219" w:hanging="651"/>
        <w:spacing w:after="0" w:line="287" w:lineRule="auto"/>
        <w:tabs>
          <w:tab w:leader="none" w:pos="8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42" w:lineRule="exact"/>
        <w:rPr>
          <w:rFonts w:ascii="Arial" w:cs="Arial" w:eastAsia="Arial" w:hAnsi="Arial"/>
          <w:sz w:val="19"/>
          <w:szCs w:val="19"/>
          <w:color w:val="auto"/>
        </w:rPr>
      </w:pPr>
    </w:p>
    <w:p>
      <w:pPr>
        <w:jc w:val="both"/>
        <w:ind w:left="860" w:right="219" w:hanging="651"/>
        <w:spacing w:after="0" w:line="235" w:lineRule="auto"/>
        <w:tabs>
          <w:tab w:leader="none" w:pos="8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7" w:lineRule="exact"/>
        <w:rPr>
          <w:rFonts w:ascii="Arial" w:cs="Arial" w:eastAsia="Arial" w:hAnsi="Arial"/>
          <w:sz w:val="22"/>
          <w:szCs w:val="22"/>
          <w:color w:val="auto"/>
        </w:rPr>
      </w:pPr>
    </w:p>
    <w:p>
      <w:pPr>
        <w:jc w:val="both"/>
        <w:ind w:left="860" w:right="239" w:hanging="651"/>
        <w:spacing w:after="0"/>
        <w:tabs>
          <w:tab w:leader="none" w:pos="8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Payments of principal of, premium, if any, and interest due on the Notes representing Book-Entry Notes on any Interest Payment Date or at maturity will be made available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9" w:name="page50"/>
    <w:bookmarkEnd w:id="49"/>
    <w:p>
      <w:pPr>
        <w:jc w:val="both"/>
        <w:ind w:left="860" w:right="219"/>
        <w:spacing w:after="0" w:line="287" w:lineRule="auto"/>
        <w:rPr>
          <w:sz w:val="20"/>
          <w:szCs w:val="20"/>
          <w:color w:val="auto"/>
        </w:rPr>
      </w:pPr>
      <w:r>
        <w:rPr>
          <w:rFonts w:ascii="Arial" w:cs="Arial" w:eastAsia="Arial" w:hAnsi="Arial"/>
          <w:sz w:val="19"/>
          <w:szCs w:val="19"/>
          <w:color w:val="auto"/>
        </w:rPr>
        <w:t>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43" w:lineRule="exact"/>
        <w:rPr>
          <w:sz w:val="20"/>
          <w:szCs w:val="20"/>
          <w:color w:val="auto"/>
        </w:rPr>
      </w:pPr>
    </w:p>
    <w:p>
      <w:pPr>
        <w:jc w:val="both"/>
        <w:ind w:left="860" w:right="239" w:hanging="651"/>
        <w:spacing w:after="0" w:line="297" w:lineRule="auto"/>
        <w:tabs>
          <w:tab w:leader="none" w:pos="8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33" w:lineRule="exact"/>
        <w:rPr>
          <w:rFonts w:ascii="Arial" w:cs="Arial" w:eastAsia="Arial" w:hAnsi="Arial"/>
          <w:sz w:val="19"/>
          <w:szCs w:val="19"/>
          <w:color w:val="auto"/>
        </w:rPr>
      </w:pPr>
    </w:p>
    <w:p>
      <w:pPr>
        <w:jc w:val="both"/>
        <w:ind w:left="1500" w:right="219" w:firstLine="5"/>
        <w:spacing w:after="0" w:line="282" w:lineRule="auto"/>
        <w:tabs>
          <w:tab w:leader="none" w:pos="1857" w:val="left"/>
        </w:tabs>
        <w:numPr>
          <w:ilvl w:val="1"/>
          <w:numId w:val="38"/>
        </w:numPr>
        <w:rPr>
          <w:rFonts w:ascii="Arial" w:cs="Arial" w:eastAsia="Arial" w:hAnsi="Arial"/>
          <w:sz w:val="19"/>
          <w:szCs w:val="19"/>
          <w:color w:val="auto"/>
        </w:rPr>
      </w:pPr>
      <w:r>
        <w:rPr>
          <w:rFonts w:ascii="Arial" w:cs="Arial" w:eastAsia="Arial" w:hAnsi="Arial"/>
          <w:sz w:val="19"/>
          <w:szCs w:val="19"/>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47" w:lineRule="exact"/>
        <w:rPr>
          <w:rFonts w:ascii="Arial" w:cs="Arial" w:eastAsia="Arial" w:hAnsi="Arial"/>
          <w:sz w:val="19"/>
          <w:szCs w:val="19"/>
          <w:color w:val="auto"/>
        </w:rPr>
      </w:pPr>
    </w:p>
    <w:p>
      <w:pPr>
        <w:ind w:left="1820" w:hanging="315"/>
        <w:spacing w:after="0"/>
        <w:tabs>
          <w:tab w:leader="none" w:pos="1820" w:val="left"/>
        </w:tabs>
        <w:numPr>
          <w:ilvl w:val="1"/>
          <w:numId w:val="38"/>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plus, in either case, accrued and unpaid interest thereon to the Redemption Date.</w:t>
      </w:r>
    </w:p>
    <w:p>
      <w:pPr>
        <w:spacing w:after="0" w:line="206" w:lineRule="exact"/>
        <w:rPr>
          <w:sz w:val="20"/>
          <w:szCs w:val="20"/>
          <w:color w:val="auto"/>
        </w:rPr>
      </w:pPr>
    </w:p>
    <w:p>
      <w:pPr>
        <w:jc w:val="both"/>
        <w:ind w:left="860" w:right="219"/>
        <w:spacing w:after="0" w:line="238" w:lineRule="auto"/>
        <w:rPr>
          <w:sz w:val="20"/>
          <w:szCs w:val="20"/>
          <w:color w:val="auto"/>
        </w:rPr>
      </w:pPr>
      <w:r>
        <w:rPr>
          <w:rFonts w:ascii="Arial" w:cs="Arial" w:eastAsia="Arial" w:hAnsi="Arial"/>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“Par Call Date” means January 15, 2029.</w:t>
      </w:r>
    </w:p>
    <w:p>
      <w:pPr>
        <w:spacing w:after="0" w:line="206" w:lineRule="exact"/>
        <w:rPr>
          <w:sz w:val="20"/>
          <w:szCs w:val="20"/>
          <w:color w:val="auto"/>
        </w:rPr>
      </w:pPr>
    </w:p>
    <w:p>
      <w:pPr>
        <w:jc w:val="both"/>
        <w:ind w:left="860" w:right="239" w:hanging="651"/>
        <w:spacing w:after="0"/>
        <w:tabs>
          <w:tab w:leader="none" w:pos="8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Company shall have no obligation to redeem, purchase or repay the Notes pursuant to any mandatory redemption, sinking fund or analogous provisions or at the option of a Holder thereof.</w:t>
      </w:r>
    </w:p>
    <w:p>
      <w:pPr>
        <w:spacing w:after="0" w:line="186" w:lineRule="exact"/>
        <w:rPr>
          <w:rFonts w:ascii="Arial" w:cs="Arial" w:eastAsia="Arial" w:hAnsi="Arial"/>
          <w:sz w:val="22"/>
          <w:szCs w:val="22"/>
          <w:color w:val="auto"/>
        </w:rPr>
      </w:pPr>
    </w:p>
    <w:p>
      <w:pPr>
        <w:ind w:left="860" w:right="239" w:hanging="651"/>
        <w:spacing w:after="0" w:line="328" w:lineRule="auto"/>
        <w:tabs>
          <w:tab w:leader="none" w:pos="8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Notes will be subject to defeasance and discharge as contemplated by Section 1302 of the Indenture and to covenant defeasance under Section 1303 of the Indenture.</w:t>
      </w:r>
    </w:p>
    <w:p>
      <w:pPr>
        <w:spacing w:after="0" w:line="104" w:lineRule="exact"/>
        <w:rPr>
          <w:rFonts w:ascii="Arial" w:cs="Arial" w:eastAsia="Arial" w:hAnsi="Arial"/>
          <w:sz w:val="19"/>
          <w:szCs w:val="19"/>
          <w:color w:val="auto"/>
        </w:rPr>
      </w:pPr>
    </w:p>
    <w:p>
      <w:pPr>
        <w:ind w:left="860" w:right="219" w:hanging="651"/>
        <w:spacing w:after="0" w:line="250" w:lineRule="auto"/>
        <w:tabs>
          <w:tab w:leader="none" w:pos="8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Notes shall be entitled to the benefit of the covenants contained in Sections 1008 and 1009 of the Indenture.</w:t>
      </w:r>
    </w:p>
    <w:p>
      <w:pPr>
        <w:spacing w:after="0" w:line="174" w:lineRule="exact"/>
        <w:rPr>
          <w:rFonts w:ascii="Arial" w:cs="Arial" w:eastAsia="Arial" w:hAnsi="Arial"/>
          <w:sz w:val="22"/>
          <w:szCs w:val="22"/>
          <w:color w:val="auto"/>
        </w:rPr>
      </w:pPr>
    </w:p>
    <w:p>
      <w:pPr>
        <w:ind w:left="860" w:right="239" w:hanging="651"/>
        <w:spacing w:after="0" w:line="250" w:lineRule="auto"/>
        <w:tabs>
          <w:tab w:leader="none" w:pos="8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Bank of New York Mellon Trust Company, N.A. shall serve initially as Security Registrar for the Notes.</w:t>
      </w:r>
    </w:p>
    <w:p>
      <w:pPr>
        <w:spacing w:after="0" w:line="174" w:lineRule="exact"/>
        <w:rPr>
          <w:rFonts w:ascii="Arial" w:cs="Arial" w:eastAsia="Arial" w:hAnsi="Arial"/>
          <w:sz w:val="22"/>
          <w:szCs w:val="22"/>
          <w:color w:val="auto"/>
        </w:rPr>
      </w:pPr>
    </w:p>
    <w:p>
      <w:pPr>
        <w:ind w:left="860" w:hanging="651"/>
        <w:spacing w:after="0"/>
        <w:tabs>
          <w:tab w:leader="none" w:pos="8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Notes shall be substantially in the form of Exhibit A hereto.</w:t>
      </w:r>
    </w:p>
    <w:p>
      <w:pPr>
        <w:spacing w:after="0" w:line="206" w:lineRule="exact"/>
        <w:rPr>
          <w:rFonts w:ascii="Arial" w:cs="Arial" w:eastAsia="Arial" w:hAnsi="Arial"/>
          <w:sz w:val="22"/>
          <w:szCs w:val="22"/>
          <w:color w:val="auto"/>
        </w:rPr>
      </w:pPr>
    </w:p>
    <w:p>
      <w:pPr>
        <w:jc w:val="both"/>
        <w:ind w:left="860" w:right="219" w:hanging="651"/>
        <w:spacing w:after="0" w:line="277" w:lineRule="auto"/>
        <w:tabs>
          <w:tab w:leader="none" w:pos="8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Notes will be fully and unconditionally guaranteed on a senior basis by the Company’s wholly owned subsidiary, Waste Management Holdings, Inc., pursuant to the terms and conditions of a Guarantee Agreement dated August 3,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547370</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0" w:name="page51"/>
    <w:bookmarkEnd w:id="50"/>
    <w:p>
      <w:pPr>
        <w:jc w:val="both"/>
        <w:ind w:left="860" w:right="219" w:hanging="651"/>
        <w:spacing w:after="0" w:line="258" w:lineRule="auto"/>
        <w:tabs>
          <w:tab w:leader="none" w:pos="86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1431290</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color w:val="auto"/>
        </w:rPr>
        <w:t>BOOK-ENTRY SECURITY</w:t>
      </w:r>
    </w:p>
    <w:p>
      <w:pPr>
        <w:spacing w:after="0" w:line="207" w:lineRule="exact"/>
        <w:rPr>
          <w:sz w:val="20"/>
          <w:szCs w:val="20"/>
          <w:color w:val="auto"/>
        </w:rPr>
      </w:pPr>
    </w:p>
    <w:p>
      <w:pPr>
        <w:jc w:val="both"/>
        <w:ind w:left="200" w:right="219" w:firstLine="667"/>
        <w:spacing w:after="0" w:line="245" w:lineRule="auto"/>
        <w:rPr>
          <w:sz w:val="20"/>
          <w:szCs w:val="20"/>
          <w:color w:val="auto"/>
        </w:rPr>
      </w:pPr>
      <w:r>
        <w:rPr>
          <w:rFonts w:ascii="Arial" w:cs="Arial" w:eastAsia="Arial" w:hAnsi="Arial"/>
          <w:sz w:val="21"/>
          <w:szCs w:val="21"/>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1" w:lineRule="exact"/>
        <w:rPr>
          <w:sz w:val="20"/>
          <w:szCs w:val="20"/>
          <w:color w:val="auto"/>
        </w:rPr>
      </w:pPr>
    </w:p>
    <w:p>
      <w:pPr>
        <w:jc w:val="both"/>
        <w:ind w:left="200" w:right="219" w:firstLine="667"/>
        <w:spacing w:after="0" w:line="233" w:lineRule="auto"/>
        <w:rPr>
          <w:sz w:val="20"/>
          <w:szCs w:val="20"/>
          <w:color w:val="auto"/>
        </w:rPr>
      </w:pPr>
      <w:r>
        <w:rPr>
          <w:rFonts w:ascii="Arial" w:cs="Arial" w:eastAsia="Arial" w:hAnsi="Arial"/>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274"/>
        </w:trPr>
        <w:tc>
          <w:tcPr>
            <w:tcW w:w="5820" w:type="dxa"/>
            <w:vAlign w:val="bottom"/>
          </w:tcPr>
          <w:p>
            <w:pPr>
              <w:spacing w:after="0"/>
              <w:rPr>
                <w:sz w:val="20"/>
                <w:szCs w:val="20"/>
                <w:color w:val="auto"/>
              </w:rPr>
            </w:pPr>
            <w:r>
              <w:rPr>
                <w:rFonts w:ascii="Arial" w:cs="Arial" w:eastAsia="Arial" w:hAnsi="Arial"/>
                <w:sz w:val="22"/>
                <w:szCs w:val="22"/>
                <w:color w:val="auto"/>
              </w:rPr>
              <w:t>RGN</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rPr>
              <w:t>Principal Amount</w:t>
            </w:r>
          </w:p>
        </w:tc>
        <w:tc>
          <w:tcPr>
            <w:tcW w:w="0" w:type="dxa"/>
            <w:vAlign w:val="bottom"/>
          </w:tcPr>
          <w:p>
            <w:pPr>
              <w:spacing w:after="0"/>
              <w:rPr>
                <w:sz w:val="1"/>
                <w:szCs w:val="1"/>
                <w:color w:val="auto"/>
              </w:rPr>
            </w:pPr>
          </w:p>
        </w:tc>
      </w:tr>
      <w:tr>
        <w:trPr>
          <w:trHeight w:val="428"/>
        </w:trPr>
        <w:tc>
          <w:tcPr>
            <w:tcW w:w="5820" w:type="dxa"/>
            <w:vAlign w:val="bottom"/>
          </w:tcPr>
          <w:p>
            <w:pPr>
              <w:spacing w:after="0"/>
              <w:rPr>
                <w:sz w:val="24"/>
                <w:szCs w:val="24"/>
                <w:color w:val="auto"/>
              </w:rPr>
            </w:pPr>
          </w:p>
        </w:tc>
        <w:tc>
          <w:tcPr>
            <w:tcW w:w="1960" w:type="dxa"/>
            <w:vAlign w:val="bottom"/>
          </w:tcPr>
          <w:p>
            <w:pPr>
              <w:ind w:left="900"/>
              <w:spacing w:after="0"/>
              <w:rPr>
                <w:sz w:val="20"/>
                <w:szCs w:val="20"/>
                <w:color w:val="auto"/>
              </w:rPr>
            </w:pPr>
            <w:r>
              <w:rPr>
                <w:rFonts w:ascii="Arial" w:cs="Arial" w:eastAsia="Arial" w:hAnsi="Arial"/>
                <w:sz w:val="22"/>
                <w:szCs w:val="22"/>
                <w:color w:val="auto"/>
              </w:rPr>
              <w:t>U.S. $</w:t>
            </w:r>
          </w:p>
        </w:tc>
        <w:tc>
          <w:tcPr>
            <w:tcW w:w="6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which may be decreased</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by the Schedule of</w:t>
            </w:r>
          </w:p>
        </w:tc>
        <w:tc>
          <w:tcPr>
            <w:tcW w:w="0" w:type="dxa"/>
            <w:vAlign w:val="bottom"/>
          </w:tcPr>
          <w:p>
            <w:pPr>
              <w:spacing w:after="0"/>
              <w:rPr>
                <w:sz w:val="1"/>
                <w:szCs w:val="1"/>
                <w:color w:val="auto"/>
              </w:rPr>
            </w:pPr>
          </w:p>
        </w:tc>
      </w:tr>
      <w:tr>
        <w:trPr>
          <w:trHeight w:val="243"/>
        </w:trPr>
        <w:tc>
          <w:tcPr>
            <w:tcW w:w="5820" w:type="dxa"/>
            <w:vAlign w:val="bottom"/>
            <w:vMerge w:val="restart"/>
          </w:tcPr>
          <w:p>
            <w:pPr>
              <w:ind w:left="2540"/>
              <w:spacing w:after="0"/>
              <w:rPr>
                <w:sz w:val="20"/>
                <w:szCs w:val="20"/>
                <w:color w:val="auto"/>
              </w:rPr>
            </w:pPr>
            <w:r>
              <w:rPr>
                <w:rFonts w:ascii="Arial" w:cs="Arial" w:eastAsia="Arial" w:hAnsi="Arial"/>
                <w:sz w:val="22"/>
                <w:szCs w:val="22"/>
                <w:color w:val="auto"/>
              </w:rPr>
              <w:t>WASTE MANAGEMENT, INC.</w:t>
            </w: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Exchanges of Definitive</w:t>
            </w:r>
          </w:p>
        </w:tc>
        <w:tc>
          <w:tcPr>
            <w:tcW w:w="0" w:type="dxa"/>
            <w:vAlign w:val="bottom"/>
          </w:tcPr>
          <w:p>
            <w:pPr>
              <w:spacing w:after="0"/>
              <w:rPr>
                <w:sz w:val="1"/>
                <w:szCs w:val="1"/>
                <w:color w:val="auto"/>
              </w:rPr>
            </w:pPr>
          </w:p>
        </w:tc>
      </w:tr>
      <w:tr>
        <w:trPr>
          <w:trHeight w:val="274"/>
        </w:trPr>
        <w:tc>
          <w:tcPr>
            <w:tcW w:w="5820" w:type="dxa"/>
            <w:vAlign w:val="bottom"/>
            <w:vMerge w:val="continue"/>
          </w:tcPr>
          <w:p>
            <w:pPr>
              <w:spacing w:after="0"/>
              <w:rPr>
                <w:sz w:val="23"/>
                <w:szCs w:val="23"/>
                <w:color w:val="auto"/>
              </w:rPr>
            </w:pP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rPr>
              <w:t>Security attached hereto</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4.875% SENIOR NOTES DUE 2029</w:t>
      </w:r>
    </w:p>
    <w:p>
      <w:pPr>
        <w:spacing w:after="0" w:line="206" w:lineRule="exact"/>
        <w:rPr>
          <w:sz w:val="20"/>
          <w:szCs w:val="20"/>
          <w:color w:val="auto"/>
        </w:rPr>
      </w:pPr>
    </w:p>
    <w:p>
      <w:pPr>
        <w:ind w:left="6900"/>
        <w:spacing w:after="0"/>
        <w:rPr>
          <w:sz w:val="20"/>
          <w:szCs w:val="20"/>
          <w:color w:val="auto"/>
        </w:rPr>
      </w:pPr>
      <w:r>
        <w:rPr>
          <w:rFonts w:ascii="Arial" w:cs="Arial" w:eastAsia="Arial" w:hAnsi="Arial"/>
          <w:sz w:val="21"/>
          <w:szCs w:val="21"/>
          <w:color w:val="auto"/>
        </w:rPr>
        <w:t>CUSIP 94106L BV0</w:t>
      </w:r>
    </w:p>
    <w:p>
      <w:pPr>
        <w:spacing w:after="0" w:line="218"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1"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principal sum of Million ($ ) U.S. dollars, or such lesser principal sum as is shown on the attached Schedule of Exchanges of Definitive Security, on February 15, 2029 in such coin or currency of the United States of America as at the time of payment shall be legal tender for the payment of public and private debts, and to pay interest at an annual rate of 4.875% payable on February 15 and August 15 of each year, to the person in whose name this Security is registered at the close of business on the record date for such interest, which shall be the preceding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471170</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jc w:val="both"/>
        <w:ind w:left="200" w:right="219"/>
        <w:spacing w:after="0" w:line="251" w:lineRule="auto"/>
        <w:rPr>
          <w:sz w:val="20"/>
          <w:szCs w:val="20"/>
          <w:color w:val="auto"/>
        </w:rPr>
      </w:pPr>
      <w:r>
        <w:rPr>
          <w:rFonts w:ascii="Arial" w:cs="Arial" w:eastAsia="Arial" w:hAnsi="Arial"/>
          <w:sz w:val="22"/>
          <w:szCs w:val="22"/>
          <w:color w:val="auto"/>
        </w:rPr>
        <w:t>1 or August 1, respectively, payable commencing February 15, 2024, with interest accruing from August 3, 2023, or the most recent date to which interest has been paid.</w:t>
      </w:r>
    </w:p>
    <w:p>
      <w:pPr>
        <w:spacing w:after="0" w:line="173" w:lineRule="exact"/>
        <w:rPr>
          <w:sz w:val="20"/>
          <w:szCs w:val="20"/>
          <w:color w:val="auto"/>
        </w:rPr>
      </w:pPr>
    </w:p>
    <w:p>
      <w:pPr>
        <w:jc w:val="both"/>
        <w:ind w:left="200" w:right="219" w:firstLine="667"/>
        <w:spacing w:after="0"/>
        <w:rPr>
          <w:sz w:val="20"/>
          <w:szCs w:val="20"/>
          <w:color w:val="auto"/>
        </w:rPr>
      </w:pPr>
      <w:r>
        <w:rPr>
          <w:rFonts w:ascii="Arial" w:cs="Arial" w:eastAsia="Arial" w:hAnsi="Arial"/>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86" w:lineRule="exact"/>
        <w:rPr>
          <w:sz w:val="20"/>
          <w:szCs w:val="20"/>
          <w:color w:val="auto"/>
        </w:rPr>
      </w:pPr>
    </w:p>
    <w:p>
      <w:pPr>
        <w:jc w:val="both"/>
        <w:ind w:left="200" w:right="219" w:firstLine="667"/>
        <w:spacing w:after="0"/>
        <w:rPr>
          <w:sz w:val="20"/>
          <w:szCs w:val="20"/>
          <w:color w:val="auto"/>
        </w:rPr>
      </w:pPr>
      <w:r>
        <w:rPr>
          <w:rFonts w:ascii="Arial" w:cs="Arial" w:eastAsia="Arial" w:hAnsi="Arial"/>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86" w:lineRule="exact"/>
        <w:rPr>
          <w:sz w:val="20"/>
          <w:szCs w:val="20"/>
          <w:color w:val="auto"/>
        </w:rPr>
      </w:pPr>
    </w:p>
    <w:p>
      <w:pPr>
        <w:jc w:val="both"/>
        <w:ind w:left="200" w:right="219" w:firstLine="667"/>
        <w:spacing w:after="0" w:line="274" w:lineRule="auto"/>
        <w:rPr>
          <w:sz w:val="20"/>
          <w:szCs w:val="20"/>
          <w:color w:val="auto"/>
        </w:rPr>
      </w:pPr>
      <w:r>
        <w:rPr>
          <w:rFonts w:ascii="Arial" w:cs="Arial" w:eastAsia="Arial" w:hAnsi="Arial"/>
          <w:sz w:val="19"/>
          <w:szCs w:val="19"/>
          <w:color w:val="auto"/>
        </w:rPr>
        <w:t>This Security is issued in respect of a series of Securities of an initial aggregate of U.S. $750,000,000 in principal amount designated as the 4.875% Senior Notes due 2029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58"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5" w:lineRule="exact"/>
        <w:rPr>
          <w:sz w:val="20"/>
          <w:szCs w:val="20"/>
          <w:color w:val="auto"/>
        </w:rPr>
      </w:pPr>
    </w:p>
    <w:p>
      <w:pPr>
        <w:jc w:val="both"/>
        <w:ind w:left="200" w:right="239" w:firstLine="667"/>
        <w:spacing w:after="0" w:line="250" w:lineRule="auto"/>
        <w:rPr>
          <w:sz w:val="20"/>
          <w:szCs w:val="20"/>
          <w:color w:val="auto"/>
        </w:rPr>
      </w:pPr>
      <w:r>
        <w:rPr>
          <w:rFonts w:ascii="Arial" w:cs="Arial" w:eastAsia="Arial" w:hAnsi="Arial"/>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621665</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 w:name="page55"/>
    <w:bookmarkEnd w:id="54"/>
    <w:p>
      <w:pPr>
        <w:ind w:left="200" w:right="239" w:firstLine="667"/>
        <w:spacing w:after="0" w:line="329" w:lineRule="auto"/>
        <w:rPr>
          <w:sz w:val="20"/>
          <w:szCs w:val="20"/>
          <w:color w:val="auto"/>
        </w:rPr>
      </w:pPr>
      <w:r>
        <w:rPr>
          <w:rFonts w:ascii="Arial" w:cs="Arial" w:eastAsia="Arial" w:hAnsi="Arial"/>
          <w:sz w:val="19"/>
          <w:szCs w:val="19"/>
          <w:color w:val="auto"/>
        </w:rPr>
        <w:t>This Security shall not be valid or become obligatory for any purpose until the Certificate of Authentication hereon shall have been manually signed by the Trustee under the Indenture.</w:t>
      </w:r>
    </w:p>
    <w:p>
      <w:pPr>
        <w:spacing w:after="0" w:line="104"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IN WITNESS WHEREOF, the Company has caused this instrument to be duly executed under its corporate seal.</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420" w:type="dxa"/>
            <w:vAlign w:val="bottom"/>
          </w:tcPr>
          <w:p>
            <w:pPr>
              <w:spacing w:after="0"/>
              <w:rPr>
                <w:sz w:val="20"/>
                <w:szCs w:val="20"/>
                <w:color w:val="auto"/>
              </w:rPr>
            </w:pPr>
            <w:r>
              <w:rPr>
                <w:rFonts w:ascii="Arial" w:cs="Arial" w:eastAsia="Arial" w:hAnsi="Arial"/>
                <w:sz w:val="22"/>
                <w:szCs w:val="22"/>
                <w:color w:val="auto"/>
              </w:rPr>
              <w:t>Dated:</w:t>
            </w: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WASTE MANAGEMENT, INC.,</w:t>
            </w:r>
          </w:p>
        </w:tc>
      </w:tr>
      <w:tr>
        <w:trPr>
          <w:trHeight w:val="274"/>
        </w:trPr>
        <w:tc>
          <w:tcPr>
            <w:tcW w:w="2420" w:type="dxa"/>
            <w:vAlign w:val="bottom"/>
          </w:tcPr>
          <w:p>
            <w:pPr>
              <w:spacing w:after="0"/>
              <w:rPr>
                <w:sz w:val="23"/>
                <w:szCs w:val="23"/>
                <w:color w:val="auto"/>
              </w:rPr>
            </w:pP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a Delaware corporation</w:t>
            </w:r>
          </w:p>
        </w:tc>
      </w:tr>
      <w:tr>
        <w:trPr>
          <w:trHeight w:val="435"/>
        </w:trPr>
        <w:tc>
          <w:tcPr>
            <w:tcW w:w="242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22"/>
                <w:szCs w:val="22"/>
                <w:color w:val="auto"/>
              </w:rPr>
              <w:t>By:</w:t>
            </w:r>
          </w:p>
        </w:tc>
        <w:tc>
          <w:tcPr>
            <w:tcW w:w="2480" w:type="dxa"/>
            <w:vAlign w:val="bottom"/>
            <w:tcBorders>
              <w:bottom w:val="single" w:sz="8" w:color="auto"/>
            </w:tcBorders>
            <w:gridSpan w:val="3"/>
          </w:tcPr>
          <w:p>
            <w:pPr>
              <w:spacing w:after="0"/>
              <w:rPr>
                <w:sz w:val="24"/>
                <w:szCs w:val="24"/>
                <w:color w:val="auto"/>
              </w:rPr>
            </w:pPr>
          </w:p>
        </w:tc>
        <w:tc>
          <w:tcPr>
            <w:tcW w:w="940" w:type="dxa"/>
            <w:vAlign w:val="bottom"/>
          </w:tcPr>
          <w:p>
            <w:pPr>
              <w:spacing w:after="0"/>
              <w:rPr>
                <w:sz w:val="24"/>
                <w:szCs w:val="24"/>
                <w:color w:val="auto"/>
              </w:rPr>
            </w:pPr>
          </w:p>
        </w:tc>
      </w:tr>
      <w:tr>
        <w:trPr>
          <w:trHeight w:val="242"/>
        </w:trPr>
        <w:tc>
          <w:tcPr>
            <w:tcW w:w="2420" w:type="dxa"/>
            <w:vAlign w:val="bottom"/>
          </w:tcPr>
          <w:p>
            <w:pPr>
              <w:spacing w:after="0"/>
              <w:rPr>
                <w:sz w:val="21"/>
                <w:szCs w:val="21"/>
                <w:color w:val="auto"/>
              </w:rPr>
            </w:pPr>
          </w:p>
        </w:tc>
        <w:tc>
          <w:tcPr>
            <w:tcW w:w="5800" w:type="dxa"/>
            <w:vAlign w:val="bottom"/>
            <w:gridSpan w:val="5"/>
          </w:tcPr>
          <w:p>
            <w:pPr>
              <w:ind w:left="2380"/>
              <w:spacing w:after="0" w:line="242" w:lineRule="exact"/>
              <w:rPr>
                <w:sz w:val="20"/>
                <w:szCs w:val="20"/>
                <w:color w:val="auto"/>
              </w:rPr>
            </w:pPr>
            <w:r>
              <w:rPr>
                <w:rFonts w:ascii="Arial" w:cs="Arial" w:eastAsia="Arial" w:hAnsi="Arial"/>
                <w:sz w:val="22"/>
                <w:szCs w:val="22"/>
                <w:color w:val="auto"/>
              </w:rPr>
              <w:t>Leslie K. Nagy</w:t>
            </w:r>
          </w:p>
        </w:tc>
      </w:tr>
      <w:tr>
        <w:trPr>
          <w:trHeight w:val="274"/>
        </w:trPr>
        <w:tc>
          <w:tcPr>
            <w:tcW w:w="2420" w:type="dxa"/>
            <w:vAlign w:val="bottom"/>
          </w:tcPr>
          <w:p>
            <w:pPr>
              <w:spacing w:after="0"/>
              <w:rPr>
                <w:sz w:val="23"/>
                <w:szCs w:val="23"/>
                <w:color w:val="auto"/>
              </w:rPr>
            </w:pPr>
          </w:p>
        </w:tc>
        <w:tc>
          <w:tcPr>
            <w:tcW w:w="5800" w:type="dxa"/>
            <w:vAlign w:val="bottom"/>
            <w:gridSpan w:val="5"/>
          </w:tcPr>
          <w:p>
            <w:pPr>
              <w:ind w:left="2380"/>
              <w:spacing w:after="0"/>
              <w:rPr>
                <w:sz w:val="20"/>
                <w:szCs w:val="20"/>
                <w:color w:val="auto"/>
              </w:rPr>
            </w:pPr>
            <w:r>
              <w:rPr>
                <w:rFonts w:ascii="Arial" w:cs="Arial" w:eastAsia="Arial" w:hAnsi="Arial"/>
                <w:sz w:val="22"/>
                <w:szCs w:val="22"/>
                <w:color w:val="auto"/>
              </w:rPr>
              <w:t>Vice President and Treasurer</w:t>
            </w:r>
          </w:p>
        </w:tc>
      </w:tr>
      <w:tr>
        <w:trPr>
          <w:trHeight w:val="729"/>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Attest:</w:t>
            </w:r>
          </w:p>
        </w:tc>
      </w:tr>
      <w:tr>
        <w:trPr>
          <w:trHeight w:val="435"/>
        </w:trPr>
        <w:tc>
          <w:tcPr>
            <w:tcW w:w="2420" w:type="dxa"/>
            <w:vAlign w:val="bottom"/>
          </w:tcPr>
          <w:p>
            <w:pPr>
              <w:spacing w:after="0"/>
              <w:rPr>
                <w:sz w:val="24"/>
                <w:szCs w:val="24"/>
                <w:color w:val="auto"/>
              </w:rPr>
            </w:pPr>
          </w:p>
        </w:tc>
        <w:tc>
          <w:tcPr>
            <w:tcW w:w="2400" w:type="dxa"/>
            <w:vAlign w:val="bottom"/>
            <w:gridSpan w:val="2"/>
          </w:tcPr>
          <w:p>
            <w:pPr>
              <w:ind w:left="1820"/>
              <w:spacing w:after="0"/>
              <w:rPr>
                <w:sz w:val="20"/>
                <w:szCs w:val="20"/>
                <w:color w:val="auto"/>
              </w:rPr>
            </w:pPr>
            <w:r>
              <w:rPr>
                <w:rFonts w:ascii="Arial" w:cs="Arial" w:eastAsia="Arial" w:hAnsi="Arial"/>
                <w:sz w:val="22"/>
                <w:szCs w:val="22"/>
                <w:color w:val="auto"/>
              </w:rPr>
              <w:t>By:</w:t>
            </w:r>
          </w:p>
        </w:tc>
        <w:tc>
          <w:tcPr>
            <w:tcW w:w="2440" w:type="dxa"/>
            <w:vAlign w:val="bottom"/>
            <w:tcBorders>
              <w:bottom w:val="single" w:sz="8" w:color="auto"/>
            </w:tcBorders>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42"/>
        </w:trPr>
        <w:tc>
          <w:tcPr>
            <w:tcW w:w="2420" w:type="dxa"/>
            <w:vAlign w:val="bottom"/>
          </w:tcPr>
          <w:p>
            <w:pPr>
              <w:spacing w:after="0"/>
              <w:rPr>
                <w:sz w:val="21"/>
                <w:szCs w:val="21"/>
                <w:color w:val="auto"/>
              </w:rPr>
            </w:pPr>
          </w:p>
        </w:tc>
        <w:tc>
          <w:tcPr>
            <w:tcW w:w="5800" w:type="dxa"/>
            <w:vAlign w:val="bottom"/>
            <w:gridSpan w:val="5"/>
          </w:tcPr>
          <w:p>
            <w:pPr>
              <w:ind w:left="2380"/>
              <w:spacing w:after="0" w:line="242" w:lineRule="exact"/>
              <w:rPr>
                <w:sz w:val="20"/>
                <w:szCs w:val="20"/>
                <w:color w:val="auto"/>
              </w:rPr>
            </w:pPr>
            <w:r>
              <w:rPr>
                <w:rFonts w:ascii="Arial" w:cs="Arial" w:eastAsia="Arial" w:hAnsi="Arial"/>
                <w:sz w:val="22"/>
                <w:szCs w:val="22"/>
                <w:color w:val="auto"/>
              </w:rPr>
              <w:t>Courtney A. Tippy</w:t>
            </w:r>
          </w:p>
        </w:tc>
      </w:tr>
      <w:tr>
        <w:trPr>
          <w:trHeight w:val="274"/>
        </w:trPr>
        <w:tc>
          <w:tcPr>
            <w:tcW w:w="24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420" w:type="dxa"/>
            <w:vAlign w:val="bottom"/>
            <w:gridSpan w:val="4"/>
          </w:tcPr>
          <w:p>
            <w:pPr>
              <w:spacing w:after="0"/>
              <w:rPr>
                <w:sz w:val="20"/>
                <w:szCs w:val="20"/>
                <w:color w:val="auto"/>
              </w:rPr>
            </w:pPr>
            <w:r>
              <w:rPr>
                <w:rFonts w:ascii="Arial" w:cs="Arial" w:eastAsia="Arial" w:hAnsi="Arial"/>
                <w:sz w:val="22"/>
                <w:szCs w:val="22"/>
                <w:color w:val="auto"/>
                <w:w w:val="87"/>
              </w:rPr>
              <w:t>Vice President and Corporate Secretary</w:t>
            </w:r>
          </w:p>
        </w:tc>
      </w:tr>
    </w:tbl>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CERTIFICATE OF AUTHENTICATION</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165"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220" w:type="dxa"/>
            <w:vAlign w:val="bottom"/>
          </w:tcPr>
          <w:p>
            <w:pPr>
              <w:ind w:left="80"/>
              <w:spacing w:after="0"/>
              <w:rPr>
                <w:sz w:val="20"/>
                <w:szCs w:val="20"/>
                <w:color w:val="auto"/>
              </w:rPr>
            </w:pPr>
            <w:r>
              <w:rPr>
                <w:rFonts w:ascii="Arial" w:cs="Arial" w:eastAsia="Arial" w:hAnsi="Arial"/>
                <w:sz w:val="22"/>
                <w:szCs w:val="22"/>
                <w:color w:val="auto"/>
              </w:rPr>
              <w:t>Date of Authentication:</w:t>
            </w: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w w:val="93"/>
              </w:rPr>
              <w:t>The Bank of New York Mellon Trust Company,</w:t>
            </w:r>
          </w:p>
        </w:tc>
      </w:tr>
      <w:tr>
        <w:trPr>
          <w:trHeight w:val="274"/>
        </w:trPr>
        <w:tc>
          <w:tcPr>
            <w:tcW w:w="3220" w:type="dxa"/>
            <w:vAlign w:val="bottom"/>
          </w:tcPr>
          <w:p>
            <w:pPr>
              <w:spacing w:after="0"/>
              <w:rPr>
                <w:sz w:val="23"/>
                <w:szCs w:val="23"/>
                <w:color w:val="auto"/>
              </w:rPr>
            </w:pP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rPr>
              <w:t>N.A., as Trustee</w:t>
            </w:r>
          </w:p>
        </w:tc>
      </w:tr>
      <w:tr>
        <w:trPr>
          <w:trHeight w:val="435"/>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rPr>
              <w:t>By: ​</w:t>
            </w:r>
          </w:p>
        </w:tc>
      </w:tr>
      <w:tr>
        <w:trPr>
          <w:trHeight w:val="274"/>
        </w:trPr>
        <w:tc>
          <w:tcPr>
            <w:tcW w:w="3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520" w:type="dxa"/>
            <w:vAlign w:val="bottom"/>
            <w:tcBorders>
              <w:top w:val="single" w:sz="8" w:color="auto"/>
            </w:tcBorders>
          </w:tcPr>
          <w:p>
            <w:pPr>
              <w:ind w:left="80"/>
              <w:spacing w:after="0"/>
              <w:rPr>
                <w:sz w:val="20"/>
                <w:szCs w:val="20"/>
                <w:color w:val="auto"/>
              </w:rPr>
            </w:pPr>
            <w:r>
              <w:rPr>
                <w:rFonts w:ascii="Arial" w:cs="Arial" w:eastAsia="Arial" w:hAnsi="Arial"/>
                <w:sz w:val="22"/>
                <w:szCs w:val="22"/>
                <w:color w:val="auto"/>
              </w:rPr>
              <w:t>Authorized Officer</w:t>
            </w:r>
          </w:p>
        </w:tc>
        <w:tc>
          <w:tcPr>
            <w:tcW w:w="320" w:type="dxa"/>
            <w:vAlign w:val="bottom"/>
          </w:tcPr>
          <w:p>
            <w:pPr>
              <w:spacing w:after="0"/>
              <w:rPr>
                <w:sz w:val="23"/>
                <w:szCs w:val="23"/>
                <w:color w:val="auto"/>
              </w:rPr>
            </w:pPr>
          </w:p>
        </w:tc>
      </w:tr>
      <w:tr>
        <w:trPr>
          <w:trHeight w:val="1495"/>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color w:val="auto"/>
        </w:rPr>
        <w:t>REVERSE OF BOOK-ENTRY SECURITY</w:t>
      </w:r>
    </w:p>
    <w:p>
      <w:pPr>
        <w:spacing w:after="0" w:line="23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WASTE MANAGEMENT,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4.875% SENIOR NOTES DUE 2029</w:t>
      </w:r>
    </w:p>
    <w:p>
      <w:pPr>
        <w:spacing w:after="0" w:line="233" w:lineRule="exact"/>
        <w:rPr>
          <w:sz w:val="20"/>
          <w:szCs w:val="20"/>
          <w:color w:val="auto"/>
        </w:rPr>
      </w:pPr>
    </w:p>
    <w:p>
      <w:pPr>
        <w:jc w:val="both"/>
        <w:ind w:left="200" w:right="219" w:firstLine="667"/>
        <w:spacing w:after="0" w:line="244" w:lineRule="auto"/>
        <w:rPr>
          <w:sz w:val="20"/>
          <w:szCs w:val="20"/>
          <w:color w:val="auto"/>
        </w:rPr>
      </w:pPr>
      <w:r>
        <w:rPr>
          <w:rFonts w:ascii="Arial" w:cs="Arial" w:eastAsia="Arial" w:hAnsi="Arial"/>
          <w:sz w:val="21"/>
          <w:szCs w:val="21"/>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4.875% Senior Notes due 2029 of the Company, in initial aggregate principal amount of $750,000,000 (the “Securities”).</w:t>
      </w:r>
    </w:p>
    <w:p>
      <w:pPr>
        <w:spacing w:after="0" w:line="188" w:lineRule="exact"/>
        <w:rPr>
          <w:sz w:val="20"/>
          <w:szCs w:val="20"/>
          <w:color w:val="auto"/>
        </w:rPr>
      </w:pPr>
    </w:p>
    <w:p>
      <w:pPr>
        <w:ind w:left="1500" w:hanging="643"/>
        <w:spacing w:after="0"/>
        <w:tabs>
          <w:tab w:leader="none" w:pos="150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Interest.</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The Company promises to pay interest on the principal amount of this Security at the rate of 4.875% per annum.</w:t>
      </w:r>
    </w:p>
    <w:p>
      <w:pPr>
        <w:spacing w:after="0" w:line="175" w:lineRule="exact"/>
        <w:rPr>
          <w:sz w:val="20"/>
          <w:szCs w:val="20"/>
          <w:color w:val="auto"/>
        </w:rPr>
      </w:pPr>
    </w:p>
    <w:p>
      <w:pPr>
        <w:jc w:val="both"/>
        <w:ind w:left="200" w:right="219" w:firstLine="667"/>
        <w:spacing w:after="0" w:line="233" w:lineRule="auto"/>
        <w:rPr>
          <w:sz w:val="20"/>
          <w:szCs w:val="20"/>
          <w:color w:val="auto"/>
        </w:rPr>
      </w:pPr>
      <w:r>
        <w:rPr>
          <w:rFonts w:ascii="Arial" w:cs="Arial" w:eastAsia="Arial" w:hAnsi="Arial"/>
          <w:sz w:val="22"/>
          <w:szCs w:val="22"/>
          <w:color w:val="auto"/>
        </w:rPr>
        <w:t>The Company will pay interest semi-annually on February 15 and August 15 of each year (each an “Interest Payment Date”), commencing February 15, 2024. Interest on the Securities will accrue from the most recent date to which interest has been paid or, if no interest has been paid on the Securities, from August 3, 2023.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4.875% per annum, in each case to the extent lawful.</w:t>
      </w:r>
    </w:p>
    <w:p>
      <w:pPr>
        <w:spacing w:after="0" w:line="193" w:lineRule="exact"/>
        <w:rPr>
          <w:sz w:val="20"/>
          <w:szCs w:val="20"/>
          <w:color w:val="auto"/>
        </w:rPr>
      </w:pPr>
    </w:p>
    <w:p>
      <w:pPr>
        <w:ind w:left="1500" w:hanging="643"/>
        <w:spacing w:after="0"/>
        <w:tabs>
          <w:tab w:leader="none" w:pos="1500"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Method of Payment.</w:t>
      </w:r>
    </w:p>
    <w:p>
      <w:pPr>
        <w:spacing w:after="0" w:line="206" w:lineRule="exact"/>
        <w:rPr>
          <w:sz w:val="20"/>
          <w:szCs w:val="20"/>
          <w:color w:val="auto"/>
        </w:rPr>
      </w:pPr>
    </w:p>
    <w:p>
      <w:pPr>
        <w:jc w:val="both"/>
        <w:ind w:left="200" w:right="219" w:firstLine="667"/>
        <w:spacing w:after="0" w:line="272" w:lineRule="auto"/>
        <w:rPr>
          <w:sz w:val="20"/>
          <w:szCs w:val="20"/>
          <w:color w:val="auto"/>
        </w:rPr>
      </w:pPr>
      <w:r>
        <w:rPr>
          <w:rFonts w:ascii="Arial" w:cs="Arial" w:eastAsia="Arial" w:hAnsi="Arial"/>
          <w:sz w:val="19"/>
          <w:szCs w:val="19"/>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both"/>
        <w:ind w:left="200" w:right="219"/>
        <w:spacing w:after="0" w:line="247" w:lineRule="auto"/>
        <w:rPr>
          <w:sz w:val="20"/>
          <w:szCs w:val="20"/>
          <w:color w:val="auto"/>
        </w:rPr>
      </w:pPr>
      <w:r>
        <w:rPr>
          <w:rFonts w:ascii="Arial" w:cs="Arial" w:eastAsia="Arial" w:hAnsi="Arial"/>
          <w:sz w:val="21"/>
          <w:szCs w:val="21"/>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8" w:lineRule="exact"/>
        <w:rPr>
          <w:sz w:val="20"/>
          <w:szCs w:val="20"/>
          <w:color w:val="auto"/>
        </w:rPr>
      </w:pPr>
    </w:p>
    <w:p>
      <w:pPr>
        <w:ind w:left="1500" w:hanging="643"/>
        <w:spacing w:after="0"/>
        <w:tabs>
          <w:tab w:leader="none" w:pos="1500"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p>
    <w:p>
      <w:pPr>
        <w:spacing w:after="0" w:line="206" w:lineRule="exact"/>
        <w:rPr>
          <w:sz w:val="20"/>
          <w:szCs w:val="20"/>
          <w:color w:val="auto"/>
        </w:rPr>
      </w:pPr>
    </w:p>
    <w:p>
      <w:pPr>
        <w:jc w:val="both"/>
        <w:ind w:left="200" w:right="219" w:firstLine="667"/>
        <w:spacing w:after="0" w:line="287" w:lineRule="auto"/>
        <w:rPr>
          <w:sz w:val="20"/>
          <w:szCs w:val="20"/>
          <w:color w:val="auto"/>
        </w:rPr>
      </w:pPr>
      <w:r>
        <w:rPr>
          <w:rFonts w:ascii="Arial" w:cs="Arial" w:eastAsia="Arial" w:hAnsi="Arial"/>
          <w:sz w:val="19"/>
          <w:szCs w:val="19"/>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43" w:lineRule="exact"/>
        <w:rPr>
          <w:sz w:val="20"/>
          <w:szCs w:val="20"/>
          <w:color w:val="auto"/>
        </w:rPr>
      </w:pPr>
    </w:p>
    <w:p>
      <w:pPr>
        <w:ind w:left="1500" w:hanging="643"/>
        <w:spacing w:after="0"/>
        <w:tabs>
          <w:tab w:leader="none" w:pos="150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Indenture.</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This Security is one of a duly authorized issue of Debt Securities of the Company issued and to be issued in one or more series under the Indenture.</w:t>
      </w:r>
    </w:p>
    <w:p>
      <w:pPr>
        <w:spacing w:after="0" w:line="175"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(the “Resolutions”) and the written consent of the Sole Director of Waste Management Holdings, Inc. on July 18, 2023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$750,000,000.</w:t>
      </w:r>
    </w:p>
    <w:p>
      <w:pPr>
        <w:spacing w:after="0" w:line="155" w:lineRule="exact"/>
        <w:rPr>
          <w:sz w:val="20"/>
          <w:szCs w:val="20"/>
          <w:color w:val="auto"/>
        </w:rPr>
      </w:pPr>
    </w:p>
    <w:p>
      <w:pPr>
        <w:ind w:left="1500" w:hanging="643"/>
        <w:spacing w:after="0"/>
        <w:tabs>
          <w:tab w:leader="none" w:pos="1500"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Redemption.</w:t>
      </w:r>
    </w:p>
    <w:p>
      <w:pPr>
        <w:spacing w:after="0" w:line="206"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21"/>
          <w:szCs w:val="21"/>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69" w:lineRule="exact"/>
        <w:rPr>
          <w:sz w:val="20"/>
          <w:szCs w:val="20"/>
          <w:color w:val="auto"/>
        </w:rPr>
      </w:pPr>
    </w:p>
    <w:p>
      <w:pPr>
        <w:jc w:val="both"/>
        <w:ind w:left="860" w:right="219" w:firstLine="15"/>
        <w:spacing w:after="0" w:line="236" w:lineRule="auto"/>
        <w:tabs>
          <w:tab w:leader="none" w:pos="1192"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87" w:lineRule="exact"/>
        <w:rPr>
          <w:rFonts w:ascii="Arial" w:cs="Arial" w:eastAsia="Arial" w:hAnsi="Arial"/>
          <w:sz w:val="22"/>
          <w:szCs w:val="22"/>
          <w:color w:val="auto"/>
        </w:rPr>
      </w:pPr>
    </w:p>
    <w:p>
      <w:pPr>
        <w:ind w:left="1180" w:hanging="305"/>
        <w:spacing w:after="0"/>
        <w:tabs>
          <w:tab w:leader="none" w:pos="11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100% of the principal amount of the Securities to be redeemed,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641350</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jc w:val="both"/>
        <w:ind w:left="200" w:right="219" w:firstLine="667"/>
        <w:spacing w:after="0" w:line="238" w:lineRule="auto"/>
        <w:rPr>
          <w:sz w:val="20"/>
          <w:szCs w:val="20"/>
          <w:color w:val="auto"/>
        </w:rPr>
      </w:pPr>
      <w:r>
        <w:rPr>
          <w:rFonts w:ascii="Arial" w:cs="Arial" w:eastAsia="Arial" w:hAnsi="Arial"/>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“Par Call Date” means January 15, 2029.</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“Treasury Rate” means, with respect to any Redemption Date, the yield determined by the Company in accordance with the following two paragraphs.</w:t>
      </w:r>
    </w:p>
    <w:p>
      <w:pPr>
        <w:spacing w:after="0" w:line="175" w:lineRule="exact"/>
        <w:rPr>
          <w:sz w:val="20"/>
          <w:szCs w:val="20"/>
          <w:color w:val="auto"/>
        </w:rPr>
      </w:pPr>
    </w:p>
    <w:p>
      <w:pPr>
        <w:jc w:val="both"/>
        <w:ind w:left="200" w:right="219" w:firstLine="667"/>
        <w:spacing w:after="0" w:line="270" w:lineRule="auto"/>
        <w:rPr>
          <w:sz w:val="20"/>
          <w:szCs w:val="20"/>
          <w:color w:val="auto"/>
        </w:rPr>
      </w:pPr>
      <w:r>
        <w:rPr>
          <w:rFonts w:ascii="Arial" w:cs="Arial" w:eastAsia="Arial" w:hAnsi="Arial"/>
          <w:sz w:val="19"/>
          <w:szCs w:val="19"/>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0"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9"/>
          <w:szCs w:val="19"/>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473075</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both"/>
        <w:ind w:left="200" w:right="219"/>
        <w:spacing w:after="0" w:line="241" w:lineRule="auto"/>
        <w:rPr>
          <w:sz w:val="20"/>
          <w:szCs w:val="20"/>
          <w:color w:val="auto"/>
        </w:rPr>
      </w:pPr>
      <w:r>
        <w:rPr>
          <w:rFonts w:ascii="Arial" w:cs="Arial" w:eastAsia="Arial" w:hAnsi="Arial"/>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84" w:lineRule="exact"/>
        <w:rPr>
          <w:sz w:val="20"/>
          <w:szCs w:val="20"/>
          <w:color w:val="auto"/>
        </w:rPr>
      </w:pPr>
    </w:p>
    <w:p>
      <w:pPr>
        <w:jc w:val="both"/>
        <w:ind w:left="200" w:right="219" w:firstLine="667"/>
        <w:spacing w:after="0" w:line="236" w:lineRule="auto"/>
        <w:rPr>
          <w:sz w:val="20"/>
          <w:szCs w:val="20"/>
          <w:color w:val="auto"/>
        </w:rPr>
      </w:pPr>
      <w:r>
        <w:rPr>
          <w:rFonts w:ascii="Arial" w:cs="Arial" w:eastAsia="Arial" w:hAnsi="Arial"/>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7"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9"/>
          <w:szCs w:val="19"/>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64"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Except as set forth above, the Securities will not be redeemable prior to their Stated Maturity and will not be entitled to the benefit of any sinking fund.</w:t>
      </w:r>
    </w:p>
    <w:p>
      <w:pPr>
        <w:spacing w:after="0" w:line="175"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The Securities may be redeemed in part in a minimum principal amount of $2,000, or any integral multiple of $1,000 in excess thereof.</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Any such redemption will also comply with Article Eleven of the Indenture.</w:t>
      </w:r>
    </w:p>
    <w:p>
      <w:pPr>
        <w:spacing w:after="0" w:line="206" w:lineRule="exact"/>
        <w:rPr>
          <w:sz w:val="20"/>
          <w:szCs w:val="20"/>
          <w:color w:val="auto"/>
        </w:rPr>
      </w:pPr>
    </w:p>
    <w:p>
      <w:pPr>
        <w:ind w:left="1500" w:hanging="643"/>
        <w:spacing w:after="0"/>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Change of Control Offer.</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11" w:lineRule="exact"/>
        <w:rPr>
          <w:sz w:val="20"/>
          <w:szCs w:val="20"/>
          <w:color w:val="auto"/>
        </w:rPr>
      </w:pPr>
    </w:p>
    <w:p>
      <w:pPr>
        <w:jc w:val="both"/>
        <w:ind w:left="200" w:right="239" w:firstLine="648"/>
        <w:spacing w:after="0" w:line="328" w:lineRule="auto"/>
        <w:rPr>
          <w:sz w:val="20"/>
          <w:szCs w:val="20"/>
          <w:color w:val="auto"/>
        </w:rPr>
      </w:pPr>
      <w:r>
        <w:rPr>
          <w:rFonts w:ascii="Arial" w:cs="Arial" w:eastAsia="Arial" w:hAnsi="Arial"/>
          <w:sz w:val="19"/>
          <w:szCs w:val="19"/>
          <w:color w:val="auto"/>
        </w:rPr>
        <w:t>Within 30 days following any Change of Control Triggering Event or, at the Company’s option, prior to any Change of Control, but after public announcement of the transaction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440055</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both"/>
        <w:ind w:left="200" w:right="219"/>
        <w:spacing w:after="0" w:line="246" w:lineRule="auto"/>
        <w:rPr>
          <w:sz w:val="20"/>
          <w:szCs w:val="20"/>
          <w:color w:val="auto"/>
        </w:rPr>
      </w:pPr>
      <w:r>
        <w:rPr>
          <w:rFonts w:ascii="Arial" w:cs="Arial" w:eastAsia="Arial" w:hAnsi="Arial"/>
          <w:sz w:val="21"/>
          <w:szCs w:val="21"/>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Upon the Change of Control Payment Date, the Company shall, to the extent lawful:</w:t>
      </w:r>
    </w:p>
    <w:p>
      <w:pPr>
        <w:spacing w:after="0" w:line="233" w:lineRule="exact"/>
        <w:rPr>
          <w:sz w:val="20"/>
          <w:szCs w:val="20"/>
          <w:color w:val="auto"/>
        </w:rPr>
      </w:pPr>
    </w:p>
    <w:p>
      <w:pPr>
        <w:ind w:left="1500" w:right="219" w:hanging="643"/>
        <w:spacing w:after="0" w:line="250" w:lineRule="auto"/>
        <w:tabs>
          <w:tab w:leader="none" w:pos="1500" w:val="left"/>
        </w:tabs>
        <w:numPr>
          <w:ilvl w:val="0"/>
          <w:numId w:val="48"/>
        </w:numPr>
        <w:rPr>
          <w:rFonts w:ascii="Arial" w:cs="Arial" w:eastAsia="Arial" w:hAnsi="Arial"/>
          <w:sz w:val="18"/>
          <w:szCs w:val="18"/>
          <w:color w:val="auto"/>
        </w:rPr>
      </w:pPr>
      <w:r>
        <w:rPr>
          <w:rFonts w:ascii="Arial" w:cs="Arial" w:eastAsia="Arial" w:hAnsi="Arial"/>
          <w:sz w:val="22"/>
          <w:szCs w:val="22"/>
          <w:color w:val="auto"/>
        </w:rPr>
        <w:t>accept for payment all Securities or portions of Securities properly tendered and not withdrawn pursuant to the Change of Control Offer;</w:t>
      </w:r>
    </w:p>
    <w:p>
      <w:pPr>
        <w:spacing w:after="0" w:line="174" w:lineRule="exact"/>
        <w:rPr>
          <w:rFonts w:ascii="Arial" w:cs="Arial" w:eastAsia="Arial" w:hAnsi="Arial"/>
          <w:sz w:val="18"/>
          <w:szCs w:val="18"/>
          <w:color w:val="auto"/>
        </w:rPr>
      </w:pPr>
    </w:p>
    <w:p>
      <w:pPr>
        <w:ind w:left="1500" w:right="239" w:hanging="643"/>
        <w:spacing w:after="0" w:line="328" w:lineRule="auto"/>
        <w:tabs>
          <w:tab w:leader="none" w:pos="1500" w:val="left"/>
        </w:tabs>
        <w:numPr>
          <w:ilvl w:val="0"/>
          <w:numId w:val="48"/>
        </w:numPr>
        <w:rPr>
          <w:rFonts w:ascii="Arial" w:cs="Arial" w:eastAsia="Arial" w:hAnsi="Arial"/>
          <w:sz w:val="16"/>
          <w:szCs w:val="16"/>
          <w:color w:val="auto"/>
        </w:rPr>
      </w:pPr>
      <w:r>
        <w:rPr>
          <w:rFonts w:ascii="Arial" w:cs="Arial" w:eastAsia="Arial" w:hAnsi="Arial"/>
          <w:sz w:val="19"/>
          <w:szCs w:val="19"/>
          <w:color w:val="auto"/>
        </w:rPr>
        <w:t>deposit with the Paying Agent an amount equal to the Change of Control Payment in respect of all Securities or portions of Securities properly tendered; and</w:t>
      </w:r>
    </w:p>
    <w:p>
      <w:pPr>
        <w:spacing w:after="0" w:line="104" w:lineRule="exact"/>
        <w:rPr>
          <w:rFonts w:ascii="Arial" w:cs="Arial" w:eastAsia="Arial" w:hAnsi="Arial"/>
          <w:sz w:val="16"/>
          <w:szCs w:val="16"/>
          <w:color w:val="auto"/>
        </w:rPr>
      </w:pPr>
    </w:p>
    <w:p>
      <w:pPr>
        <w:jc w:val="both"/>
        <w:ind w:left="1500" w:right="239" w:hanging="643"/>
        <w:spacing w:after="0"/>
        <w:tabs>
          <w:tab w:leader="none" w:pos="1500" w:val="left"/>
        </w:tabs>
        <w:numPr>
          <w:ilvl w:val="0"/>
          <w:numId w:val="48"/>
        </w:numPr>
        <w:rPr>
          <w:rFonts w:ascii="Arial" w:cs="Arial" w:eastAsia="Arial" w:hAnsi="Arial"/>
          <w:sz w:val="18"/>
          <w:szCs w:val="18"/>
          <w:color w:val="auto"/>
        </w:rPr>
      </w:pPr>
      <w:r>
        <w:rPr>
          <w:rFonts w:ascii="Arial" w:cs="Arial" w:eastAsia="Arial" w:hAnsi="Arial"/>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86"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9"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For purposes of the Change of Control Offer provisions of the Securities, the following terms are applicable:</w:t>
      </w:r>
    </w:p>
    <w:p>
      <w:pPr>
        <w:spacing w:after="0" w:line="202" w:lineRule="exact"/>
        <w:rPr>
          <w:sz w:val="20"/>
          <w:szCs w:val="20"/>
          <w:color w:val="auto"/>
        </w:rPr>
      </w:pPr>
    </w:p>
    <w:p>
      <w:pPr>
        <w:jc w:val="both"/>
        <w:ind w:left="200" w:right="219" w:firstLine="667"/>
        <w:spacing w:after="0" w:line="279" w:lineRule="auto"/>
        <w:rPr>
          <w:sz w:val="20"/>
          <w:szCs w:val="20"/>
          <w:color w:val="auto"/>
        </w:rPr>
      </w:pPr>
      <w:r>
        <w:rPr>
          <w:rFonts w:ascii="Arial" w:cs="Arial" w:eastAsia="Arial" w:hAnsi="Arial"/>
          <w:sz w:val="19"/>
          <w:szCs w:val="19"/>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jc w:val="both"/>
        <w:ind w:left="200" w:right="219"/>
        <w:spacing w:after="0" w:line="272" w:lineRule="auto"/>
        <w:rPr>
          <w:sz w:val="20"/>
          <w:szCs w:val="20"/>
          <w:color w:val="auto"/>
        </w:rPr>
      </w:pPr>
      <w:r>
        <w:rPr>
          <w:rFonts w:ascii="Arial" w:cs="Arial" w:eastAsia="Arial" w:hAnsi="Arial"/>
          <w:sz w:val="19"/>
          <w:szCs w:val="19"/>
          <w:color w:val="auto"/>
        </w:rPr>
        <w:t>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0" w:lineRule="exact"/>
        <w:rPr>
          <w:sz w:val="20"/>
          <w:szCs w:val="20"/>
          <w:color w:val="auto"/>
        </w:rPr>
      </w:pPr>
    </w:p>
    <w:p>
      <w:pPr>
        <w:spacing w:after="0" w:line="204" w:lineRule="exact"/>
        <w:rPr>
          <w:sz w:val="20"/>
          <w:szCs w:val="20"/>
          <w:color w:val="auto"/>
        </w:rPr>
      </w:pPr>
    </w:p>
    <w:p>
      <w:pPr>
        <w:jc w:val="both"/>
        <w:ind w:left="200" w:right="219" w:firstLine="667"/>
        <w:spacing w:after="0" w:line="245" w:lineRule="auto"/>
        <w:rPr>
          <w:sz w:val="20"/>
          <w:szCs w:val="20"/>
          <w:color w:val="auto"/>
        </w:rPr>
      </w:pPr>
      <w:r>
        <w:rPr>
          <w:rFonts w:ascii="Arial" w:cs="Arial" w:eastAsia="Arial" w:hAnsi="Arial"/>
          <w:sz w:val="21"/>
          <w:szCs w:val="21"/>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4" w:lineRule="exact"/>
        <w:rPr>
          <w:sz w:val="20"/>
          <w:szCs w:val="20"/>
          <w:color w:val="auto"/>
        </w:rPr>
      </w:pPr>
    </w:p>
    <w:p>
      <w:pPr>
        <w:jc w:val="both"/>
        <w:ind w:left="200" w:right="239" w:firstLine="667"/>
        <w:spacing w:after="0" w:line="250" w:lineRule="auto"/>
        <w:rPr>
          <w:sz w:val="20"/>
          <w:szCs w:val="20"/>
          <w:color w:val="auto"/>
        </w:rPr>
      </w:pPr>
      <w:r>
        <w:rPr>
          <w:rFonts w:ascii="Arial" w:cs="Arial" w:eastAsia="Arial" w:hAnsi="Arial"/>
          <w:sz w:val="22"/>
          <w:szCs w:val="22"/>
          <w:color w:val="auto"/>
        </w:rPr>
        <w:t>“Change of Control Triggering Event” means the occurrence of both a Change of Control and a Rating Event.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“Fitch” means Fitch Inc. and its successors.</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“Moody’s” means Moody’s Investors Service, Inc. and its successors.</w:t>
      </w:r>
    </w:p>
    <w:p>
      <w:pPr>
        <w:spacing w:after="0" w:line="206" w:lineRule="exact"/>
        <w:rPr>
          <w:sz w:val="20"/>
          <w:szCs w:val="20"/>
          <w:color w:val="auto"/>
        </w:rPr>
      </w:pPr>
    </w:p>
    <w:p>
      <w:pPr>
        <w:jc w:val="both"/>
        <w:ind w:left="200" w:right="219" w:firstLine="667"/>
        <w:spacing w:after="0" w:line="279" w:lineRule="auto"/>
        <w:rPr>
          <w:sz w:val="20"/>
          <w:szCs w:val="20"/>
          <w:color w:val="auto"/>
        </w:rPr>
      </w:pPr>
      <w:r>
        <w:rPr>
          <w:rFonts w:ascii="Arial" w:cs="Arial" w:eastAsia="Arial" w:hAnsi="Arial"/>
          <w:sz w:val="19"/>
          <w:szCs w:val="19"/>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50" w:lineRule="exact"/>
        <w:rPr>
          <w:sz w:val="20"/>
          <w:szCs w:val="20"/>
          <w:color w:val="auto"/>
        </w:rPr>
      </w:pPr>
    </w:p>
    <w:p>
      <w:pPr>
        <w:jc w:val="both"/>
        <w:ind w:left="200" w:right="219" w:firstLine="667"/>
        <w:spacing w:after="0" w:line="287" w:lineRule="auto"/>
        <w:rPr>
          <w:sz w:val="20"/>
          <w:szCs w:val="20"/>
          <w:color w:val="auto"/>
        </w:rPr>
      </w:pPr>
      <w:r>
        <w:rPr>
          <w:rFonts w:ascii="Arial" w:cs="Arial" w:eastAsia="Arial" w:hAnsi="Arial"/>
          <w:sz w:val="19"/>
          <w:szCs w:val="19"/>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464185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1" w:name="page62"/>
    <w:bookmarkEnd w:id="61"/>
    <w:p>
      <w:pPr>
        <w:jc w:val="both"/>
        <w:ind w:left="200" w:right="219"/>
        <w:spacing w:after="0" w:line="258" w:lineRule="auto"/>
        <w:rPr>
          <w:sz w:val="20"/>
          <w:szCs w:val="20"/>
          <w:color w:val="auto"/>
        </w:rPr>
      </w:pPr>
      <w:r>
        <w:rPr>
          <w:rFonts w:ascii="Arial" w:cs="Arial" w:eastAsia="Arial" w:hAnsi="Arial"/>
          <w:sz w:val="21"/>
          <w:szCs w:val="21"/>
          <w:color w:val="auto"/>
        </w:rPr>
        <w:t>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“S&amp;P” means S&amp;P Global Ratings, a division of S&amp;P Global Inc., and its successors.</w:t>
      </w:r>
    </w:p>
    <w:p>
      <w:pPr>
        <w:spacing w:after="0" w:line="218"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21"/>
          <w:szCs w:val="21"/>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Denominations; Transfer; Exchange.</w:t>
      </w:r>
    </w:p>
    <w:p>
      <w:pPr>
        <w:spacing w:after="0" w:line="206" w:lineRule="exact"/>
        <w:rPr>
          <w:sz w:val="20"/>
          <w:szCs w:val="20"/>
          <w:color w:val="auto"/>
        </w:rPr>
      </w:pPr>
    </w:p>
    <w:p>
      <w:pPr>
        <w:jc w:val="both"/>
        <w:ind w:left="200" w:right="219" w:firstLine="667"/>
        <w:spacing w:after="0" w:line="282" w:lineRule="auto"/>
        <w:rPr>
          <w:sz w:val="20"/>
          <w:szCs w:val="20"/>
          <w:color w:val="auto"/>
        </w:rPr>
      </w:pPr>
      <w:r>
        <w:rPr>
          <w:rFonts w:ascii="Arial" w:cs="Arial" w:eastAsia="Arial" w:hAnsi="Arial"/>
          <w:sz w:val="19"/>
          <w:szCs w:val="19"/>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47" w:lineRule="exact"/>
        <w:rPr>
          <w:sz w:val="20"/>
          <w:szCs w:val="20"/>
          <w:color w:val="auto"/>
        </w:rPr>
      </w:pPr>
    </w:p>
    <w:p>
      <w:pPr>
        <w:ind w:left="1500" w:hanging="643"/>
        <w:spacing w:after="0"/>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Person Deemed Owners.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registered Holder of a Security may be treated as the owner of it for all purposes.</w:t>
      </w:r>
    </w:p>
    <w:p>
      <w:pPr>
        <w:spacing w:after="0" w:line="241" w:lineRule="exact"/>
        <w:rPr>
          <w:sz w:val="20"/>
          <w:szCs w:val="20"/>
          <w:color w:val="auto"/>
        </w:rPr>
      </w:pPr>
    </w:p>
    <w:p>
      <w:pPr>
        <w:ind w:left="1500" w:hanging="643"/>
        <w:spacing w:after="0"/>
        <w:tabs>
          <w:tab w:leader="none" w:pos="1500"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Amendment; Supplement; Waiver.</w:t>
      </w:r>
    </w:p>
    <w:p>
      <w:pPr>
        <w:spacing w:after="0" w:line="206" w:lineRule="exact"/>
        <w:rPr>
          <w:sz w:val="20"/>
          <w:szCs w:val="20"/>
          <w:color w:val="auto"/>
        </w:rPr>
      </w:pPr>
    </w:p>
    <w:p>
      <w:pPr>
        <w:jc w:val="both"/>
        <w:ind w:left="200" w:right="219" w:firstLine="667"/>
        <w:spacing w:after="0" w:line="244" w:lineRule="auto"/>
        <w:rPr>
          <w:sz w:val="20"/>
          <w:szCs w:val="20"/>
          <w:color w:val="auto"/>
        </w:rPr>
      </w:pPr>
      <w:r>
        <w:rPr>
          <w:rFonts w:ascii="Arial" w:cs="Arial" w:eastAsia="Arial" w:hAnsi="Arial"/>
          <w:sz w:val="21"/>
          <w:szCs w:val="21"/>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8" w:lineRule="exact"/>
        <w:rPr>
          <w:sz w:val="20"/>
          <w:szCs w:val="20"/>
          <w:color w:val="auto"/>
        </w:rPr>
      </w:pPr>
    </w:p>
    <w:p>
      <w:pPr>
        <w:ind w:left="1500" w:hanging="643"/>
        <w:spacing w:after="0"/>
        <w:tabs>
          <w:tab w:leader="none" w:pos="1500"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Defaults and Remedies.</w:t>
      </w:r>
    </w:p>
    <w:p>
      <w:pPr>
        <w:spacing w:after="0" w:line="206"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2" w:name="page63"/>
    <w:bookmarkEnd w:id="62"/>
    <w:p>
      <w:pPr>
        <w:jc w:val="both"/>
        <w:ind w:left="200" w:right="219"/>
        <w:spacing w:after="0" w:line="272" w:lineRule="auto"/>
        <w:rPr>
          <w:sz w:val="20"/>
          <w:szCs w:val="20"/>
          <w:color w:val="auto"/>
        </w:rPr>
      </w:pPr>
      <w:r>
        <w:rPr>
          <w:rFonts w:ascii="Arial" w:cs="Arial" w:eastAsia="Arial" w:hAnsi="Arial"/>
          <w:sz w:val="19"/>
          <w:szCs w:val="19"/>
          <w:color w:val="auto"/>
        </w:rPr>
        <w:t>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spacing w:after="0" w:line="204" w:lineRule="exact"/>
        <w:rPr>
          <w:sz w:val="20"/>
          <w:szCs w:val="20"/>
          <w:color w:val="auto"/>
        </w:rPr>
      </w:pPr>
    </w:p>
    <w:p>
      <w:pPr>
        <w:ind w:left="1500" w:hanging="643"/>
        <w:spacing w:after="0"/>
        <w:tabs>
          <w:tab w:leader="none" w:pos="1500"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Trustee Dealings with Company.</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5" w:lineRule="exact"/>
        <w:rPr>
          <w:sz w:val="20"/>
          <w:szCs w:val="20"/>
          <w:color w:val="auto"/>
        </w:rPr>
      </w:pPr>
    </w:p>
    <w:p>
      <w:pPr>
        <w:ind w:left="1500" w:hanging="643"/>
        <w:spacing w:after="0"/>
        <w:tabs>
          <w:tab w:leader="none" w:pos="150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Authentication.</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Security shall not be valid until the Trustee or authenticating agent signs the certificate of authentication on the other side of this Security.</w:t>
      </w:r>
    </w:p>
    <w:p>
      <w:pPr>
        <w:spacing w:after="0" w:line="175" w:lineRule="exact"/>
        <w:rPr>
          <w:sz w:val="20"/>
          <w:szCs w:val="20"/>
          <w:color w:val="auto"/>
        </w:rPr>
      </w:pPr>
    </w:p>
    <w:p>
      <w:pPr>
        <w:ind w:left="1500" w:hanging="643"/>
        <w:spacing w:after="0"/>
        <w:tabs>
          <w:tab w:leader="none" w:pos="1500"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Abbreviations and Defined Terms.</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5" w:lineRule="exact"/>
        <w:rPr>
          <w:sz w:val="20"/>
          <w:szCs w:val="20"/>
          <w:color w:val="auto"/>
        </w:rPr>
      </w:pPr>
    </w:p>
    <w:p>
      <w:pPr>
        <w:ind w:left="1500" w:hanging="643"/>
        <w:spacing w:after="0"/>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CUSIP Numbers.</w:t>
      </w:r>
    </w:p>
    <w:p>
      <w:pPr>
        <w:spacing w:after="0" w:line="206" w:lineRule="exact"/>
        <w:rPr>
          <w:sz w:val="20"/>
          <w:szCs w:val="20"/>
          <w:color w:val="auto"/>
        </w:rPr>
      </w:pPr>
    </w:p>
    <w:p>
      <w:pPr>
        <w:jc w:val="both"/>
        <w:ind w:left="200" w:right="219" w:firstLine="667"/>
        <w:spacing w:after="0" w:line="236" w:lineRule="auto"/>
        <w:rPr>
          <w:sz w:val="20"/>
          <w:szCs w:val="20"/>
          <w:color w:val="auto"/>
        </w:rPr>
      </w:pPr>
      <w:r>
        <w:rPr>
          <w:rFonts w:ascii="Arial" w:cs="Arial" w:eastAsia="Arial" w:hAnsi="Arial"/>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7" w:lineRule="exact"/>
        <w:rPr>
          <w:sz w:val="20"/>
          <w:szCs w:val="20"/>
          <w:color w:val="auto"/>
        </w:rPr>
      </w:pPr>
    </w:p>
    <w:p>
      <w:pPr>
        <w:ind w:left="1500" w:hanging="643"/>
        <w:spacing w:after="0"/>
        <w:tabs>
          <w:tab w:leader="none" w:pos="1500"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Absolute Obligation.</w:t>
      </w:r>
    </w:p>
    <w:p>
      <w:pPr>
        <w:spacing w:after="0" w:line="206" w:lineRule="exact"/>
        <w:rPr>
          <w:sz w:val="20"/>
          <w:szCs w:val="20"/>
          <w:color w:val="auto"/>
        </w:rPr>
      </w:pPr>
    </w:p>
    <w:p>
      <w:pPr>
        <w:jc w:val="both"/>
        <w:ind w:left="200" w:right="219" w:firstLine="667"/>
        <w:spacing w:after="0" w:line="252" w:lineRule="auto"/>
        <w:rPr>
          <w:sz w:val="20"/>
          <w:szCs w:val="20"/>
          <w:color w:val="auto"/>
        </w:rPr>
      </w:pPr>
      <w:r>
        <w:rPr>
          <w:rFonts w:ascii="Arial" w:cs="Arial" w:eastAsia="Arial" w:hAnsi="Arial"/>
          <w:sz w:val="21"/>
          <w:szCs w:val="21"/>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3" w:name="page64"/>
    <w:bookmarkEnd w:id="63"/>
    <w:p>
      <w:pPr>
        <w:ind w:left="1500" w:hanging="643"/>
        <w:spacing w:after="0"/>
        <w:tabs>
          <w:tab w:leader="none" w:pos="1500"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No Recourse.</w:t>
      </w:r>
    </w:p>
    <w:p>
      <w:pPr>
        <w:spacing w:after="0" w:line="207" w:lineRule="exact"/>
        <w:rPr>
          <w:sz w:val="20"/>
          <w:szCs w:val="20"/>
          <w:color w:val="auto"/>
        </w:rPr>
      </w:pPr>
    </w:p>
    <w:p>
      <w:pPr>
        <w:jc w:val="both"/>
        <w:ind w:left="200" w:right="219" w:firstLine="667"/>
        <w:spacing w:after="0" w:line="275" w:lineRule="auto"/>
        <w:rPr>
          <w:sz w:val="20"/>
          <w:szCs w:val="20"/>
          <w:color w:val="auto"/>
        </w:rPr>
      </w:pPr>
      <w:r>
        <w:rPr>
          <w:rFonts w:ascii="Arial" w:cs="Arial" w:eastAsia="Arial" w:hAnsi="Arial"/>
          <w:sz w:val="19"/>
          <w:szCs w:val="19"/>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57" w:lineRule="exact"/>
        <w:rPr>
          <w:sz w:val="20"/>
          <w:szCs w:val="20"/>
          <w:color w:val="auto"/>
        </w:rPr>
      </w:pPr>
    </w:p>
    <w:p>
      <w:pPr>
        <w:ind w:left="1500" w:hanging="643"/>
        <w:spacing w:after="0"/>
        <w:tabs>
          <w:tab w:leader="none" w:pos="1500"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Governing Law.</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Security shall be construed in accordance with and governed by the laws of the State of New York.</w:t>
      </w:r>
    </w:p>
    <w:p>
      <w:pPr>
        <w:spacing w:after="0" w:line="175" w:lineRule="exact"/>
        <w:rPr>
          <w:sz w:val="20"/>
          <w:szCs w:val="20"/>
          <w:color w:val="auto"/>
        </w:rPr>
      </w:pPr>
    </w:p>
    <w:p>
      <w:pPr>
        <w:ind w:left="1500" w:hanging="643"/>
        <w:spacing w:after="0"/>
        <w:tabs>
          <w:tab w:leader="none" w:pos="1500" w:val="left"/>
        </w:tabs>
        <w:numPr>
          <w:ilvl w:val="0"/>
          <w:numId w:val="60"/>
        </w:numPr>
        <w:rPr>
          <w:rFonts w:ascii="Arial" w:cs="Arial" w:eastAsia="Arial" w:hAnsi="Arial"/>
          <w:sz w:val="22"/>
          <w:szCs w:val="22"/>
          <w:color w:val="auto"/>
        </w:rPr>
      </w:pPr>
      <w:r>
        <w:rPr>
          <w:rFonts w:ascii="Arial" w:cs="Arial" w:eastAsia="Arial" w:hAnsi="Arial"/>
          <w:sz w:val="22"/>
          <w:szCs w:val="22"/>
          <w:i w:val="1"/>
          <w:iCs w:val="1"/>
          <w:color w:val="auto"/>
        </w:rPr>
        <w:t>Guarantee.</w:t>
      </w:r>
    </w:p>
    <w:p>
      <w:pPr>
        <w:spacing w:after="0" w:line="206" w:lineRule="exact"/>
        <w:rPr>
          <w:sz w:val="20"/>
          <w:szCs w:val="20"/>
          <w:color w:val="auto"/>
        </w:rPr>
      </w:pPr>
    </w:p>
    <w:p>
      <w:pPr>
        <w:jc w:val="both"/>
        <w:ind w:left="200" w:right="219" w:firstLine="667"/>
        <w:spacing w:after="0" w:line="246" w:lineRule="auto"/>
        <w:rPr>
          <w:sz w:val="20"/>
          <w:szCs w:val="20"/>
          <w:color w:val="auto"/>
        </w:rPr>
      </w:pPr>
      <w:r>
        <w:rPr>
          <w:rFonts w:ascii="Arial" w:cs="Arial" w:eastAsia="Arial" w:hAnsi="Arial"/>
          <w:sz w:val="21"/>
          <w:szCs w:val="21"/>
          <w:color w:val="auto"/>
        </w:rPr>
        <w:t>The Securities will be fully and unconditionally guaranteed on a senior basis by the Company’s wholly owned subsidiary, Waste Management Holdings, Inc., pursuant to the terms and conditions of a Guarantee, dated as of August 3,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84" w:lineRule="exact"/>
        <w:rPr>
          <w:sz w:val="20"/>
          <w:szCs w:val="20"/>
          <w:color w:val="auto"/>
        </w:rPr>
      </w:pPr>
    </w:p>
    <w:p>
      <w:pPr>
        <w:ind w:left="1500" w:hanging="625"/>
        <w:spacing w:after="0"/>
        <w:tabs>
          <w:tab w:leader="none" w:pos="1500"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Satisfaction and Discharge.</w:t>
      </w:r>
    </w:p>
    <w:p>
      <w:pPr>
        <w:spacing w:after="0" w:line="206" w:lineRule="exact"/>
        <w:rPr>
          <w:sz w:val="20"/>
          <w:szCs w:val="20"/>
          <w:color w:val="auto"/>
        </w:rPr>
      </w:pPr>
    </w:p>
    <w:p>
      <w:pPr>
        <w:jc w:val="both"/>
        <w:ind w:left="200" w:right="219" w:firstLine="667"/>
        <w:spacing w:after="0" w:line="277" w:lineRule="auto"/>
        <w:rPr>
          <w:sz w:val="20"/>
          <w:szCs w:val="20"/>
          <w:color w:val="auto"/>
        </w:rPr>
      </w:pPr>
      <w:r>
        <w:rPr>
          <w:rFonts w:ascii="Arial" w:cs="Arial" w:eastAsia="Arial" w:hAnsi="Arial"/>
          <w:sz w:val="19"/>
          <w:szCs w:val="19"/>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1189990</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2"/>
          <w:szCs w:val="22"/>
          <w:color w:val="auto"/>
        </w:rPr>
        <w:t>SCHEDULE OF EXCHANGES OF DEFINITIVE SECURITY</w:t>
      </w:r>
    </w:p>
    <w:p>
      <w:pPr>
        <w:spacing w:after="0" w:line="207"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Amount of decrease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Amount of increase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5"/>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of Trustee or</w:t>
            </w:r>
          </w:p>
        </w:tc>
        <w:tc>
          <w:tcPr>
            <w:tcW w:w="60" w:type="dxa"/>
            <w:vAlign w:val="bottom"/>
          </w:tcPr>
          <w:p>
            <w:pPr>
              <w:spacing w:after="0"/>
              <w:rPr>
                <w:sz w:val="18"/>
                <w:szCs w:val="18"/>
                <w:color w:val="auto"/>
              </w:rPr>
            </w:pPr>
          </w:p>
        </w:tc>
      </w:tr>
      <w:tr>
        <w:trPr>
          <w:trHeight w:val="241"/>
        </w:trPr>
        <w:tc>
          <w:tcPr>
            <w:tcW w:w="80" w:type="dxa"/>
            <w:vAlign w:val="bottom"/>
          </w:tcPr>
          <w:p>
            <w:pPr>
              <w:spacing w:after="0"/>
              <w:rPr>
                <w:sz w:val="20"/>
                <w:szCs w:val="20"/>
                <w:color w:val="auto"/>
              </w:rPr>
            </w:pPr>
          </w:p>
        </w:tc>
        <w:tc>
          <w:tcPr>
            <w:tcW w:w="1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Date of Exchange</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increase)</w:t>
            </w:r>
          </w:p>
        </w:tc>
        <w:tc>
          <w:tcPr>
            <w:tcW w:w="1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 Custodian</w:t>
            </w:r>
          </w:p>
        </w:tc>
        <w:tc>
          <w:tcPr>
            <w:tcW w:w="60" w:type="dxa"/>
            <w:vAlign w:val="bottom"/>
            <w:tcBorders>
              <w:bottom w:val="single" w:sz="8" w:color="auto"/>
            </w:tcBorders>
          </w:tcPr>
          <w:p>
            <w:pPr>
              <w:spacing w:after="0"/>
              <w:rPr>
                <w:sz w:val="20"/>
                <w:szCs w:val="20"/>
                <w:color w:val="auto"/>
              </w:rPr>
            </w:pPr>
          </w:p>
        </w:tc>
      </w:tr>
      <w:tr>
        <w:trPr>
          <w:trHeight w:val="1613"/>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65" w:name="page66"/>
    <w:bookmarkEnd w:id="65"/>
    <w:p>
      <w:pPr>
        <w:jc w:val="right"/>
        <w:ind w:right="219"/>
        <w:spacing w:after="0"/>
        <w:rPr>
          <w:sz w:val="20"/>
          <w:szCs w:val="20"/>
          <w:color w:val="auto"/>
        </w:rPr>
      </w:pPr>
      <w:r>
        <w:rPr>
          <w:rFonts w:ascii="Arial" w:cs="Arial" w:eastAsia="Arial" w:hAnsi="Arial"/>
          <w:sz w:val="22"/>
          <w:szCs w:val="22"/>
          <w:b w:val="1"/>
          <w:bCs w:val="1"/>
          <w:color w:val="auto"/>
        </w:rPr>
        <w:t>Exhibit 4.2</w:t>
      </w:r>
    </w:p>
    <w:p>
      <w:pPr>
        <w:spacing w:after="0" w:line="396" w:lineRule="exact"/>
        <w:rPr>
          <w:sz w:val="20"/>
          <w:szCs w:val="20"/>
          <w:color w:val="auto"/>
        </w:rPr>
      </w:pPr>
    </w:p>
    <w:p>
      <w:pPr>
        <w:jc w:val="center"/>
        <w:ind w:left="200" w:right="219"/>
        <w:spacing w:after="0" w:line="243" w:lineRule="auto"/>
        <w:rPr>
          <w:sz w:val="20"/>
          <w:szCs w:val="20"/>
          <w:color w:val="auto"/>
        </w:rPr>
      </w:pPr>
      <w:r>
        <w:rPr>
          <w:rFonts w:ascii="Arial" w:cs="Arial" w:eastAsia="Arial" w:hAnsi="Arial"/>
          <w:sz w:val="22"/>
          <w:szCs w:val="22"/>
          <w:b w:val="1"/>
          <w:bCs w:val="1"/>
          <w:color w:val="auto"/>
        </w:rPr>
        <w:t>WASTE MANAGEMENT, INC. Officers’ Certificate Delivered Pursuant to Section 301 of the Indenture dated as of September 10, 1997</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August 3, 2023</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 undersigned, the Vice President and Treasurer, and the Vice President and</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Corporate Secretary of Waste Management, Inc. (the “Company”), hereby certify that:</w:t>
      </w:r>
    </w:p>
    <w:p>
      <w:pPr>
        <w:spacing w:after="0" w:line="188" w:lineRule="exact"/>
        <w:rPr>
          <w:sz w:val="20"/>
          <w:szCs w:val="20"/>
          <w:color w:val="auto"/>
        </w:rPr>
      </w:pPr>
    </w:p>
    <w:p>
      <w:pPr>
        <w:jc w:val="both"/>
        <w:ind w:left="200" w:right="219" w:firstLine="1305"/>
        <w:spacing w:after="0" w:line="277" w:lineRule="auto"/>
        <w:tabs>
          <w:tab w:leader="none" w:pos="2144"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August 3, 2023 (the “Order”) for the authentication and delivery by the Trustee of $1,250,000,000 aggregate principal amount of 4.875% Senior Notes due 2034 (the “Notes”).</w:t>
      </w:r>
    </w:p>
    <w:p>
      <w:pPr>
        <w:spacing w:after="0" w:line="151" w:lineRule="exact"/>
        <w:rPr>
          <w:rFonts w:ascii="Arial" w:cs="Arial" w:eastAsia="Arial" w:hAnsi="Arial"/>
          <w:sz w:val="19"/>
          <w:szCs w:val="19"/>
          <w:color w:val="auto"/>
        </w:rPr>
      </w:pPr>
    </w:p>
    <w:p>
      <w:pPr>
        <w:ind w:left="200" w:right="219" w:firstLine="1305"/>
        <w:spacing w:after="0" w:line="250" w:lineRule="auto"/>
        <w:tabs>
          <w:tab w:leader="none" w:pos="21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undersigned have read Sections 102, 103, 301 and 303 of the Indenture and the definitions in the Indenture relating thereto.</w:t>
      </w:r>
    </w:p>
    <w:p>
      <w:pPr>
        <w:spacing w:after="0" w:line="174" w:lineRule="exact"/>
        <w:rPr>
          <w:rFonts w:ascii="Arial" w:cs="Arial" w:eastAsia="Arial" w:hAnsi="Arial"/>
          <w:sz w:val="22"/>
          <w:szCs w:val="22"/>
          <w:color w:val="auto"/>
        </w:rPr>
      </w:pPr>
    </w:p>
    <w:p>
      <w:pPr>
        <w:jc w:val="both"/>
        <w:ind w:left="200" w:right="239" w:firstLine="1305"/>
        <w:spacing w:after="0" w:line="238" w:lineRule="auto"/>
        <w:tabs>
          <w:tab w:leader="none" w:pos="21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4" w:lineRule="exact"/>
        <w:rPr>
          <w:rFonts w:ascii="Arial" w:cs="Arial" w:eastAsia="Arial" w:hAnsi="Arial"/>
          <w:sz w:val="22"/>
          <w:szCs w:val="22"/>
          <w:color w:val="auto"/>
        </w:rPr>
      </w:pPr>
    </w:p>
    <w:p>
      <w:pPr>
        <w:ind w:left="200" w:right="239" w:firstLine="1305"/>
        <w:spacing w:after="0" w:line="250" w:lineRule="auto"/>
        <w:tabs>
          <w:tab w:leader="none" w:pos="21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undersigned have examined the Order, and they have read the covenants, conditions and provisions of the Indenture relating thereto.</w:t>
      </w:r>
    </w:p>
    <w:p>
      <w:pPr>
        <w:spacing w:after="0" w:line="17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covenants and conditions (including all conditions precedent) provided in the Indenture to the authentication and delivery by the Trustee of $1,250,000,000 aggregate principal amount of the Notes have been complied with, and such Notes may be delivered in accordance with the Order as provided in the Indenture.</w:t>
      </w:r>
    </w:p>
    <w:p>
      <w:pPr>
        <w:spacing w:after="0" w:line="184"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The terms of the Notes (including the Form of Note) as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to this Certificate have been approved by officers of the Company as authorized by resolutions duly adopted on March 1, 2022 by the Board of Directors of the Company, which are in full force and effect as of the date hereof.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641350</wp:posOffset>
            </wp:positionV>
            <wp:extent cx="54521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6" w:name="page67"/>
    <w:bookmarkEnd w:id="66"/>
    <w:p>
      <w:pPr>
        <w:ind w:left="200" w:right="439" w:firstLine="1296"/>
        <w:spacing w:after="0" w:line="251" w:lineRule="auto"/>
        <w:rPr>
          <w:sz w:val="20"/>
          <w:szCs w:val="20"/>
          <w:color w:val="auto"/>
        </w:rPr>
      </w:pPr>
      <w:r>
        <w:rPr>
          <w:rFonts w:ascii="Arial" w:cs="Arial" w:eastAsia="Arial" w:hAnsi="Arial"/>
          <w:sz w:val="22"/>
          <w:szCs w:val="22"/>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Arial" w:cs="Arial" w:eastAsia="Arial" w:hAnsi="Arial"/>
          <w:sz w:val="22"/>
          <w:szCs w:val="22"/>
          <w:i w:val="1"/>
          <w:iCs w:val="1"/>
          <w:color w:val="auto"/>
        </w:rPr>
        <w:t>/s/ Leslie K. Nagy</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-157480</wp:posOffset>
            </wp:positionV>
            <wp:extent cx="26060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Vice President and Treasurer</w:t>
      </w:r>
    </w:p>
    <w:p>
      <w:pPr>
        <w:spacing w:after="0" w:line="215" w:lineRule="exact"/>
        <w:rPr>
          <w:sz w:val="20"/>
          <w:szCs w:val="20"/>
          <w:color w:val="auto"/>
        </w:rPr>
      </w:pPr>
    </w:p>
    <w:p>
      <w:pPr>
        <w:ind w:left="4600"/>
        <w:spacing w:after="0"/>
        <w:rPr>
          <w:sz w:val="20"/>
          <w:szCs w:val="20"/>
          <w:color w:val="auto"/>
        </w:rPr>
      </w:pPr>
      <w:r>
        <w:rPr>
          <w:rFonts w:ascii="Arial" w:cs="Arial" w:eastAsia="Arial" w:hAnsi="Arial"/>
          <w:sz w:val="22"/>
          <w:szCs w:val="22"/>
          <w:i w:val="1"/>
          <w:iCs w:val="1"/>
          <w:color w:val="auto"/>
        </w:rPr>
        <w:t>/s/ Courtney A. Tippy</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-157480</wp:posOffset>
            </wp:positionV>
            <wp:extent cx="2606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Vice President and Corporate Secretary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i w:val="1"/>
          <w:iCs w:val="1"/>
          <w:color w:val="auto"/>
        </w:rPr>
        <w:t>Annex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of the Notes</w:t>
      </w:r>
    </w:p>
    <w:p>
      <w:pPr>
        <w:spacing w:after="0" w:line="215" w:lineRule="exact"/>
        <w:rPr>
          <w:sz w:val="20"/>
          <w:szCs w:val="20"/>
          <w:color w:val="auto"/>
        </w:rPr>
      </w:pPr>
    </w:p>
    <w:p>
      <w:pPr>
        <w:jc w:val="both"/>
        <w:ind w:left="200" w:right="219" w:firstLine="1296"/>
        <w:spacing w:after="0" w:line="275" w:lineRule="auto"/>
        <w:rPr>
          <w:sz w:val="20"/>
          <w:szCs w:val="20"/>
          <w:color w:val="auto"/>
        </w:rPr>
      </w:pPr>
      <w:r>
        <w:rPr>
          <w:rFonts w:ascii="Arial" w:cs="Arial" w:eastAsia="Arial" w:hAnsi="Arial"/>
          <w:sz w:val="19"/>
          <w:szCs w:val="19"/>
          <w:color w:val="auto"/>
        </w:rPr>
        <w:t>Pursuant to authority granted by the Board of Directors of the Company on March 1, 2022 and the Sole Director of Waste Management Holdings, Inc. on July 18, 2023,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57" w:lineRule="exact"/>
        <w:rPr>
          <w:sz w:val="20"/>
          <w:szCs w:val="20"/>
          <w:color w:val="auto"/>
        </w:rPr>
      </w:pPr>
    </w:p>
    <w:p>
      <w:pPr>
        <w:ind w:left="860" w:hanging="651"/>
        <w:spacing w:after="0"/>
        <w:tabs>
          <w:tab w:leader="none" w:pos="8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title of the series of Securities shall be “4.875% Senior Notes due 2034” (the “Notes”).</w:t>
      </w:r>
    </w:p>
    <w:p>
      <w:pPr>
        <w:spacing w:after="0" w:line="240" w:lineRule="exact"/>
        <w:rPr>
          <w:rFonts w:ascii="Arial" w:cs="Arial" w:eastAsia="Arial" w:hAnsi="Arial"/>
          <w:sz w:val="19"/>
          <w:szCs w:val="19"/>
          <w:color w:val="auto"/>
        </w:rPr>
      </w:pPr>
    </w:p>
    <w:p>
      <w:pPr>
        <w:ind w:left="860" w:hanging="651"/>
        <w:spacing w:after="0"/>
        <w:tabs>
          <w:tab w:leader="none" w:pos="8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Notes shall be general unsecured, senior obligations of the Company.</w:t>
      </w:r>
    </w:p>
    <w:p>
      <w:pPr>
        <w:spacing w:after="0" w:line="206" w:lineRule="exact"/>
        <w:rPr>
          <w:rFonts w:ascii="Arial" w:cs="Arial" w:eastAsia="Arial" w:hAnsi="Arial"/>
          <w:sz w:val="22"/>
          <w:szCs w:val="22"/>
          <w:color w:val="auto"/>
        </w:rPr>
      </w:pPr>
    </w:p>
    <w:p>
      <w:pPr>
        <w:jc w:val="both"/>
        <w:ind w:left="860" w:right="219" w:hanging="651"/>
        <w:spacing w:after="0" w:line="246" w:lineRule="auto"/>
        <w:tabs>
          <w:tab w:leader="none" w:pos="86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initial aggregate principal amount of the Notes that may be authenticated and delivered under the Indenture shall be $1,250,000,000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84" w:lineRule="exact"/>
        <w:rPr>
          <w:rFonts w:ascii="Arial" w:cs="Arial" w:eastAsia="Arial" w:hAnsi="Arial"/>
          <w:sz w:val="21"/>
          <w:szCs w:val="21"/>
          <w:color w:val="auto"/>
        </w:rPr>
      </w:pPr>
    </w:p>
    <w:p>
      <w:pPr>
        <w:ind w:left="860" w:hanging="651"/>
        <w:spacing w:after="0"/>
        <w:tabs>
          <w:tab w:leader="none" w:pos="8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principal amount of each Note shall be payable on February 15, 2034.</w:t>
      </w:r>
    </w:p>
    <w:p>
      <w:pPr>
        <w:spacing w:after="0" w:line="206" w:lineRule="exact"/>
        <w:rPr>
          <w:rFonts w:ascii="Arial" w:cs="Arial" w:eastAsia="Arial" w:hAnsi="Arial"/>
          <w:sz w:val="22"/>
          <w:szCs w:val="22"/>
          <w:color w:val="auto"/>
        </w:rPr>
      </w:pPr>
    </w:p>
    <w:p>
      <w:pPr>
        <w:jc w:val="both"/>
        <w:ind w:left="860" w:right="219" w:hanging="651"/>
        <w:spacing w:after="0" w:line="277" w:lineRule="auto"/>
        <w:tabs>
          <w:tab w:leader="none" w:pos="8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Each Note shall bear interest from August 3, 2023 at the fixed rate of 4.875% per annum; the Interest Payment Dates on which such interest shall be payable shall be February 15 and August 15 of each year, commencing February 15, 2024, until maturity, unless such date falls on a day that is not a Business Day, in which case, such payment shall be made on the next day that is a Business Day. The Regular Record Date for the determination of Holders to whom interest is payable shall be February 1 or August 1, respectively, immediately preceding such date, as the case may be.</w:t>
      </w:r>
    </w:p>
    <w:p>
      <w:pPr>
        <w:spacing w:after="0" w:line="151" w:lineRule="exact"/>
        <w:rPr>
          <w:rFonts w:ascii="Arial" w:cs="Arial" w:eastAsia="Arial" w:hAnsi="Arial"/>
          <w:sz w:val="19"/>
          <w:szCs w:val="19"/>
          <w:color w:val="auto"/>
        </w:rPr>
      </w:pPr>
    </w:p>
    <w:p>
      <w:pPr>
        <w:jc w:val="both"/>
        <w:ind w:left="860" w:right="219" w:hanging="651"/>
        <w:spacing w:after="0" w:line="287" w:lineRule="auto"/>
        <w:tabs>
          <w:tab w:leader="none" w:pos="8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42" w:lineRule="exact"/>
        <w:rPr>
          <w:rFonts w:ascii="Arial" w:cs="Arial" w:eastAsia="Arial" w:hAnsi="Arial"/>
          <w:sz w:val="19"/>
          <w:szCs w:val="19"/>
          <w:color w:val="auto"/>
        </w:rPr>
      </w:pPr>
    </w:p>
    <w:p>
      <w:pPr>
        <w:jc w:val="both"/>
        <w:ind w:left="860" w:right="219" w:hanging="651"/>
        <w:spacing w:after="0" w:line="235" w:lineRule="auto"/>
        <w:tabs>
          <w:tab w:leader="none" w:pos="8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87" w:lineRule="exact"/>
        <w:rPr>
          <w:rFonts w:ascii="Arial" w:cs="Arial" w:eastAsia="Arial" w:hAnsi="Arial"/>
          <w:sz w:val="22"/>
          <w:szCs w:val="22"/>
          <w:color w:val="auto"/>
        </w:rPr>
      </w:pPr>
    </w:p>
    <w:p>
      <w:pPr>
        <w:jc w:val="both"/>
        <w:ind w:left="860" w:right="239" w:hanging="651"/>
        <w:spacing w:after="0"/>
        <w:tabs>
          <w:tab w:leader="none" w:pos="8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Payments of principal of, premium, if any, and interest due on the Notes representing Book-Entry Notes on any Interest Payment Date or at maturity will be made available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8" w:name="page69"/>
    <w:bookmarkEnd w:id="68"/>
    <w:p>
      <w:pPr>
        <w:jc w:val="both"/>
        <w:ind w:left="860" w:right="219"/>
        <w:spacing w:after="0" w:line="287" w:lineRule="auto"/>
        <w:rPr>
          <w:sz w:val="20"/>
          <w:szCs w:val="20"/>
          <w:color w:val="auto"/>
        </w:rPr>
      </w:pPr>
      <w:r>
        <w:rPr>
          <w:rFonts w:ascii="Arial" w:cs="Arial" w:eastAsia="Arial" w:hAnsi="Arial"/>
          <w:sz w:val="19"/>
          <w:szCs w:val="19"/>
          <w:color w:val="auto"/>
        </w:rPr>
        <w:t>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43" w:lineRule="exact"/>
        <w:rPr>
          <w:sz w:val="20"/>
          <w:szCs w:val="20"/>
          <w:color w:val="auto"/>
        </w:rPr>
      </w:pPr>
    </w:p>
    <w:p>
      <w:pPr>
        <w:jc w:val="both"/>
        <w:ind w:left="860" w:right="239" w:hanging="651"/>
        <w:spacing w:after="0" w:line="297" w:lineRule="auto"/>
        <w:tabs>
          <w:tab w:leader="none" w:pos="8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33" w:lineRule="exact"/>
        <w:rPr>
          <w:rFonts w:ascii="Arial" w:cs="Arial" w:eastAsia="Arial" w:hAnsi="Arial"/>
          <w:sz w:val="19"/>
          <w:szCs w:val="19"/>
          <w:color w:val="auto"/>
        </w:rPr>
      </w:pPr>
    </w:p>
    <w:p>
      <w:pPr>
        <w:jc w:val="both"/>
        <w:ind w:left="1500" w:right="219" w:firstLine="5"/>
        <w:spacing w:after="0" w:line="282" w:lineRule="auto"/>
        <w:tabs>
          <w:tab w:leader="none" w:pos="1857" w:val="left"/>
        </w:tabs>
        <w:numPr>
          <w:ilvl w:val="1"/>
          <w:numId w:val="64"/>
        </w:numPr>
        <w:rPr>
          <w:rFonts w:ascii="Arial" w:cs="Arial" w:eastAsia="Arial" w:hAnsi="Arial"/>
          <w:sz w:val="19"/>
          <w:szCs w:val="19"/>
          <w:color w:val="auto"/>
        </w:rPr>
      </w:pPr>
      <w:r>
        <w:rPr>
          <w:rFonts w:ascii="Arial" w:cs="Arial" w:eastAsia="Arial" w:hAnsi="Arial"/>
          <w:sz w:val="19"/>
          <w:szCs w:val="19"/>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20 basis points, less (b) interest accrued to the Redemption Date, and</w:t>
      </w:r>
    </w:p>
    <w:p>
      <w:pPr>
        <w:spacing w:after="0" w:line="147" w:lineRule="exact"/>
        <w:rPr>
          <w:rFonts w:ascii="Arial" w:cs="Arial" w:eastAsia="Arial" w:hAnsi="Arial"/>
          <w:sz w:val="19"/>
          <w:szCs w:val="19"/>
          <w:color w:val="auto"/>
        </w:rPr>
      </w:pPr>
    </w:p>
    <w:p>
      <w:pPr>
        <w:ind w:left="1820" w:hanging="315"/>
        <w:spacing w:after="0"/>
        <w:tabs>
          <w:tab w:leader="none" w:pos="18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plus, in either case, accrued and unpaid interest thereon to the Redemption Date.</w:t>
      </w:r>
    </w:p>
    <w:p>
      <w:pPr>
        <w:spacing w:after="0" w:line="206" w:lineRule="exact"/>
        <w:rPr>
          <w:sz w:val="20"/>
          <w:szCs w:val="20"/>
          <w:color w:val="auto"/>
        </w:rPr>
      </w:pPr>
    </w:p>
    <w:p>
      <w:pPr>
        <w:jc w:val="both"/>
        <w:ind w:left="860" w:right="219"/>
        <w:spacing w:after="0" w:line="238" w:lineRule="auto"/>
        <w:rPr>
          <w:sz w:val="20"/>
          <w:szCs w:val="20"/>
          <w:color w:val="auto"/>
        </w:rPr>
      </w:pPr>
      <w:r>
        <w:rPr>
          <w:rFonts w:ascii="Arial" w:cs="Arial" w:eastAsia="Arial" w:hAnsi="Arial"/>
          <w:sz w:val="22"/>
          <w:szCs w:val="22"/>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“Par Call Date” means November 15, 2033.</w:t>
      </w:r>
    </w:p>
    <w:p>
      <w:pPr>
        <w:spacing w:after="0" w:line="206" w:lineRule="exact"/>
        <w:rPr>
          <w:sz w:val="20"/>
          <w:szCs w:val="20"/>
          <w:color w:val="auto"/>
        </w:rPr>
      </w:pPr>
    </w:p>
    <w:p>
      <w:pPr>
        <w:jc w:val="both"/>
        <w:ind w:left="860" w:right="239" w:hanging="651"/>
        <w:spacing w:after="0"/>
        <w:tabs>
          <w:tab w:leader="none" w:pos="8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Company shall have no obligation to redeem, purchase or repay the Notes pursuant to any mandatory redemption, sinking fund or analogous provisions or at the option of a Holder thereof.</w:t>
      </w:r>
    </w:p>
    <w:p>
      <w:pPr>
        <w:spacing w:after="0" w:line="186" w:lineRule="exact"/>
        <w:rPr>
          <w:rFonts w:ascii="Arial" w:cs="Arial" w:eastAsia="Arial" w:hAnsi="Arial"/>
          <w:sz w:val="22"/>
          <w:szCs w:val="22"/>
          <w:color w:val="auto"/>
        </w:rPr>
      </w:pPr>
    </w:p>
    <w:p>
      <w:pPr>
        <w:ind w:left="860" w:right="239" w:hanging="651"/>
        <w:spacing w:after="0" w:line="328" w:lineRule="auto"/>
        <w:tabs>
          <w:tab w:leader="none" w:pos="8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Notes will be subject to defeasance and discharge as contemplated by Section 1302 of the Indenture and to covenant defeasance under Section 1303 of the Indenture.</w:t>
      </w:r>
    </w:p>
    <w:p>
      <w:pPr>
        <w:spacing w:after="0" w:line="104" w:lineRule="exact"/>
        <w:rPr>
          <w:rFonts w:ascii="Arial" w:cs="Arial" w:eastAsia="Arial" w:hAnsi="Arial"/>
          <w:sz w:val="19"/>
          <w:szCs w:val="19"/>
          <w:color w:val="auto"/>
        </w:rPr>
      </w:pPr>
    </w:p>
    <w:p>
      <w:pPr>
        <w:ind w:left="860" w:right="219" w:hanging="651"/>
        <w:spacing w:after="0" w:line="250" w:lineRule="auto"/>
        <w:tabs>
          <w:tab w:leader="none" w:pos="8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Notes shall be entitled to the benefit of the covenants contained in Sections 1008 and 1009 of the Indenture.</w:t>
      </w:r>
    </w:p>
    <w:p>
      <w:pPr>
        <w:spacing w:after="0" w:line="174" w:lineRule="exact"/>
        <w:rPr>
          <w:rFonts w:ascii="Arial" w:cs="Arial" w:eastAsia="Arial" w:hAnsi="Arial"/>
          <w:sz w:val="22"/>
          <w:szCs w:val="22"/>
          <w:color w:val="auto"/>
        </w:rPr>
      </w:pPr>
    </w:p>
    <w:p>
      <w:pPr>
        <w:ind w:left="860" w:right="239" w:hanging="651"/>
        <w:spacing w:after="0" w:line="250" w:lineRule="auto"/>
        <w:tabs>
          <w:tab w:leader="none" w:pos="8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Bank of New York Mellon Trust Company, N.A. shall serve initially as Security Registrar for the Notes.</w:t>
      </w:r>
    </w:p>
    <w:p>
      <w:pPr>
        <w:spacing w:after="0" w:line="174" w:lineRule="exact"/>
        <w:rPr>
          <w:rFonts w:ascii="Arial" w:cs="Arial" w:eastAsia="Arial" w:hAnsi="Arial"/>
          <w:sz w:val="22"/>
          <w:szCs w:val="22"/>
          <w:color w:val="auto"/>
        </w:rPr>
      </w:pPr>
    </w:p>
    <w:p>
      <w:pPr>
        <w:ind w:left="860" w:hanging="651"/>
        <w:spacing w:after="0"/>
        <w:tabs>
          <w:tab w:leader="none" w:pos="8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Notes shall be substantially in the form of Exhibit A hereto.</w:t>
      </w:r>
    </w:p>
    <w:p>
      <w:pPr>
        <w:spacing w:after="0" w:line="206" w:lineRule="exact"/>
        <w:rPr>
          <w:rFonts w:ascii="Arial" w:cs="Arial" w:eastAsia="Arial" w:hAnsi="Arial"/>
          <w:sz w:val="22"/>
          <w:szCs w:val="22"/>
          <w:color w:val="auto"/>
        </w:rPr>
      </w:pPr>
    </w:p>
    <w:p>
      <w:pPr>
        <w:jc w:val="both"/>
        <w:ind w:left="860" w:right="219" w:hanging="651"/>
        <w:spacing w:after="0" w:line="277" w:lineRule="auto"/>
        <w:tabs>
          <w:tab w:leader="none" w:pos="8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Notes will be fully and unconditionally guaranteed on a senior basis by the Company’s wholly owned subsidiary, Waste Management Holdings, Inc., pursuant to the terms and conditions of a Guarantee Agreement dated August 3,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547370</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9" w:name="page70"/>
    <w:bookmarkEnd w:id="69"/>
    <w:p>
      <w:pPr>
        <w:jc w:val="both"/>
        <w:ind w:left="860" w:right="219" w:hanging="651"/>
        <w:spacing w:after="0" w:line="258" w:lineRule="auto"/>
        <w:tabs>
          <w:tab w:leader="none" w:pos="860"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1431290</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607060</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2"/>
          <w:szCs w:val="22"/>
          <w:color w:val="auto"/>
        </w:rPr>
        <w:t>BOOK-ENTRY SECURITY</w:t>
      </w:r>
    </w:p>
    <w:p>
      <w:pPr>
        <w:spacing w:after="0" w:line="207" w:lineRule="exact"/>
        <w:rPr>
          <w:sz w:val="20"/>
          <w:szCs w:val="20"/>
          <w:color w:val="auto"/>
        </w:rPr>
      </w:pPr>
    </w:p>
    <w:p>
      <w:pPr>
        <w:jc w:val="both"/>
        <w:ind w:left="200" w:right="219" w:firstLine="667"/>
        <w:spacing w:after="0" w:line="245" w:lineRule="auto"/>
        <w:rPr>
          <w:sz w:val="20"/>
          <w:szCs w:val="20"/>
          <w:color w:val="auto"/>
        </w:rPr>
      </w:pPr>
      <w:r>
        <w:rPr>
          <w:rFonts w:ascii="Arial" w:cs="Arial" w:eastAsia="Arial" w:hAnsi="Arial"/>
          <w:sz w:val="21"/>
          <w:szCs w:val="21"/>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1" w:lineRule="exact"/>
        <w:rPr>
          <w:sz w:val="20"/>
          <w:szCs w:val="20"/>
          <w:color w:val="auto"/>
        </w:rPr>
      </w:pPr>
    </w:p>
    <w:p>
      <w:pPr>
        <w:jc w:val="both"/>
        <w:ind w:left="200" w:right="219" w:firstLine="667"/>
        <w:spacing w:after="0" w:line="233" w:lineRule="auto"/>
        <w:rPr>
          <w:sz w:val="20"/>
          <w:szCs w:val="20"/>
          <w:color w:val="auto"/>
        </w:rPr>
      </w:pPr>
      <w:r>
        <w:rPr>
          <w:rFonts w:ascii="Arial" w:cs="Arial" w:eastAsia="Arial" w:hAnsi="Arial"/>
          <w:sz w:val="22"/>
          <w:szCs w:val="22"/>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274"/>
        </w:trPr>
        <w:tc>
          <w:tcPr>
            <w:tcW w:w="5820" w:type="dxa"/>
            <w:vAlign w:val="bottom"/>
          </w:tcPr>
          <w:p>
            <w:pPr>
              <w:spacing w:after="0"/>
              <w:rPr>
                <w:sz w:val="20"/>
                <w:szCs w:val="20"/>
                <w:color w:val="auto"/>
              </w:rPr>
            </w:pPr>
            <w:r>
              <w:rPr>
                <w:rFonts w:ascii="Arial" w:cs="Arial" w:eastAsia="Arial" w:hAnsi="Arial"/>
                <w:sz w:val="22"/>
                <w:szCs w:val="22"/>
                <w:color w:val="auto"/>
              </w:rPr>
              <w:t>RGN</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rPr>
              <w:t>Principal Amount</w:t>
            </w:r>
          </w:p>
        </w:tc>
        <w:tc>
          <w:tcPr>
            <w:tcW w:w="0" w:type="dxa"/>
            <w:vAlign w:val="bottom"/>
          </w:tcPr>
          <w:p>
            <w:pPr>
              <w:spacing w:after="0"/>
              <w:rPr>
                <w:sz w:val="1"/>
                <w:szCs w:val="1"/>
                <w:color w:val="auto"/>
              </w:rPr>
            </w:pPr>
          </w:p>
        </w:tc>
      </w:tr>
      <w:tr>
        <w:trPr>
          <w:trHeight w:val="428"/>
        </w:trPr>
        <w:tc>
          <w:tcPr>
            <w:tcW w:w="5820" w:type="dxa"/>
            <w:vAlign w:val="bottom"/>
          </w:tcPr>
          <w:p>
            <w:pPr>
              <w:spacing w:after="0"/>
              <w:rPr>
                <w:sz w:val="24"/>
                <w:szCs w:val="24"/>
                <w:color w:val="auto"/>
              </w:rPr>
            </w:pPr>
          </w:p>
        </w:tc>
        <w:tc>
          <w:tcPr>
            <w:tcW w:w="1960" w:type="dxa"/>
            <w:vAlign w:val="bottom"/>
          </w:tcPr>
          <w:p>
            <w:pPr>
              <w:ind w:left="900"/>
              <w:spacing w:after="0"/>
              <w:rPr>
                <w:sz w:val="20"/>
                <w:szCs w:val="20"/>
                <w:color w:val="auto"/>
              </w:rPr>
            </w:pPr>
            <w:r>
              <w:rPr>
                <w:rFonts w:ascii="Arial" w:cs="Arial" w:eastAsia="Arial" w:hAnsi="Arial"/>
                <w:sz w:val="22"/>
                <w:szCs w:val="22"/>
                <w:color w:val="auto"/>
              </w:rPr>
              <w:t>U.S. $</w:t>
            </w:r>
          </w:p>
        </w:tc>
        <w:tc>
          <w:tcPr>
            <w:tcW w:w="6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which may be decreased</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by the Schedule of</w:t>
            </w:r>
          </w:p>
        </w:tc>
        <w:tc>
          <w:tcPr>
            <w:tcW w:w="0" w:type="dxa"/>
            <w:vAlign w:val="bottom"/>
          </w:tcPr>
          <w:p>
            <w:pPr>
              <w:spacing w:after="0"/>
              <w:rPr>
                <w:sz w:val="1"/>
                <w:szCs w:val="1"/>
                <w:color w:val="auto"/>
              </w:rPr>
            </w:pPr>
          </w:p>
        </w:tc>
      </w:tr>
      <w:tr>
        <w:trPr>
          <w:trHeight w:val="243"/>
        </w:trPr>
        <w:tc>
          <w:tcPr>
            <w:tcW w:w="5820" w:type="dxa"/>
            <w:vAlign w:val="bottom"/>
            <w:vMerge w:val="restart"/>
          </w:tcPr>
          <w:p>
            <w:pPr>
              <w:ind w:left="2540"/>
              <w:spacing w:after="0"/>
              <w:rPr>
                <w:sz w:val="20"/>
                <w:szCs w:val="20"/>
                <w:color w:val="auto"/>
              </w:rPr>
            </w:pPr>
            <w:r>
              <w:rPr>
                <w:rFonts w:ascii="Arial" w:cs="Arial" w:eastAsia="Arial" w:hAnsi="Arial"/>
                <w:sz w:val="22"/>
                <w:szCs w:val="22"/>
                <w:color w:val="auto"/>
              </w:rPr>
              <w:t>WASTE MANAGEMENT, INC.</w:t>
            </w:r>
          </w:p>
        </w:tc>
        <w:tc>
          <w:tcPr>
            <w:tcW w:w="2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Exchanges of Definitive</w:t>
            </w:r>
          </w:p>
        </w:tc>
        <w:tc>
          <w:tcPr>
            <w:tcW w:w="0" w:type="dxa"/>
            <w:vAlign w:val="bottom"/>
          </w:tcPr>
          <w:p>
            <w:pPr>
              <w:spacing w:after="0"/>
              <w:rPr>
                <w:sz w:val="1"/>
                <w:szCs w:val="1"/>
                <w:color w:val="auto"/>
              </w:rPr>
            </w:pPr>
          </w:p>
        </w:tc>
      </w:tr>
      <w:tr>
        <w:trPr>
          <w:trHeight w:val="274"/>
        </w:trPr>
        <w:tc>
          <w:tcPr>
            <w:tcW w:w="5820" w:type="dxa"/>
            <w:vAlign w:val="bottom"/>
            <w:vMerge w:val="continue"/>
          </w:tcPr>
          <w:p>
            <w:pPr>
              <w:spacing w:after="0"/>
              <w:rPr>
                <w:sz w:val="23"/>
                <w:szCs w:val="23"/>
                <w:color w:val="auto"/>
              </w:rPr>
            </w:pP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rPr>
              <w:t>Security attached hereto</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4.875% SENIOR NOTES DUE 2034</w:t>
      </w:r>
    </w:p>
    <w:p>
      <w:pPr>
        <w:spacing w:after="0" w:line="206" w:lineRule="exact"/>
        <w:rPr>
          <w:sz w:val="20"/>
          <w:szCs w:val="20"/>
          <w:color w:val="auto"/>
        </w:rPr>
      </w:pPr>
    </w:p>
    <w:p>
      <w:pPr>
        <w:ind w:left="6840"/>
        <w:spacing w:after="0"/>
        <w:rPr>
          <w:sz w:val="20"/>
          <w:szCs w:val="20"/>
          <w:color w:val="auto"/>
        </w:rPr>
      </w:pPr>
      <w:r>
        <w:rPr>
          <w:rFonts w:ascii="Arial" w:cs="Arial" w:eastAsia="Arial" w:hAnsi="Arial"/>
          <w:sz w:val="21"/>
          <w:szCs w:val="21"/>
          <w:color w:val="auto"/>
        </w:rPr>
        <w:t>CUSIP 94106L BW8</w:t>
      </w:r>
    </w:p>
    <w:p>
      <w:pPr>
        <w:spacing w:after="0" w:line="218"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1"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9"/>
          <w:szCs w:val="19"/>
          <w:color w:val="auto"/>
        </w:rPr>
        <w:t>principal sum of Million ($ ) U.S. dollars, or such lesser principal sum as is shown on the attached Schedule of Exchanges of Definitive Security, on February 15, 2034 in such coin or currency of the United States of America as at the time of payment shall be legal tender for the payment of public and private debts, and to pay interest at an annual rate of 4.875% payable on February 15 and August 15 of each year, to the person in whose name this Security is registered at the close of business on the record date for such interest, which shall be the preceding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471170</wp:posOffset>
            </wp:positionV>
            <wp:extent cx="545211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2" w:name="page73"/>
    <w:bookmarkEnd w:id="72"/>
    <w:p>
      <w:pPr>
        <w:jc w:val="both"/>
        <w:ind w:left="200" w:right="219"/>
        <w:spacing w:after="0" w:line="251" w:lineRule="auto"/>
        <w:rPr>
          <w:sz w:val="20"/>
          <w:szCs w:val="20"/>
          <w:color w:val="auto"/>
        </w:rPr>
      </w:pPr>
      <w:r>
        <w:rPr>
          <w:rFonts w:ascii="Arial" w:cs="Arial" w:eastAsia="Arial" w:hAnsi="Arial"/>
          <w:sz w:val="22"/>
          <w:szCs w:val="22"/>
          <w:color w:val="auto"/>
        </w:rPr>
        <w:t>1 or August 1, respectively, payable commencing February 15, 2024, with interest accruing from August 3, 2023, or the most recent date to which interest has been paid.</w:t>
      </w:r>
    </w:p>
    <w:p>
      <w:pPr>
        <w:spacing w:after="0" w:line="173" w:lineRule="exact"/>
        <w:rPr>
          <w:sz w:val="20"/>
          <w:szCs w:val="20"/>
          <w:color w:val="auto"/>
        </w:rPr>
      </w:pPr>
    </w:p>
    <w:p>
      <w:pPr>
        <w:jc w:val="both"/>
        <w:ind w:left="200" w:right="219" w:firstLine="667"/>
        <w:spacing w:after="0"/>
        <w:rPr>
          <w:sz w:val="20"/>
          <w:szCs w:val="20"/>
          <w:color w:val="auto"/>
        </w:rPr>
      </w:pPr>
      <w:r>
        <w:rPr>
          <w:rFonts w:ascii="Arial" w:cs="Arial" w:eastAsia="Arial" w:hAnsi="Arial"/>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86" w:lineRule="exact"/>
        <w:rPr>
          <w:sz w:val="20"/>
          <w:szCs w:val="20"/>
          <w:color w:val="auto"/>
        </w:rPr>
      </w:pPr>
    </w:p>
    <w:p>
      <w:pPr>
        <w:jc w:val="both"/>
        <w:ind w:left="200" w:right="219" w:firstLine="667"/>
        <w:spacing w:after="0"/>
        <w:rPr>
          <w:sz w:val="20"/>
          <w:szCs w:val="20"/>
          <w:color w:val="auto"/>
        </w:rPr>
      </w:pPr>
      <w:r>
        <w:rPr>
          <w:rFonts w:ascii="Arial" w:cs="Arial" w:eastAsia="Arial" w:hAnsi="Arial"/>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86" w:lineRule="exact"/>
        <w:rPr>
          <w:sz w:val="20"/>
          <w:szCs w:val="20"/>
          <w:color w:val="auto"/>
        </w:rPr>
      </w:pPr>
    </w:p>
    <w:p>
      <w:pPr>
        <w:jc w:val="both"/>
        <w:ind w:left="200" w:right="219" w:firstLine="667"/>
        <w:spacing w:after="0" w:line="274" w:lineRule="auto"/>
        <w:rPr>
          <w:sz w:val="20"/>
          <w:szCs w:val="20"/>
          <w:color w:val="auto"/>
        </w:rPr>
      </w:pPr>
      <w:r>
        <w:rPr>
          <w:rFonts w:ascii="Arial" w:cs="Arial" w:eastAsia="Arial" w:hAnsi="Arial"/>
          <w:sz w:val="19"/>
          <w:szCs w:val="19"/>
          <w:color w:val="auto"/>
        </w:rPr>
        <w:t>This Security is issued in respect of a series of Securities of an initial aggregate of U.S. $1,250,000,000 in principal amount designated as the 4.875% Senior Notes due 2034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58"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5" w:lineRule="exact"/>
        <w:rPr>
          <w:sz w:val="20"/>
          <w:szCs w:val="20"/>
          <w:color w:val="auto"/>
        </w:rPr>
      </w:pPr>
    </w:p>
    <w:p>
      <w:pPr>
        <w:jc w:val="both"/>
        <w:ind w:left="200" w:right="239" w:firstLine="667"/>
        <w:spacing w:after="0" w:line="250" w:lineRule="auto"/>
        <w:rPr>
          <w:sz w:val="20"/>
          <w:szCs w:val="20"/>
          <w:color w:val="auto"/>
        </w:rPr>
      </w:pPr>
      <w:r>
        <w:rPr>
          <w:rFonts w:ascii="Arial" w:cs="Arial" w:eastAsia="Arial" w:hAnsi="Arial"/>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621665</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3" w:name="page74"/>
    <w:bookmarkEnd w:id="73"/>
    <w:p>
      <w:pPr>
        <w:ind w:left="200" w:right="239" w:firstLine="667"/>
        <w:spacing w:after="0" w:line="329" w:lineRule="auto"/>
        <w:rPr>
          <w:sz w:val="20"/>
          <w:szCs w:val="20"/>
          <w:color w:val="auto"/>
        </w:rPr>
      </w:pPr>
      <w:r>
        <w:rPr>
          <w:rFonts w:ascii="Arial" w:cs="Arial" w:eastAsia="Arial" w:hAnsi="Arial"/>
          <w:sz w:val="19"/>
          <w:szCs w:val="19"/>
          <w:color w:val="auto"/>
        </w:rPr>
        <w:t>This Security shall not be valid or become obligatory for any purpose until the Certificate of Authentication hereon shall have been manually signed by the Trustee under the Indenture.</w:t>
      </w:r>
    </w:p>
    <w:p>
      <w:pPr>
        <w:spacing w:after="0" w:line="104"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IN WITNESS WHEREOF, the Company has caused this instrument to be duly executed under its corporate seal.</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420" w:type="dxa"/>
            <w:vAlign w:val="bottom"/>
          </w:tcPr>
          <w:p>
            <w:pPr>
              <w:spacing w:after="0"/>
              <w:rPr>
                <w:sz w:val="20"/>
                <w:szCs w:val="20"/>
                <w:color w:val="auto"/>
              </w:rPr>
            </w:pPr>
            <w:r>
              <w:rPr>
                <w:rFonts w:ascii="Arial" w:cs="Arial" w:eastAsia="Arial" w:hAnsi="Arial"/>
                <w:sz w:val="22"/>
                <w:szCs w:val="22"/>
                <w:color w:val="auto"/>
              </w:rPr>
              <w:t>Dated:</w:t>
            </w: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WASTE MANAGEMENT, INC.,</w:t>
            </w:r>
          </w:p>
        </w:tc>
      </w:tr>
      <w:tr>
        <w:trPr>
          <w:trHeight w:val="274"/>
        </w:trPr>
        <w:tc>
          <w:tcPr>
            <w:tcW w:w="2420" w:type="dxa"/>
            <w:vAlign w:val="bottom"/>
          </w:tcPr>
          <w:p>
            <w:pPr>
              <w:spacing w:after="0"/>
              <w:rPr>
                <w:sz w:val="23"/>
                <w:szCs w:val="23"/>
                <w:color w:val="auto"/>
              </w:rPr>
            </w:pP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a Delaware corporation</w:t>
            </w:r>
          </w:p>
        </w:tc>
      </w:tr>
      <w:tr>
        <w:trPr>
          <w:trHeight w:val="436"/>
        </w:trPr>
        <w:tc>
          <w:tcPr>
            <w:tcW w:w="242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22"/>
                <w:szCs w:val="22"/>
                <w:color w:val="auto"/>
              </w:rPr>
              <w:t>By:</w:t>
            </w:r>
          </w:p>
        </w:tc>
        <w:tc>
          <w:tcPr>
            <w:tcW w:w="2480" w:type="dxa"/>
            <w:vAlign w:val="bottom"/>
            <w:tcBorders>
              <w:bottom w:val="single" w:sz="8" w:color="auto"/>
            </w:tcBorders>
            <w:gridSpan w:val="3"/>
          </w:tcPr>
          <w:p>
            <w:pPr>
              <w:spacing w:after="0"/>
              <w:rPr>
                <w:sz w:val="24"/>
                <w:szCs w:val="24"/>
                <w:color w:val="auto"/>
              </w:rPr>
            </w:pPr>
          </w:p>
        </w:tc>
        <w:tc>
          <w:tcPr>
            <w:tcW w:w="940" w:type="dxa"/>
            <w:vAlign w:val="bottom"/>
          </w:tcPr>
          <w:p>
            <w:pPr>
              <w:spacing w:after="0"/>
              <w:rPr>
                <w:sz w:val="24"/>
                <w:szCs w:val="24"/>
                <w:color w:val="auto"/>
              </w:rPr>
            </w:pPr>
          </w:p>
        </w:tc>
      </w:tr>
      <w:tr>
        <w:trPr>
          <w:trHeight w:val="242"/>
        </w:trPr>
        <w:tc>
          <w:tcPr>
            <w:tcW w:w="2420" w:type="dxa"/>
            <w:vAlign w:val="bottom"/>
          </w:tcPr>
          <w:p>
            <w:pPr>
              <w:spacing w:after="0"/>
              <w:rPr>
                <w:sz w:val="21"/>
                <w:szCs w:val="21"/>
                <w:color w:val="auto"/>
              </w:rPr>
            </w:pPr>
          </w:p>
        </w:tc>
        <w:tc>
          <w:tcPr>
            <w:tcW w:w="5800" w:type="dxa"/>
            <w:vAlign w:val="bottom"/>
            <w:gridSpan w:val="5"/>
          </w:tcPr>
          <w:p>
            <w:pPr>
              <w:ind w:left="2380"/>
              <w:spacing w:after="0" w:line="242" w:lineRule="exact"/>
              <w:rPr>
                <w:sz w:val="20"/>
                <w:szCs w:val="20"/>
                <w:color w:val="auto"/>
              </w:rPr>
            </w:pPr>
            <w:r>
              <w:rPr>
                <w:rFonts w:ascii="Arial" w:cs="Arial" w:eastAsia="Arial" w:hAnsi="Arial"/>
                <w:sz w:val="22"/>
                <w:szCs w:val="22"/>
                <w:color w:val="auto"/>
              </w:rPr>
              <w:t>Leslie K. Nagy</w:t>
            </w:r>
          </w:p>
        </w:tc>
      </w:tr>
      <w:tr>
        <w:trPr>
          <w:trHeight w:val="274"/>
        </w:trPr>
        <w:tc>
          <w:tcPr>
            <w:tcW w:w="2420" w:type="dxa"/>
            <w:vAlign w:val="bottom"/>
          </w:tcPr>
          <w:p>
            <w:pPr>
              <w:spacing w:after="0"/>
              <w:rPr>
                <w:sz w:val="23"/>
                <w:szCs w:val="23"/>
                <w:color w:val="auto"/>
              </w:rPr>
            </w:pPr>
          </w:p>
        </w:tc>
        <w:tc>
          <w:tcPr>
            <w:tcW w:w="5800" w:type="dxa"/>
            <w:vAlign w:val="bottom"/>
            <w:gridSpan w:val="5"/>
          </w:tcPr>
          <w:p>
            <w:pPr>
              <w:ind w:left="2380"/>
              <w:spacing w:after="0"/>
              <w:rPr>
                <w:sz w:val="20"/>
                <w:szCs w:val="20"/>
                <w:color w:val="auto"/>
              </w:rPr>
            </w:pPr>
            <w:r>
              <w:rPr>
                <w:rFonts w:ascii="Arial" w:cs="Arial" w:eastAsia="Arial" w:hAnsi="Arial"/>
                <w:sz w:val="22"/>
                <w:szCs w:val="22"/>
                <w:color w:val="auto"/>
              </w:rPr>
              <w:t>Vice President and Treasurer</w:t>
            </w:r>
          </w:p>
        </w:tc>
      </w:tr>
      <w:tr>
        <w:trPr>
          <w:trHeight w:val="729"/>
        </w:trPr>
        <w:tc>
          <w:tcPr>
            <w:tcW w:w="2420" w:type="dxa"/>
            <w:vAlign w:val="bottom"/>
          </w:tcPr>
          <w:p>
            <w:pPr>
              <w:spacing w:after="0"/>
              <w:rPr>
                <w:sz w:val="24"/>
                <w:szCs w:val="24"/>
                <w:color w:val="auto"/>
              </w:rPr>
            </w:pPr>
          </w:p>
        </w:tc>
        <w:tc>
          <w:tcPr>
            <w:tcW w:w="5800" w:type="dxa"/>
            <w:vAlign w:val="bottom"/>
            <w:gridSpan w:val="5"/>
          </w:tcPr>
          <w:p>
            <w:pPr>
              <w:ind w:left="1820"/>
              <w:spacing w:after="0"/>
              <w:rPr>
                <w:sz w:val="20"/>
                <w:szCs w:val="20"/>
                <w:color w:val="auto"/>
              </w:rPr>
            </w:pPr>
            <w:r>
              <w:rPr>
                <w:rFonts w:ascii="Arial" w:cs="Arial" w:eastAsia="Arial" w:hAnsi="Arial"/>
                <w:sz w:val="22"/>
                <w:szCs w:val="22"/>
                <w:color w:val="auto"/>
              </w:rPr>
              <w:t>Attest:</w:t>
            </w:r>
          </w:p>
        </w:tc>
      </w:tr>
      <w:tr>
        <w:trPr>
          <w:trHeight w:val="436"/>
        </w:trPr>
        <w:tc>
          <w:tcPr>
            <w:tcW w:w="2420" w:type="dxa"/>
            <w:vAlign w:val="bottom"/>
          </w:tcPr>
          <w:p>
            <w:pPr>
              <w:spacing w:after="0"/>
              <w:rPr>
                <w:sz w:val="24"/>
                <w:szCs w:val="24"/>
                <w:color w:val="auto"/>
              </w:rPr>
            </w:pPr>
          </w:p>
        </w:tc>
        <w:tc>
          <w:tcPr>
            <w:tcW w:w="2400" w:type="dxa"/>
            <w:vAlign w:val="bottom"/>
            <w:gridSpan w:val="2"/>
          </w:tcPr>
          <w:p>
            <w:pPr>
              <w:ind w:left="1820"/>
              <w:spacing w:after="0"/>
              <w:rPr>
                <w:sz w:val="20"/>
                <w:szCs w:val="20"/>
                <w:color w:val="auto"/>
              </w:rPr>
            </w:pPr>
            <w:r>
              <w:rPr>
                <w:rFonts w:ascii="Arial" w:cs="Arial" w:eastAsia="Arial" w:hAnsi="Arial"/>
                <w:sz w:val="22"/>
                <w:szCs w:val="22"/>
                <w:color w:val="auto"/>
              </w:rPr>
              <w:t>By:</w:t>
            </w:r>
          </w:p>
        </w:tc>
        <w:tc>
          <w:tcPr>
            <w:tcW w:w="2440" w:type="dxa"/>
            <w:vAlign w:val="bottom"/>
            <w:tcBorders>
              <w:bottom w:val="single" w:sz="8" w:color="auto"/>
            </w:tcBorders>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42"/>
        </w:trPr>
        <w:tc>
          <w:tcPr>
            <w:tcW w:w="2420" w:type="dxa"/>
            <w:vAlign w:val="bottom"/>
          </w:tcPr>
          <w:p>
            <w:pPr>
              <w:spacing w:after="0"/>
              <w:rPr>
                <w:sz w:val="21"/>
                <w:szCs w:val="21"/>
                <w:color w:val="auto"/>
              </w:rPr>
            </w:pPr>
          </w:p>
        </w:tc>
        <w:tc>
          <w:tcPr>
            <w:tcW w:w="5800" w:type="dxa"/>
            <w:vAlign w:val="bottom"/>
            <w:gridSpan w:val="5"/>
          </w:tcPr>
          <w:p>
            <w:pPr>
              <w:ind w:left="2380"/>
              <w:spacing w:after="0" w:line="242" w:lineRule="exact"/>
              <w:rPr>
                <w:sz w:val="20"/>
                <w:szCs w:val="20"/>
                <w:color w:val="auto"/>
              </w:rPr>
            </w:pPr>
            <w:r>
              <w:rPr>
                <w:rFonts w:ascii="Arial" w:cs="Arial" w:eastAsia="Arial" w:hAnsi="Arial"/>
                <w:sz w:val="22"/>
                <w:szCs w:val="22"/>
                <w:color w:val="auto"/>
              </w:rPr>
              <w:t>Courtney A. Tippy</w:t>
            </w:r>
          </w:p>
        </w:tc>
      </w:tr>
      <w:tr>
        <w:trPr>
          <w:trHeight w:val="274"/>
        </w:trPr>
        <w:tc>
          <w:tcPr>
            <w:tcW w:w="24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3420" w:type="dxa"/>
            <w:vAlign w:val="bottom"/>
            <w:gridSpan w:val="4"/>
          </w:tcPr>
          <w:p>
            <w:pPr>
              <w:spacing w:after="0"/>
              <w:rPr>
                <w:sz w:val="20"/>
                <w:szCs w:val="20"/>
                <w:color w:val="auto"/>
              </w:rPr>
            </w:pPr>
            <w:r>
              <w:rPr>
                <w:rFonts w:ascii="Arial" w:cs="Arial" w:eastAsia="Arial" w:hAnsi="Arial"/>
                <w:sz w:val="22"/>
                <w:szCs w:val="22"/>
                <w:color w:val="auto"/>
                <w:w w:val="87"/>
              </w:rPr>
              <w:t>Vice President and Corporate Secretary</w:t>
            </w:r>
          </w:p>
        </w:tc>
      </w:tr>
    </w:tbl>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CERTIFICATE OF AUTHENTICATION</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165"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220" w:type="dxa"/>
            <w:vAlign w:val="bottom"/>
          </w:tcPr>
          <w:p>
            <w:pPr>
              <w:ind w:left="80"/>
              <w:spacing w:after="0"/>
              <w:rPr>
                <w:sz w:val="20"/>
                <w:szCs w:val="20"/>
                <w:color w:val="auto"/>
              </w:rPr>
            </w:pPr>
            <w:r>
              <w:rPr>
                <w:rFonts w:ascii="Arial" w:cs="Arial" w:eastAsia="Arial" w:hAnsi="Arial"/>
                <w:sz w:val="22"/>
                <w:szCs w:val="22"/>
                <w:color w:val="auto"/>
              </w:rPr>
              <w:t>Date of Authentication:</w:t>
            </w: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w w:val="93"/>
              </w:rPr>
              <w:t>The Bank of New York Mellon Trust Company,</w:t>
            </w:r>
          </w:p>
        </w:tc>
      </w:tr>
      <w:tr>
        <w:trPr>
          <w:trHeight w:val="274"/>
        </w:trPr>
        <w:tc>
          <w:tcPr>
            <w:tcW w:w="3220" w:type="dxa"/>
            <w:vAlign w:val="bottom"/>
          </w:tcPr>
          <w:p>
            <w:pPr>
              <w:spacing w:after="0"/>
              <w:rPr>
                <w:sz w:val="23"/>
                <w:szCs w:val="23"/>
                <w:color w:val="auto"/>
              </w:rPr>
            </w:pP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rPr>
              <w:t>N.A., as Trustee</w:t>
            </w:r>
          </w:p>
        </w:tc>
      </w:tr>
      <w:tr>
        <w:trPr>
          <w:trHeight w:val="435"/>
        </w:trPr>
        <w:tc>
          <w:tcPr>
            <w:tcW w:w="3220" w:type="dxa"/>
            <w:vAlign w:val="bottom"/>
          </w:tcPr>
          <w:p>
            <w:pPr>
              <w:spacing w:after="0"/>
              <w:rPr>
                <w:sz w:val="24"/>
                <w:szCs w:val="24"/>
                <w:color w:val="auto"/>
              </w:rPr>
            </w:pPr>
          </w:p>
        </w:tc>
        <w:tc>
          <w:tcPr>
            <w:tcW w:w="5360" w:type="dxa"/>
            <w:vAlign w:val="bottom"/>
            <w:gridSpan w:val="3"/>
          </w:tcPr>
          <w:p>
            <w:pPr>
              <w:ind w:left="1100"/>
              <w:spacing w:after="0"/>
              <w:rPr>
                <w:sz w:val="20"/>
                <w:szCs w:val="20"/>
                <w:color w:val="auto"/>
              </w:rPr>
            </w:pPr>
            <w:r>
              <w:rPr>
                <w:rFonts w:ascii="Arial" w:cs="Arial" w:eastAsia="Arial" w:hAnsi="Arial"/>
                <w:sz w:val="22"/>
                <w:szCs w:val="22"/>
                <w:color w:val="auto"/>
              </w:rPr>
              <w:t>By: ​</w:t>
            </w:r>
          </w:p>
        </w:tc>
      </w:tr>
      <w:tr>
        <w:trPr>
          <w:trHeight w:val="274"/>
        </w:trPr>
        <w:tc>
          <w:tcPr>
            <w:tcW w:w="3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520" w:type="dxa"/>
            <w:vAlign w:val="bottom"/>
            <w:tcBorders>
              <w:top w:val="single" w:sz="8" w:color="auto"/>
            </w:tcBorders>
          </w:tcPr>
          <w:p>
            <w:pPr>
              <w:ind w:left="80"/>
              <w:spacing w:after="0"/>
              <w:rPr>
                <w:sz w:val="20"/>
                <w:szCs w:val="20"/>
                <w:color w:val="auto"/>
              </w:rPr>
            </w:pPr>
            <w:r>
              <w:rPr>
                <w:rFonts w:ascii="Arial" w:cs="Arial" w:eastAsia="Arial" w:hAnsi="Arial"/>
                <w:sz w:val="22"/>
                <w:szCs w:val="22"/>
                <w:color w:val="auto"/>
              </w:rPr>
              <w:t>Authorized Officer</w:t>
            </w:r>
          </w:p>
        </w:tc>
        <w:tc>
          <w:tcPr>
            <w:tcW w:w="320" w:type="dxa"/>
            <w:vAlign w:val="bottom"/>
          </w:tcPr>
          <w:p>
            <w:pPr>
              <w:spacing w:after="0"/>
              <w:rPr>
                <w:sz w:val="23"/>
                <w:szCs w:val="23"/>
                <w:color w:val="auto"/>
              </w:rPr>
            </w:pPr>
          </w:p>
        </w:tc>
      </w:tr>
      <w:tr>
        <w:trPr>
          <w:trHeight w:val="1495"/>
        </w:trPr>
        <w:tc>
          <w:tcPr>
            <w:tcW w:w="3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2"/>
          <w:szCs w:val="22"/>
          <w:color w:val="auto"/>
        </w:rPr>
        <w:t>REVERSE OF BOOK-ENTRY SECURITY</w:t>
      </w:r>
    </w:p>
    <w:p>
      <w:pPr>
        <w:spacing w:after="0" w:line="23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WASTE MANAGEMENT,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4.875% SENIOR NOTES DUE 2034</w:t>
      </w:r>
    </w:p>
    <w:p>
      <w:pPr>
        <w:spacing w:after="0" w:line="233" w:lineRule="exact"/>
        <w:rPr>
          <w:sz w:val="20"/>
          <w:szCs w:val="20"/>
          <w:color w:val="auto"/>
        </w:rPr>
      </w:pPr>
    </w:p>
    <w:p>
      <w:pPr>
        <w:jc w:val="both"/>
        <w:ind w:left="200" w:right="219" w:firstLine="667"/>
        <w:spacing w:after="0" w:line="244" w:lineRule="auto"/>
        <w:rPr>
          <w:sz w:val="20"/>
          <w:szCs w:val="20"/>
          <w:color w:val="auto"/>
        </w:rPr>
      </w:pPr>
      <w:r>
        <w:rPr>
          <w:rFonts w:ascii="Arial" w:cs="Arial" w:eastAsia="Arial" w:hAnsi="Arial"/>
          <w:sz w:val="21"/>
          <w:szCs w:val="21"/>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4.875% Senior Notes due 2034 of the Company, in initial aggregate principal amount of $1,250,000,000 (the “Securities”).</w:t>
      </w:r>
    </w:p>
    <w:p>
      <w:pPr>
        <w:spacing w:after="0" w:line="188" w:lineRule="exact"/>
        <w:rPr>
          <w:sz w:val="20"/>
          <w:szCs w:val="20"/>
          <w:color w:val="auto"/>
        </w:rPr>
      </w:pPr>
    </w:p>
    <w:p>
      <w:pPr>
        <w:ind w:left="1500" w:hanging="643"/>
        <w:spacing w:after="0"/>
        <w:tabs>
          <w:tab w:leader="none" w:pos="1500"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Interest.</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The Company promises to pay interest on the principal amount of this Security at the rate of 4.875% per annum.</w:t>
      </w:r>
    </w:p>
    <w:p>
      <w:pPr>
        <w:spacing w:after="0" w:line="175" w:lineRule="exact"/>
        <w:rPr>
          <w:sz w:val="20"/>
          <w:szCs w:val="20"/>
          <w:color w:val="auto"/>
        </w:rPr>
      </w:pPr>
    </w:p>
    <w:p>
      <w:pPr>
        <w:jc w:val="both"/>
        <w:ind w:left="200" w:right="219" w:firstLine="667"/>
        <w:spacing w:after="0" w:line="233" w:lineRule="auto"/>
        <w:rPr>
          <w:sz w:val="20"/>
          <w:szCs w:val="20"/>
          <w:color w:val="auto"/>
        </w:rPr>
      </w:pPr>
      <w:r>
        <w:rPr>
          <w:rFonts w:ascii="Arial" w:cs="Arial" w:eastAsia="Arial" w:hAnsi="Arial"/>
          <w:sz w:val="22"/>
          <w:szCs w:val="22"/>
          <w:color w:val="auto"/>
        </w:rPr>
        <w:t>The Company will pay interest semi-annually on February 15 and August 15 of each year (each an “Interest Payment Date”), commencing February 15, 2024. Interest on the Securities will accrue from the most recent date to which interest has been paid or, if no interest has been paid on the Securities, from August 3, 2023.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4.875% per annum, in each case to the extent lawful.</w:t>
      </w:r>
    </w:p>
    <w:p>
      <w:pPr>
        <w:spacing w:after="0" w:line="193" w:lineRule="exact"/>
        <w:rPr>
          <w:sz w:val="20"/>
          <w:szCs w:val="20"/>
          <w:color w:val="auto"/>
        </w:rPr>
      </w:pPr>
    </w:p>
    <w:p>
      <w:pPr>
        <w:ind w:left="1500" w:hanging="643"/>
        <w:spacing w:after="0"/>
        <w:tabs>
          <w:tab w:leader="none" w:pos="1500" w:val="left"/>
        </w:tabs>
        <w:numPr>
          <w:ilvl w:val="0"/>
          <w:numId w:val="68"/>
        </w:numPr>
        <w:rPr>
          <w:rFonts w:ascii="Arial" w:cs="Arial" w:eastAsia="Arial" w:hAnsi="Arial"/>
          <w:sz w:val="22"/>
          <w:szCs w:val="22"/>
          <w:color w:val="auto"/>
        </w:rPr>
      </w:pPr>
      <w:r>
        <w:rPr>
          <w:rFonts w:ascii="Arial" w:cs="Arial" w:eastAsia="Arial" w:hAnsi="Arial"/>
          <w:sz w:val="22"/>
          <w:szCs w:val="22"/>
          <w:i w:val="1"/>
          <w:iCs w:val="1"/>
          <w:color w:val="auto"/>
        </w:rPr>
        <w:t>Method of Payment.</w:t>
      </w:r>
    </w:p>
    <w:p>
      <w:pPr>
        <w:spacing w:after="0" w:line="206" w:lineRule="exact"/>
        <w:rPr>
          <w:sz w:val="20"/>
          <w:szCs w:val="20"/>
          <w:color w:val="auto"/>
        </w:rPr>
      </w:pPr>
    </w:p>
    <w:p>
      <w:pPr>
        <w:jc w:val="both"/>
        <w:ind w:left="200" w:right="219" w:firstLine="667"/>
        <w:spacing w:after="0" w:line="272" w:lineRule="auto"/>
        <w:rPr>
          <w:sz w:val="20"/>
          <w:szCs w:val="20"/>
          <w:color w:val="auto"/>
        </w:rPr>
      </w:pPr>
      <w:r>
        <w:rPr>
          <w:rFonts w:ascii="Arial" w:cs="Arial" w:eastAsia="Arial" w:hAnsi="Arial"/>
          <w:sz w:val="19"/>
          <w:szCs w:val="19"/>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5" w:name="page76"/>
    <w:bookmarkEnd w:id="75"/>
    <w:p>
      <w:pPr>
        <w:jc w:val="both"/>
        <w:ind w:left="200" w:right="219"/>
        <w:spacing w:after="0" w:line="247" w:lineRule="auto"/>
        <w:rPr>
          <w:sz w:val="20"/>
          <w:szCs w:val="20"/>
          <w:color w:val="auto"/>
        </w:rPr>
      </w:pPr>
      <w:r>
        <w:rPr>
          <w:rFonts w:ascii="Arial" w:cs="Arial" w:eastAsia="Arial" w:hAnsi="Arial"/>
          <w:sz w:val="21"/>
          <w:szCs w:val="21"/>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8" w:lineRule="exact"/>
        <w:rPr>
          <w:sz w:val="20"/>
          <w:szCs w:val="20"/>
          <w:color w:val="auto"/>
        </w:rPr>
      </w:pPr>
    </w:p>
    <w:p>
      <w:pPr>
        <w:ind w:left="1500" w:hanging="643"/>
        <w:spacing w:after="0"/>
        <w:tabs>
          <w:tab w:leader="none" w:pos="1500"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p>
    <w:p>
      <w:pPr>
        <w:spacing w:after="0" w:line="206" w:lineRule="exact"/>
        <w:rPr>
          <w:sz w:val="20"/>
          <w:szCs w:val="20"/>
          <w:color w:val="auto"/>
        </w:rPr>
      </w:pPr>
    </w:p>
    <w:p>
      <w:pPr>
        <w:jc w:val="both"/>
        <w:ind w:left="200" w:right="219" w:firstLine="667"/>
        <w:spacing w:after="0" w:line="287" w:lineRule="auto"/>
        <w:rPr>
          <w:sz w:val="20"/>
          <w:szCs w:val="20"/>
          <w:color w:val="auto"/>
        </w:rPr>
      </w:pPr>
      <w:r>
        <w:rPr>
          <w:rFonts w:ascii="Arial" w:cs="Arial" w:eastAsia="Arial" w:hAnsi="Arial"/>
          <w:sz w:val="19"/>
          <w:szCs w:val="19"/>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43" w:lineRule="exact"/>
        <w:rPr>
          <w:sz w:val="20"/>
          <w:szCs w:val="20"/>
          <w:color w:val="auto"/>
        </w:rPr>
      </w:pPr>
    </w:p>
    <w:p>
      <w:pPr>
        <w:ind w:left="1500" w:hanging="643"/>
        <w:spacing w:after="0"/>
        <w:tabs>
          <w:tab w:leader="none" w:pos="1500"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Indenture.</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This Security is one of a duly authorized issue of Debt Securities of the Company issued and to be issued in one or more series under the Indenture.</w:t>
      </w:r>
    </w:p>
    <w:p>
      <w:pPr>
        <w:spacing w:after="0" w:line="175"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(the “Resolutions”) and the written consent of the Sole Director of Waste Management Holdings, Inc. on July 18, 2023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$1,250,000,000.</w:t>
      </w:r>
    </w:p>
    <w:p>
      <w:pPr>
        <w:spacing w:after="0" w:line="155" w:lineRule="exact"/>
        <w:rPr>
          <w:sz w:val="20"/>
          <w:szCs w:val="20"/>
          <w:color w:val="auto"/>
        </w:rPr>
      </w:pPr>
    </w:p>
    <w:p>
      <w:pPr>
        <w:ind w:left="1500" w:hanging="643"/>
        <w:spacing w:after="0"/>
        <w:tabs>
          <w:tab w:leader="none" w:pos="1500" w:val="left"/>
        </w:tabs>
        <w:numPr>
          <w:ilvl w:val="0"/>
          <w:numId w:val="71"/>
        </w:numPr>
        <w:rPr>
          <w:rFonts w:ascii="Arial" w:cs="Arial" w:eastAsia="Arial" w:hAnsi="Arial"/>
          <w:sz w:val="22"/>
          <w:szCs w:val="22"/>
          <w:color w:val="auto"/>
        </w:rPr>
      </w:pPr>
      <w:r>
        <w:rPr>
          <w:rFonts w:ascii="Arial" w:cs="Arial" w:eastAsia="Arial" w:hAnsi="Arial"/>
          <w:sz w:val="22"/>
          <w:szCs w:val="22"/>
          <w:i w:val="1"/>
          <w:iCs w:val="1"/>
          <w:color w:val="auto"/>
        </w:rPr>
        <w:t>Redemption.</w:t>
      </w:r>
    </w:p>
    <w:p>
      <w:pPr>
        <w:spacing w:after="0" w:line="206"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21"/>
          <w:szCs w:val="21"/>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69" w:lineRule="exact"/>
        <w:rPr>
          <w:sz w:val="20"/>
          <w:szCs w:val="20"/>
          <w:color w:val="auto"/>
        </w:rPr>
      </w:pPr>
    </w:p>
    <w:p>
      <w:pPr>
        <w:jc w:val="both"/>
        <w:ind w:left="860" w:right="219" w:firstLine="15"/>
        <w:spacing w:after="0" w:line="236" w:lineRule="auto"/>
        <w:tabs>
          <w:tab w:leader="none" w:pos="1192"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20 basis points, less (b) interest accrued to the Redemption Date, and</w:t>
      </w:r>
    </w:p>
    <w:p>
      <w:pPr>
        <w:spacing w:after="0" w:line="187" w:lineRule="exact"/>
        <w:rPr>
          <w:rFonts w:ascii="Arial" w:cs="Arial" w:eastAsia="Arial" w:hAnsi="Arial"/>
          <w:sz w:val="22"/>
          <w:szCs w:val="22"/>
          <w:color w:val="auto"/>
        </w:rPr>
      </w:pPr>
    </w:p>
    <w:p>
      <w:pPr>
        <w:ind w:left="1180" w:hanging="305"/>
        <w:spacing w:after="0"/>
        <w:tabs>
          <w:tab w:leader="none" w:pos="11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100% of the principal amount of the Securities to be redeemed,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641350</wp:posOffset>
            </wp:positionV>
            <wp:extent cx="54521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6" w:name="page77"/>
    <w:bookmarkEnd w:id="76"/>
    <w:p>
      <w:pPr>
        <w:jc w:val="both"/>
        <w:ind w:left="200" w:right="219" w:firstLine="667"/>
        <w:spacing w:after="0" w:line="238" w:lineRule="auto"/>
        <w:rPr>
          <w:sz w:val="20"/>
          <w:szCs w:val="20"/>
          <w:color w:val="auto"/>
        </w:rPr>
      </w:pPr>
      <w:r>
        <w:rPr>
          <w:rFonts w:ascii="Arial" w:cs="Arial" w:eastAsia="Arial" w:hAnsi="Arial"/>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“Par Call Date” means November 15, 2033.</w:t>
      </w:r>
    </w:p>
    <w:p>
      <w:pPr>
        <w:spacing w:after="0" w:line="206"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“Treasury Rate” means, with respect to any Redemption Date, the yield determined by the Company in accordance with the following two paragraphs.</w:t>
      </w:r>
    </w:p>
    <w:p>
      <w:pPr>
        <w:spacing w:after="0" w:line="175" w:lineRule="exact"/>
        <w:rPr>
          <w:sz w:val="20"/>
          <w:szCs w:val="20"/>
          <w:color w:val="auto"/>
        </w:rPr>
      </w:pPr>
    </w:p>
    <w:p>
      <w:pPr>
        <w:jc w:val="both"/>
        <w:ind w:left="200" w:right="219" w:firstLine="667"/>
        <w:spacing w:after="0" w:line="270" w:lineRule="auto"/>
        <w:rPr>
          <w:sz w:val="20"/>
          <w:szCs w:val="20"/>
          <w:color w:val="auto"/>
        </w:rPr>
      </w:pPr>
      <w:r>
        <w:rPr>
          <w:rFonts w:ascii="Arial" w:cs="Arial" w:eastAsia="Arial" w:hAnsi="Arial"/>
          <w:sz w:val="19"/>
          <w:szCs w:val="19"/>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0"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9"/>
          <w:szCs w:val="19"/>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473075</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7" w:name="page78"/>
    <w:bookmarkEnd w:id="77"/>
    <w:p>
      <w:pPr>
        <w:jc w:val="both"/>
        <w:ind w:left="200" w:right="219"/>
        <w:spacing w:after="0" w:line="241" w:lineRule="auto"/>
        <w:rPr>
          <w:sz w:val="20"/>
          <w:szCs w:val="20"/>
          <w:color w:val="auto"/>
        </w:rPr>
      </w:pPr>
      <w:r>
        <w:rPr>
          <w:rFonts w:ascii="Arial" w:cs="Arial" w:eastAsia="Arial" w:hAnsi="Arial"/>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84" w:lineRule="exact"/>
        <w:rPr>
          <w:sz w:val="20"/>
          <w:szCs w:val="20"/>
          <w:color w:val="auto"/>
        </w:rPr>
      </w:pPr>
    </w:p>
    <w:p>
      <w:pPr>
        <w:jc w:val="both"/>
        <w:ind w:left="200" w:right="219" w:firstLine="667"/>
        <w:spacing w:after="0" w:line="236" w:lineRule="auto"/>
        <w:rPr>
          <w:sz w:val="20"/>
          <w:szCs w:val="20"/>
          <w:color w:val="auto"/>
        </w:rPr>
      </w:pPr>
      <w:r>
        <w:rPr>
          <w:rFonts w:ascii="Arial" w:cs="Arial" w:eastAsia="Arial" w:hAnsi="Arial"/>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7" w:lineRule="exact"/>
        <w:rPr>
          <w:sz w:val="20"/>
          <w:szCs w:val="20"/>
          <w:color w:val="auto"/>
        </w:rPr>
      </w:pPr>
    </w:p>
    <w:p>
      <w:pPr>
        <w:jc w:val="both"/>
        <w:ind w:left="200" w:right="219" w:firstLine="667"/>
        <w:spacing w:after="0" w:line="271" w:lineRule="auto"/>
        <w:rPr>
          <w:sz w:val="20"/>
          <w:szCs w:val="20"/>
          <w:color w:val="auto"/>
        </w:rPr>
      </w:pPr>
      <w:r>
        <w:rPr>
          <w:rFonts w:ascii="Arial" w:cs="Arial" w:eastAsia="Arial" w:hAnsi="Arial"/>
          <w:sz w:val="19"/>
          <w:szCs w:val="19"/>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64"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Except as set forth above, the Securities will not be redeemable prior to their Stated Maturity and will not be entitled to the benefit of any sinking fund.</w:t>
      </w:r>
    </w:p>
    <w:p>
      <w:pPr>
        <w:spacing w:after="0" w:line="175" w:lineRule="exact"/>
        <w:rPr>
          <w:sz w:val="20"/>
          <w:szCs w:val="20"/>
          <w:color w:val="auto"/>
        </w:rPr>
      </w:pPr>
    </w:p>
    <w:p>
      <w:pPr>
        <w:jc w:val="both"/>
        <w:ind w:left="200" w:right="219" w:firstLine="667"/>
        <w:spacing w:after="0" w:line="250" w:lineRule="auto"/>
        <w:rPr>
          <w:sz w:val="20"/>
          <w:szCs w:val="20"/>
          <w:color w:val="auto"/>
        </w:rPr>
      </w:pPr>
      <w:r>
        <w:rPr>
          <w:rFonts w:ascii="Arial" w:cs="Arial" w:eastAsia="Arial" w:hAnsi="Arial"/>
          <w:sz w:val="22"/>
          <w:szCs w:val="22"/>
          <w:color w:val="auto"/>
        </w:rPr>
        <w:t>The Securities may be redeemed in part in a minimum principal amount of $2,000, or any integral multiple of $1,000 in excess thereof.</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Any such redemption will also comply with Article Eleven of the Indenture.</w:t>
      </w:r>
    </w:p>
    <w:p>
      <w:pPr>
        <w:spacing w:after="0" w:line="206" w:lineRule="exact"/>
        <w:rPr>
          <w:sz w:val="20"/>
          <w:szCs w:val="20"/>
          <w:color w:val="auto"/>
        </w:rPr>
      </w:pPr>
    </w:p>
    <w:p>
      <w:pPr>
        <w:ind w:left="1500" w:hanging="643"/>
        <w:spacing w:after="0"/>
        <w:tabs>
          <w:tab w:leader="none" w:pos="1500"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Change of Control Offer.</w:t>
      </w:r>
    </w:p>
    <w:p>
      <w:pPr>
        <w:spacing w:after="0" w:line="206" w:lineRule="exact"/>
        <w:rPr>
          <w:sz w:val="20"/>
          <w:szCs w:val="20"/>
          <w:color w:val="auto"/>
        </w:rPr>
      </w:pPr>
    </w:p>
    <w:p>
      <w:pPr>
        <w:jc w:val="both"/>
        <w:ind w:left="200" w:right="219" w:firstLine="648"/>
        <w:spacing w:after="0" w:line="245" w:lineRule="auto"/>
        <w:rPr>
          <w:sz w:val="20"/>
          <w:szCs w:val="20"/>
          <w:color w:val="auto"/>
        </w:rPr>
      </w:pPr>
      <w:r>
        <w:rPr>
          <w:rFonts w:ascii="Arial" w:cs="Arial" w:eastAsia="Arial" w:hAnsi="Arial"/>
          <w:sz w:val="21"/>
          <w:szCs w:val="21"/>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11" w:lineRule="exact"/>
        <w:rPr>
          <w:sz w:val="20"/>
          <w:szCs w:val="20"/>
          <w:color w:val="auto"/>
        </w:rPr>
      </w:pPr>
    </w:p>
    <w:p>
      <w:pPr>
        <w:jc w:val="both"/>
        <w:ind w:left="200" w:right="239" w:firstLine="648"/>
        <w:spacing w:after="0" w:line="328" w:lineRule="auto"/>
        <w:rPr>
          <w:sz w:val="20"/>
          <w:szCs w:val="20"/>
          <w:color w:val="auto"/>
        </w:rPr>
      </w:pPr>
      <w:r>
        <w:rPr>
          <w:rFonts w:ascii="Arial" w:cs="Arial" w:eastAsia="Arial" w:hAnsi="Arial"/>
          <w:sz w:val="19"/>
          <w:szCs w:val="19"/>
          <w:color w:val="auto"/>
        </w:rPr>
        <w:t>Within 30 days following any Change of Control Triggering Event or, at the Company’s option, prior to any Change of Control, but after public announcement of the transaction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440055</wp:posOffset>
            </wp:positionV>
            <wp:extent cx="545211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8" w:name="page79"/>
    <w:bookmarkEnd w:id="78"/>
    <w:p>
      <w:pPr>
        <w:jc w:val="both"/>
        <w:ind w:left="200" w:right="219"/>
        <w:spacing w:after="0" w:line="246" w:lineRule="auto"/>
        <w:rPr>
          <w:sz w:val="20"/>
          <w:szCs w:val="20"/>
          <w:color w:val="auto"/>
        </w:rPr>
      </w:pPr>
      <w:r>
        <w:rPr>
          <w:rFonts w:ascii="Arial" w:cs="Arial" w:eastAsia="Arial" w:hAnsi="Arial"/>
          <w:sz w:val="21"/>
          <w:szCs w:val="21"/>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Upon the Change of Control Payment Date, the Company shall, to the extent lawful:</w:t>
      </w:r>
    </w:p>
    <w:p>
      <w:pPr>
        <w:spacing w:after="0" w:line="233" w:lineRule="exact"/>
        <w:rPr>
          <w:sz w:val="20"/>
          <w:szCs w:val="20"/>
          <w:color w:val="auto"/>
        </w:rPr>
      </w:pPr>
    </w:p>
    <w:p>
      <w:pPr>
        <w:ind w:left="1500" w:right="219" w:hanging="643"/>
        <w:spacing w:after="0" w:line="250" w:lineRule="auto"/>
        <w:tabs>
          <w:tab w:leader="none" w:pos="1500" w:val="left"/>
        </w:tabs>
        <w:numPr>
          <w:ilvl w:val="0"/>
          <w:numId w:val="74"/>
        </w:numPr>
        <w:rPr>
          <w:rFonts w:ascii="Arial" w:cs="Arial" w:eastAsia="Arial" w:hAnsi="Arial"/>
          <w:sz w:val="18"/>
          <w:szCs w:val="18"/>
          <w:color w:val="auto"/>
        </w:rPr>
      </w:pPr>
      <w:r>
        <w:rPr>
          <w:rFonts w:ascii="Arial" w:cs="Arial" w:eastAsia="Arial" w:hAnsi="Arial"/>
          <w:sz w:val="22"/>
          <w:szCs w:val="22"/>
          <w:color w:val="auto"/>
        </w:rPr>
        <w:t>accept for payment all Securities or portions of Securities properly tendered and not withdrawn pursuant to the Change of Control Offer;</w:t>
      </w:r>
    </w:p>
    <w:p>
      <w:pPr>
        <w:spacing w:after="0" w:line="174" w:lineRule="exact"/>
        <w:rPr>
          <w:rFonts w:ascii="Arial" w:cs="Arial" w:eastAsia="Arial" w:hAnsi="Arial"/>
          <w:sz w:val="18"/>
          <w:szCs w:val="18"/>
          <w:color w:val="auto"/>
        </w:rPr>
      </w:pPr>
    </w:p>
    <w:p>
      <w:pPr>
        <w:ind w:left="1500" w:right="239" w:hanging="643"/>
        <w:spacing w:after="0" w:line="328" w:lineRule="auto"/>
        <w:tabs>
          <w:tab w:leader="none" w:pos="1500" w:val="left"/>
        </w:tabs>
        <w:numPr>
          <w:ilvl w:val="0"/>
          <w:numId w:val="74"/>
        </w:numPr>
        <w:rPr>
          <w:rFonts w:ascii="Arial" w:cs="Arial" w:eastAsia="Arial" w:hAnsi="Arial"/>
          <w:sz w:val="16"/>
          <w:szCs w:val="16"/>
          <w:color w:val="auto"/>
        </w:rPr>
      </w:pPr>
      <w:r>
        <w:rPr>
          <w:rFonts w:ascii="Arial" w:cs="Arial" w:eastAsia="Arial" w:hAnsi="Arial"/>
          <w:sz w:val="19"/>
          <w:szCs w:val="19"/>
          <w:color w:val="auto"/>
        </w:rPr>
        <w:t>deposit with the Paying Agent an amount equal to the Change of Control Payment in respect of all Securities or portions of Securities properly tendered; and</w:t>
      </w:r>
    </w:p>
    <w:p>
      <w:pPr>
        <w:spacing w:after="0" w:line="104" w:lineRule="exact"/>
        <w:rPr>
          <w:rFonts w:ascii="Arial" w:cs="Arial" w:eastAsia="Arial" w:hAnsi="Arial"/>
          <w:sz w:val="16"/>
          <w:szCs w:val="16"/>
          <w:color w:val="auto"/>
        </w:rPr>
      </w:pPr>
    </w:p>
    <w:p>
      <w:pPr>
        <w:jc w:val="both"/>
        <w:ind w:left="1500" w:right="239" w:hanging="643"/>
        <w:spacing w:after="0"/>
        <w:tabs>
          <w:tab w:leader="none" w:pos="1500" w:val="left"/>
        </w:tabs>
        <w:numPr>
          <w:ilvl w:val="0"/>
          <w:numId w:val="74"/>
        </w:numPr>
        <w:rPr>
          <w:rFonts w:ascii="Arial" w:cs="Arial" w:eastAsia="Arial" w:hAnsi="Arial"/>
          <w:sz w:val="18"/>
          <w:szCs w:val="18"/>
          <w:color w:val="auto"/>
        </w:rPr>
      </w:pPr>
      <w:r>
        <w:rPr>
          <w:rFonts w:ascii="Arial" w:cs="Arial" w:eastAsia="Arial" w:hAnsi="Arial"/>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86"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9"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For purposes of the Change of Control Offer provisions of the Securities, the following terms are applicable:</w:t>
      </w:r>
    </w:p>
    <w:p>
      <w:pPr>
        <w:spacing w:after="0" w:line="202" w:lineRule="exact"/>
        <w:rPr>
          <w:sz w:val="20"/>
          <w:szCs w:val="20"/>
          <w:color w:val="auto"/>
        </w:rPr>
      </w:pPr>
    </w:p>
    <w:p>
      <w:pPr>
        <w:jc w:val="both"/>
        <w:ind w:left="200" w:right="219" w:firstLine="667"/>
        <w:spacing w:after="0" w:line="279" w:lineRule="auto"/>
        <w:rPr>
          <w:sz w:val="20"/>
          <w:szCs w:val="20"/>
          <w:color w:val="auto"/>
        </w:rPr>
      </w:pPr>
      <w:r>
        <w:rPr>
          <w:rFonts w:ascii="Arial" w:cs="Arial" w:eastAsia="Arial" w:hAnsi="Arial"/>
          <w:sz w:val="19"/>
          <w:szCs w:val="19"/>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9" w:name="page80"/>
    <w:bookmarkEnd w:id="79"/>
    <w:p>
      <w:pPr>
        <w:jc w:val="both"/>
        <w:ind w:left="200" w:right="219"/>
        <w:spacing w:after="0" w:line="272" w:lineRule="auto"/>
        <w:rPr>
          <w:sz w:val="20"/>
          <w:szCs w:val="20"/>
          <w:color w:val="auto"/>
        </w:rPr>
      </w:pPr>
      <w:r>
        <w:rPr>
          <w:rFonts w:ascii="Arial" w:cs="Arial" w:eastAsia="Arial" w:hAnsi="Arial"/>
          <w:sz w:val="19"/>
          <w:szCs w:val="19"/>
          <w:color w:val="auto"/>
        </w:rPr>
        <w:t>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200" w:lineRule="exact"/>
        <w:rPr>
          <w:sz w:val="20"/>
          <w:szCs w:val="20"/>
          <w:color w:val="auto"/>
        </w:rPr>
      </w:pPr>
    </w:p>
    <w:p>
      <w:pPr>
        <w:spacing w:after="0" w:line="204" w:lineRule="exact"/>
        <w:rPr>
          <w:sz w:val="20"/>
          <w:szCs w:val="20"/>
          <w:color w:val="auto"/>
        </w:rPr>
      </w:pPr>
    </w:p>
    <w:p>
      <w:pPr>
        <w:jc w:val="both"/>
        <w:ind w:left="200" w:right="219" w:firstLine="667"/>
        <w:spacing w:after="0" w:line="245" w:lineRule="auto"/>
        <w:rPr>
          <w:sz w:val="20"/>
          <w:szCs w:val="20"/>
          <w:color w:val="auto"/>
        </w:rPr>
      </w:pPr>
      <w:r>
        <w:rPr>
          <w:rFonts w:ascii="Arial" w:cs="Arial" w:eastAsia="Arial" w:hAnsi="Arial"/>
          <w:sz w:val="21"/>
          <w:szCs w:val="21"/>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4" w:lineRule="exact"/>
        <w:rPr>
          <w:sz w:val="20"/>
          <w:szCs w:val="20"/>
          <w:color w:val="auto"/>
        </w:rPr>
      </w:pPr>
    </w:p>
    <w:p>
      <w:pPr>
        <w:jc w:val="both"/>
        <w:ind w:left="200" w:right="239" w:firstLine="667"/>
        <w:spacing w:after="0" w:line="250" w:lineRule="auto"/>
        <w:rPr>
          <w:sz w:val="20"/>
          <w:szCs w:val="20"/>
          <w:color w:val="auto"/>
        </w:rPr>
      </w:pPr>
      <w:r>
        <w:rPr>
          <w:rFonts w:ascii="Arial" w:cs="Arial" w:eastAsia="Arial" w:hAnsi="Arial"/>
          <w:sz w:val="22"/>
          <w:szCs w:val="22"/>
          <w:color w:val="auto"/>
        </w:rPr>
        <w:t>“Change of Control Triggering Event” means the occurrence of both a Change of Control and a Rating Event.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“Fitch” means Fitch Inc. and its successors.</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“Moody’s” means Moody’s Investors Service, Inc. and its successors.</w:t>
      </w:r>
    </w:p>
    <w:p>
      <w:pPr>
        <w:spacing w:after="0" w:line="206" w:lineRule="exact"/>
        <w:rPr>
          <w:sz w:val="20"/>
          <w:szCs w:val="20"/>
          <w:color w:val="auto"/>
        </w:rPr>
      </w:pPr>
    </w:p>
    <w:p>
      <w:pPr>
        <w:jc w:val="both"/>
        <w:ind w:left="200" w:right="219" w:firstLine="667"/>
        <w:spacing w:after="0" w:line="279" w:lineRule="auto"/>
        <w:rPr>
          <w:sz w:val="20"/>
          <w:szCs w:val="20"/>
          <w:color w:val="auto"/>
        </w:rPr>
      </w:pPr>
      <w:r>
        <w:rPr>
          <w:rFonts w:ascii="Arial" w:cs="Arial" w:eastAsia="Arial" w:hAnsi="Arial"/>
          <w:sz w:val="19"/>
          <w:szCs w:val="19"/>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50" w:lineRule="exact"/>
        <w:rPr>
          <w:sz w:val="20"/>
          <w:szCs w:val="20"/>
          <w:color w:val="auto"/>
        </w:rPr>
      </w:pPr>
    </w:p>
    <w:p>
      <w:pPr>
        <w:jc w:val="both"/>
        <w:ind w:left="200" w:right="219" w:firstLine="667"/>
        <w:spacing w:after="0" w:line="287" w:lineRule="auto"/>
        <w:rPr>
          <w:sz w:val="20"/>
          <w:szCs w:val="20"/>
          <w:color w:val="auto"/>
        </w:rPr>
      </w:pPr>
      <w:r>
        <w:rPr>
          <w:rFonts w:ascii="Arial" w:cs="Arial" w:eastAsia="Arial" w:hAnsi="Arial"/>
          <w:sz w:val="19"/>
          <w:szCs w:val="19"/>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464185</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0" w:name="page81"/>
    <w:bookmarkEnd w:id="80"/>
    <w:p>
      <w:pPr>
        <w:jc w:val="both"/>
        <w:ind w:left="200" w:right="219"/>
        <w:spacing w:after="0" w:line="258" w:lineRule="auto"/>
        <w:rPr>
          <w:sz w:val="20"/>
          <w:szCs w:val="20"/>
          <w:color w:val="auto"/>
        </w:rPr>
      </w:pPr>
      <w:r>
        <w:rPr>
          <w:rFonts w:ascii="Arial" w:cs="Arial" w:eastAsia="Arial" w:hAnsi="Arial"/>
          <w:sz w:val="21"/>
          <w:szCs w:val="21"/>
          <w:color w:val="auto"/>
        </w:rPr>
        <w:t>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“S&amp;P” means S&amp;P Global Ratings, a division of S&amp;P Global Inc., and its successors.</w:t>
      </w:r>
    </w:p>
    <w:p>
      <w:pPr>
        <w:spacing w:after="0" w:line="218" w:lineRule="exact"/>
        <w:rPr>
          <w:sz w:val="20"/>
          <w:szCs w:val="20"/>
          <w:color w:val="auto"/>
        </w:rPr>
      </w:pPr>
    </w:p>
    <w:p>
      <w:pPr>
        <w:jc w:val="both"/>
        <w:ind w:left="200" w:right="219" w:firstLine="667"/>
        <w:spacing w:after="0" w:line="257" w:lineRule="auto"/>
        <w:rPr>
          <w:sz w:val="20"/>
          <w:szCs w:val="20"/>
          <w:color w:val="auto"/>
        </w:rPr>
      </w:pPr>
      <w:r>
        <w:rPr>
          <w:rFonts w:ascii="Arial" w:cs="Arial" w:eastAsia="Arial" w:hAnsi="Arial"/>
          <w:sz w:val="21"/>
          <w:szCs w:val="21"/>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Denominations; Transfer; Exchange.</w:t>
      </w:r>
    </w:p>
    <w:p>
      <w:pPr>
        <w:spacing w:after="0" w:line="206" w:lineRule="exact"/>
        <w:rPr>
          <w:sz w:val="20"/>
          <w:szCs w:val="20"/>
          <w:color w:val="auto"/>
        </w:rPr>
      </w:pPr>
    </w:p>
    <w:p>
      <w:pPr>
        <w:jc w:val="both"/>
        <w:ind w:left="200" w:right="219" w:firstLine="667"/>
        <w:spacing w:after="0" w:line="282" w:lineRule="auto"/>
        <w:rPr>
          <w:sz w:val="20"/>
          <w:szCs w:val="20"/>
          <w:color w:val="auto"/>
        </w:rPr>
      </w:pPr>
      <w:r>
        <w:rPr>
          <w:rFonts w:ascii="Arial" w:cs="Arial" w:eastAsia="Arial" w:hAnsi="Arial"/>
          <w:sz w:val="19"/>
          <w:szCs w:val="19"/>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47" w:lineRule="exact"/>
        <w:rPr>
          <w:sz w:val="20"/>
          <w:szCs w:val="20"/>
          <w:color w:val="auto"/>
        </w:rPr>
      </w:pPr>
    </w:p>
    <w:p>
      <w:pPr>
        <w:ind w:left="1500" w:hanging="643"/>
        <w:spacing w:after="0"/>
        <w:tabs>
          <w:tab w:leader="none" w:pos="1500"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Person Deemed Owners.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registered Holder of a Security may be treated as the owner of it for all purposes.</w:t>
      </w:r>
    </w:p>
    <w:p>
      <w:pPr>
        <w:spacing w:after="0" w:line="241" w:lineRule="exact"/>
        <w:rPr>
          <w:sz w:val="20"/>
          <w:szCs w:val="20"/>
          <w:color w:val="auto"/>
        </w:rPr>
      </w:pPr>
    </w:p>
    <w:p>
      <w:pPr>
        <w:ind w:left="1500" w:hanging="643"/>
        <w:spacing w:after="0"/>
        <w:tabs>
          <w:tab w:leader="none" w:pos="1500"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Amendment; Supplement; Waiver.</w:t>
      </w:r>
    </w:p>
    <w:p>
      <w:pPr>
        <w:spacing w:after="0" w:line="206" w:lineRule="exact"/>
        <w:rPr>
          <w:sz w:val="20"/>
          <w:szCs w:val="20"/>
          <w:color w:val="auto"/>
        </w:rPr>
      </w:pPr>
    </w:p>
    <w:p>
      <w:pPr>
        <w:jc w:val="both"/>
        <w:ind w:left="200" w:right="219" w:firstLine="667"/>
        <w:spacing w:after="0" w:line="244" w:lineRule="auto"/>
        <w:rPr>
          <w:sz w:val="20"/>
          <w:szCs w:val="20"/>
          <w:color w:val="auto"/>
        </w:rPr>
      </w:pPr>
      <w:r>
        <w:rPr>
          <w:rFonts w:ascii="Arial" w:cs="Arial" w:eastAsia="Arial" w:hAnsi="Arial"/>
          <w:sz w:val="21"/>
          <w:szCs w:val="21"/>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8" w:lineRule="exact"/>
        <w:rPr>
          <w:sz w:val="20"/>
          <w:szCs w:val="20"/>
          <w:color w:val="auto"/>
        </w:rPr>
      </w:pPr>
    </w:p>
    <w:p>
      <w:pPr>
        <w:ind w:left="1500" w:hanging="643"/>
        <w:spacing w:after="0"/>
        <w:tabs>
          <w:tab w:leader="none" w:pos="1500"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Defaults and Remedies.</w:t>
      </w:r>
    </w:p>
    <w:p>
      <w:pPr>
        <w:spacing w:after="0" w:line="206" w:lineRule="exact"/>
        <w:rPr>
          <w:sz w:val="20"/>
          <w:szCs w:val="20"/>
          <w:color w:val="auto"/>
        </w:rPr>
      </w:pPr>
    </w:p>
    <w:p>
      <w:pPr>
        <w:jc w:val="both"/>
        <w:ind w:left="200" w:right="219" w:firstLine="667"/>
        <w:spacing w:after="0" w:line="273" w:lineRule="auto"/>
        <w:rPr>
          <w:sz w:val="20"/>
          <w:szCs w:val="20"/>
          <w:color w:val="auto"/>
        </w:rPr>
      </w:pPr>
      <w:r>
        <w:rPr>
          <w:rFonts w:ascii="Arial" w:cs="Arial" w:eastAsia="Arial" w:hAnsi="Arial"/>
          <w:sz w:val="19"/>
          <w:szCs w:val="19"/>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475615</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1" w:name="page82"/>
    <w:bookmarkEnd w:id="81"/>
    <w:p>
      <w:pPr>
        <w:jc w:val="both"/>
        <w:ind w:left="200" w:right="219"/>
        <w:spacing w:after="0" w:line="272" w:lineRule="auto"/>
        <w:rPr>
          <w:sz w:val="20"/>
          <w:szCs w:val="20"/>
          <w:color w:val="auto"/>
        </w:rPr>
      </w:pPr>
      <w:r>
        <w:rPr>
          <w:rFonts w:ascii="Arial" w:cs="Arial" w:eastAsia="Arial" w:hAnsi="Arial"/>
          <w:sz w:val="19"/>
          <w:szCs w:val="19"/>
          <w:color w:val="auto"/>
        </w:rPr>
        <w:t>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spacing w:after="0" w:line="204" w:lineRule="exact"/>
        <w:rPr>
          <w:sz w:val="20"/>
          <w:szCs w:val="20"/>
          <w:color w:val="auto"/>
        </w:rPr>
      </w:pPr>
    </w:p>
    <w:p>
      <w:pPr>
        <w:ind w:left="1500" w:hanging="643"/>
        <w:spacing w:after="0"/>
        <w:tabs>
          <w:tab w:leader="none" w:pos="1500"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Trustee Dealings with Company.</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5" w:lineRule="exact"/>
        <w:rPr>
          <w:sz w:val="20"/>
          <w:szCs w:val="20"/>
          <w:color w:val="auto"/>
        </w:rPr>
      </w:pPr>
    </w:p>
    <w:p>
      <w:pPr>
        <w:ind w:left="1500" w:hanging="643"/>
        <w:spacing w:after="0"/>
        <w:tabs>
          <w:tab w:leader="none" w:pos="150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Authentication.</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Security shall not be valid until the Trustee or authenticating agent signs the certificate of authentication on the other side of this Security.</w:t>
      </w:r>
    </w:p>
    <w:p>
      <w:pPr>
        <w:spacing w:after="0" w:line="175" w:lineRule="exact"/>
        <w:rPr>
          <w:sz w:val="20"/>
          <w:szCs w:val="20"/>
          <w:color w:val="auto"/>
        </w:rPr>
      </w:pPr>
    </w:p>
    <w:p>
      <w:pPr>
        <w:ind w:left="1500" w:hanging="643"/>
        <w:spacing w:after="0"/>
        <w:tabs>
          <w:tab w:leader="none" w:pos="1500"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Abbreviations and Defined Terms.</w:t>
      </w:r>
    </w:p>
    <w:p>
      <w:pPr>
        <w:spacing w:after="0" w:line="206" w:lineRule="exact"/>
        <w:rPr>
          <w:sz w:val="20"/>
          <w:szCs w:val="20"/>
          <w:color w:val="auto"/>
        </w:rPr>
      </w:pPr>
    </w:p>
    <w:p>
      <w:pPr>
        <w:jc w:val="both"/>
        <w:ind w:left="200" w:right="219" w:firstLine="667"/>
        <w:spacing w:after="0" w:line="238" w:lineRule="auto"/>
        <w:rPr>
          <w:sz w:val="20"/>
          <w:szCs w:val="20"/>
          <w:color w:val="auto"/>
        </w:rPr>
      </w:pPr>
      <w:r>
        <w:rPr>
          <w:rFonts w:ascii="Arial" w:cs="Arial" w:eastAsia="Arial" w:hAnsi="Arial"/>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5" w:lineRule="exact"/>
        <w:rPr>
          <w:sz w:val="20"/>
          <w:szCs w:val="20"/>
          <w:color w:val="auto"/>
        </w:rPr>
      </w:pPr>
    </w:p>
    <w:p>
      <w:pPr>
        <w:ind w:left="1500" w:hanging="643"/>
        <w:spacing w:after="0"/>
        <w:tabs>
          <w:tab w:leader="none" w:pos="1500"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CUSIP Numbers.</w:t>
      </w:r>
    </w:p>
    <w:p>
      <w:pPr>
        <w:spacing w:after="0" w:line="206" w:lineRule="exact"/>
        <w:rPr>
          <w:sz w:val="20"/>
          <w:szCs w:val="20"/>
          <w:color w:val="auto"/>
        </w:rPr>
      </w:pPr>
    </w:p>
    <w:p>
      <w:pPr>
        <w:jc w:val="both"/>
        <w:ind w:left="200" w:right="219" w:firstLine="667"/>
        <w:spacing w:after="0" w:line="236" w:lineRule="auto"/>
        <w:rPr>
          <w:sz w:val="20"/>
          <w:szCs w:val="20"/>
          <w:color w:val="auto"/>
        </w:rPr>
      </w:pPr>
      <w:r>
        <w:rPr>
          <w:rFonts w:ascii="Arial" w:cs="Arial" w:eastAsia="Arial" w:hAnsi="Arial"/>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7" w:lineRule="exact"/>
        <w:rPr>
          <w:sz w:val="20"/>
          <w:szCs w:val="20"/>
          <w:color w:val="auto"/>
        </w:rPr>
      </w:pPr>
    </w:p>
    <w:p>
      <w:pPr>
        <w:ind w:left="1500" w:hanging="643"/>
        <w:spacing w:after="0"/>
        <w:tabs>
          <w:tab w:leader="none" w:pos="1500" w:val="left"/>
        </w:tabs>
        <w:numPr>
          <w:ilvl w:val="0"/>
          <w:numId w:val="83"/>
        </w:numPr>
        <w:rPr>
          <w:rFonts w:ascii="Arial" w:cs="Arial" w:eastAsia="Arial" w:hAnsi="Arial"/>
          <w:sz w:val="22"/>
          <w:szCs w:val="22"/>
          <w:color w:val="auto"/>
        </w:rPr>
      </w:pPr>
      <w:r>
        <w:rPr>
          <w:rFonts w:ascii="Arial" w:cs="Arial" w:eastAsia="Arial" w:hAnsi="Arial"/>
          <w:sz w:val="22"/>
          <w:szCs w:val="22"/>
          <w:i w:val="1"/>
          <w:iCs w:val="1"/>
          <w:color w:val="auto"/>
        </w:rPr>
        <w:t>Absolute Obligation.</w:t>
      </w:r>
    </w:p>
    <w:p>
      <w:pPr>
        <w:spacing w:after="0" w:line="206" w:lineRule="exact"/>
        <w:rPr>
          <w:sz w:val="20"/>
          <w:szCs w:val="20"/>
          <w:color w:val="auto"/>
        </w:rPr>
      </w:pPr>
    </w:p>
    <w:p>
      <w:pPr>
        <w:jc w:val="both"/>
        <w:ind w:left="200" w:right="219" w:firstLine="667"/>
        <w:spacing w:after="0" w:line="252" w:lineRule="auto"/>
        <w:rPr>
          <w:sz w:val="20"/>
          <w:szCs w:val="20"/>
          <w:color w:val="auto"/>
        </w:rPr>
      </w:pPr>
      <w:r>
        <w:rPr>
          <w:rFonts w:ascii="Arial" w:cs="Arial" w:eastAsia="Arial" w:hAnsi="Arial"/>
          <w:sz w:val="21"/>
          <w:szCs w:val="21"/>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2" w:name="page83"/>
    <w:bookmarkEnd w:id="82"/>
    <w:p>
      <w:pPr>
        <w:ind w:left="1500" w:hanging="643"/>
        <w:spacing w:after="0"/>
        <w:tabs>
          <w:tab w:leader="none" w:pos="1500" w:val="left"/>
        </w:tabs>
        <w:numPr>
          <w:ilvl w:val="0"/>
          <w:numId w:val="84"/>
        </w:numPr>
        <w:rPr>
          <w:rFonts w:ascii="Arial" w:cs="Arial" w:eastAsia="Arial" w:hAnsi="Arial"/>
          <w:sz w:val="22"/>
          <w:szCs w:val="22"/>
          <w:color w:val="auto"/>
        </w:rPr>
      </w:pPr>
      <w:r>
        <w:rPr>
          <w:rFonts w:ascii="Arial" w:cs="Arial" w:eastAsia="Arial" w:hAnsi="Arial"/>
          <w:sz w:val="22"/>
          <w:szCs w:val="22"/>
          <w:i w:val="1"/>
          <w:iCs w:val="1"/>
          <w:color w:val="auto"/>
        </w:rPr>
        <w:t>No Recourse.</w:t>
      </w:r>
    </w:p>
    <w:p>
      <w:pPr>
        <w:spacing w:after="0" w:line="207" w:lineRule="exact"/>
        <w:rPr>
          <w:sz w:val="20"/>
          <w:szCs w:val="20"/>
          <w:color w:val="auto"/>
        </w:rPr>
      </w:pPr>
    </w:p>
    <w:p>
      <w:pPr>
        <w:jc w:val="both"/>
        <w:ind w:left="200" w:right="219" w:firstLine="667"/>
        <w:spacing w:after="0" w:line="275" w:lineRule="auto"/>
        <w:rPr>
          <w:sz w:val="20"/>
          <w:szCs w:val="20"/>
          <w:color w:val="auto"/>
        </w:rPr>
      </w:pPr>
      <w:r>
        <w:rPr>
          <w:rFonts w:ascii="Arial" w:cs="Arial" w:eastAsia="Arial" w:hAnsi="Arial"/>
          <w:sz w:val="19"/>
          <w:szCs w:val="19"/>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57" w:lineRule="exact"/>
        <w:rPr>
          <w:sz w:val="20"/>
          <w:szCs w:val="20"/>
          <w:color w:val="auto"/>
        </w:rPr>
      </w:pPr>
    </w:p>
    <w:p>
      <w:pPr>
        <w:ind w:left="1500" w:hanging="643"/>
        <w:spacing w:after="0"/>
        <w:tabs>
          <w:tab w:leader="none" w:pos="1500" w:val="left"/>
        </w:tabs>
        <w:numPr>
          <w:ilvl w:val="0"/>
          <w:numId w:val="85"/>
        </w:numPr>
        <w:rPr>
          <w:rFonts w:ascii="Arial" w:cs="Arial" w:eastAsia="Arial" w:hAnsi="Arial"/>
          <w:sz w:val="22"/>
          <w:szCs w:val="22"/>
          <w:color w:val="auto"/>
        </w:rPr>
      </w:pPr>
      <w:r>
        <w:rPr>
          <w:rFonts w:ascii="Arial" w:cs="Arial" w:eastAsia="Arial" w:hAnsi="Arial"/>
          <w:sz w:val="22"/>
          <w:szCs w:val="22"/>
          <w:i w:val="1"/>
          <w:iCs w:val="1"/>
          <w:color w:val="auto"/>
        </w:rPr>
        <w:t>Governing Law.</w:t>
      </w:r>
    </w:p>
    <w:p>
      <w:pPr>
        <w:spacing w:after="0" w:line="206"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This Security shall be construed in accordance with and governed by the laws of the State of New York.</w:t>
      </w:r>
    </w:p>
    <w:p>
      <w:pPr>
        <w:spacing w:after="0" w:line="175" w:lineRule="exact"/>
        <w:rPr>
          <w:sz w:val="20"/>
          <w:szCs w:val="20"/>
          <w:color w:val="auto"/>
        </w:rPr>
      </w:pPr>
    </w:p>
    <w:p>
      <w:pPr>
        <w:ind w:left="1500" w:hanging="643"/>
        <w:spacing w:after="0"/>
        <w:tabs>
          <w:tab w:leader="none" w:pos="1500"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Guarantee.</w:t>
      </w:r>
    </w:p>
    <w:p>
      <w:pPr>
        <w:spacing w:after="0" w:line="206" w:lineRule="exact"/>
        <w:rPr>
          <w:sz w:val="20"/>
          <w:szCs w:val="20"/>
          <w:color w:val="auto"/>
        </w:rPr>
      </w:pPr>
    </w:p>
    <w:p>
      <w:pPr>
        <w:jc w:val="both"/>
        <w:ind w:left="200" w:right="219" w:firstLine="667"/>
        <w:spacing w:after="0" w:line="246" w:lineRule="auto"/>
        <w:rPr>
          <w:sz w:val="20"/>
          <w:szCs w:val="20"/>
          <w:color w:val="auto"/>
        </w:rPr>
      </w:pPr>
      <w:r>
        <w:rPr>
          <w:rFonts w:ascii="Arial" w:cs="Arial" w:eastAsia="Arial" w:hAnsi="Arial"/>
          <w:sz w:val="21"/>
          <w:szCs w:val="21"/>
          <w:color w:val="auto"/>
        </w:rPr>
        <w:t>The Securities will be fully and unconditionally guaranteed on a senior basis by the Company’s wholly owned subsidiary, Waste Management Holdings, Inc., pursuant to the terms and conditions of a Guarantee, dated as of August 3, 2023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84" w:lineRule="exact"/>
        <w:rPr>
          <w:sz w:val="20"/>
          <w:szCs w:val="20"/>
          <w:color w:val="auto"/>
        </w:rPr>
      </w:pPr>
    </w:p>
    <w:p>
      <w:pPr>
        <w:ind w:left="1500" w:hanging="625"/>
        <w:spacing w:after="0"/>
        <w:tabs>
          <w:tab w:leader="none" w:pos="1500" w:val="left"/>
        </w:tabs>
        <w:numPr>
          <w:ilvl w:val="0"/>
          <w:numId w:val="87"/>
        </w:numPr>
        <w:rPr>
          <w:rFonts w:ascii="Arial" w:cs="Arial" w:eastAsia="Arial" w:hAnsi="Arial"/>
          <w:sz w:val="22"/>
          <w:szCs w:val="22"/>
          <w:color w:val="auto"/>
        </w:rPr>
      </w:pPr>
      <w:r>
        <w:rPr>
          <w:rFonts w:ascii="Arial" w:cs="Arial" w:eastAsia="Arial" w:hAnsi="Arial"/>
          <w:sz w:val="22"/>
          <w:szCs w:val="22"/>
          <w:i w:val="1"/>
          <w:iCs w:val="1"/>
          <w:color w:val="auto"/>
        </w:rPr>
        <w:t>Satisfaction and Discharge.</w:t>
      </w:r>
    </w:p>
    <w:p>
      <w:pPr>
        <w:spacing w:after="0" w:line="206" w:lineRule="exact"/>
        <w:rPr>
          <w:sz w:val="20"/>
          <w:szCs w:val="20"/>
          <w:color w:val="auto"/>
        </w:rPr>
      </w:pPr>
    </w:p>
    <w:p>
      <w:pPr>
        <w:jc w:val="both"/>
        <w:ind w:left="200" w:right="219" w:firstLine="667"/>
        <w:spacing w:after="0" w:line="277" w:lineRule="auto"/>
        <w:rPr>
          <w:sz w:val="20"/>
          <w:szCs w:val="20"/>
          <w:color w:val="auto"/>
        </w:rPr>
      </w:pPr>
      <w:r>
        <w:rPr>
          <w:rFonts w:ascii="Arial" w:cs="Arial" w:eastAsia="Arial" w:hAnsi="Arial"/>
          <w:sz w:val="19"/>
          <w:szCs w:val="19"/>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1189990</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22"/>
          <w:szCs w:val="22"/>
          <w:color w:val="auto"/>
        </w:rPr>
        <w:t>SCHEDULE OF EXCHANGES OF DEFINITIVE SECURITY</w:t>
      </w:r>
    </w:p>
    <w:p>
      <w:pPr>
        <w:spacing w:after="0" w:line="207" w:lineRule="exact"/>
        <w:rPr>
          <w:sz w:val="20"/>
          <w:szCs w:val="20"/>
          <w:color w:val="auto"/>
        </w:rPr>
      </w:pPr>
    </w:p>
    <w:p>
      <w:pPr>
        <w:ind w:left="200" w:right="219" w:firstLine="667"/>
        <w:spacing w:after="0" w:line="250" w:lineRule="auto"/>
        <w:rPr>
          <w:sz w:val="20"/>
          <w:szCs w:val="20"/>
          <w:color w:val="auto"/>
        </w:rPr>
      </w:pPr>
      <w:r>
        <w:rPr>
          <w:rFonts w:ascii="Arial" w:cs="Arial" w:eastAsia="Arial" w:hAnsi="Arial"/>
          <w:sz w:val="22"/>
          <w:szCs w:val="22"/>
          <w:color w:val="auto"/>
        </w:rPr>
        <w:t>The following exchanges of a part of this Book-Entry Security for definitive Securities have been made: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Amount of decrease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Amount of increase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in Principal</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of this Book-Entry</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 this</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following</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officer</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Book-Entry</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5"/>
              </w:rPr>
              <w:t>such decrease (or</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of Trustee or</w:t>
            </w:r>
          </w:p>
        </w:tc>
        <w:tc>
          <w:tcPr>
            <w:tcW w:w="60" w:type="dxa"/>
            <w:vAlign w:val="bottom"/>
          </w:tcPr>
          <w:p>
            <w:pPr>
              <w:spacing w:after="0"/>
              <w:rPr>
                <w:sz w:val="18"/>
                <w:szCs w:val="18"/>
                <w:color w:val="auto"/>
              </w:rPr>
            </w:pPr>
          </w:p>
        </w:tc>
      </w:tr>
      <w:tr>
        <w:trPr>
          <w:trHeight w:val="241"/>
        </w:trPr>
        <w:tc>
          <w:tcPr>
            <w:tcW w:w="80" w:type="dxa"/>
            <w:vAlign w:val="bottom"/>
          </w:tcPr>
          <w:p>
            <w:pPr>
              <w:spacing w:after="0"/>
              <w:rPr>
                <w:sz w:val="20"/>
                <w:szCs w:val="20"/>
                <w:color w:val="auto"/>
              </w:rPr>
            </w:pPr>
          </w:p>
        </w:tc>
        <w:tc>
          <w:tcPr>
            <w:tcW w:w="1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Date of Exchange</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increase)</w:t>
            </w:r>
          </w:p>
        </w:tc>
        <w:tc>
          <w:tcPr>
            <w:tcW w:w="1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 Custodian</w:t>
            </w:r>
          </w:p>
        </w:tc>
        <w:tc>
          <w:tcPr>
            <w:tcW w:w="60" w:type="dxa"/>
            <w:vAlign w:val="bottom"/>
            <w:tcBorders>
              <w:bottom w:val="single" w:sz="8" w:color="auto"/>
            </w:tcBorders>
          </w:tcPr>
          <w:p>
            <w:pPr>
              <w:spacing w:after="0"/>
              <w:rPr>
                <w:sz w:val="20"/>
                <w:szCs w:val="20"/>
                <w:color w:val="auto"/>
              </w:rPr>
            </w:pPr>
          </w:p>
        </w:tc>
      </w:tr>
      <w:tr>
        <w:trPr>
          <w:trHeight w:val="1613"/>
        </w:trPr>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84" w:name="page85"/>
    <w:bookmarkEnd w:id="84"/>
    <w:p>
      <w:pPr>
        <w:jc w:val="right"/>
        <w:ind w:right="219"/>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GUARANTEE</w:t>
      </w:r>
    </w:p>
    <w:p>
      <w:pPr>
        <w:spacing w:after="0" w:line="206"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BY WASTE MANAGEMENT HOLDINGS, INC.</w:t>
      </w:r>
    </w:p>
    <w:p>
      <w:pPr>
        <w:spacing w:after="0" w:line="20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(formerly known as Waste Management, Inc.)</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in Favor of The Bank of New York Mellon Trust Company, N.A., as Trustee for the Holders</w:t>
      </w:r>
    </w:p>
    <w:p>
      <w:pPr>
        <w:spacing w:after="0" w:line="43"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of Certain Debt Securities of</w:t>
      </w:r>
    </w:p>
    <w:p>
      <w:pPr>
        <w:spacing w:after="0" w:line="188"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WASTE MANAGEMENT, INC.</w:t>
      </w:r>
    </w:p>
    <w:p>
      <w:pPr>
        <w:spacing w:after="0" w:line="20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$750,000,000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4.875% Senior Notes due 2029</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5" w:name="page86"/>
    <w:bookmarkEnd w:id="85"/>
    <w:p>
      <w:pPr>
        <w:jc w:val="both"/>
        <w:ind w:left="200" w:right="219" w:firstLine="648"/>
        <w:spacing w:after="0" w:line="279" w:lineRule="auto"/>
        <w:rPr>
          <w:sz w:val="20"/>
          <w:szCs w:val="20"/>
          <w:color w:val="auto"/>
        </w:rPr>
      </w:pPr>
      <w:r>
        <w:rPr>
          <w:rFonts w:ascii="Arial" w:cs="Arial" w:eastAsia="Arial" w:hAnsi="Arial"/>
          <w:sz w:val="19"/>
          <w:szCs w:val="19"/>
          <w:color w:val="auto"/>
        </w:rPr>
        <w:t>GUARANTEE, dated as of August 3, 2023 (as amended from time to time, this “Guarantee”), made by Waste Management Holdings, Inc. (formerly known as Waste Management, Inc.), a Delaware corporation (the “Guarantor”), in favor of The Bank of New York Mellon Trust Company, N.A., as trustee for the holders of the $750,000,000 aggregate principal amount of 4.875% Senior Notes due 2029 (the “Debt Securities”) of Waste Management, Inc. (formerly known as USA Waste Services, Inc.), a Delaware corporation (the “Issuer”).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Guarantee</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305"/>
        <w:spacing w:after="0" w:line="245" w:lineRule="auto"/>
        <w:tabs>
          <w:tab w:leader="none" w:pos="2144"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4" w:lineRule="exact"/>
        <w:rPr>
          <w:rFonts w:ascii="Arial" w:cs="Arial" w:eastAsia="Arial" w:hAnsi="Arial"/>
          <w:sz w:val="21"/>
          <w:szCs w:val="21"/>
          <w:color w:val="auto"/>
        </w:rPr>
      </w:pPr>
    </w:p>
    <w:p>
      <w:pPr>
        <w:jc w:val="both"/>
        <w:ind w:left="200" w:right="219" w:firstLine="1305"/>
        <w:spacing w:after="0" w:line="273" w:lineRule="auto"/>
        <w:tabs>
          <w:tab w:leader="none" w:pos="2144" w:val="left"/>
        </w:tabs>
        <w:numPr>
          <w:ilvl w:val="0"/>
          <w:numId w:val="88"/>
        </w:numPr>
        <w:rPr>
          <w:rFonts w:ascii="Arial" w:cs="Arial" w:eastAsia="Arial" w:hAnsi="Arial"/>
          <w:sz w:val="19"/>
          <w:szCs w:val="19"/>
          <w:color w:val="auto"/>
        </w:rPr>
      </w:pPr>
      <w:r>
        <w:rPr>
          <w:rFonts w:ascii="Arial" w:cs="Arial" w:eastAsia="Arial" w:hAnsi="Arial"/>
          <w:sz w:val="19"/>
          <w:szCs w:val="19"/>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61"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Guarantee Absolute</w:t>
      </w:r>
      <w:r>
        <w:rPr>
          <w:rFonts w:ascii="Arial" w:cs="Arial" w:eastAsia="Arial" w:hAnsi="Arial"/>
          <w:sz w:val="22"/>
          <w:szCs w:val="22"/>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7" w:lineRule="exact"/>
        <w:rPr>
          <w:sz w:val="20"/>
          <w:szCs w:val="20"/>
          <w:color w:val="auto"/>
        </w:rPr>
      </w:pPr>
    </w:p>
    <w:p>
      <w:pPr>
        <w:ind w:left="200" w:right="239" w:firstLine="1045"/>
        <w:spacing w:after="0" w:line="250" w:lineRule="auto"/>
        <w:tabs>
          <w:tab w:leader="none" w:pos="21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lack of validity or enforceability of the Indenture, the Debt Securities or any other agreement or instrument relating thereto;</w:t>
      </w:r>
    </w:p>
    <w:p>
      <w:pPr>
        <w:spacing w:after="0" w:line="134" w:lineRule="exact"/>
        <w:rPr>
          <w:rFonts w:ascii="Arial" w:cs="Arial" w:eastAsia="Arial" w:hAnsi="Arial"/>
          <w:sz w:val="22"/>
          <w:szCs w:val="22"/>
          <w:color w:val="auto"/>
        </w:rPr>
      </w:pPr>
    </w:p>
    <w:p>
      <w:pPr>
        <w:jc w:val="both"/>
        <w:ind w:left="200" w:right="219" w:firstLine="1045"/>
        <w:spacing w:after="0"/>
        <w:tabs>
          <w:tab w:leader="none" w:pos="21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or in any other term of, all or any of the Obligations, or any other amendment or waiver of or any consent to departure from the Indenture;</w:t>
      </w:r>
    </w:p>
    <w:p>
      <w:pPr>
        <w:spacing w:after="0" w:line="159" w:lineRule="exact"/>
        <w:rPr>
          <w:rFonts w:ascii="Arial" w:cs="Arial" w:eastAsia="Arial" w:hAnsi="Arial"/>
          <w:sz w:val="22"/>
          <w:szCs w:val="22"/>
          <w:color w:val="auto"/>
        </w:rPr>
      </w:pPr>
    </w:p>
    <w:p>
      <w:pPr>
        <w:jc w:val="both"/>
        <w:ind w:left="200" w:right="219" w:firstLine="1045"/>
        <w:spacing w:after="0"/>
        <w:tabs>
          <w:tab w:leader="none" w:pos="21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603250</wp:posOffset>
            </wp:positionV>
            <wp:extent cx="5452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6" w:name="page87"/>
    <w:bookmarkEnd w:id="86"/>
    <w:p>
      <w:pPr>
        <w:ind w:left="200" w:right="219" w:firstLine="1045"/>
        <w:spacing w:after="0" w:line="251" w:lineRule="auto"/>
        <w:tabs>
          <w:tab w:leader="none" w:pos="2144"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other circumstance which might otherwise constitute a defense available to, or a discharge of, the Issuer or a guarantor.</w:t>
      </w:r>
    </w:p>
    <w:p>
      <w:pPr>
        <w:spacing w:after="0" w:line="133"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Subordination</w:t>
      </w:r>
      <w:r>
        <w:rPr>
          <w:rFonts w:ascii="Arial" w:cs="Arial" w:eastAsia="Arial" w:hAnsi="Arial"/>
          <w:sz w:val="19"/>
          <w:szCs w:val="19"/>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all existing and future senior indebtedness of the Guarantor and (b) senior in right of payment to all existing and future subordinated indebtedness of the Guarantor.</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Waiver; Subrogation</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305"/>
        <w:spacing w:after="0" w:line="236" w:lineRule="auto"/>
        <w:tabs>
          <w:tab w:leader="none" w:pos="21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7" w:lineRule="exact"/>
        <w:rPr>
          <w:rFonts w:ascii="Arial" w:cs="Arial" w:eastAsia="Arial" w:hAnsi="Arial"/>
          <w:sz w:val="22"/>
          <w:szCs w:val="22"/>
          <w:color w:val="auto"/>
        </w:rPr>
      </w:pPr>
    </w:p>
    <w:p>
      <w:pPr>
        <w:jc w:val="both"/>
        <w:ind w:left="200" w:right="219" w:firstLine="1305"/>
        <w:spacing w:after="0" w:line="282" w:lineRule="auto"/>
        <w:tabs>
          <w:tab w:leader="none" w:pos="21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47"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No Waiver, Remedies</w:t>
      </w:r>
      <w:r>
        <w:rPr>
          <w:rFonts w:ascii="Arial" w:cs="Arial" w:eastAsia="Arial" w:hAnsi="Arial"/>
          <w:sz w:val="19"/>
          <w:szCs w:val="19"/>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7"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Continuing Guarantee; Transfer of Interest</w:t>
      </w:r>
      <w:r>
        <w:rPr>
          <w:rFonts w:ascii="Arial" w:cs="Arial" w:eastAsia="Arial" w:hAnsi="Arial"/>
          <w:sz w:val="19"/>
          <w:szCs w:val="19"/>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Sixth Amended and Restated Revolving Credit Agreement dated as of May 27, 2022 by and among the Issuer, Waste Management of Canada Corporation, WM Quebec Inc., the Guarantor (as guarantor), certain banks party thereto, and Bank of America, N.A., as administrative agent (or under any replacement or new principal credit facility of the Issuer), and the Term Loan Credit Agreement dated as of May 27, 2022 by and among the Issuer, the Guarantor (as guarantor), certain banks party thereto, and Bank of America, N.A., as administrative agent, of the guarantees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64"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Reinstatement</w:t>
      </w:r>
      <w:r>
        <w:rPr>
          <w:rFonts w:ascii="Arial" w:cs="Arial" w:eastAsia="Arial" w:hAnsi="Arial"/>
          <w:sz w:val="22"/>
          <w:szCs w:val="22"/>
          <w:color w:val="auto"/>
        </w:rPr>
        <w:t>. This Guarantee shall continue to be effective or be reinstated, as the case may be, if at any time any payment of any of the Obligations is rescinded or must otherwise be returned by any holder of the Debt Securities or the Trustee upon the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7" w:name="page88"/>
    <w:bookmarkEnd w:id="87"/>
    <w:p>
      <w:pPr>
        <w:jc w:val="both"/>
        <w:ind w:left="200" w:right="219"/>
        <w:spacing w:after="0" w:line="251" w:lineRule="auto"/>
        <w:rPr>
          <w:sz w:val="20"/>
          <w:szCs w:val="20"/>
          <w:color w:val="auto"/>
        </w:rPr>
      </w:pPr>
      <w:r>
        <w:rPr>
          <w:rFonts w:ascii="Arial" w:cs="Arial" w:eastAsia="Arial" w:hAnsi="Arial"/>
          <w:sz w:val="22"/>
          <w:szCs w:val="22"/>
          <w:color w:val="auto"/>
        </w:rPr>
        <w:t>bankruptcy or reorganization of the Issuer or otherwise, all as though such payment had not been made.</w:t>
      </w:r>
    </w:p>
    <w:p>
      <w:pPr>
        <w:spacing w:after="0" w:line="173"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Amendment</w:t>
      </w:r>
      <w:r>
        <w:rPr>
          <w:rFonts w:ascii="Arial" w:cs="Arial" w:eastAsia="Arial" w:hAnsi="Arial"/>
          <w:sz w:val="21"/>
          <w:szCs w:val="21"/>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4"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8" w:name="page89"/>
    <w:bookmarkEnd w:id="88"/>
    <w:p>
      <w:pPr>
        <w:ind w:left="200" w:right="219" w:firstLine="648"/>
        <w:spacing w:after="0" w:line="329" w:lineRule="auto"/>
        <w:rPr>
          <w:sz w:val="20"/>
          <w:szCs w:val="20"/>
          <w:color w:val="auto"/>
        </w:rPr>
      </w:pPr>
      <w:r>
        <w:rPr>
          <w:rFonts w:ascii="Arial" w:cs="Arial" w:eastAsia="Arial" w:hAnsi="Arial"/>
          <w:sz w:val="19"/>
          <w:szCs w:val="19"/>
          <w:color w:val="auto"/>
        </w:rPr>
        <w:t>IN WITNESS WHEREOF, the Guarantor has caused this Guarantee to be duly executed and delivered by its officer thereunto duly authorized as of the date first above written.</w:t>
      </w:r>
    </w:p>
    <w:p>
      <w:pPr>
        <w:spacing w:after="0" w:line="347"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u w:val="single" w:color="auto"/>
          <w:color w:val="auto"/>
        </w:rPr>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-17780</wp:posOffset>
            </wp:positionV>
            <wp:extent cx="11798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5240"/>
        <w:spacing w:after="0" w:line="238" w:lineRule="auto"/>
        <w:rPr>
          <w:sz w:val="20"/>
          <w:szCs w:val="20"/>
          <w:color w:val="auto"/>
        </w:rPr>
      </w:pPr>
      <w:r>
        <w:rPr>
          <w:rFonts w:ascii="Arial" w:cs="Arial" w:eastAsia="Arial" w:hAnsi="Arial"/>
          <w:sz w:val="22"/>
          <w:szCs w:val="22"/>
          <w:color w:val="auto"/>
        </w:rPr>
        <w:t>Leslie K. Nagy</w:t>
      </w:r>
    </w:p>
    <w:p>
      <w:pPr>
        <w:ind w:left="5240"/>
        <w:spacing w:after="0"/>
        <w:rPr>
          <w:sz w:val="20"/>
          <w:szCs w:val="20"/>
          <w:color w:val="auto"/>
        </w:rPr>
      </w:pPr>
      <w:r>
        <w:rPr>
          <w:rFonts w:ascii="Arial" w:cs="Arial" w:eastAsia="Arial" w:hAnsi="Arial"/>
          <w:sz w:val="22"/>
          <w:szCs w:val="22"/>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u w:val="single" w:color="auto"/>
          <w:color w:val="auto"/>
        </w:rPr>
        <w:t>/s/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-17780</wp:posOffset>
            </wp:positionV>
            <wp:extent cx="13366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5240"/>
        <w:spacing w:after="0" w:line="238" w:lineRule="auto"/>
        <w:rPr>
          <w:sz w:val="20"/>
          <w:szCs w:val="20"/>
          <w:color w:val="auto"/>
        </w:rPr>
      </w:pPr>
      <w:r>
        <w:rPr>
          <w:rFonts w:ascii="Arial" w:cs="Arial" w:eastAsia="Arial" w:hAnsi="Arial"/>
          <w:sz w:val="22"/>
          <w:szCs w:val="22"/>
          <w:color w:val="auto"/>
        </w:rPr>
        <w:t>Jeff Bennett</w:t>
      </w:r>
    </w:p>
    <w:p>
      <w:pPr>
        <w:ind w:left="5240"/>
        <w:spacing w:after="0"/>
        <w:rPr>
          <w:sz w:val="20"/>
          <w:szCs w:val="20"/>
          <w:color w:val="auto"/>
        </w:rPr>
      </w:pPr>
      <w:r>
        <w:rPr>
          <w:rFonts w:ascii="Arial" w:cs="Arial" w:eastAsia="Arial" w:hAnsi="Arial"/>
          <w:sz w:val="22"/>
          <w:szCs w:val="22"/>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Guarantee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(4.875%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GUARANTEE</w:t>
      </w:r>
    </w:p>
    <w:p>
      <w:pPr>
        <w:spacing w:after="0" w:line="206"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BY WASTE MANAGEMENT HOLDINGS, INC.</w:t>
      </w:r>
    </w:p>
    <w:p>
      <w:pPr>
        <w:spacing w:after="0" w:line="20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(formerly known as Waste Management, Inc.)</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in Favor of The Bank of New York Mellon Trust Company, N.A., as Trustee for the Holders</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of Certain Debt Securities of</w:t>
      </w:r>
    </w:p>
    <w:p>
      <w:pPr>
        <w:spacing w:after="0" w:line="188"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WASTE MANAGEMENT, INC.</w:t>
      </w:r>
    </w:p>
    <w:p>
      <w:pPr>
        <w:spacing w:after="0" w:line="20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$1,250,000,000</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4.875% Senior Notes due 2034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August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915670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90" w:name="page91"/>
    <w:bookmarkEnd w:id="90"/>
    <w:p>
      <w:pPr>
        <w:jc w:val="both"/>
        <w:ind w:firstLine="648"/>
        <w:spacing w:after="0" w:line="282" w:lineRule="auto"/>
        <w:rPr>
          <w:sz w:val="20"/>
          <w:szCs w:val="20"/>
          <w:color w:val="auto"/>
        </w:rPr>
      </w:pPr>
      <w:r>
        <w:rPr>
          <w:rFonts w:ascii="Arial" w:cs="Arial" w:eastAsia="Arial" w:hAnsi="Arial"/>
          <w:sz w:val="19"/>
          <w:szCs w:val="19"/>
          <w:color w:val="auto"/>
        </w:rPr>
        <w:t>GUARANTEE, dated as of August 3, 2023 (as amended from time to time, this “Guarantee”), made by Waste Management Holdings, Inc. (formerly known as Waste Management, Inc.), a Delaware corporation (the “Guarantor”), in favor of The Bank of New York Mellon Trust Company, N.A., as trustee for the holders of the $1,250,000,000 aggregate principal amount of 4.875% Senior Notes due 2034 (the “Debt Securities”) of Waste Management, Inc. (formerly known as USA Waste Services, Inc.), a Delaware corporation (the “Issuer”).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Guarantee</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77" w:lineRule="auto"/>
        <w:tabs>
          <w:tab w:leader="none" w:pos="1944"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51" w:lineRule="exact"/>
        <w:rPr>
          <w:rFonts w:ascii="Arial" w:cs="Arial" w:eastAsia="Arial" w:hAnsi="Arial"/>
          <w:sz w:val="19"/>
          <w:szCs w:val="19"/>
          <w:color w:val="auto"/>
        </w:rPr>
      </w:pPr>
    </w:p>
    <w:p>
      <w:pPr>
        <w:jc w:val="both"/>
        <w:ind w:firstLine="1304"/>
        <w:spacing w:after="0" w:line="245" w:lineRule="auto"/>
        <w:tabs>
          <w:tab w:leader="none" w:pos="1944" w:val="left"/>
        </w:tabs>
        <w:numPr>
          <w:ilvl w:val="0"/>
          <w:numId w:val="92"/>
        </w:numPr>
        <w:rPr>
          <w:rFonts w:ascii="Arial" w:cs="Arial" w:eastAsia="Arial" w:hAnsi="Arial"/>
          <w:sz w:val="21"/>
          <w:szCs w:val="21"/>
          <w:color w:val="auto"/>
        </w:rPr>
      </w:pPr>
      <w:r>
        <w:rPr>
          <w:rFonts w:ascii="Arial" w:cs="Arial" w:eastAsia="Arial" w:hAnsi="Arial"/>
          <w:sz w:val="21"/>
          <w:szCs w:val="21"/>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Guarantee Absolute</w:t>
      </w:r>
      <w:r>
        <w:rPr>
          <w:rFonts w:ascii="Arial" w:cs="Arial" w:eastAsia="Arial" w:hAnsi="Arial"/>
          <w:sz w:val="19"/>
          <w:szCs w:val="19"/>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43" w:lineRule="exact"/>
        <w:rPr>
          <w:sz w:val="20"/>
          <w:szCs w:val="20"/>
          <w:color w:val="auto"/>
        </w:rPr>
      </w:pPr>
    </w:p>
    <w:p>
      <w:pPr>
        <w:ind w:left="260" w:right="20" w:firstLine="1044"/>
        <w:spacing w:after="0" w:line="250" w:lineRule="auto"/>
        <w:tabs>
          <w:tab w:leader="none" w:pos="1945"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lack of validity or enforceability of the Indenture, the Debt Securities or any other agreement or instrument relating thereto;</w:t>
      </w:r>
    </w:p>
    <w:p>
      <w:pPr>
        <w:spacing w:after="0" w:line="174" w:lineRule="exact"/>
        <w:rPr>
          <w:rFonts w:ascii="Arial" w:cs="Arial" w:eastAsia="Arial" w:hAnsi="Arial"/>
          <w:sz w:val="22"/>
          <w:szCs w:val="22"/>
          <w:color w:val="auto"/>
        </w:rPr>
      </w:pPr>
    </w:p>
    <w:p>
      <w:pPr>
        <w:ind w:left="260" w:firstLine="1044"/>
        <w:spacing w:after="0" w:line="328" w:lineRule="auto"/>
        <w:tabs>
          <w:tab w:leader="none" w:pos="1945"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change in the time, manner or place of payment of, or in any other term of, all or any of the Obligations, or any other amendment or waiver of or any consent to departure from the Indenture;</w:t>
      </w:r>
    </w:p>
    <w:p>
      <w:pPr>
        <w:spacing w:after="0" w:line="104" w:lineRule="exact"/>
        <w:rPr>
          <w:rFonts w:ascii="Arial" w:cs="Arial" w:eastAsia="Arial" w:hAnsi="Arial"/>
          <w:sz w:val="19"/>
          <w:szCs w:val="19"/>
          <w:color w:val="auto"/>
        </w:rPr>
      </w:pPr>
    </w:p>
    <w:p>
      <w:pPr>
        <w:ind w:left="260" w:firstLine="1044"/>
        <w:spacing w:after="0" w:line="328" w:lineRule="auto"/>
        <w:tabs>
          <w:tab w:leader="none" w:pos="1945"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714375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1" w:name="page92"/>
    <w:bookmarkEnd w:id="91"/>
    <w:p>
      <w:pPr>
        <w:ind w:left="260" w:firstLine="1044"/>
        <w:spacing w:after="0" w:line="250" w:lineRule="auto"/>
        <w:tabs>
          <w:tab w:leader="none" w:pos="1945"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other circumstance which might otherwise constitute a defense available to, or a discharge of, the Issuer or a guarantor.</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Subordination</w:t>
      </w:r>
      <w:r>
        <w:rPr>
          <w:rFonts w:ascii="Arial" w:cs="Arial" w:eastAsia="Arial" w:hAnsi="Arial"/>
          <w:sz w:val="22"/>
          <w:szCs w:val="22"/>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all existing and future senior indebtedness of the Guarantor and (b) senior in right of payment to all existing and future subordinated indebtedness of the Guarantor.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Waiver; Subrogation</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4" w:lineRule="exact"/>
        <w:rPr>
          <w:rFonts w:ascii="Arial" w:cs="Arial" w:eastAsia="Arial" w:hAnsi="Arial"/>
          <w:sz w:val="22"/>
          <w:szCs w:val="22"/>
          <w:color w:val="auto"/>
        </w:rPr>
      </w:pPr>
    </w:p>
    <w:p>
      <w:pPr>
        <w:jc w:val="both"/>
        <w:ind w:firstLine="1304"/>
        <w:spacing w:after="0" w:line="236" w:lineRule="auto"/>
        <w:tabs>
          <w:tab w:leader="none" w:pos="19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 Waiver, Remedies</w:t>
      </w:r>
      <w:r>
        <w:rPr>
          <w:rFonts w:ascii="Arial" w:cs="Arial" w:eastAsia="Arial" w:hAnsi="Arial"/>
          <w:sz w:val="22"/>
          <w:szCs w:val="22"/>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Continuing Guarantee; Transfer of Interest</w:t>
      </w:r>
      <w:r>
        <w:rPr>
          <w:rFonts w:ascii="Arial" w:cs="Arial" w:eastAsia="Arial" w:hAnsi="Arial"/>
          <w:sz w:val="19"/>
          <w:szCs w:val="19"/>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each of the Sixth Amended and Restated Revolving Credit Agreement dated as of May 27, 2022 by and among the Issuer, Waste Management of Canada Corporation, WM Quebec Inc., the Guarantor (as guarantor), certain banks party thereto, and Bank of America, N.A., as administrative agent (or under any replacement or new principal credit facility of the Issuer), and the Term Loan Credit Agreement dated as of May 27, 2022 by and among the Issuer, the Guarantor (as guarantor), certain banks party thereto, and Bank of America, N.A., as administrative agent, of the guarantees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Reinstatement</w:t>
      </w:r>
      <w:r>
        <w:rPr>
          <w:rFonts w:ascii="Arial" w:cs="Arial" w:eastAsia="Arial" w:hAnsi="Arial"/>
          <w:sz w:val="22"/>
          <w:szCs w:val="22"/>
          <w:color w:val="auto"/>
        </w:rPr>
        <w:t>. This Guarantee shall continue to be effective or be reinstated, as the case may be, if at any time any payment of any of the Obligations is rescinded or must otherwise be returned by any holder of the Debt Securities or the Trustee upon the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766445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2" w:name="page93"/>
    <w:bookmarkEnd w:id="92"/>
    <w:p>
      <w:pPr>
        <w:spacing w:after="0"/>
        <w:rPr>
          <w:sz w:val="20"/>
          <w:szCs w:val="20"/>
          <w:color w:val="auto"/>
        </w:rPr>
      </w:pPr>
      <w:r>
        <w:rPr>
          <w:rFonts w:ascii="Arial" w:cs="Arial" w:eastAsia="Arial" w:hAnsi="Arial"/>
          <w:sz w:val="21"/>
          <w:szCs w:val="21"/>
          <w:color w:val="auto"/>
        </w:rPr>
        <w:t>bankruptcy or reorganization of the Issuer or otherwise, all as though such payment had not been made.</w:t>
      </w:r>
    </w:p>
    <w:p>
      <w:pPr>
        <w:spacing w:after="0" w:line="2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Amendment</w:t>
      </w:r>
      <w:r>
        <w:rPr>
          <w:rFonts w:ascii="Arial" w:cs="Arial" w:eastAsia="Arial" w:hAnsi="Arial"/>
          <w:sz w:val="22"/>
          <w:szCs w:val="22"/>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3" w:name="page94"/>
    <w:bookmarkEnd w:id="93"/>
    <w:p>
      <w:pPr>
        <w:ind w:firstLine="648"/>
        <w:spacing w:after="0" w:line="250" w:lineRule="auto"/>
        <w:rPr>
          <w:sz w:val="20"/>
          <w:szCs w:val="20"/>
          <w:color w:val="auto"/>
        </w:rPr>
      </w:pPr>
      <w:r>
        <w:rPr>
          <w:rFonts w:ascii="Arial" w:cs="Arial" w:eastAsia="Arial" w:hAnsi="Arial"/>
          <w:sz w:val="22"/>
          <w:szCs w:val="22"/>
          <w:color w:val="auto"/>
        </w:rPr>
        <w:t>IN WITNESS WHEREOF, the Guarantor has caused this Guarantee to be duly executed and delivered by its officer thereunto duly authorized as of the date first above written.</w:t>
      </w:r>
    </w:p>
    <w:p>
      <w:pPr>
        <w:spacing w:after="0" w:line="20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WASTE MANAGEMENT HOLDINGS, INC.</w:t>
      </w:r>
    </w:p>
    <w:p>
      <w:pPr>
        <w:spacing w:after="0" w:line="23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6985</wp:posOffset>
            </wp:positionV>
            <wp:extent cx="28975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2"/>
          <w:szCs w:val="22"/>
          <w:color w:val="auto"/>
        </w:rPr>
        <w:t>Leslie K. Nagy</w:t>
      </w:r>
    </w:p>
    <w:p>
      <w:pPr>
        <w:ind w:left="5360"/>
        <w:spacing w:after="0"/>
        <w:rPr>
          <w:sz w:val="20"/>
          <w:szCs w:val="20"/>
          <w:color w:val="auto"/>
        </w:rPr>
      </w:pPr>
      <w:r>
        <w:rPr>
          <w:rFonts w:ascii="Arial" w:cs="Arial" w:eastAsia="Arial" w:hAnsi="Arial"/>
          <w:sz w:val="22"/>
          <w:szCs w:val="22"/>
          <w:color w:val="auto"/>
        </w:rPr>
        <w:t>Vice President and Treasurer</w:t>
      </w:r>
    </w:p>
    <w:p>
      <w:pPr>
        <w:spacing w:after="0" w:line="200" w:lineRule="exact"/>
        <w:rPr>
          <w:sz w:val="20"/>
          <w:szCs w:val="20"/>
          <w:color w:val="auto"/>
        </w:rPr>
      </w:pPr>
    </w:p>
    <w:p>
      <w:pPr>
        <w:spacing w:after="0" w:line="25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6985</wp:posOffset>
            </wp:positionV>
            <wp:extent cx="28975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2"/>
          <w:szCs w:val="22"/>
          <w:color w:val="auto"/>
        </w:rPr>
        <w:t>Jeff Bennett</w:t>
      </w:r>
    </w:p>
    <w:p>
      <w:pPr>
        <w:ind w:left="5360"/>
        <w:spacing w:after="0"/>
        <w:rPr>
          <w:sz w:val="20"/>
          <w:szCs w:val="20"/>
          <w:color w:val="auto"/>
        </w:rPr>
      </w:pPr>
      <w:r>
        <w:rPr>
          <w:rFonts w:ascii="Arial" w:cs="Arial" w:eastAsia="Arial" w:hAnsi="Arial"/>
          <w:sz w:val="22"/>
          <w:szCs w:val="22"/>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Guarantee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(4.875%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September 30, 2023,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7"/>
              </w:rPr>
              <w:t>Principal</w:t>
            </w:r>
          </w:p>
        </w:tc>
        <w:tc>
          <w:tcPr>
            <w:tcW w:w="26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Interest Rate</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annum)</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250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7.375%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6.125%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5/8/2014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5/15/2024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3.125%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3.90%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7/15/2049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1.15%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2.50%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2.95%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6/1/2041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5/12/2022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4.625%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2/15/2023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2/15/2030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4.625%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2/15/2033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4.875%</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8/3/2023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2/15/2029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1.250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4.875%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2/15/2034</w:t>
            </w:r>
          </w:p>
        </w:tc>
        <w:tc>
          <w:tcPr>
            <w:tcW w:w="0" w:type="dxa"/>
            <w:vAlign w:val="bottom"/>
          </w:tcPr>
          <w:p>
            <w:pPr>
              <w:spacing w:after="0"/>
              <w:rPr>
                <w:sz w:val="1"/>
                <w:szCs w:val="1"/>
                <w:color w:val="auto"/>
              </w:rPr>
            </w:pPr>
          </w:p>
        </w:tc>
      </w:tr>
      <w:tr>
        <w:trPr>
          <w:trHeight w:val="763"/>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95" w:name="page96"/>
    <w:bookmarkEnd w:id="9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640" w:hanging="26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left="60" w:right="79" w:firstLine="314"/>
        <w:spacing w:after="0" w:line="263" w:lineRule="auto"/>
        <w:tabs>
          <w:tab w:leader="none" w:pos="609"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0" w:right="239" w:firstLine="314"/>
        <w:spacing w:after="0" w:line="263" w:lineRule="auto"/>
        <w:tabs>
          <w:tab w:leader="none" w:pos="564"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0" w:right="159" w:firstLine="314"/>
        <w:spacing w:after="0" w:line="286" w:lineRule="auto"/>
        <w:tabs>
          <w:tab w:leader="none" w:pos="564"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80" w:right="99" w:firstLine="318"/>
        <w:spacing w:after="0" w:line="259" w:lineRule="auto"/>
        <w:tabs>
          <w:tab w:leader="none" w:pos="9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80" w:right="299" w:firstLine="318"/>
        <w:spacing w:after="0" w:line="259" w:lineRule="auto"/>
        <w:tabs>
          <w:tab w:leader="none" w:pos="10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80" w:right="219" w:firstLine="318"/>
        <w:spacing w:after="0" w:line="263" w:lineRule="auto"/>
        <w:tabs>
          <w:tab w:leader="none" w:pos="9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80" w:right="99" w:firstLine="318"/>
        <w:spacing w:after="0" w:line="259" w:lineRule="auto"/>
        <w:tabs>
          <w:tab w:leader="none" w:pos="10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60" w:right="359" w:firstLine="314"/>
        <w:spacing w:after="0" w:line="263" w:lineRule="auto"/>
        <w:tabs>
          <w:tab w:leader="none" w:pos="60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380" w:right="99" w:firstLine="318"/>
        <w:spacing w:after="0" w:line="263" w:lineRule="auto"/>
        <w:tabs>
          <w:tab w:leader="none" w:pos="9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80" w:right="119" w:firstLine="318"/>
        <w:spacing w:after="0" w:line="277" w:lineRule="auto"/>
        <w:tabs>
          <w:tab w:leader="none" w:pos="10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6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640" w:hanging="26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left="60" w:right="79" w:firstLine="314"/>
        <w:spacing w:after="0" w:line="263" w:lineRule="auto"/>
        <w:tabs>
          <w:tab w:leader="none" w:pos="609"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0" w:right="239" w:firstLine="314"/>
        <w:spacing w:after="0" w:line="263" w:lineRule="auto"/>
        <w:tabs>
          <w:tab w:leader="none" w:pos="564"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0" w:right="159" w:firstLine="314"/>
        <w:spacing w:after="0" w:line="286" w:lineRule="auto"/>
        <w:tabs>
          <w:tab w:leader="none" w:pos="564"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80" w:right="99" w:firstLine="318"/>
        <w:spacing w:after="0" w:line="259" w:lineRule="auto"/>
        <w:tabs>
          <w:tab w:leader="none" w:pos="99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80" w:right="299" w:firstLine="318"/>
        <w:spacing w:after="0" w:line="259" w:lineRule="auto"/>
        <w:tabs>
          <w:tab w:leader="none" w:pos="10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80" w:right="219" w:firstLine="318"/>
        <w:spacing w:after="0" w:line="263" w:lineRule="auto"/>
        <w:tabs>
          <w:tab w:leader="none" w:pos="994"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80" w:right="99" w:firstLine="318"/>
        <w:spacing w:after="0" w:line="259" w:lineRule="auto"/>
        <w:tabs>
          <w:tab w:leader="none" w:pos="10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60" w:right="359" w:firstLine="314"/>
        <w:spacing w:after="0" w:line="263" w:lineRule="auto"/>
        <w:tabs>
          <w:tab w:leader="none" w:pos="60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380" w:right="99" w:firstLine="318"/>
        <w:spacing w:after="0" w:line="263" w:lineRule="auto"/>
        <w:tabs>
          <w:tab w:leader="none" w:pos="99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80" w:right="119" w:firstLine="318"/>
        <w:spacing w:after="0" w:line="277" w:lineRule="auto"/>
        <w:tabs>
          <w:tab w:leader="none" w:pos="10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28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7" w:name="page98"/>
    <w:bookmarkEnd w:id="9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2023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80" w:right="239" w:firstLine="318"/>
        <w:spacing w:after="0" w:line="277" w:lineRule="auto"/>
        <w:tabs>
          <w:tab w:leader="none" w:pos="10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80" w:right="319" w:firstLine="318"/>
        <w:spacing w:after="0" w:line="277" w:lineRule="auto"/>
        <w:tabs>
          <w:tab w:leader="none" w:pos="100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32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8" w:name="page99"/>
    <w:bookmarkEnd w:id="98"/>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2023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80" w:right="239" w:firstLine="318"/>
        <w:spacing w:after="0" w:line="277" w:lineRule="auto"/>
        <w:tabs>
          <w:tab w:leader="none" w:pos="10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80" w:right="59" w:firstLine="318"/>
        <w:spacing w:after="0" w:line="277" w:lineRule="auto"/>
        <w:tabs>
          <w:tab w:leader="none" w:pos="103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20" w:type="dxa"/>
            <w:vAlign w:val="bottom"/>
          </w:tcPr>
          <w:p>
            <w:pPr>
              <w:spacing w:after="0"/>
              <w:rPr>
                <w:sz w:val="16"/>
                <w:szCs w:val="16"/>
                <w:color w:val="auto"/>
              </w:rPr>
            </w:pPr>
          </w:p>
        </w:tc>
        <w:tc>
          <w:tcPr>
            <w:tcW w:w="44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9" w:name="page100"/>
    <w:bookmarkEnd w:id="99"/>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During the quarter ended September 30, 2023,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During the quarter ended September 30, 2023, CGS Services, Inc., an indirect wholly-owned subsidiary of Waste Management, Inc., was assessed penalties totaling $429 by the MSHA in connection with its Caldwell PT &amp; ML mine in Indiana.</w:t>
      </w:r>
    </w:p>
    <w:p>
      <w:pPr>
        <w:spacing w:after="0" w:line="153"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addition, during the quarter ended September 30, 2023,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317500</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decimal"/>
      <w:start w:val="2"/>
    </w:lvl>
  </w:abstractNum>
  <w:abstractNum w:abstractNumId="3">
    <w:nsid w:val="79A1DEAA"/>
    <w:multiLevelType w:val="hybridMultilevel"/>
    <w:lvl w:ilvl="0">
      <w:lvlJc w:val="left"/>
      <w:lvlText w:val="%1."/>
      <w:numFmt w:val="decimal"/>
      <w:start w:val="3"/>
    </w:lvl>
  </w:abstractNum>
  <w:abstractNum w:abstractNumId="4">
    <w:nsid w:val="75C6C33A"/>
    <w:multiLevelType w:val="hybridMultilevel"/>
    <w:lvl w:ilvl="0">
      <w:lvlJc w:val="left"/>
      <w:lvlText w:val="(%1)"/>
      <w:numFmt w:val="lowerLetter"/>
      <w:start w:val="1"/>
    </w:lvl>
  </w:abstractNum>
  <w:abstractNum w:abstractNumId="5">
    <w:nsid w:val="12E685FB"/>
    <w:multiLevelType w:val="hybridMultilevel"/>
    <w:lvl w:ilvl="0">
      <w:lvlJc w:val="left"/>
      <w:lvlText w:val="(%1)"/>
      <w:numFmt w:val="lowerRoman"/>
      <w:start w:val="1"/>
    </w:lvl>
  </w:abstractNum>
  <w:abstractNum w:abstractNumId="6">
    <w:nsid w:val="70C6A529"/>
    <w:multiLevelType w:val="hybridMultilevel"/>
    <w:lvl w:ilvl="0">
      <w:lvlJc w:val="left"/>
      <w:lvlText w:val="%1."/>
      <w:numFmt w:val="decimal"/>
      <w:start w:val="4"/>
    </w:lvl>
  </w:abstractNum>
  <w:abstractNum w:abstractNumId="7">
    <w:nsid w:val="520EEDD1"/>
    <w:multiLevelType w:val="hybridMultilevel"/>
    <w:lvl w:ilvl="0">
      <w:lvlJc w:val="left"/>
      <w:lvlText w:val="%1."/>
      <w:numFmt w:val="decimal"/>
      <w:start w:val="5"/>
    </w:lvl>
  </w:abstractNum>
  <w:abstractNum w:abstractNumId="8">
    <w:nsid w:val="374A3FE6"/>
    <w:multiLevelType w:val="hybridMultilevel"/>
    <w:lvl w:ilvl="0">
      <w:lvlJc w:val="left"/>
      <w:lvlText w:val="%1."/>
      <w:numFmt w:val="decimal"/>
      <w:start w:val="6"/>
    </w:lvl>
  </w:abstractNum>
  <w:abstractNum w:abstractNumId="9">
    <w:nsid w:val="4F4EF005"/>
    <w:multiLevelType w:val="hybridMultilevel"/>
    <w:lvl w:ilvl="0">
      <w:lvlJc w:val="left"/>
      <w:lvlText w:val="%1."/>
      <w:numFmt w:val="decimal"/>
      <w:start w:val="7"/>
    </w:lvl>
  </w:abstractNum>
  <w:abstractNum w:abstractNumId="10">
    <w:nsid w:val="23F9C13C"/>
    <w:multiLevelType w:val="hybridMultilevel"/>
    <w:lvl w:ilvl="0">
      <w:lvlJc w:val="left"/>
      <w:lvlText w:val="(%1)"/>
      <w:numFmt w:val="lowerLetter"/>
      <w:start w:val="1"/>
    </w:lvl>
  </w:abstractNum>
  <w:abstractNum w:abstractNumId="11">
    <w:nsid w:val="649BB77C"/>
    <w:multiLevelType w:val="hybridMultilevel"/>
    <w:lvl w:ilvl="0">
      <w:lvlJc w:val="left"/>
      <w:lvlText w:val="%1"/>
      <w:numFmt w:val="lowerLetter"/>
      <w:start w:val="1"/>
    </w:lvl>
    <w:lvl w:ilvl="1">
      <w:lvlJc w:val="left"/>
      <w:lvlText w:val="(%2)"/>
      <w:numFmt w:val="lowerLetter"/>
      <w:start w:val="35"/>
    </w:lvl>
  </w:abstractNum>
  <w:abstractNum w:abstractNumId="12">
    <w:nsid w:val="275AC794"/>
    <w:multiLevelType w:val="hybridMultilevel"/>
    <w:lvl w:ilvl="0">
      <w:lvlJc w:val="left"/>
      <w:lvlText w:val="(%1)"/>
      <w:numFmt w:val="lowerLetter"/>
      <w:start w:val="4"/>
    </w:lvl>
    <w:lvl w:ilvl="1">
      <w:lvlJc w:val="left"/>
      <w:lvlText w:val="%2"/>
      <w:numFmt w:val="lowerLetter"/>
      <w:start w:val="1"/>
    </w:lvl>
  </w:abstractNum>
  <w:abstractNum w:abstractNumId="13">
    <w:nsid w:val="39386575"/>
    <w:multiLevelType w:val="hybridMultilevel"/>
    <w:lvl w:ilvl="0">
      <w:lvlJc w:val="left"/>
      <w:lvlText w:val="(%1)"/>
      <w:numFmt w:val="lowerLetter"/>
      <w:start w:val="1"/>
    </w:lvl>
  </w:abstractNum>
  <w:abstractNum w:abstractNumId="14">
    <w:nsid w:val="1CF10FD8"/>
    <w:multiLevelType w:val="hybridMultilevel"/>
    <w:lvl w:ilvl="0">
      <w:lvlJc w:val="left"/>
      <w:lvlText w:val="%1."/>
      <w:numFmt w:val="decimal"/>
      <w:start w:val="8"/>
    </w:lvl>
  </w:abstractNum>
  <w:abstractNum w:abstractNumId="15">
    <w:nsid w:val="180115BE"/>
    <w:multiLevelType w:val="hybridMultilevel"/>
    <w:lvl w:ilvl="0">
      <w:lvlJc w:val="left"/>
      <w:lvlText w:val="%1."/>
      <w:numFmt w:val="decimal"/>
      <w:start w:val="9"/>
    </w:lvl>
  </w:abstractNum>
  <w:abstractNum w:abstractNumId="16">
    <w:nsid w:val="235BA861"/>
    <w:multiLevelType w:val="hybridMultilevel"/>
    <w:lvl w:ilvl="0">
      <w:lvlJc w:val="left"/>
      <w:lvlText w:val="(%1)"/>
      <w:numFmt w:val="lowerLetter"/>
      <w:start w:val="1"/>
    </w:lvl>
  </w:abstractNum>
  <w:abstractNum w:abstractNumId="17">
    <w:nsid w:val="47398C89"/>
    <w:multiLevelType w:val="hybridMultilevel"/>
    <w:lvl w:ilvl="0">
      <w:lvlJc w:val="left"/>
      <w:lvlText w:val="●"/>
      <w:numFmt w:val="bullet"/>
      <w:start w:val="1"/>
    </w:lvl>
    <w:lvl w:ilvl="1">
      <w:lvlJc w:val="left"/>
      <w:lvlText w:val="(%2)"/>
      <w:numFmt w:val="lowerRoman"/>
      <w:start w:val="2"/>
    </w:lvl>
  </w:abstractNum>
  <w:abstractNum w:abstractNumId="18">
    <w:nsid w:val="354FE9F9"/>
    <w:multiLevelType w:val="hybridMultilevel"/>
    <w:lvl w:ilvl="0">
      <w:lvlJc w:val="left"/>
      <w:lvlText w:val="(%1)"/>
      <w:numFmt w:val="lowerLetter"/>
      <w:start w:val="1"/>
    </w:lvl>
  </w:abstractNum>
  <w:abstractNum w:abstractNumId="19">
    <w:nsid w:val="15B5AF5C"/>
    <w:multiLevelType w:val="hybridMultilevel"/>
    <w:lvl w:ilvl="0">
      <w:lvlJc w:val="left"/>
      <w:lvlText w:val="(%1)"/>
      <w:numFmt w:val="lowerLetter"/>
      <w:start w:val="1"/>
    </w:lvl>
  </w:abstractNum>
  <w:abstractNum w:abstractNumId="20">
    <w:nsid w:val="741226BB"/>
    <w:multiLevelType w:val="hybridMultilevel"/>
    <w:lvl w:ilvl="0">
      <w:lvlJc w:val="left"/>
      <w:lvlText w:val="(%1)"/>
      <w:numFmt w:val="lowerRoman"/>
      <w:start w:val="1"/>
    </w:lvl>
  </w:abstractNum>
  <w:abstractNum w:abstractNumId="21">
    <w:nsid w:val="D34B6A8"/>
    <w:multiLevelType w:val="hybridMultilevel"/>
    <w:lvl w:ilvl="0">
      <w:lvlJc w:val="left"/>
      <w:lvlText w:val="(%1)"/>
      <w:numFmt w:val="lowerLetter"/>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1)"/>
      <w:numFmt w:val="lowerLetter"/>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lowerLetter"/>
      <w:start w:val="1"/>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7"/>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decimal"/>
      <w:start w:val="9"/>
    </w:lvl>
    <w:lvl w:ilvl="1">
      <w:lvlJc w:val="left"/>
      <w:lvlText w:val="(%2)"/>
      <w:numFmt w:val="decimal"/>
      <w:start w:val="1"/>
    </w:lvl>
  </w:abstractNum>
  <w:abstractNum w:abstractNumId="38">
    <w:nsid w:val="6590700B"/>
    <w:multiLevelType w:val="hybridMultilevel"/>
    <w:lvl w:ilvl="0">
      <w:lvlJc w:val="left"/>
      <w:lvlText w:val="(%1)"/>
      <w:numFmt w:val="decimal"/>
      <w:start w:val="10"/>
    </w:lvl>
  </w:abstractNum>
  <w:abstractNum w:abstractNumId="39">
    <w:nsid w:val="15014ACB"/>
    <w:multiLevelType w:val="hybridMultilevel"/>
    <w:lvl w:ilvl="0">
      <w:lvlJc w:val="left"/>
      <w:lvlText w:val="(%1)"/>
      <w:numFmt w:val="decimal"/>
      <w:start w:val="16"/>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1."/>
      <w:numFmt w:val="decimal"/>
      <w:start w:val="2"/>
    </w:lvl>
  </w:abstractNum>
  <w:abstractNum w:abstractNumId="42">
    <w:nsid w:val="799D0247"/>
    <w:multiLevelType w:val="hybridMultilevel"/>
    <w:lvl w:ilvl="0">
      <w:lvlJc w:val="left"/>
      <w:lvlText w:val="%1."/>
      <w:numFmt w:val="decimal"/>
      <w:start w:val="3"/>
    </w:lvl>
  </w:abstractNum>
  <w:abstractNum w:abstractNumId="43">
    <w:nsid w:val="6B94764"/>
    <w:multiLevelType w:val="hybridMultilevel"/>
    <w:lvl w:ilvl="0">
      <w:lvlJc w:val="left"/>
      <w:lvlText w:val="%1."/>
      <w:numFmt w:val="decimal"/>
      <w:start w:val="4"/>
    </w:lvl>
  </w:abstractNum>
  <w:abstractNum w:abstractNumId="44">
    <w:nsid w:val="42C296BD"/>
    <w:multiLevelType w:val="hybridMultilevel"/>
    <w:lvl w:ilvl="0">
      <w:lvlJc w:val="left"/>
      <w:lvlText w:val="%1."/>
      <w:numFmt w:val="decimal"/>
      <w:start w:val="5"/>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1."/>
      <w:numFmt w:val="decimal"/>
      <w:start w:val="6"/>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7"/>
    </w:lvl>
  </w:abstractNum>
  <w:abstractNum w:abstractNumId="49">
    <w:nsid w:val="540A471C"/>
    <w:multiLevelType w:val="hybridMultilevel"/>
    <w:lvl w:ilvl="0">
      <w:lvlJc w:val="left"/>
      <w:lvlText w:val="%1."/>
      <w:numFmt w:val="decimal"/>
      <w:start w:val="8"/>
    </w:lvl>
  </w:abstractNum>
  <w:abstractNum w:abstractNumId="50">
    <w:nsid w:val="7BD3EE7B"/>
    <w:multiLevelType w:val="hybridMultilevel"/>
    <w:lvl w:ilvl="0">
      <w:lvlJc w:val="left"/>
      <w:lvlText w:val="%1."/>
      <w:numFmt w:val="decimal"/>
      <w:start w:val="9"/>
    </w:lvl>
  </w:abstractNum>
  <w:abstractNum w:abstractNumId="51">
    <w:nsid w:val="51D9C564"/>
    <w:multiLevelType w:val="hybridMultilevel"/>
    <w:lvl w:ilvl="0">
      <w:lvlJc w:val="left"/>
      <w:lvlText w:val="%1."/>
      <w:numFmt w:val="decimal"/>
      <w:start w:val="10"/>
    </w:lvl>
  </w:abstractNum>
  <w:abstractNum w:abstractNumId="52">
    <w:nsid w:val="613EFDC5"/>
    <w:multiLevelType w:val="hybridMultilevel"/>
    <w:lvl w:ilvl="0">
      <w:lvlJc w:val="left"/>
      <w:lvlText w:val="%1."/>
      <w:numFmt w:val="decimal"/>
      <w:start w:val="11"/>
    </w:lvl>
  </w:abstractNum>
  <w:abstractNum w:abstractNumId="53">
    <w:nsid w:val="BF72B14"/>
    <w:multiLevelType w:val="hybridMultilevel"/>
    <w:lvl w:ilvl="0">
      <w:lvlJc w:val="left"/>
      <w:lvlText w:val="%1."/>
      <w:numFmt w:val="decimal"/>
      <w:start w:val="12"/>
    </w:lvl>
  </w:abstractNum>
  <w:abstractNum w:abstractNumId="54">
    <w:nsid w:val="11447B73"/>
    <w:multiLevelType w:val="hybridMultilevel"/>
    <w:lvl w:ilvl="0">
      <w:lvlJc w:val="left"/>
      <w:lvlText w:val="%1."/>
      <w:numFmt w:val="decimal"/>
      <w:start w:val="13"/>
    </w:lvl>
  </w:abstractNum>
  <w:abstractNum w:abstractNumId="55">
    <w:nsid w:val="42963E5A"/>
    <w:multiLevelType w:val="hybridMultilevel"/>
    <w:lvl w:ilvl="0">
      <w:lvlJc w:val="left"/>
      <w:lvlText w:val="%1."/>
      <w:numFmt w:val="decimal"/>
      <w:start w:val="14"/>
    </w:lvl>
  </w:abstractNum>
  <w:abstractNum w:abstractNumId="56">
    <w:nsid w:val="A0382C5"/>
    <w:multiLevelType w:val="hybridMultilevel"/>
    <w:lvl w:ilvl="0">
      <w:lvlJc w:val="left"/>
      <w:lvlText w:val="%1."/>
      <w:numFmt w:val="decimal"/>
      <w:start w:val="15"/>
    </w:lvl>
  </w:abstractNum>
  <w:abstractNum w:abstractNumId="57">
    <w:nsid w:val="8F2B15E"/>
    <w:multiLevelType w:val="hybridMultilevel"/>
    <w:lvl w:ilvl="0">
      <w:lvlJc w:val="left"/>
      <w:lvlText w:val="%1."/>
      <w:numFmt w:val="decimal"/>
      <w:start w:val="16"/>
    </w:lvl>
  </w:abstractNum>
  <w:abstractNum w:abstractNumId="58">
    <w:nsid w:val="1A32234B"/>
    <w:multiLevelType w:val="hybridMultilevel"/>
    <w:lvl w:ilvl="0">
      <w:lvlJc w:val="left"/>
      <w:lvlText w:val="%1."/>
      <w:numFmt w:val="decimal"/>
      <w:start w:val="17"/>
    </w:lvl>
  </w:abstractNum>
  <w:abstractNum w:abstractNumId="59">
    <w:nsid w:val="3B0FD379"/>
    <w:multiLevelType w:val="hybridMultilevel"/>
    <w:lvl w:ilvl="0">
      <w:lvlJc w:val="left"/>
      <w:lvlText w:val="%1."/>
      <w:numFmt w:val="decimal"/>
      <w:start w:val="18"/>
    </w:lvl>
  </w:abstractNum>
  <w:abstractNum w:abstractNumId="60">
    <w:nsid w:val="68EB2F63"/>
    <w:multiLevelType w:val="hybridMultilevel"/>
    <w:lvl w:ilvl="0">
      <w:lvlJc w:val="left"/>
      <w:lvlText w:val="%1."/>
      <w:numFmt w:val="decimal"/>
      <w:start w:val="19"/>
    </w:lvl>
  </w:abstractNum>
  <w:abstractNum w:abstractNumId="61">
    <w:nsid w:val="4962813B"/>
    <w:multiLevelType w:val="hybridMultilevel"/>
    <w:lvl w:ilvl="0">
      <w:lvlJc w:val="left"/>
      <w:lvlText w:val="%1."/>
      <w:numFmt w:val="decimal"/>
      <w:start w:val="1"/>
    </w:lvl>
  </w:abstractNum>
  <w:abstractNum w:abstractNumId="62">
    <w:nsid w:val="60B6DF70"/>
    <w:multiLevelType w:val="hybridMultilevel"/>
    <w:lvl w:ilvl="0">
      <w:lvlJc w:val="left"/>
      <w:lvlText w:val="(%1)"/>
      <w:numFmt w:val="decimal"/>
      <w:start w:val="1"/>
    </w:lvl>
  </w:abstractNum>
  <w:abstractNum w:abstractNumId="63">
    <w:nsid w:val="6A5EE64"/>
    <w:multiLevelType w:val="hybridMultilevel"/>
    <w:lvl w:ilvl="0">
      <w:lvlJc w:val="left"/>
      <w:lvlText w:val="(%1)"/>
      <w:numFmt w:val="decimal"/>
      <w:start w:val="9"/>
    </w:lvl>
    <w:lvl w:ilvl="1">
      <w:lvlJc w:val="left"/>
      <w:lvlText w:val="(%2)"/>
      <w:numFmt w:val="decimal"/>
      <w:start w:val="1"/>
    </w:lvl>
  </w:abstractNum>
  <w:abstractNum w:abstractNumId="64">
    <w:nsid w:val="14330624"/>
    <w:multiLevelType w:val="hybridMultilevel"/>
    <w:lvl w:ilvl="0">
      <w:lvlJc w:val="left"/>
      <w:lvlText w:val="(%1)"/>
      <w:numFmt w:val="decimal"/>
      <w:start w:val="10"/>
    </w:lvl>
  </w:abstractNum>
  <w:abstractNum w:abstractNumId="65">
    <w:nsid w:val="7FFFCA11"/>
    <w:multiLevelType w:val="hybridMultilevel"/>
    <w:lvl w:ilvl="0">
      <w:lvlJc w:val="left"/>
      <w:lvlText w:val="(%1)"/>
      <w:numFmt w:val="decimal"/>
      <w:start w:val="16"/>
    </w:lvl>
  </w:abstractNum>
  <w:abstractNum w:abstractNumId="66">
    <w:nsid w:val="1A27709E"/>
    <w:multiLevelType w:val="hybridMultilevel"/>
    <w:lvl w:ilvl="0">
      <w:lvlJc w:val="left"/>
      <w:lvlText w:val="%1."/>
      <w:numFmt w:val="decimal"/>
      <w:start w:val="1"/>
    </w:lvl>
  </w:abstractNum>
  <w:abstractNum w:abstractNumId="67">
    <w:nsid w:val="71EA1109"/>
    <w:multiLevelType w:val="hybridMultilevel"/>
    <w:lvl w:ilvl="0">
      <w:lvlJc w:val="left"/>
      <w:lvlText w:val="%1."/>
      <w:numFmt w:val="decimal"/>
      <w:start w:val="2"/>
    </w:lvl>
  </w:abstractNum>
  <w:abstractNum w:abstractNumId="68">
    <w:nsid w:val="100F59DC"/>
    <w:multiLevelType w:val="hybridMultilevel"/>
    <w:lvl w:ilvl="0">
      <w:lvlJc w:val="left"/>
      <w:lvlText w:val="%1."/>
      <w:numFmt w:val="decimal"/>
      <w:start w:val="3"/>
    </w:lvl>
  </w:abstractNum>
  <w:abstractNum w:abstractNumId="69">
    <w:nsid w:val="7FB7E0AA"/>
    <w:multiLevelType w:val="hybridMultilevel"/>
    <w:lvl w:ilvl="0">
      <w:lvlJc w:val="left"/>
      <w:lvlText w:val="%1."/>
      <w:numFmt w:val="decimal"/>
      <w:start w:val="4"/>
    </w:lvl>
  </w:abstractNum>
  <w:abstractNum w:abstractNumId="70">
    <w:nsid w:val="6EB5BD4"/>
    <w:multiLevelType w:val="hybridMultilevel"/>
    <w:lvl w:ilvl="0">
      <w:lvlJc w:val="left"/>
      <w:lvlText w:val="%1."/>
      <w:numFmt w:val="decimal"/>
      <w:start w:val="5"/>
    </w:lvl>
  </w:abstractNum>
  <w:abstractNum w:abstractNumId="71">
    <w:nsid w:val="6F6DD9AC"/>
    <w:multiLevelType w:val="hybridMultilevel"/>
    <w:lvl w:ilvl="0">
      <w:lvlJc w:val="left"/>
      <w:lvlText w:val="(%1)"/>
      <w:numFmt w:val="decimal"/>
      <w:start w:val="1"/>
    </w:lvl>
  </w:abstractNum>
  <w:abstractNum w:abstractNumId="72">
    <w:nsid w:val="94211F2"/>
    <w:multiLevelType w:val="hybridMultilevel"/>
    <w:lvl w:ilvl="0">
      <w:lvlJc w:val="left"/>
      <w:lvlText w:val="%1."/>
      <w:numFmt w:val="decimal"/>
      <w:start w:val="6"/>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1."/>
      <w:numFmt w:val="decimal"/>
      <w:start w:val="7"/>
    </w:lvl>
  </w:abstractNum>
  <w:abstractNum w:abstractNumId="75">
    <w:nsid w:val="4C04A8AF"/>
    <w:multiLevelType w:val="hybridMultilevel"/>
    <w:lvl w:ilvl="0">
      <w:lvlJc w:val="left"/>
      <w:lvlText w:val="%1."/>
      <w:numFmt w:val="decimal"/>
      <w:start w:val="8"/>
    </w:lvl>
  </w:abstractNum>
  <w:abstractNum w:abstractNumId="76">
    <w:nsid w:val="1716703B"/>
    <w:multiLevelType w:val="hybridMultilevel"/>
    <w:lvl w:ilvl="0">
      <w:lvlJc w:val="left"/>
      <w:lvlText w:val="%1."/>
      <w:numFmt w:val="decimal"/>
      <w:start w:val="9"/>
    </w:lvl>
  </w:abstractNum>
  <w:abstractNum w:abstractNumId="77">
    <w:nsid w:val="14E17E33"/>
    <w:multiLevelType w:val="hybridMultilevel"/>
    <w:lvl w:ilvl="0">
      <w:lvlJc w:val="left"/>
      <w:lvlText w:val="%1."/>
      <w:numFmt w:val="decimal"/>
      <w:start w:val="10"/>
    </w:lvl>
  </w:abstractNum>
  <w:abstractNum w:abstractNumId="78">
    <w:nsid w:val="3222E7CD"/>
    <w:multiLevelType w:val="hybridMultilevel"/>
    <w:lvl w:ilvl="0">
      <w:lvlJc w:val="left"/>
      <w:lvlText w:val="%1."/>
      <w:numFmt w:val="decimal"/>
      <w:start w:val="11"/>
    </w:lvl>
  </w:abstractNum>
  <w:abstractNum w:abstractNumId="79">
    <w:nsid w:val="74DE0EE3"/>
    <w:multiLevelType w:val="hybridMultilevel"/>
    <w:lvl w:ilvl="0">
      <w:lvlJc w:val="left"/>
      <w:lvlText w:val="%1."/>
      <w:numFmt w:val="decimal"/>
      <w:start w:val="12"/>
    </w:lvl>
  </w:abstractNum>
  <w:abstractNum w:abstractNumId="80">
    <w:nsid w:val="68EBC550"/>
    <w:multiLevelType w:val="hybridMultilevel"/>
    <w:lvl w:ilvl="0">
      <w:lvlJc w:val="left"/>
      <w:lvlText w:val="%1."/>
      <w:numFmt w:val="decimal"/>
      <w:start w:val="13"/>
    </w:lvl>
  </w:abstractNum>
  <w:abstractNum w:abstractNumId="81">
    <w:nsid w:val="2DF6D648"/>
    <w:multiLevelType w:val="hybridMultilevel"/>
    <w:lvl w:ilvl="0">
      <w:lvlJc w:val="left"/>
      <w:lvlText w:val="%1."/>
      <w:numFmt w:val="decimal"/>
      <w:start w:val="14"/>
    </w:lvl>
  </w:abstractNum>
  <w:abstractNum w:abstractNumId="82">
    <w:nsid w:val="46B7D447"/>
    <w:multiLevelType w:val="hybridMultilevel"/>
    <w:lvl w:ilvl="0">
      <w:lvlJc w:val="left"/>
      <w:lvlText w:val="%1."/>
      <w:numFmt w:val="decimal"/>
      <w:start w:val="15"/>
    </w:lvl>
  </w:abstractNum>
  <w:abstractNum w:abstractNumId="83">
    <w:nsid w:val="4A2AC315"/>
    <w:multiLevelType w:val="hybridMultilevel"/>
    <w:lvl w:ilvl="0">
      <w:lvlJc w:val="left"/>
      <w:lvlText w:val="%1."/>
      <w:numFmt w:val="decimal"/>
      <w:start w:val="16"/>
    </w:lvl>
  </w:abstractNum>
  <w:abstractNum w:abstractNumId="84">
    <w:nsid w:val="39EE015C"/>
    <w:multiLevelType w:val="hybridMultilevel"/>
    <w:lvl w:ilvl="0">
      <w:lvlJc w:val="left"/>
      <w:lvlText w:val="%1."/>
      <w:numFmt w:val="decimal"/>
      <w:start w:val="17"/>
    </w:lvl>
  </w:abstractNum>
  <w:abstractNum w:abstractNumId="85">
    <w:nsid w:val="57FC4FBB"/>
    <w:multiLevelType w:val="hybridMultilevel"/>
    <w:lvl w:ilvl="0">
      <w:lvlJc w:val="left"/>
      <w:lvlText w:val="%1."/>
      <w:numFmt w:val="decimal"/>
      <w:start w:val="18"/>
    </w:lvl>
  </w:abstractNum>
  <w:abstractNum w:abstractNumId="86">
    <w:nsid w:val="CC1016F"/>
    <w:multiLevelType w:val="hybridMultilevel"/>
    <w:lvl w:ilvl="0">
      <w:lvlJc w:val="left"/>
      <w:lvlText w:val="%1."/>
      <w:numFmt w:val="decimal"/>
      <w:start w:val="19"/>
    </w:lvl>
  </w:abstractNum>
  <w:abstractNum w:abstractNumId="87">
    <w:nsid w:val="43F18422"/>
    <w:multiLevelType w:val="hybridMultilevel"/>
    <w:lvl w:ilvl="0">
      <w:lvlJc w:val="left"/>
      <w:lvlText w:val="(%1)"/>
      <w:numFmt w:val="lowerLetter"/>
      <w:start w:val="1"/>
    </w:lvl>
  </w:abstractNum>
  <w:abstractNum w:abstractNumId="88">
    <w:nsid w:val="60EF0119"/>
    <w:multiLevelType w:val="hybridMultilevel"/>
    <w:lvl w:ilvl="0">
      <w:lvlJc w:val="left"/>
      <w:lvlText w:val="(%1)"/>
      <w:numFmt w:val="lowerRoman"/>
      <w:start w:val="1"/>
    </w:lvl>
  </w:abstractNum>
  <w:abstractNum w:abstractNumId="89">
    <w:nsid w:val="26F324BA"/>
    <w:multiLevelType w:val="hybridMultilevel"/>
    <w:lvl w:ilvl="0">
      <w:lvlJc w:val="left"/>
      <w:lvlText w:val="(%1)"/>
      <w:numFmt w:val="lowerRoman"/>
      <w:start w:val="4"/>
    </w:lvl>
  </w:abstractNum>
  <w:abstractNum w:abstractNumId="90">
    <w:nsid w:val="7F01579B"/>
    <w:multiLevelType w:val="hybridMultilevel"/>
    <w:lvl w:ilvl="0">
      <w:lvlJc w:val="left"/>
      <w:lvlText w:val="(%1)"/>
      <w:numFmt w:val="lowerLetter"/>
      <w:start w:val="1"/>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lowerRoman"/>
      <w:start w:val="1"/>
    </w:lvl>
  </w:abstractNum>
  <w:abstractNum w:abstractNumId="93">
    <w:nsid w:val="5FB8370B"/>
    <w:multiLevelType w:val="hybridMultilevel"/>
    <w:lvl w:ilvl="0">
      <w:lvlJc w:val="left"/>
      <w:lvlText w:val="(%1)"/>
      <w:numFmt w:val="lowerRoman"/>
      <w:start w:val="4"/>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2023-10-25T12:51:40Z</dcterms:created>
  <dcterms:modified xsi:type="dcterms:W3CDTF">2023-10-25T12:51:40Z</dcterms:modified>
</cp:coreProperties>
</file>