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8, 2008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205"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0"/>
          <w:szCs w:val="20"/>
          <w:color w:val="auto"/>
        </w:rPr>
      </w:pPr>
    </w:p>
    <w:p>
      <w:pPr>
        <w:sectPr>
          <w:pgSz w:w="11900" w:h="16838" w:orient="portrait"/>
          <w:cols w:equalWidth="0" w:num="2">
            <w:col w:w="6460" w:space="720"/>
            <w:col w:w="4240"/>
          </w:cols>
          <w:pgMar w:left="240" w:top="122" w:right="239" w:bottom="1440" w:gutter="0" w:footer="0" w:header="0"/>
          <w:type w:val="continuous"/>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260" w:right="1700"/>
        <w:spacing w:after="0" w:line="275" w:lineRule="auto"/>
        <w:rPr>
          <w:sz w:val="20"/>
          <w:szCs w:val="20"/>
          <w:color w:val="auto"/>
        </w:rPr>
      </w:pPr>
      <w:r>
        <w:rPr>
          <w:rFonts w:ascii="Arial" w:cs="Arial" w:eastAsia="Arial" w:hAnsi="Arial"/>
          <w:sz w:val="18"/>
          <w:szCs w:val="18"/>
          <w:b w:val="1"/>
          <w:bCs w:val="1"/>
          <w:color w:val="auto"/>
        </w:rPr>
        <w:t xml:space="preserve">WASTE MANAGEMENT RETIREMENT SAVINGS PLAN WASTE MANAGEMENT RETIREMENT SAVINGS PLAN FOR BARGAINING UNIT EMPLOYEES </w:t>
      </w:r>
      <w:r>
        <w:rPr>
          <w:rFonts w:ascii="Arial" w:cs="Arial" w:eastAsia="Arial" w:hAnsi="Arial"/>
          <w:sz w:val="18"/>
          <w:szCs w:val="18"/>
          <w:color w:val="auto"/>
        </w:rPr>
        <w:t>(Full titles of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327660</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Rick L. Wittenbraker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58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106"/>
        </w:trPr>
        <w:tc>
          <w:tcPr>
            <w:tcW w:w="4580" w:type="dxa"/>
            <w:vAlign w:val="bottom"/>
            <w:tcBorders>
              <w:right w:val="single" w:sz="8" w:color="auto"/>
            </w:tcBorders>
          </w:tcPr>
          <w:p>
            <w:pPr>
              <w:ind w:left="80"/>
              <w:spacing w:after="0" w:line="106" w:lineRule="exact"/>
              <w:rPr>
                <w:sz w:val="20"/>
                <w:szCs w:val="20"/>
                <w:color w:val="auto"/>
              </w:rPr>
            </w:pPr>
            <w:r>
              <w:rPr>
                <w:rFonts w:ascii="Arial" w:cs="Arial" w:eastAsia="Arial" w:hAnsi="Arial"/>
                <w:sz w:val="12"/>
                <w:szCs w:val="12"/>
                <w:b w:val="1"/>
                <w:bCs w:val="1"/>
                <w:color w:val="auto"/>
              </w:rPr>
              <w:t>Title of securities</w:t>
            </w:r>
          </w:p>
        </w:tc>
        <w:tc>
          <w:tcPr>
            <w:tcW w:w="1420" w:type="dxa"/>
            <w:vAlign w:val="bottom"/>
            <w:tcBorders>
              <w:right w:val="single" w:sz="8" w:color="auto"/>
            </w:tcBorders>
          </w:tcPr>
          <w:p>
            <w:pPr>
              <w:ind w:left="180"/>
              <w:spacing w:after="0" w:line="106" w:lineRule="exact"/>
              <w:rPr>
                <w:sz w:val="20"/>
                <w:szCs w:val="20"/>
                <w:color w:val="auto"/>
              </w:rPr>
            </w:pPr>
            <w:r>
              <w:rPr>
                <w:rFonts w:ascii="Arial" w:cs="Arial" w:eastAsia="Arial" w:hAnsi="Arial"/>
                <w:sz w:val="12"/>
                <w:szCs w:val="12"/>
                <w:b w:val="1"/>
                <w:bCs w:val="1"/>
                <w:color w:val="auto"/>
              </w:rPr>
              <w:t>Amount to be</w:t>
            </w:r>
          </w:p>
        </w:tc>
        <w:tc>
          <w:tcPr>
            <w:tcW w:w="260" w:type="dxa"/>
            <w:vAlign w:val="bottom"/>
          </w:tcPr>
          <w:p>
            <w:pPr>
              <w:spacing w:after="0"/>
              <w:rPr>
                <w:sz w:val="9"/>
                <w:szCs w:val="9"/>
                <w:color w:val="auto"/>
              </w:rPr>
            </w:pPr>
          </w:p>
        </w:tc>
        <w:tc>
          <w:tcPr>
            <w:tcW w:w="1760" w:type="dxa"/>
            <w:vAlign w:val="bottom"/>
            <w:tcBorders>
              <w:right w:val="single" w:sz="8" w:color="auto"/>
            </w:tcBorders>
          </w:tcPr>
          <w:p>
            <w:pPr>
              <w:jc w:val="right"/>
              <w:ind w:right="424"/>
              <w:spacing w:after="0" w:line="106" w:lineRule="exact"/>
              <w:rPr>
                <w:sz w:val="20"/>
                <w:szCs w:val="20"/>
                <w:color w:val="auto"/>
              </w:rPr>
            </w:pPr>
            <w:r>
              <w:rPr>
                <w:rFonts w:ascii="Arial" w:cs="Arial" w:eastAsia="Arial" w:hAnsi="Arial"/>
                <w:sz w:val="12"/>
                <w:szCs w:val="12"/>
                <w:b w:val="1"/>
                <w:bCs w:val="1"/>
                <w:color w:val="auto"/>
              </w:rPr>
              <w:t>Proposed maximum</w:t>
            </w:r>
          </w:p>
        </w:tc>
        <w:tc>
          <w:tcPr>
            <w:tcW w:w="260" w:type="dxa"/>
            <w:vAlign w:val="bottom"/>
          </w:tcPr>
          <w:p>
            <w:pPr>
              <w:spacing w:after="0"/>
              <w:rPr>
                <w:sz w:val="9"/>
                <w:szCs w:val="9"/>
                <w:color w:val="auto"/>
              </w:rPr>
            </w:pPr>
          </w:p>
        </w:tc>
        <w:tc>
          <w:tcPr>
            <w:tcW w:w="1740" w:type="dxa"/>
            <w:vAlign w:val="bottom"/>
            <w:tcBorders>
              <w:right w:val="single" w:sz="8" w:color="auto"/>
            </w:tcBorders>
          </w:tcPr>
          <w:p>
            <w:pPr>
              <w:jc w:val="right"/>
              <w:ind w:right="424"/>
              <w:spacing w:after="0" w:line="106" w:lineRule="exact"/>
              <w:rPr>
                <w:sz w:val="20"/>
                <w:szCs w:val="20"/>
                <w:color w:val="auto"/>
              </w:rPr>
            </w:pPr>
            <w:r>
              <w:rPr>
                <w:rFonts w:ascii="Arial" w:cs="Arial" w:eastAsia="Arial" w:hAnsi="Arial"/>
                <w:sz w:val="12"/>
                <w:szCs w:val="12"/>
                <w:b w:val="1"/>
                <w:bCs w:val="1"/>
                <w:color w:val="auto"/>
              </w:rPr>
              <w:t>Proposed maximum</w:t>
            </w:r>
          </w:p>
        </w:tc>
        <w:tc>
          <w:tcPr>
            <w:tcW w:w="1400" w:type="dxa"/>
            <w:vAlign w:val="bottom"/>
          </w:tcPr>
          <w:p>
            <w:pPr>
              <w:ind w:left="300"/>
              <w:spacing w:after="0" w:line="106" w:lineRule="exact"/>
              <w:rPr>
                <w:sz w:val="20"/>
                <w:szCs w:val="20"/>
                <w:color w:val="auto"/>
              </w:rPr>
            </w:pPr>
            <w:r>
              <w:rPr>
                <w:rFonts w:ascii="Arial" w:cs="Arial" w:eastAsia="Arial" w:hAnsi="Arial"/>
                <w:sz w:val="12"/>
                <w:szCs w:val="12"/>
                <w:b w:val="1"/>
                <w:bCs w:val="1"/>
                <w:color w:val="auto"/>
              </w:rPr>
              <w:t>Amount of</w:t>
            </w:r>
          </w:p>
        </w:tc>
      </w:tr>
      <w:tr>
        <w:trPr>
          <w:trHeight w:val="178"/>
        </w:trPr>
        <w:tc>
          <w:tcPr>
            <w:tcW w:w="4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to be registered</w:t>
            </w:r>
          </w:p>
        </w:tc>
        <w:tc>
          <w:tcPr>
            <w:tcW w:w="14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registered</w:t>
            </w:r>
          </w:p>
        </w:tc>
        <w:tc>
          <w:tcPr>
            <w:tcW w:w="202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offering price per share</w:t>
            </w:r>
          </w:p>
        </w:tc>
        <w:tc>
          <w:tcPr>
            <w:tcW w:w="20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aggregate offering price</w:t>
            </w: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registration fee</w:t>
            </w:r>
          </w:p>
        </w:tc>
      </w:tr>
      <w:tr>
        <w:trPr>
          <w:trHeight w:val="216"/>
        </w:trPr>
        <w:tc>
          <w:tcPr>
            <w:tcW w:w="4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Common Stock, par value $0.01 per share</w:t>
            </w:r>
          </w:p>
        </w:tc>
        <w:tc>
          <w:tcPr>
            <w:tcW w:w="14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2,500,000(1)</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8"/>
                <w:szCs w:val="18"/>
                <w:color w:val="auto"/>
              </w:rPr>
              <w:t>34.49(2)</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8"/>
                <w:szCs w:val="18"/>
                <w:color w:val="auto"/>
              </w:rPr>
              <w:t>86,225,000(3)</w:t>
            </w: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3,388.64(3)</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right="6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416(c), this Registration Statement covers an indeterminate amount of interests to be offered or sold pursuant to the Waste Management Retirement Savings Plan (the “Plan”).</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the average of the high and low prices of the Common Stock as reported on the New York Stock Exchange on September 5, 2008.</w:t>
      </w:r>
    </w:p>
    <w:p>
      <w:pPr>
        <w:spacing w:after="0" w:line="142" w:lineRule="exact"/>
        <w:rPr>
          <w:rFonts w:ascii="Arial" w:cs="Arial" w:eastAsia="Arial" w:hAnsi="Arial"/>
          <w:sz w:val="17"/>
          <w:szCs w:val="17"/>
          <w:color w:val="auto"/>
        </w:rPr>
      </w:pPr>
    </w:p>
    <w:p>
      <w:pPr>
        <w:ind w:left="340" w:right="46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Computed in accordance with Rules 457(c) and (h) under the Securities Act of 1933, as amended, solely for the purpose of calculating the total registration fee. The aggregate offering price and amount of registration fee have been computed based on the average of the high and low prices of Common Stock as reported on the New York Stock Exchange on September 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534035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spacing w:after="0" w:line="8" w:lineRule="exact"/>
        <w:rPr>
          <w:sz w:val="20"/>
          <w:szCs w:val="20"/>
          <w:color w:val="auto"/>
        </w:rPr>
      </w:pPr>
    </w:p>
    <w:p>
      <w:pPr>
        <w:ind w:right="3379"/>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INFORMATION REQUIRED IN THE SECTION 10(a) PROSPECTUS</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1. Plan Information. *</w:t>
        </w:r>
      </w:hyperlink>
    </w:p>
    <w:p>
      <w:pPr>
        <w:spacing w:after="0" w:line="1" w:lineRule="exact"/>
        <w:rPr>
          <w:sz w:val="20"/>
          <w:szCs w:val="20"/>
          <w:color w:val="auto"/>
        </w:rPr>
      </w:pPr>
    </w:p>
    <w:p>
      <w:pPr>
        <w:ind w:right="3279"/>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 Registrant Information and Employee Plan Annual Information. *</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right="3339"/>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INFORMATION REQUIRED IN THE REGISTRATION STATEMENT</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Item 3. Incorporation of Documents by Reference.</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Item 4. Description of Securities.</w:t>
        </w:r>
      </w:hyperlink>
    </w:p>
    <w:p>
      <w:pPr>
        <w:spacing w:after="0" w:line="232"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6. Indemnification of Directors and Officers.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7. Exemption from Registration Claimed.</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8. Exhibits.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POWER OF ATTORNEY</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Opinion of Amanda K. Maki, Senior Counsel</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Consent of Ernst &amp; Young, LLP</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required by Part I to be contained in the Section 10(a) prospectus is omitted from this Registration Statement in accordance with Rule 428 under the Securities Act of 1933, as amended, and the “Note” to Part I of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documents filed with the Securities and Exchange Commission (the “Commission”) by the Registrant are hereby incorporated by reference into this Registration Statement:</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2007.</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2008.</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2008.</w:t>
      </w:r>
    </w:p>
    <w:p>
      <w:pPr>
        <w:spacing w:after="0" w:line="130" w:lineRule="exact"/>
        <w:rPr>
          <w:rFonts w:ascii="Arial" w:cs="Arial" w:eastAsia="Arial" w:hAnsi="Arial"/>
          <w:sz w:val="18"/>
          <w:szCs w:val="18"/>
          <w:color w:val="auto"/>
        </w:rPr>
      </w:pPr>
    </w:p>
    <w:p>
      <w:pPr>
        <w:ind w:left="660" w:right="22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73"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Plans’ Annual Reports on Form 11-K for the fiscal year ended December 31, 2007 as filed with the Commission are also hereby incorporated by reference into this Registration Statement.</w:t>
      </w:r>
    </w:p>
    <w:p>
      <w:pPr>
        <w:spacing w:after="0" w:line="62"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All documents subsequently filed by the Registrant and the Plans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class of securities to be offered under this Registration Statement is registered under Section 12 of the Exchange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Section 145 of the Delaware General Corporation Law (the “DGCL”) makes provision for the indemnification of officers and directors of corporations in terms sufficiently broad to indemnify the officers and directors of the Registrant under certain circumstances from liabilities (including reimbursement of expenses incurred) arising under the Securities Act. 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in respect of certain unlawful dividend payments or stock redemptions or repurchases, or (iv) for any transaction from which the director derived an improper personal benefit.</w:t>
      </w:r>
    </w:p>
    <w:p>
      <w:pPr>
        <w:spacing w:after="0" w:line="70" w:lineRule="exact"/>
        <w:rPr>
          <w:sz w:val="20"/>
          <w:szCs w:val="20"/>
          <w:color w:val="auto"/>
        </w:rPr>
      </w:pPr>
    </w:p>
    <w:p>
      <w:pPr>
        <w:ind w:right="20" w:firstLine="215"/>
        <w:spacing w:after="0" w:line="264" w:lineRule="auto"/>
        <w:rPr>
          <w:sz w:val="20"/>
          <w:szCs w:val="20"/>
          <w:color w:val="auto"/>
        </w:rPr>
      </w:pPr>
      <w:r>
        <w:rPr>
          <w:rFonts w:ascii="Arial" w:cs="Arial" w:eastAsia="Arial" w:hAnsi="Arial"/>
          <w:sz w:val="18"/>
          <w:szCs w:val="18"/>
          <w:color w:val="auto"/>
        </w:rPr>
        <w:t>As permitted by the DGCL, the Registrant’s certificate of incorporation provides that, to the fullest extent permitted by the DGCL or decisional law, no director shall be personally liable to the Registrant or to its stockholders for monetary damages for breach of his fiduciary duty as a director. The effect of this provision in the certificate 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incorporation is to eliminate the rights of the Registrant and its stockholders (through stockholders’ derivative suits on behalf of the Registrant) to recover monetary damages against a director for breach of fiduciary duty as a director thereof (including breaches resulting from negligent or grossly negligent behavior) except in the situations described in clauses (i)-(iv), inclusive, above. These provisions will not alter the liability of directors under federal securities laws.</w:t>
      </w:r>
    </w:p>
    <w:p>
      <w:pPr>
        <w:spacing w:after="0" w:line="7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Registrant’s bylaws (the “bylaws”) provide that the Registrant shall indemnify any person who was or is a party or is threatened to be made a party to any threatened, pending or completed action, suit or other proceeding, whether civil, criminal, administrative or investigative by reason of the fact that he is or was a director or officer, against all expenses, liability and loss (including attorneys’ fees, judgments, fines, and amounts paid or to be paid in settlement) reasonably incurred, to the fullest extent authorized by the DGCL, provided that the Registrant shall indemnify such person in connection with any such action, suit or proceeding initiated by such person only if authorized by the Board of Directors of the Registrant or brought to enforce certain indemnification rights.</w:t>
      </w:r>
    </w:p>
    <w:p>
      <w:pPr>
        <w:spacing w:after="0" w:line="85" w:lineRule="exact"/>
        <w:rPr>
          <w:sz w:val="20"/>
          <w:szCs w:val="20"/>
          <w:color w:val="auto"/>
        </w:rPr>
      </w:pPr>
    </w:p>
    <w:p>
      <w:pPr>
        <w:jc w:val="both"/>
        <w:ind w:right="40" w:firstLine="222"/>
        <w:spacing w:after="0" w:line="259" w:lineRule="auto"/>
        <w:rPr>
          <w:sz w:val="20"/>
          <w:szCs w:val="20"/>
          <w:color w:val="auto"/>
        </w:rPr>
      </w:pPr>
      <w:r>
        <w:rPr>
          <w:rFonts w:ascii="Arial" w:cs="Arial" w:eastAsia="Arial" w:hAnsi="Arial"/>
          <w:sz w:val="18"/>
          <w:szCs w:val="18"/>
          <w:color w:val="auto"/>
        </w:rPr>
        <w:t>The bylaws also provide that expenses incurred by an officer or director of the Registrant (acting in his capacity as such) in defending any such action, suit or proceeding shall be paid by the Registrant, provided that if required by the DGCL such expenses shall be advanced only upon delivery to the Registrant of an undertaking by or on behalf of such director or officer to repay such amount if it shall ultimately be determined that he is not entitled to be indemnified by the Registrant.</w:t>
      </w:r>
    </w:p>
    <w:p>
      <w:pPr>
        <w:spacing w:after="0" w:line="79"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bylaws also provide that indemnification provided for in the bylaws shall not be deemed exclusive of any other rights to which the indemnified party may be entitled; that any right of indemnification or protection provided under the bylaws shall not be adversely affected by any amendment, repeal, or modification of the bylaws; and that the Registrant may purchase and maintain insurance to protect itself and any such person against any such expenses, liability and loss, whether or not the Registrant would have the power to indemnify such person against such expenses, liability or loss under the DGCL or the bylaws.</w:t>
      </w:r>
    </w:p>
    <w:p>
      <w:pPr>
        <w:spacing w:after="0" w:line="8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addition to the above, the Registrant has entered into indemnification agreements with each of its directors and certain of its officers. The indemnification agreements provide directors and officers with the same indemnification by the Registrant as described above and assure directors and officers that indemnification will continue to be provided despite future changes in the bylaws of the Registrant. The Registrant also provides indemnity insurance pursuant to which officers and directors are indemnified or insured against liability or loss under certain circumstances, which may include liability or related loss under the Securities Act and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520" w:type="dxa"/>
            <w:vAlign w:val="bottom"/>
          </w:tcPr>
          <w:p>
            <w:pPr>
              <w:ind w:left="80"/>
              <w:spacing w:after="0"/>
              <w:rPr>
                <w:sz w:val="20"/>
                <w:szCs w:val="20"/>
                <w:color w:val="auto"/>
              </w:rPr>
            </w:pPr>
            <w:r>
              <w:rPr>
                <w:rFonts w:ascii="Arial" w:cs="Arial" w:eastAsia="Arial" w:hAnsi="Arial"/>
                <w:sz w:val="18"/>
                <w:szCs w:val="18"/>
                <w:color w:val="auto"/>
                <w:w w:val="91"/>
              </w:rPr>
              <w:t>Restated Certificate of Incorporation (Incorporated by reference to Exhibit 3.1 to the Registrant’s Quarterly Report on Form 10-Q for the Quarter</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20" w:type="dxa"/>
            <w:vAlign w:val="bottom"/>
          </w:tcPr>
          <w:p>
            <w:pPr>
              <w:ind w:left="80"/>
              <w:spacing w:after="0"/>
              <w:rPr>
                <w:sz w:val="20"/>
                <w:szCs w:val="20"/>
                <w:color w:val="auto"/>
              </w:rPr>
            </w:pPr>
            <w:r>
              <w:rPr>
                <w:rFonts w:ascii="Arial" w:cs="Arial" w:eastAsia="Arial" w:hAnsi="Arial"/>
                <w:sz w:val="18"/>
                <w:szCs w:val="18"/>
                <w:color w:val="auto"/>
              </w:rPr>
              <w:t>ended June 30, 2002).</w:t>
            </w:r>
          </w:p>
        </w:tc>
      </w:tr>
      <w:tr>
        <w:trPr>
          <w:trHeight w:val="432"/>
        </w:trPr>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520" w:type="dxa"/>
            <w:vAlign w:val="bottom"/>
          </w:tcPr>
          <w:p>
            <w:pPr>
              <w:ind w:left="80"/>
              <w:spacing w:after="0"/>
              <w:rPr>
                <w:sz w:val="20"/>
                <w:szCs w:val="20"/>
                <w:color w:val="auto"/>
              </w:rPr>
            </w:pPr>
            <w:r>
              <w:rPr>
                <w:rFonts w:ascii="Arial" w:cs="Arial" w:eastAsia="Arial" w:hAnsi="Arial"/>
                <w:sz w:val="18"/>
                <w:szCs w:val="18"/>
                <w:color w:val="auto"/>
              </w:rPr>
              <w:t>Bylaws (Incorporated by reference to Exhibit 3.2 to the Registrant’s Current Report on Form 8-K dated March 1, 2007).</w:t>
            </w:r>
          </w:p>
        </w:tc>
      </w:tr>
      <w:tr>
        <w:trPr>
          <w:trHeight w:val="418"/>
        </w:trPr>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520" w:type="dxa"/>
            <w:vAlign w:val="bottom"/>
          </w:tcPr>
          <w:p>
            <w:pPr>
              <w:ind w:left="80"/>
              <w:spacing w:after="0"/>
              <w:rPr>
                <w:sz w:val="20"/>
                <w:szCs w:val="20"/>
                <w:color w:val="auto"/>
              </w:rPr>
            </w:pPr>
            <w:r>
              <w:rPr>
                <w:rFonts w:ascii="Arial" w:cs="Arial" w:eastAsia="Arial" w:hAnsi="Arial"/>
                <w:sz w:val="18"/>
                <w:szCs w:val="18"/>
                <w:color w:val="auto"/>
                <w:w w:val="92"/>
              </w:rPr>
              <w:t>Opinion of Amanda K. Maki, Senior Counsel — Corporate &amp; Securities of the Registrant, regarding the legality of the shares of Common Stock</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20" w:type="dxa"/>
            <w:vAlign w:val="bottom"/>
          </w:tcPr>
          <w:p>
            <w:pPr>
              <w:ind w:left="80"/>
              <w:spacing w:after="0"/>
              <w:rPr>
                <w:sz w:val="20"/>
                <w:szCs w:val="20"/>
                <w:color w:val="auto"/>
              </w:rPr>
            </w:pPr>
            <w:r>
              <w:rPr>
                <w:rFonts w:ascii="Arial" w:cs="Arial" w:eastAsia="Arial" w:hAnsi="Arial"/>
                <w:sz w:val="18"/>
                <w:szCs w:val="18"/>
                <w:color w:val="auto"/>
              </w:rPr>
              <w:t>being registered hereunder.</w:t>
            </w:r>
          </w:p>
        </w:tc>
      </w:tr>
      <w:tr>
        <w:trPr>
          <w:trHeight w:val="432"/>
        </w:trPr>
        <w:tc>
          <w:tcPr>
            <w:tcW w:w="380" w:type="dxa"/>
            <w:vAlign w:val="bottom"/>
          </w:tcPr>
          <w:p>
            <w:pPr>
              <w:jc w:val="right"/>
              <w:spacing w:after="0"/>
              <w:rPr>
                <w:sz w:val="20"/>
                <w:szCs w:val="20"/>
                <w:color w:val="auto"/>
              </w:rPr>
            </w:pPr>
            <w:r>
              <w:rPr>
                <w:rFonts w:ascii="Arial" w:cs="Arial" w:eastAsia="Arial" w:hAnsi="Arial"/>
                <w:sz w:val="18"/>
                <w:szCs w:val="18"/>
                <w:color w:val="auto"/>
                <w:w w:val="79"/>
              </w:rPr>
              <w:t>23.1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520" w:type="dxa"/>
            <w:vAlign w:val="bottom"/>
          </w:tcPr>
          <w:p>
            <w:pPr>
              <w:ind w:left="80"/>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380" w:type="dxa"/>
            <w:vAlign w:val="bottom"/>
          </w:tcPr>
          <w:p>
            <w:pPr>
              <w:jc w:val="right"/>
              <w:spacing w:after="0"/>
              <w:rPr>
                <w:sz w:val="20"/>
                <w:szCs w:val="20"/>
                <w:color w:val="auto"/>
              </w:rPr>
            </w:pPr>
            <w:r>
              <w:rPr>
                <w:rFonts w:ascii="Arial" w:cs="Arial" w:eastAsia="Arial" w:hAnsi="Arial"/>
                <w:sz w:val="18"/>
                <w:szCs w:val="18"/>
                <w:color w:val="auto"/>
                <w:w w:val="79"/>
              </w:rPr>
              <w:t>24.1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520" w:type="dxa"/>
            <w:vAlign w:val="bottom"/>
          </w:tcPr>
          <w:p>
            <w:pPr>
              <w:ind w:left="80"/>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bl>
    <w:p>
      <w:pPr>
        <w:spacing w:after="0" w:line="94"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Registrant hereby undertakes that it will submit or has submitted the Plans and any amendment thereto to the Internal Revenue Service (the “IRS”) in a timely manner and has made or will make all changes required by the IRS in order to qualify the Plans.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30" w:lineRule="exact"/>
        <w:rPr>
          <w:rFonts w:ascii="Arial" w:cs="Arial" w:eastAsia="Arial" w:hAnsi="Arial"/>
          <w:sz w:val="18"/>
          <w:szCs w:val="18"/>
          <w:color w:val="auto"/>
        </w:rPr>
      </w:pPr>
    </w:p>
    <w:p>
      <w:pPr>
        <w:jc w:val="both"/>
        <w:ind w:left="900" w:right="460" w:hanging="446"/>
        <w:spacing w:after="0" w:line="264"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900" w:right="10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color w:val="auto"/>
        </w:rPr>
        <w:t>Provided, however, that the undertakings set forth in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73" w:lineRule="exact"/>
        <w:rPr>
          <w:sz w:val="20"/>
          <w:szCs w:val="20"/>
          <w:color w:val="auto"/>
        </w:rPr>
      </w:pPr>
    </w:p>
    <w:p>
      <w:pPr>
        <w:ind w:left="660" w:right="200" w:hanging="43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86" w:lineRule="exact"/>
        <w:rPr>
          <w:rFonts w:ascii="Arial" w:cs="Arial" w:eastAsia="Arial" w:hAnsi="Arial"/>
          <w:sz w:val="18"/>
          <w:szCs w:val="18"/>
          <w:color w:val="auto"/>
        </w:rPr>
      </w:pPr>
    </w:p>
    <w:p>
      <w:pPr>
        <w:ind w:left="660" w:right="160" w:hanging="43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that remain unsold at the termination of the offering.</w:t>
      </w:r>
    </w:p>
    <w:p>
      <w:pPr>
        <w:spacing w:after="0" w:line="62" w:lineRule="exact"/>
        <w:rPr>
          <w:rFonts w:ascii="Arial" w:cs="Arial" w:eastAsia="Arial" w:hAnsi="Arial"/>
          <w:sz w:val="18"/>
          <w:szCs w:val="18"/>
          <w:color w:val="auto"/>
        </w:rPr>
      </w:pPr>
    </w:p>
    <w:p>
      <w:pPr>
        <w:ind w:right="260" w:firstLine="233"/>
        <w:spacing w:after="0" w:line="259" w:lineRule="auto"/>
        <w:tabs>
          <w:tab w:leader="none" w:pos="47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firstLine="233"/>
        <w:spacing w:after="0" w:line="291" w:lineRule="auto"/>
        <w:tabs>
          <w:tab w:leader="none" w:pos="47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David P. Steiner, Robert G. Simpson, Rick L. Wittenbraker,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this Registration Statement,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8th day of September 2008.</w:t>
      </w:r>
    </w:p>
    <w:p>
      <w:pPr>
        <w:spacing w:after="0" w:line="17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David P. Steiner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Executive Officer</w:t>
      </w:r>
    </w:p>
    <w:p>
      <w:pPr>
        <w:spacing w:after="0" w:line="319"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indicated on the 8th day of September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Signature</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26"/>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 Steiner</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David P. Steiner</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 Simpson</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Robert G. Simpson</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Robertson</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2"/>
              </w:rPr>
              <w:t>Vice President and Chief Accounting Officer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Greg A. Robertson</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04"/>
        </w:trPr>
        <w:tc>
          <w:tcPr>
            <w:tcW w:w="5160" w:type="dxa"/>
            <w:vAlign w:val="bottom"/>
          </w:tcPr>
          <w:p>
            <w:pPr>
              <w:spacing w:after="0"/>
              <w:rPr>
                <w:sz w:val="24"/>
                <w:szCs w:val="24"/>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II-4</w:t>
            </w:r>
          </w:p>
        </w:tc>
      </w:tr>
      <w:tr>
        <w:trPr>
          <w:trHeight w:val="226"/>
        </w:trPr>
        <w:tc>
          <w:tcPr>
            <w:tcW w:w="51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Pastora San Juan Cafferty</w:t>
            </w:r>
          </w:p>
        </w:tc>
        <w:tc>
          <w:tcPr>
            <w:tcW w:w="6260" w:type="dxa"/>
            <w:vAlign w:val="bottom"/>
          </w:tcPr>
          <w:p>
            <w:pPr>
              <w:jc w:val="center"/>
              <w:ind w:left="105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626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Clark, Jr.</w:t>
            </w:r>
          </w:p>
        </w:tc>
        <w:tc>
          <w:tcPr>
            <w:tcW w:w="6260" w:type="dxa"/>
            <w:vAlign w:val="bottom"/>
          </w:tcPr>
          <w:p>
            <w:pPr>
              <w:jc w:val="center"/>
              <w:ind w:left="105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Frank M. Clark, Jr.</w:t>
            </w:r>
          </w:p>
        </w:tc>
        <w:tc>
          <w:tcPr>
            <w:tcW w:w="626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W. Gross</w:t>
            </w:r>
          </w:p>
        </w:tc>
        <w:tc>
          <w:tcPr>
            <w:tcW w:w="6260" w:type="dxa"/>
            <w:vAlign w:val="bottom"/>
          </w:tcPr>
          <w:p>
            <w:pPr>
              <w:jc w:val="center"/>
              <w:ind w:left="105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Patrick W. Gross</w:t>
            </w:r>
          </w:p>
        </w:tc>
        <w:tc>
          <w:tcPr>
            <w:tcW w:w="626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Pope</w:t>
            </w:r>
          </w:p>
        </w:tc>
        <w:tc>
          <w:tcPr>
            <w:tcW w:w="6260" w:type="dxa"/>
            <w:vAlign w:val="bottom"/>
          </w:tcPr>
          <w:p>
            <w:pPr>
              <w:jc w:val="center"/>
              <w:ind w:left="1050"/>
              <w:spacing w:after="0"/>
              <w:rPr>
                <w:sz w:val="20"/>
                <w:szCs w:val="20"/>
                <w:color w:val="auto"/>
              </w:rPr>
            </w:pPr>
            <w:r>
              <w:rPr>
                <w:rFonts w:ascii="Arial" w:cs="Arial" w:eastAsia="Arial" w:hAnsi="Arial"/>
                <w:sz w:val="18"/>
                <w:szCs w:val="18"/>
                <w:color w:val="auto"/>
                <w:w w:val="91"/>
              </w:rPr>
              <w:t>Director and Chairman of the Board</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John C. Pope</w:t>
            </w:r>
          </w:p>
        </w:tc>
        <w:tc>
          <w:tcPr>
            <w:tcW w:w="626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G. Rothmeier</w:t>
            </w:r>
          </w:p>
        </w:tc>
        <w:tc>
          <w:tcPr>
            <w:tcW w:w="6260" w:type="dxa"/>
            <w:vAlign w:val="bottom"/>
          </w:tcPr>
          <w:p>
            <w:pPr>
              <w:jc w:val="center"/>
              <w:ind w:left="105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Steven G. Rothmeier</w:t>
            </w:r>
          </w:p>
        </w:tc>
        <w:tc>
          <w:tcPr>
            <w:tcW w:w="626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Robert Reum</w:t>
            </w:r>
          </w:p>
        </w:tc>
        <w:tc>
          <w:tcPr>
            <w:tcW w:w="6260" w:type="dxa"/>
            <w:vAlign w:val="bottom"/>
          </w:tcPr>
          <w:p>
            <w:pPr>
              <w:jc w:val="center"/>
              <w:ind w:left="105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W. Robert Reum</w:t>
            </w:r>
          </w:p>
        </w:tc>
        <w:tc>
          <w:tcPr>
            <w:tcW w:w="626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H. Weidemeyer</w:t>
            </w:r>
          </w:p>
        </w:tc>
        <w:tc>
          <w:tcPr>
            <w:tcW w:w="6260" w:type="dxa"/>
            <w:vAlign w:val="bottom"/>
          </w:tcPr>
          <w:p>
            <w:pPr>
              <w:jc w:val="center"/>
              <w:ind w:left="1050"/>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Thomas H. Weidemeyer</w:t>
            </w:r>
          </w:p>
        </w:tc>
        <w:tc>
          <w:tcPr>
            <w:tcW w:w="6260" w:type="dxa"/>
            <w:vAlign w:val="bottom"/>
          </w:tcPr>
          <w:p>
            <w:pPr>
              <w:spacing w:after="0"/>
              <w:rPr>
                <w:sz w:val="19"/>
                <w:szCs w:val="19"/>
                <w:color w:val="auto"/>
              </w:rPr>
            </w:pPr>
          </w:p>
        </w:tc>
      </w:tr>
      <w:tr>
        <w:trPr>
          <w:trHeight w:val="404"/>
        </w:trPr>
        <w:tc>
          <w:tcPr>
            <w:tcW w:w="5160" w:type="dxa"/>
            <w:vAlign w:val="bottom"/>
          </w:tcPr>
          <w:p>
            <w:pPr>
              <w:spacing w:after="0"/>
              <w:rPr>
                <w:sz w:val="24"/>
                <w:szCs w:val="24"/>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II-5</w:t>
            </w:r>
          </w:p>
        </w:tc>
      </w:tr>
      <w:tr>
        <w:trPr>
          <w:trHeight w:val="226"/>
        </w:trPr>
        <w:tc>
          <w:tcPr>
            <w:tcW w:w="51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Administrative Committee of the Waste Management Employee Benefit Plans has duly caused this Registration Statement to be signed on its behalf by the undersigned, thereunto duly authorized, in the City of Houston, the State of Texas, on this 8th day of September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Krista DelSota</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Krista DelSota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21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Vice President -- Compensation, Benefits and HRIM</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Waste Management, Inc.</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Member -- Administrative Committee of the Waste Management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INDEX TO EXHIBITS</w:t>
            </w:r>
          </w:p>
        </w:tc>
        <w:tc>
          <w:tcPr>
            <w:tcW w:w="4580" w:type="dxa"/>
            <w:vAlign w:val="bottom"/>
          </w:tcPr>
          <w:p>
            <w:pPr>
              <w:spacing w:after="0"/>
              <w:rPr>
                <w:sz w:val="17"/>
                <w:szCs w:val="17"/>
                <w:color w:val="auto"/>
              </w:rPr>
            </w:pPr>
          </w:p>
        </w:tc>
      </w:tr>
      <w:tr>
        <w:trPr>
          <w:trHeight w:val="438"/>
        </w:trPr>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520" w:type="dxa"/>
            <w:vAlign w:val="bottom"/>
            <w:gridSpan w:val="3"/>
          </w:tcPr>
          <w:p>
            <w:pPr>
              <w:ind w:left="80"/>
              <w:spacing w:after="0"/>
              <w:rPr>
                <w:sz w:val="20"/>
                <w:szCs w:val="20"/>
                <w:color w:val="auto"/>
              </w:rPr>
            </w:pPr>
            <w:r>
              <w:rPr>
                <w:rFonts w:ascii="Arial" w:cs="Arial" w:eastAsia="Arial" w:hAnsi="Arial"/>
                <w:sz w:val="18"/>
                <w:szCs w:val="18"/>
                <w:color w:val="auto"/>
                <w:w w:val="91"/>
              </w:rPr>
              <w:t>Restated Certificate of Incorporation (Incorporated by reference to Exhibit 3.1 to the Registrant’s Quarterly Report on Form 10-Q for the Quarter</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20" w:type="dxa"/>
            <w:vAlign w:val="bottom"/>
            <w:gridSpan w:val="3"/>
          </w:tcPr>
          <w:p>
            <w:pPr>
              <w:ind w:left="80"/>
              <w:spacing w:after="0"/>
              <w:rPr>
                <w:sz w:val="20"/>
                <w:szCs w:val="20"/>
                <w:color w:val="auto"/>
              </w:rPr>
            </w:pPr>
            <w:r>
              <w:rPr>
                <w:rFonts w:ascii="Arial" w:cs="Arial" w:eastAsia="Arial" w:hAnsi="Arial"/>
                <w:sz w:val="18"/>
                <w:szCs w:val="18"/>
                <w:color w:val="auto"/>
              </w:rPr>
              <w:t>ended June 30, 2002).</w:t>
            </w:r>
          </w:p>
        </w:tc>
      </w:tr>
      <w:tr>
        <w:trPr>
          <w:trHeight w:val="432"/>
        </w:trPr>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520" w:type="dxa"/>
            <w:vAlign w:val="bottom"/>
            <w:gridSpan w:val="3"/>
          </w:tcPr>
          <w:p>
            <w:pPr>
              <w:ind w:left="80"/>
              <w:spacing w:after="0"/>
              <w:rPr>
                <w:sz w:val="20"/>
                <w:szCs w:val="20"/>
                <w:color w:val="auto"/>
              </w:rPr>
            </w:pPr>
            <w:r>
              <w:rPr>
                <w:rFonts w:ascii="Arial" w:cs="Arial" w:eastAsia="Arial" w:hAnsi="Arial"/>
                <w:sz w:val="18"/>
                <w:szCs w:val="18"/>
                <w:color w:val="auto"/>
              </w:rPr>
              <w:t>Bylaws (Incorporated by reference to Exhibit 3.2 to the Registrant’s Current Report on Form 8-K dated March 1, 2007).</w:t>
            </w:r>
          </w:p>
        </w:tc>
      </w:tr>
      <w:tr>
        <w:trPr>
          <w:trHeight w:val="418"/>
        </w:trPr>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520" w:type="dxa"/>
            <w:vAlign w:val="bottom"/>
            <w:gridSpan w:val="3"/>
          </w:tcPr>
          <w:p>
            <w:pPr>
              <w:ind w:left="80"/>
              <w:spacing w:after="0"/>
              <w:rPr>
                <w:sz w:val="20"/>
                <w:szCs w:val="20"/>
                <w:color w:val="auto"/>
              </w:rPr>
            </w:pPr>
            <w:r>
              <w:rPr>
                <w:rFonts w:ascii="Arial" w:cs="Arial" w:eastAsia="Arial" w:hAnsi="Arial"/>
                <w:sz w:val="18"/>
                <w:szCs w:val="18"/>
                <w:color w:val="auto"/>
                <w:w w:val="92"/>
              </w:rPr>
              <w:t>Opinion of Amanda K. Maki, Senior Counsel — Corporate &amp; Securities of the Registrant, regarding the legality of the shares of Common Stock</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20" w:type="dxa"/>
            <w:vAlign w:val="bottom"/>
            <w:gridSpan w:val="3"/>
          </w:tcPr>
          <w:p>
            <w:pPr>
              <w:ind w:left="80"/>
              <w:spacing w:after="0"/>
              <w:rPr>
                <w:sz w:val="20"/>
                <w:szCs w:val="20"/>
                <w:color w:val="auto"/>
              </w:rPr>
            </w:pPr>
            <w:r>
              <w:rPr>
                <w:rFonts w:ascii="Arial" w:cs="Arial" w:eastAsia="Arial" w:hAnsi="Arial"/>
                <w:sz w:val="18"/>
                <w:szCs w:val="18"/>
                <w:color w:val="auto"/>
              </w:rPr>
              <w:t>being registered hereunder.</w:t>
            </w:r>
          </w:p>
        </w:tc>
      </w:tr>
      <w:tr>
        <w:trPr>
          <w:trHeight w:val="432"/>
        </w:trPr>
        <w:tc>
          <w:tcPr>
            <w:tcW w:w="380" w:type="dxa"/>
            <w:vAlign w:val="bottom"/>
          </w:tcPr>
          <w:p>
            <w:pPr>
              <w:jc w:val="right"/>
              <w:spacing w:after="0"/>
              <w:rPr>
                <w:sz w:val="20"/>
                <w:szCs w:val="20"/>
                <w:color w:val="auto"/>
              </w:rPr>
            </w:pPr>
            <w:r>
              <w:rPr>
                <w:rFonts w:ascii="Arial" w:cs="Arial" w:eastAsia="Arial" w:hAnsi="Arial"/>
                <w:sz w:val="18"/>
                <w:szCs w:val="18"/>
                <w:color w:val="auto"/>
                <w:w w:val="79"/>
              </w:rPr>
              <w:t>23.1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520" w:type="dxa"/>
            <w:vAlign w:val="bottom"/>
            <w:gridSpan w:val="3"/>
          </w:tcPr>
          <w:p>
            <w:pPr>
              <w:ind w:left="80"/>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380" w:type="dxa"/>
            <w:vAlign w:val="bottom"/>
          </w:tcPr>
          <w:p>
            <w:pPr>
              <w:jc w:val="right"/>
              <w:spacing w:after="0"/>
              <w:rPr>
                <w:sz w:val="20"/>
                <w:szCs w:val="20"/>
                <w:color w:val="auto"/>
              </w:rPr>
            </w:pPr>
            <w:r>
              <w:rPr>
                <w:rFonts w:ascii="Arial" w:cs="Arial" w:eastAsia="Arial" w:hAnsi="Arial"/>
                <w:sz w:val="18"/>
                <w:szCs w:val="18"/>
                <w:color w:val="auto"/>
                <w:w w:val="79"/>
              </w:rPr>
              <w:t>24.1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520" w:type="dxa"/>
            <w:vAlign w:val="bottom"/>
            <w:gridSpan w:val="3"/>
          </w:tcPr>
          <w:p>
            <w:pPr>
              <w:ind w:left="80"/>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bl>
    <w:p>
      <w:pPr>
        <w:sectPr>
          <w:pgSz w:w="11900" w:h="16838" w:orient="portrait"/>
          <w:cols w:equalWidth="0" w:num="1">
            <w:col w:w="11200"/>
          </w:cols>
          <w:pgMar w:left="240" w:top="419" w:right="4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5.1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 LETTERHEAD]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8,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 am Senior Counsel — Corporate &amp; Securities of Waste Management, Inc. (the “Company”) and I have acted as counsel for the Company in connection with the preparation of the Registration Statement on Form S-8 to be filed by the Company with the Securities and Exchange Commission for the registration under the Securities Act of 1933, as amended, of 2.5 million shares of the Company’s common stock, par value $0.01 per share (the “Shares”), which are to be issued from time to time to certain participants in the Waste Management Retirement Savings Plan and the Waste Management Retirement Savings Plan for Bargaining Unit Employees (the “Plans”).</w:t>
      </w:r>
    </w:p>
    <w:p>
      <w:pPr>
        <w:spacing w:after="0" w:line="8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 have examined the originals, certified copies or copies otherwise identified to my satisfaction as being true copies of the Plans and such other documents as I have deemed necessary or appropriate for purposes of this opinion.</w:t>
      </w:r>
    </w:p>
    <w:p>
      <w:pPr>
        <w:spacing w:after="0" w:line="62"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Based on the foregoing, I am of the opinion that the Shares have been duly and validly authorized and reserved for issuance, and that the Shares, when issued under the terms of the Plans, will be legally and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Exhibit 5.1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Amanda K. Maki</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ectPr>
          <w:pgSz w:w="11900" w:h="16838" w:orient="portrait"/>
          <w:cols w:equalWidth="0" w:num="1">
            <w:col w:w="11420"/>
          </w:cols>
          <w:pgMar w:left="240" w:top="12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on Form S-8 to be filed on September 8, 2008 pertaining to the Waste Management Retirement Savings Plan for Bargaining Unit Employees and the Waste Management Retirement Savings Plan of our reports (a) dated February 18, 2008, with respect to the consolidated financial statements and schedule of Waste Management, Inc., and the effectiveness of internal control over financial reporting of Waste Management, Inc., included in its Annual Report (Form 10-K), and (b) dated June 30, 2008, with respect to the financial statements and supplemental schedule of the Waste Management Retirement Savings Plan for Bargaining Unit Employees and the Waste Management Retirement Savings Plan included in the Plans’ Annual Reports (Forms 11-K), for the year ended December 31, 2007, filed with the Securities and Exchange Commission.</w:t>
      </w:r>
    </w:p>
    <w:p>
      <w:pPr>
        <w:spacing w:after="0" w:line="200" w:lineRule="exact"/>
        <w:rPr>
          <w:sz w:val="20"/>
          <w:szCs w:val="20"/>
          <w:color w:val="auto"/>
        </w:rPr>
      </w:pPr>
    </w:p>
    <w:p>
      <w:pPr>
        <w:spacing w:after="0" w:line="20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5, 2008</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Roman"/>
      <w:start w:val="1"/>
    </w:lvl>
  </w:abstractNum>
  <w:abstractNum w:abstractNumId="4">
    <w:nsid w:val="46E87CCD"/>
    <w:multiLevelType w:val="hybridMultilevel"/>
    <w:lvl w:ilvl="0">
      <w:lvlJc w:val="left"/>
      <w:lvlText w:val="(%1)"/>
      <w:numFmt w:val="decimal"/>
      <w:start w:val="2"/>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2019-12-20T04:20:44Z</dcterms:created>
  <dcterms:modified xsi:type="dcterms:W3CDTF">2019-12-20T04:20:44Z</dcterms:modified>
</cp:coreProperties>
</file>