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960" w:hanging="1229"/>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960" w:right="5400"/>
        <w:spacing w:after="0" w:line="550" w:lineRule="auto"/>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 For the Quarterly Period Ended June 30, 2003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960" w:hanging="1192"/>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13" w:lineRule="exact"/>
        <w:rPr>
          <w:sz w:val="20"/>
          <w:szCs w:val="20"/>
          <w:color w:val="auto"/>
        </w:rPr>
      </w:pPr>
    </w:p>
    <w:p>
      <w:pPr>
        <w:ind w:left="196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Waste Management, Inc.</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975" w:right="379" w:bottom="1440" w:gutter="0" w:footer="0" w:header="0"/>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975"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975"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975" w:right="379" w:bottom="1440" w:gutter="0" w:footer="0" w:header="0"/>
          <w:type w:val="continuous"/>
        </w:sectPr>
      </w:pPr>
    </w:p>
    <w:p>
      <w:pPr>
        <w:spacing w:after="0" w:line="75"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August 1, 2003 was 592,213,162 (excluding treasury shares of 38,069,299).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5" w:right="379" w:bottom="1440" w:gutter="0" w:footer="0" w:header="0"/>
          <w:type w:val="continuous"/>
        </w:sectPr>
      </w:pPr>
    </w:p>
    <w:bookmarkStart w:id="2" w:name="page3"/>
    <w:bookmarkEnd w:id="2"/>
    <w:p>
      <w:pPr>
        <w:spacing w:after="0" w:line="62"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p>
      <w:pPr>
        <w:spacing w:after="0" w:line="8" w:lineRule="exact"/>
        <w:rPr>
          <w:sz w:val="20"/>
          <w:szCs w:val="20"/>
          <w:color w:val="auto"/>
        </w:rPr>
      </w:pPr>
    </w:p>
    <w:p>
      <w:pPr>
        <w:ind w:left="580" w:right="6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WASTE MANAGEMENT, INC. CONDENSED CONSOLIDATED STATEMENTS OF OPERATIONS (In Millions,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Except Per Share Amounts) (Unaudited)</w:t>
        </w:r>
      </w:hyperlink>
    </w:p>
    <w:p>
      <w:pPr>
        <w:spacing w:after="0" w:line="1" w:lineRule="exact"/>
        <w:rPr>
          <w:sz w:val="20"/>
          <w:szCs w:val="20"/>
          <w:color w:val="auto"/>
        </w:rPr>
      </w:pPr>
    </w:p>
    <w:p>
      <w:pPr>
        <w:ind w:left="580"/>
        <w:spacing w:after="0"/>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WASTE MANAGEMENT, INC. CONDENSED CONSOLIDATED STATEMENTS OF CASH FLOWS (In Millions)</w:t>
        </w:r>
      </w:hyperlink>
    </w:p>
    <w:p>
      <w:pPr>
        <w:spacing w:after="0" w:line="15" w:lineRule="exact"/>
        <w:rPr>
          <w:sz w:val="20"/>
          <w:szCs w:val="20"/>
          <w:color w:val="auto"/>
        </w:rPr>
      </w:pPr>
    </w:p>
    <w:p>
      <w:pPr>
        <w:ind w:left="58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(Unaudited)</w:t>
        </w:r>
      </w:hyperlink>
    </w:p>
    <w:p>
      <w:pPr>
        <w:ind w:left="580" w:right="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WASTE MANAGEMENT, INC. CONDENSED CONSOLIDATED STATEMENT OF STOCKHOLDERS’ EQUITY</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(In Millions, Except Shares in Thousands) (Unaudited)</w:t>
        </w:r>
      </w:hyperlink>
    </w:p>
    <w:p>
      <w:pPr>
        <w:ind w:left="58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WASTE MANAGEMENT, INC. NOTES TO CONDENSED CONSOLIDATED FINANCIAL STATEMENTS</w:t>
        </w:r>
      </w:hyperlink>
    </w:p>
    <w:p>
      <w:pPr>
        <w:ind w:left="58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(Unaudited)</w:t>
        </w:r>
      </w:hyperlink>
    </w:p>
    <w:p>
      <w:pPr>
        <w:ind w:left="580"/>
        <w:spacing w:after="0" w:line="231"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PART II</w:t>
        </w:r>
      </w:hyperlink>
    </w:p>
    <w:p>
      <w:pPr>
        <w:ind w:left="580"/>
        <w:spacing w:after="0" w:line="230"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SIGNATURES</w:t>
        </w:r>
      </w:hyperlink>
    </w:p>
    <w:p>
      <w:pPr>
        <w:ind w:left="580"/>
        <w:spacing w:after="0" w:line="231" w:lineRule="auto"/>
        <w:rPr>
          <w:rFonts w:ascii="Arial" w:cs="Arial" w:eastAsia="Arial" w:hAnsi="Arial"/>
          <w:sz w:val="22"/>
          <w:szCs w:val="22"/>
          <w:u w:val="single" w:color="auto"/>
          <w:color w:val="0000EE"/>
        </w:rPr>
      </w:pPr>
      <w:hyperlink w:anchor="page56">
        <w:r>
          <w:rPr>
            <w:rFonts w:ascii="Arial" w:cs="Arial" w:eastAsia="Arial" w:hAnsi="Arial"/>
            <w:sz w:val="22"/>
            <w:szCs w:val="22"/>
            <w:u w:val="single" w:color="auto"/>
            <w:color w:val="0000EE"/>
          </w:rPr>
          <w:t>INDEX TO EXHIBITS</w:t>
        </w:r>
      </w:hyperlink>
    </w:p>
    <w:p>
      <w:pPr>
        <w:ind w:left="580"/>
        <w:spacing w:after="0" w:line="231" w:lineRule="auto"/>
        <w:rPr>
          <w:sz w:val="20"/>
          <w:szCs w:val="20"/>
          <w:color w:val="auto"/>
        </w:rPr>
      </w:pPr>
      <w:r>
        <w:rPr>
          <w:rFonts w:ascii="Arial" w:cs="Arial" w:eastAsia="Arial" w:hAnsi="Arial"/>
          <w:sz w:val="22"/>
          <w:szCs w:val="22"/>
          <w:u w:val="single" w:color="auto"/>
          <w:color w:val="0000EE"/>
        </w:rPr>
        <w:t>Employment Agreement - Steve Ragiel</w:t>
      </w:r>
    </w:p>
    <w:p>
      <w:pPr>
        <w:ind w:left="580"/>
        <w:spacing w:after="0" w:line="230" w:lineRule="auto"/>
        <w:rPr>
          <w:sz w:val="20"/>
          <w:szCs w:val="20"/>
          <w:color w:val="auto"/>
        </w:rPr>
      </w:pPr>
      <w:r>
        <w:rPr>
          <w:rFonts w:ascii="Arial" w:cs="Arial" w:eastAsia="Arial" w:hAnsi="Arial"/>
          <w:sz w:val="22"/>
          <w:szCs w:val="22"/>
          <w:u w:val="single" w:color="auto"/>
          <w:color w:val="0000EE"/>
        </w:rPr>
        <w:t>Ten-Year Letter of Credit &amp; Term Loan Agreement</w:t>
      </w:r>
    </w:p>
    <w:p>
      <w:pPr>
        <w:ind w:left="580"/>
        <w:spacing w:after="0" w:line="231" w:lineRule="auto"/>
        <w:rPr>
          <w:sz w:val="20"/>
          <w:szCs w:val="20"/>
          <w:color w:val="auto"/>
        </w:rPr>
      </w:pPr>
      <w:r>
        <w:rPr>
          <w:rFonts w:ascii="Arial" w:cs="Arial" w:eastAsia="Arial" w:hAnsi="Arial"/>
          <w:sz w:val="22"/>
          <w:szCs w:val="22"/>
          <w:u w:val="single" w:color="auto"/>
          <w:color w:val="0000EE"/>
        </w:rPr>
        <w:t>Five-Year Letter of Credit &amp; Term Loan Agreement</w:t>
      </w:r>
    </w:p>
    <w:p>
      <w:pPr>
        <w:ind w:left="580"/>
        <w:spacing w:after="0" w:line="230" w:lineRule="auto"/>
        <w:rPr>
          <w:sz w:val="20"/>
          <w:szCs w:val="20"/>
          <w:color w:val="auto"/>
        </w:rPr>
      </w:pPr>
      <w:r>
        <w:rPr>
          <w:rFonts w:ascii="Arial" w:cs="Arial" w:eastAsia="Arial" w:hAnsi="Arial"/>
          <w:sz w:val="22"/>
          <w:szCs w:val="22"/>
          <w:u w:val="single" w:color="auto"/>
          <w:color w:val="0000EE"/>
        </w:rPr>
        <w:t>Seven-Year Letter of Credit &amp; Term Loan Agreement</w:t>
      </w:r>
    </w:p>
    <w:p>
      <w:pPr>
        <w:ind w:left="580"/>
        <w:spacing w:after="0" w:line="231" w:lineRule="auto"/>
        <w:rPr>
          <w:sz w:val="20"/>
          <w:szCs w:val="20"/>
          <w:color w:val="auto"/>
        </w:rPr>
      </w:pPr>
      <w:r>
        <w:rPr>
          <w:rFonts w:ascii="Arial" w:cs="Arial" w:eastAsia="Arial" w:hAnsi="Arial"/>
          <w:sz w:val="22"/>
          <w:szCs w:val="22"/>
          <w:u w:val="single" w:color="auto"/>
          <w:color w:val="0000EE"/>
        </w:rPr>
        <w:t>Directors' Deferred Compensation Plan</w:t>
      </w:r>
    </w:p>
    <w:p>
      <w:pPr>
        <w:ind w:left="580"/>
        <w:spacing w:after="0" w:line="231" w:lineRule="auto"/>
        <w:rPr>
          <w:sz w:val="20"/>
          <w:szCs w:val="20"/>
          <w:color w:val="auto"/>
        </w:rPr>
      </w:pPr>
      <w:r>
        <w:rPr>
          <w:rFonts w:ascii="Arial" w:cs="Arial" w:eastAsia="Arial" w:hAnsi="Arial"/>
          <w:sz w:val="22"/>
          <w:szCs w:val="22"/>
          <w:u w:val="single" w:color="auto"/>
          <w:color w:val="0000EE"/>
        </w:rPr>
        <w:t>Computation of Ratio of Earnings to Fixed Charges</w:t>
      </w:r>
    </w:p>
    <w:p>
      <w:pPr>
        <w:ind w:left="580"/>
        <w:spacing w:after="0" w:line="230" w:lineRule="auto"/>
        <w:rPr>
          <w:sz w:val="20"/>
          <w:szCs w:val="20"/>
          <w:color w:val="auto"/>
        </w:rPr>
      </w:pPr>
      <w:r>
        <w:rPr>
          <w:rFonts w:ascii="Arial" w:cs="Arial" w:eastAsia="Arial" w:hAnsi="Arial"/>
          <w:sz w:val="22"/>
          <w:szCs w:val="22"/>
          <w:u w:val="single" w:color="auto"/>
          <w:color w:val="0000EE"/>
        </w:rPr>
        <w:t>Certification of CEO Pursuant to Rule 15d-14(a)</w:t>
      </w:r>
    </w:p>
    <w:p>
      <w:pPr>
        <w:ind w:left="580"/>
        <w:spacing w:after="0" w:line="231" w:lineRule="auto"/>
        <w:rPr>
          <w:sz w:val="20"/>
          <w:szCs w:val="20"/>
          <w:color w:val="auto"/>
        </w:rPr>
      </w:pPr>
      <w:r>
        <w:rPr>
          <w:rFonts w:ascii="Arial" w:cs="Arial" w:eastAsia="Arial" w:hAnsi="Arial"/>
          <w:sz w:val="22"/>
          <w:szCs w:val="22"/>
          <w:u w:val="single" w:color="auto"/>
          <w:color w:val="0000EE"/>
        </w:rPr>
        <w:t>Certification of CFO Pursuant to Rule 15d-14(a)</w:t>
      </w:r>
    </w:p>
    <w:p>
      <w:pPr>
        <w:ind w:left="580"/>
        <w:spacing w:after="0" w:line="231" w:lineRule="auto"/>
        <w:rPr>
          <w:sz w:val="20"/>
          <w:szCs w:val="20"/>
          <w:color w:val="auto"/>
        </w:rPr>
      </w:pPr>
      <w:r>
        <w:rPr>
          <w:rFonts w:ascii="Arial" w:cs="Arial" w:eastAsia="Arial" w:hAnsi="Arial"/>
          <w:sz w:val="22"/>
          <w:szCs w:val="22"/>
          <w:u w:val="single" w:color="auto"/>
          <w:color w:val="0000EE"/>
        </w:rPr>
        <w:t>Certification of CEO Pursuant to Section 906</w:t>
      </w:r>
    </w:p>
    <w:p>
      <w:pPr>
        <w:ind w:left="580"/>
        <w:spacing w:after="0"/>
        <w:rPr>
          <w:sz w:val="20"/>
          <w:szCs w:val="20"/>
          <w:color w:val="auto"/>
        </w:rPr>
      </w:pPr>
      <w:r>
        <w:rPr>
          <w:rFonts w:ascii="Arial" w:cs="Arial" w:eastAsia="Arial" w:hAnsi="Arial"/>
          <w:sz w:val="22"/>
          <w:szCs w:val="22"/>
          <w:u w:val="single" w:color="auto"/>
          <w:color w:val="0000EE"/>
        </w:rPr>
        <w:t>Certification of CFO Pursuant to Section 906</w:t>
      </w:r>
    </w:p>
    <w:p>
      <w:pPr>
        <w:spacing w:after="0" w:line="19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13"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2003</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receivable, net of allowance for doubtful accounts of $60</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Notes and other receivables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Parts and supplies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3,186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and amortization</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of $9,116 and $8,498, respectively</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10,812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5,212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20,456</w:t>
            </w:r>
          </w:p>
        </w:tc>
        <w:tc>
          <w:tcPr>
            <w:tcW w:w="4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19,631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4"/>
            <w:shd w:val="clear" w:color="auto" w:fill="EEEEEE"/>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4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revenues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8,350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8,062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EEEEEE"/>
          </w:tcPr>
          <w:p>
            <w:pPr>
              <w:spacing w:after="0"/>
              <w:rPr>
                <w:sz w:val="8"/>
                <w:szCs w:val="8"/>
                <w:color w:val="auto"/>
              </w:rPr>
            </w:pPr>
          </w:p>
        </w:tc>
        <w:tc>
          <w:tcPr>
            <w:tcW w:w="57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0820"/>
          </w:cols>
          <w:pgMar w:left="240" w:top="922" w:right="8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1,146</w:t>
            </w:r>
          </w:p>
        </w:tc>
        <w:tc>
          <w:tcPr>
            <w:tcW w:w="6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14,825</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14,304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Common stock, $0.01 par value; 1,500,000,000 shares authorized;</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630,282,461 shares issued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Additional paid-in capital</w:t>
            </w:r>
          </w:p>
        </w:tc>
        <w:tc>
          <w:tcPr>
            <w:tcW w:w="10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4,510</w:t>
            </w:r>
          </w:p>
        </w:tc>
        <w:tc>
          <w:tcPr>
            <w:tcW w:w="6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4,513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2,110</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(83)</w:t>
            </w:r>
          </w:p>
        </w:tc>
        <w:tc>
          <w:tcPr>
            <w:tcW w:w="176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w w:val="95"/>
              </w:rPr>
              <w:t>Treasury stock at cost, 38,524,621 and 35,682,000 shares, respectively</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(959)</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5,584</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5,308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$20,456</w:t>
            </w:r>
          </w:p>
        </w:tc>
        <w:tc>
          <w:tcPr>
            <w:tcW w:w="6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$19,631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68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68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68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40"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2,915</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2,825</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5,631</w:t>
            </w:r>
          </w:p>
        </w:tc>
        <w:tc>
          <w:tcPr>
            <w:tcW w:w="1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5,434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3,297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Restructuring</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4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44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Cumulative effect of changes in accounting principles, net of income tax benefit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w w:val="95"/>
              </w:rPr>
              <w:t>of $31 and $0 for the six months ended June 30, 2003 and 2002, respectively</w:t>
            </w:r>
          </w:p>
        </w:tc>
        <w:tc>
          <w:tcPr>
            <w:tcW w:w="4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4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4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 forma income and earnings per common share assuming changes in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accounting principles described in Note 1 are applied retroactively:</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ind w:left="560"/>
              <w:spacing w:after="0"/>
              <w:rPr>
                <w:sz w:val="20"/>
                <w:szCs w:val="20"/>
                <w:color w:val="auto"/>
              </w:rPr>
            </w:pPr>
            <w:r>
              <w:rPr>
                <w:rFonts w:ascii="Arial" w:cs="Arial" w:eastAsia="Arial" w:hAnsi="Arial"/>
                <w:sz w:val="18"/>
                <w:szCs w:val="18"/>
                <w:color w:val="auto"/>
                <w:w w:val="93"/>
              </w:rPr>
              <w:t>Basic earnings per common share before cumulative effect of changes in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accounting principles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4"/>
              </w:rPr>
              <w:t>Diluted earnings per common share before cumulative effect of changes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ind w:left="700"/>
              <w:spacing w:after="0"/>
              <w:rPr>
                <w:sz w:val="20"/>
                <w:szCs w:val="20"/>
                <w:color w:val="auto"/>
              </w:rPr>
            </w:pPr>
            <w:r>
              <w:rPr>
                <w:rFonts w:ascii="Arial" w:cs="Arial" w:eastAsia="Arial" w:hAnsi="Arial"/>
                <w:sz w:val="18"/>
                <w:szCs w:val="18"/>
                <w:color w:val="auto"/>
              </w:rPr>
              <w:t>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by operating activities:</w:t>
            </w:r>
          </w:p>
        </w:tc>
        <w:tc>
          <w:tcPr>
            <w:tcW w:w="5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gain on disposal of assets</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58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Change in operating assets and liabilities, net of effects of</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acquisitions and divestitures:</w:t>
            </w:r>
          </w:p>
        </w:tc>
        <w:tc>
          <w:tcPr>
            <w:tcW w:w="5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58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(37)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(152)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740"/>
              <w:spacing w:after="0"/>
              <w:rPr>
                <w:sz w:val="20"/>
                <w:szCs w:val="20"/>
                <w:color w:val="auto"/>
              </w:rPr>
            </w:pPr>
            <w:r>
              <w:rPr>
                <w:rFonts w:ascii="Arial" w:cs="Arial" w:eastAsia="Arial" w:hAnsi="Arial"/>
                <w:sz w:val="18"/>
                <w:szCs w:val="18"/>
                <w:color w:val="auto"/>
              </w:rPr>
              <w:t>Deferred revenues and other liabilities</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(552)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divestitures of businesses, net of cash divested,</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other sales of assets</w:t>
            </w:r>
          </w:p>
        </w:tc>
        <w:tc>
          <w:tcPr>
            <w:tcW w:w="58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Net receipts from restricted funds</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24"/>
                <w:szCs w:val="24"/>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(449)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Debt repayments</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(68)</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(468)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58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(447)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24"/>
                <w:szCs w:val="24"/>
                <w:color w:val="auto"/>
              </w:rPr>
            </w:pPr>
          </w:p>
        </w:tc>
        <w:tc>
          <w:tcPr>
            <w:tcW w:w="1540" w:type="dxa"/>
            <w:vAlign w:val="bottom"/>
            <w:gridSpan w:val="4"/>
          </w:tcPr>
          <w:p>
            <w:pPr>
              <w:jc w:val="right"/>
              <w:ind w:righ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5"/>
                <w:szCs w:val="15"/>
                <w:color w:val="auto"/>
              </w:rPr>
            </w:pP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86"/>
              </w:rPr>
              <w:t>Treasury Stock</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Paid-in</w:t>
            </w:r>
          </w:p>
        </w:tc>
        <w:tc>
          <w:tcPr>
            <w:tcW w:w="280" w:type="dxa"/>
            <w:vAlign w:val="bottom"/>
            <w:vMerge w:val="restart"/>
          </w:tcPr>
          <w:p>
            <w:pPr>
              <w:spacing w:after="0"/>
              <w:rPr>
                <w:sz w:val="8"/>
                <w:szCs w:val="8"/>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280" w:type="dxa"/>
            <w:vAlign w:val="bottom"/>
            <w:vMerge w:val="restart"/>
          </w:tcPr>
          <w:p>
            <w:pPr>
              <w:spacing w:after="0"/>
              <w:rPr>
                <w:sz w:val="8"/>
                <w:szCs w:val="8"/>
                <w:color w:val="auto"/>
              </w:rPr>
            </w:pPr>
          </w:p>
        </w:tc>
        <w:tc>
          <w:tcPr>
            <w:tcW w:w="16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3"/>
              </w:rPr>
              <w:t>Comprehensive</w:t>
            </w: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6"/>
                <w:szCs w:val="16"/>
                <w:color w:val="auto"/>
              </w:rPr>
            </w:pPr>
          </w:p>
        </w:tc>
        <w:tc>
          <w:tcPr>
            <w:tcW w:w="1040" w:type="dxa"/>
            <w:vAlign w:val="bottom"/>
            <w:gridSpan w:val="3"/>
          </w:tcPr>
          <w:p>
            <w:pPr>
              <w:ind w:left="26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2002</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26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$4,513</w:t>
            </w:r>
          </w:p>
        </w:tc>
        <w:tc>
          <w:tcPr>
            <w:tcW w:w="26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$1,873</w:t>
            </w:r>
          </w:p>
        </w:tc>
        <w:tc>
          <w:tcPr>
            <w:tcW w:w="26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(179)</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(35,682)</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6"/>
              </w:rPr>
              <w:t>$(905)</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2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stock issued</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upon exercise of</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stock options and</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warrants and grants</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of restricted stock,</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of tax benefit of</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repurchases, net of</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settlements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Unrealized loss</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resulting from</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changes in fair values</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of derivative</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instruments, net of</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tax benefit of $2</w:t>
            </w: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1420" w:type="dxa"/>
            <w:vAlign w:val="bottom"/>
            <w:gridSpan w:val="4"/>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Minimum pension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liability adjustment,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net of taxes of $1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Translation adjustment</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of foreign currency</w:t>
            </w: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statements</w:t>
            </w: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1420" w:type="dxa"/>
            <w:vAlign w:val="bottom"/>
            <w:gridSpan w:val="4"/>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Balance, June 30, 2003</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$4,510</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$2,110</w:t>
            </w: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(38,525)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6"/>
              </w:rPr>
              <w:t>$(959)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condensed financial statements presented herein represent the consolidation of Waste Management, Inc., a Delaware corporation, and its subsidiaries. Waste Management, Inc. is a holding company that conducts all of its operations through its subsidiaries. When the terms the “Company,” “we,” “us” or “our” are used in this document, those terms refer to Waste Management, Inc. and all of its consolidated subsidiaries. When we use the term “WMI,” we are referring only to the parent holding company, and are not including any of the subsidiaries.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condensed consolidated financial statements as of and for the three and six month periods ended June 30, 2003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2002.</w:t>
      </w:r>
    </w:p>
    <w:p>
      <w:pPr>
        <w:spacing w:after="0" w:line="2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our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based on any changes in the estimates and assumptions that we use in the preparation of our financial statements. Additionally, the estimates and assumptions used in determining landfill airspace amortization rates per ton, final capping, closure and post-closure liabilities as well as environmental remediation liabilities require significant operations, engineering and accounting input. We review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 related regulations or future operational plans, and the inherent imprecision associated with estimating matters so far into the future. See the “Management’s Discussion and Analysis” section of this report for more information regarding our critical accounting estimates and assumptions.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2003, we adopted certain changes in accounting principles that impact the comparability of the financial information presented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information regarding these changes.</w:t>
      </w:r>
    </w:p>
    <w:p>
      <w:pPr>
        <w:spacing w:after="0" w:line="24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 On January 1, 2003, we adopted Statement of Financial Accounting Standards (“SFAS”) No. 145,</w:t>
      </w:r>
      <w:r>
        <w:rPr>
          <w:rFonts w:ascii="Arial" w:cs="Arial" w:eastAsia="Arial" w:hAnsi="Arial"/>
          <w:sz w:val="16"/>
          <w:szCs w:val="16"/>
          <w:i w:val="1"/>
          <w:iCs w:val="1"/>
          <w:color w:val="auto"/>
        </w:rPr>
        <w:t xml:space="preserve"> Rescission of FASB Statements No. 4, 44, and 64, Amendment of FASB Statement No. 13, and Technical Corrections</w:t>
      </w:r>
      <w:r>
        <w:rPr>
          <w:rFonts w:ascii="Arial" w:cs="Arial" w:eastAsia="Arial" w:hAnsi="Arial"/>
          <w:sz w:val="16"/>
          <w:szCs w:val="16"/>
          <w:color w:val="auto"/>
        </w:rPr>
        <w:t>. SFAS No. 145 requires that gains and losses from extinguishment of debt be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extraordinary items only if they meet the criteria in Accounting Principles Board Opinion No. 30. Upon the adoption of SFAS No. 145, we reclassified first quarter 2002 losses on the extinguishment of debt of $1 million that had previously been reported as extraordinary. The impact of this reclassification on the results of operations for the six months ended June 30, 2002 was a $2 million increase in interest expense and a $1 million decrease in the tax provision. The adoption of SFAS No. 145 did not impact the presentation of the results of operations for the three months ended June 30, 2002.</w:t>
      </w:r>
    </w:p>
    <w:p>
      <w:pPr>
        <w:spacing w:after="0" w:line="201" w:lineRule="exact"/>
        <w:rPr>
          <w:sz w:val="20"/>
          <w:szCs w:val="20"/>
          <w:color w:val="auto"/>
        </w:rPr>
      </w:pPr>
    </w:p>
    <w:p>
      <w:pPr>
        <w:ind w:right="40" w:firstLine="324"/>
        <w:spacing w:after="0" w:line="323" w:lineRule="auto"/>
        <w:rPr>
          <w:sz w:val="20"/>
          <w:szCs w:val="20"/>
          <w:color w:val="auto"/>
        </w:rPr>
      </w:pPr>
      <w:r>
        <w:rPr>
          <w:rFonts w:ascii="Arial" w:cs="Arial" w:eastAsia="Arial" w:hAnsi="Arial"/>
          <w:sz w:val="15"/>
          <w:szCs w:val="15"/>
          <w:color w:val="auto"/>
        </w:rPr>
        <w:t>In March 2002, we adopted a new organizational structure to align collection, transport, recycling and disposal resources into market areas, and reduced the number of layers of management and consolidated certain administrative and support functions. During our 2003 planning processes we determined that certain costs we previously reported as selling, general and administrative expenses were more appropriately classified as operating expenses after the adoption of the new organizational structure. These costs include certain maintenance and repairs, property taxes, insurance and claims, rent, utilities, permits and fees. We began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reporting these costs as operating expenses in the first quarter of 2003. In order to conform the prior period presentation of these costs with the current period presentation, we have reclassified $43 million of costs previously reported as selling, general and administrative expenses for the three and six months ended June 30, 2002 to operating expenses in the accompanying condensed consolidated statement of operations. Costs identified for reclassification are those costs incurred beginning in the second quarter of 2002, as this was the first full accounting period that these organizational changes were effective. Similar reclassifications will be made to the statement of operations for the third and fourth quarters of 2002. Additional disclosures associated with this restructuring are included in Note 9.</w:t>
      </w:r>
    </w:p>
    <w:p>
      <w:pPr>
        <w:spacing w:after="0" w:line="225"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Certain reclassifications have also been made in the prior period condensed consolidated statement of cash flows in order to conform to the current period presentation.</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2003 Accounting Changes</w:t>
      </w:r>
    </w:p>
    <w:p>
      <w:pPr>
        <w:spacing w:after="0" w:line="25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On January 1, 2003, we implemented changes in our methods of accounting for major repairs and maintenance, loss contracts and asset retirement obligations, as described below. If the accounting changes we implemented on January 1, 2003 had been effective in 2002, the impact on income before cumulative effect of changes in accounting principles and earnings per common share for the three and six months ended June 30, 2002 (in millions, except per share amounts) would have been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Six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2002</w:t>
            </w:r>
          </w:p>
        </w:tc>
        <w:tc>
          <w:tcPr>
            <w:tcW w:w="280" w:type="dxa"/>
            <w:vAlign w:val="bottom"/>
          </w:tcPr>
          <w:p>
            <w:pPr>
              <w:spacing w:after="0"/>
              <w:rPr>
                <w:sz w:val="15"/>
                <w:szCs w:val="15"/>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 2002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w w:val="99"/>
              </w:rPr>
              <w:t>Reported income before cumulative effect of changes in accounting principles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7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78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Basic earnings per common share:</w:t>
            </w: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w w:val="99"/>
              </w:rPr>
              <w:t>Reported income before cumulative effect of changes in accounting principles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6"/>
              </w:rPr>
              <w:t>0.57</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78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7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4"/>
              </w:rPr>
              <w:t>(0.02)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78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(0.01)</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(0.02)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6"/>
              </w:rPr>
              <w:t>0.53</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Diluted earnings per common share:</w:t>
            </w: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w w:val="99"/>
              </w:rPr>
              <w:t>Reported income before cumulative effect of changes in accounting principles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6"/>
              </w:rPr>
              <w:t>0.57</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78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7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4"/>
              </w:rPr>
              <w:t>(0.02)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78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(0.01)</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(0.02)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6"/>
              </w:rPr>
              <w:t>0.53</w:t>
            </w:r>
          </w:p>
        </w:tc>
        <w:tc>
          <w:tcPr>
            <w:tcW w:w="7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jc w:val="right"/>
              <w:ind w:right="912"/>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Through December 31, 2002, we accrued in advance for major repairs and maintenance expenditures and we deferred costs associated with annual plant outages at our waste-to-energy facilities and independent power production plants. Effective January 1, 2003, we changed our policy from this method to one that expenses these costs as they are incurred. In the first quarter of 2003, we recorded approximately $25 million, net of taxes, or $0.04 per diluted share, as a credit to cumulative effect of changes in accounting principles. We believe our current method of accounting is preferable because it (i) provides operating results that more clearly reflect the timing and amount of required expenditures, (ii) more clearly reflects our assets and liabilities, and (iii) reduces the need to make additional estimates and assumptions. The effect of this change in accounting principle is not material to our results of operations for the three and six months ended June 30, 2003.</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Contracts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Through December 31, 2002, if our customer contracts were projected to have direct costs greater than revenues over the life of the contract, we accrued for those future losses. Effective January 1, 2003, we changed our policy from this method to one that expenses these losses as they are incurred. In the first quarter of 2003, we recorded approximately $30 million, net of taxes, or $0.05 per diluted share, as a credit to cumulative effect of changes in accounting principles. We believe our current method of accounting is preferable because it (i) provides operating results that more clearly reflect the timing and amount of contract losses generated, (ii) more clearly reflects our liabilities, and (iii) reduces the need to make additional estimates and assumptions. The effect of this change in accounting principle is not material to our results of operations for the three and six months ended June 30, 2003.</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connection with the adoption of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we recorded approximately $101 million, including tax benefit, or $0.17 per diluted share, in the first quarter of 2003 as a charge to cumulative effect of changes in accounting principles. Substantially all of this charge was related to changes in accounting for landfill final capping, closure and post-closure costs. The application of SFAS No. 143 reduced income before cumulative effect of changes in accounting principles for the three months ended June 30, 2003 by approximately $8 million, net of tax benefit, or $0.01 per diluted share, and reduced income before cumulative effect of changes in accounting principles for the six months ended June 30, 2003 by approximately $16 million, net of tax benefit, or $0.03 per diluted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Effective January 1, 2003, our method of accounting for landfill closure and post-closure, as well as landfill final capping, changed as a result of our adoption of SFAS No. 143. SFAS No. 143 does not change the basic landfill accounting that we and others in the waste industry have followed historically. Through December 31, 2002, the waste industry generally recognized expenses associated with (i) amortization of capitalized and future landfill asset costs and (ii) future closure and post-closure obligations on a units-of-consumption basis as airspace was consumed over the life of the related landfill. This practice, referred to as life-cycle accounting within the waste industry, continues to be followed. The table below compares our historical practices to the method prescribed by SFAS No.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360" w:type="dxa"/>
            <w:vAlign w:val="bottom"/>
          </w:tcPr>
          <w:p>
            <w:pPr>
              <w:jc w:val="center"/>
              <w:ind w:left="1232"/>
              <w:spacing w:after="0"/>
              <w:rPr>
                <w:sz w:val="20"/>
                <w:szCs w:val="20"/>
                <w:color w:val="auto"/>
              </w:rPr>
            </w:pPr>
            <w:r>
              <w:rPr>
                <w:rFonts w:ascii="Arial" w:cs="Arial" w:eastAsia="Arial" w:hAnsi="Arial"/>
                <w:sz w:val="18"/>
                <w:szCs w:val="18"/>
                <w:b w:val="1"/>
                <w:bCs w:val="1"/>
                <w:color w:val="auto"/>
                <w:w w:val="91"/>
              </w:rPr>
              <w:t>Current Practice</w:t>
            </w:r>
          </w:p>
        </w:tc>
      </w:tr>
      <w:tr>
        <w:trPr>
          <w:trHeight w:val="255"/>
        </w:trPr>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440" w:type="dxa"/>
            <w:vAlign w:val="bottom"/>
          </w:tcPr>
          <w:p>
            <w:pPr>
              <w:ind w:left="1700"/>
              <w:spacing w:after="0"/>
              <w:rPr>
                <w:sz w:val="20"/>
                <w:szCs w:val="20"/>
                <w:color w:val="auto"/>
              </w:rPr>
            </w:pPr>
            <w:r>
              <w:rPr>
                <w:rFonts w:ascii="Arial" w:cs="Arial" w:eastAsia="Arial" w:hAnsi="Arial"/>
                <w:sz w:val="18"/>
                <w:szCs w:val="18"/>
                <w:b w:val="1"/>
                <w:bCs w:val="1"/>
                <w:color w:val="auto"/>
              </w:rPr>
              <w:t>Historical Practice</w:t>
            </w:r>
          </w:p>
        </w:tc>
        <w:tc>
          <w:tcPr>
            <w:tcW w:w="3360" w:type="dxa"/>
            <w:vAlign w:val="bottom"/>
          </w:tcPr>
          <w:p>
            <w:pPr>
              <w:jc w:val="center"/>
              <w:ind w:left="1252"/>
              <w:spacing w:after="0"/>
              <w:rPr>
                <w:sz w:val="20"/>
                <w:szCs w:val="20"/>
                <w:color w:val="auto"/>
              </w:rPr>
            </w:pPr>
            <w:r>
              <w:rPr>
                <w:rFonts w:ascii="Arial" w:cs="Arial" w:eastAsia="Arial" w:hAnsi="Arial"/>
                <w:sz w:val="18"/>
                <w:szCs w:val="18"/>
                <w:b w:val="1"/>
                <w:bCs w:val="1"/>
                <w:color w:val="auto"/>
                <w:w w:val="89"/>
              </w:rPr>
              <w:t>(Effective January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Definitions:</w:t>
      </w:r>
    </w:p>
    <w:p>
      <w:pPr>
        <w:spacing w:after="0" w:line="15" w:lineRule="exact"/>
        <w:rPr>
          <w:sz w:val="20"/>
          <w:szCs w:val="20"/>
          <w:color w:val="auto"/>
        </w:rPr>
      </w:pPr>
    </w:p>
    <w:p>
      <w:pPr>
        <w:jc w:val="both"/>
        <w:ind w:left="3000" w:hanging="2632"/>
        <w:spacing w:after="0" w:line="295" w:lineRule="auto"/>
        <w:tabs>
          <w:tab w:leader="none" w:pos="298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6"/>
          <w:szCs w:val="16"/>
          <w:color w:val="auto"/>
        </w:rPr>
        <w:t>Capital asset related to installation of flexible membrane and geosynthetic clay liners, drainage and compacted soil layers and topsoil constructed over areas of landfill where total airspace capacity has been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Reflected as an asset retirement obligation, on a discounted basis, rather than a capital asset</w:t>
      </w:r>
    </w:p>
    <w:p>
      <w:pPr>
        <w:spacing w:after="0" w:line="584" w:lineRule="exact"/>
        <w:rPr>
          <w:sz w:val="20"/>
          <w:szCs w:val="20"/>
          <w:color w:val="auto"/>
        </w:rPr>
      </w:pPr>
    </w:p>
    <w:p>
      <w:pPr>
        <w:sectPr>
          <w:pgSz w:w="11900" w:h="16838" w:orient="portrait"/>
          <w:cols w:equalWidth="0" w:num="2">
            <w:col w:w="7060" w:space="48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6"/>
          <w:szCs w:val="16"/>
          <w:color w:val="auto"/>
        </w:rPr>
        <w:t>Closure</w:t>
      </w:r>
      <w:r>
        <w:rPr>
          <w:sz w:val="20"/>
          <w:szCs w:val="20"/>
          <w:color w:val="auto"/>
        </w:rPr>
        <w:tab/>
      </w:r>
      <w:r>
        <w:rPr>
          <w:rFonts w:ascii="Arial" w:cs="Arial" w:eastAsia="Arial" w:hAnsi="Arial"/>
          <w:sz w:val="16"/>
          <w:szCs w:val="16"/>
          <w:color w:val="auto"/>
        </w:rPr>
        <w:t>Includes last final capping event, final portion of methane</w:t>
      </w:r>
    </w:p>
    <w:p>
      <w:pPr>
        <w:spacing w:after="0" w:line="38" w:lineRule="exact"/>
        <w:rPr>
          <w:sz w:val="20"/>
          <w:szCs w:val="20"/>
          <w:color w:val="auto"/>
        </w:rPr>
      </w:pPr>
    </w:p>
    <w:p>
      <w:pPr>
        <w:ind w:left="3000"/>
        <w:spacing w:after="0" w:line="302" w:lineRule="auto"/>
        <w:rPr>
          <w:sz w:val="20"/>
          <w:szCs w:val="20"/>
          <w:color w:val="auto"/>
        </w:rPr>
      </w:pPr>
      <w:r>
        <w:rPr>
          <w:rFonts w:ascii="Arial" w:cs="Arial" w:eastAsia="Arial" w:hAnsi="Arial"/>
          <w:sz w:val="16"/>
          <w:szCs w:val="16"/>
          <w:color w:val="auto"/>
        </w:rPr>
        <w:t>gas collection system to be constructed, demobilization, and the routine maintenance costs incurred after site ceases to accept waste, but prior to being certified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32" w:lineRule="auto"/>
        <w:rPr>
          <w:sz w:val="20"/>
          <w:szCs w:val="20"/>
          <w:color w:val="auto"/>
        </w:rPr>
      </w:pPr>
      <w:r>
        <w:rPr>
          <w:rFonts w:ascii="Arial" w:cs="Arial" w:eastAsia="Arial" w:hAnsi="Arial"/>
          <w:sz w:val="16"/>
          <w:szCs w:val="16"/>
          <w:color w:val="auto"/>
        </w:rPr>
        <w:t>No change, except that last final capping event of each landfill will be treated as a part of final capping</w:t>
      </w:r>
    </w:p>
    <w:p>
      <w:pPr>
        <w:spacing w:after="0" w:line="584"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ind w:left="360"/>
        <w:spacing w:after="0"/>
        <w:tabs>
          <w:tab w:leader="none" w:pos="2980" w:val="left"/>
          <w:tab w:leader="none" w:pos="7520" w:val="left"/>
        </w:tabs>
        <w:rPr>
          <w:sz w:val="20"/>
          <w:szCs w:val="20"/>
          <w:color w:val="auto"/>
        </w:rPr>
      </w:pPr>
      <w:r>
        <w:rPr>
          <w:rFonts w:ascii="Arial" w:cs="Arial" w:eastAsia="Arial" w:hAnsi="Arial"/>
          <w:sz w:val="18"/>
          <w:szCs w:val="18"/>
          <w:color w:val="auto"/>
        </w:rPr>
        <w:t>Post-closure</w:t>
      </w:r>
      <w:r>
        <w:rPr>
          <w:sz w:val="20"/>
          <w:szCs w:val="20"/>
          <w:color w:val="auto"/>
        </w:rPr>
        <w:tab/>
      </w:r>
      <w:r>
        <w:rPr>
          <w:rFonts w:ascii="Arial" w:cs="Arial" w:eastAsia="Arial" w:hAnsi="Arial"/>
          <w:sz w:val="18"/>
          <w:szCs w:val="18"/>
          <w:color w:val="auto"/>
        </w:rPr>
        <w:t>Includes routine monitoring and maintenance of a landfill</w:t>
      </w:r>
      <w:r>
        <w:rPr>
          <w:sz w:val="20"/>
          <w:szCs w:val="20"/>
          <w:color w:val="auto"/>
        </w:rPr>
        <w:tab/>
      </w:r>
      <w:r>
        <w:rPr>
          <w:rFonts w:ascii="Arial" w:cs="Arial" w:eastAsia="Arial" w:hAnsi="Arial"/>
          <w:sz w:val="15"/>
          <w:szCs w:val="15"/>
          <w:color w:val="auto"/>
        </w:rPr>
        <w:t>No change</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after it has closed, ceased to accept waste and been certified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closed by the applicable state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b w:val="1"/>
          <w:bCs w:val="1"/>
          <w:i w:val="1"/>
          <w:iCs w:val="1"/>
          <w:color w:val="auto"/>
        </w:rPr>
        <w:t>Discount Rate:</w:t>
      </w:r>
      <w:r>
        <w:rPr>
          <w:sz w:val="20"/>
          <w:szCs w:val="20"/>
          <w:color w:val="auto"/>
        </w:rPr>
        <w:tab/>
      </w:r>
      <w:r>
        <w:rPr>
          <w:rFonts w:ascii="Arial" w:cs="Arial" w:eastAsia="Arial" w:hAnsi="Arial"/>
          <w:sz w:val="15"/>
          <w:szCs w:val="15"/>
          <w:color w:val="auto"/>
        </w:rPr>
        <w:t>Risk-free rate (5.0%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Credit-adjusted, risk-free rate (7.25% at January 1, 2003)</w:t>
      </w:r>
    </w:p>
    <w:p>
      <w:pPr>
        <w:spacing w:after="0" w:line="200" w:lineRule="exact"/>
        <w:rPr>
          <w:sz w:val="20"/>
          <w:szCs w:val="20"/>
          <w:color w:val="auto"/>
        </w:rPr>
      </w:pPr>
    </w:p>
    <w:p>
      <w:pPr>
        <w:sectPr>
          <w:pgSz w:w="11900" w:h="16838" w:orient="portrait"/>
          <w:cols w:equalWidth="0" w:num="2">
            <w:col w:w="6820" w:space="720"/>
            <w:col w:w="3880"/>
          </w:cols>
          <w:pgMar w:left="240" w:top="935" w:right="239" w:bottom="1440" w:gutter="0" w:footer="0" w:header="0"/>
          <w:type w:val="continuous"/>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0"/>
        <w:spacing w:after="0"/>
        <w:tabs>
          <w:tab w:leader="none" w:pos="4380" w:val="left"/>
          <w:tab w:leader="none" w:pos="882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Historical Practice</w:t>
      </w:r>
      <w:r>
        <w:rPr>
          <w:sz w:val="20"/>
          <w:szCs w:val="20"/>
          <w:color w:val="auto"/>
        </w:rPr>
        <w:tab/>
      </w:r>
      <w:r>
        <w:rPr>
          <w:rFonts w:ascii="Arial" w:cs="Arial" w:eastAsia="Arial" w:hAnsi="Arial"/>
          <w:sz w:val="16"/>
          <w:szCs w:val="16"/>
          <w:b w:val="1"/>
          <w:bCs w:val="1"/>
          <w:color w:val="auto"/>
        </w:rPr>
        <w:t>Current Practice</w:t>
      </w:r>
    </w:p>
    <w:p>
      <w:pPr>
        <w:spacing w:after="0" w:line="21"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b w:val="1"/>
          <w:bCs w:val="1"/>
          <w:i w:val="1"/>
          <w:iCs w:val="1"/>
          <w:color w:val="auto"/>
        </w:rPr>
        <w:t>Cost Estimates:</w:t>
      </w:r>
      <w:r>
        <w:rPr>
          <w:sz w:val="20"/>
          <w:szCs w:val="20"/>
          <w:color w:val="auto"/>
        </w:rPr>
        <w:tab/>
      </w:r>
      <w:r>
        <w:rPr>
          <w:rFonts w:ascii="Arial" w:cs="Arial" w:eastAsia="Arial" w:hAnsi="Arial"/>
          <w:sz w:val="15"/>
          <w:szCs w:val="15"/>
          <w:color w:val="auto"/>
        </w:rPr>
        <w:t>Costs were estimated based on performance, principally by</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third parties, with a small portion performed by the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 change, except that the cost of any activities performed internally must be increased to represent an estimate of the amount a third party would charge to perform such activity</w:t>
      </w:r>
    </w:p>
    <w:p>
      <w:pPr>
        <w:spacing w:after="0" w:line="200"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spacing w:after="0" w:line="11"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5"/>
          <w:szCs w:val="15"/>
          <w:b w:val="1"/>
          <w:bCs w:val="1"/>
          <w:i w:val="1"/>
          <w:iCs w:val="1"/>
          <w:color w:val="auto"/>
        </w:rPr>
        <w:t>Inflation:</w:t>
      </w:r>
      <w:r>
        <w:rPr>
          <w:sz w:val="20"/>
          <w:szCs w:val="20"/>
          <w:color w:val="auto"/>
        </w:rPr>
        <w:tab/>
      </w:r>
      <w:r>
        <w:rPr>
          <w:rFonts w:ascii="Arial" w:cs="Arial" w:eastAsia="Arial" w:hAnsi="Arial"/>
          <w:sz w:val="15"/>
          <w:szCs w:val="15"/>
          <w:color w:val="auto"/>
        </w:rPr>
        <w:t>Cost was inflated to period of performance (2.0% at</w:t>
      </w:r>
    </w:p>
    <w:p>
      <w:pPr>
        <w:spacing w:after="0" w:line="5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Inflation rate changed to 2.5% effective January 1, 2003</w:t>
      </w:r>
    </w:p>
    <w:p>
      <w:pPr>
        <w:spacing w:after="0" w:line="199" w:lineRule="exact"/>
        <w:rPr>
          <w:sz w:val="20"/>
          <w:szCs w:val="20"/>
          <w:color w:val="auto"/>
        </w:rPr>
      </w:pPr>
    </w:p>
    <w:p>
      <w:pPr>
        <w:sectPr>
          <w:pgSz w:w="11900" w:h="16838" w:orient="portrait"/>
          <w:cols w:equalWidth="0" w:num="2">
            <w:col w:w="6820" w:space="72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8"/>
          <w:szCs w:val="18"/>
          <w:color w:val="auto"/>
        </w:rPr>
        <w:t>Closure and post-closure</w:t>
      </w:r>
      <w:r>
        <w:rPr>
          <w:sz w:val="20"/>
          <w:szCs w:val="20"/>
          <w:color w:val="auto"/>
        </w:rPr>
        <w:tab/>
      </w:r>
      <w:r>
        <w:rPr>
          <w:rFonts w:ascii="Arial" w:cs="Arial" w:eastAsia="Arial" w:hAnsi="Arial"/>
          <w:sz w:val="16"/>
          <w:szCs w:val="16"/>
          <w:color w:val="auto"/>
        </w:rPr>
        <w:t>Accrued over the life of the landfill; the discounted cash</w:t>
      </w:r>
    </w:p>
    <w:p>
      <w:pPr>
        <w:spacing w:after="0" w:line="15" w:lineRule="exact"/>
        <w:rPr>
          <w:sz w:val="20"/>
          <w:szCs w:val="20"/>
          <w:color w:val="auto"/>
        </w:rPr>
      </w:pPr>
    </w:p>
    <w:p>
      <w:pPr>
        <w:ind w:left="3000"/>
        <w:spacing w:after="0" w:line="255" w:lineRule="auto"/>
        <w:rPr>
          <w:sz w:val="20"/>
          <w:szCs w:val="20"/>
          <w:color w:val="auto"/>
        </w:rPr>
      </w:pPr>
      <w:r>
        <w:rPr>
          <w:rFonts w:ascii="Arial" w:cs="Arial" w:eastAsia="Arial" w:hAnsi="Arial"/>
          <w:sz w:val="18"/>
          <w:szCs w:val="18"/>
          <w:color w:val="auto"/>
        </w:rPr>
        <w:t>flow associated with such liabilities was recorded to accrued liabilities, with a corresponding charge to cost of operations as airspace is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Accrued over the life of the landfill; the discounted cash flow associated with such liabilities is recorded to accrued liabilities, with a corresponding increase in landfill assets as airspace is consumed</w:t>
      </w:r>
    </w:p>
    <w:p>
      <w:pPr>
        <w:spacing w:after="0" w:line="180" w:lineRule="exact"/>
        <w:rPr>
          <w:sz w:val="20"/>
          <w:szCs w:val="20"/>
          <w:color w:val="auto"/>
        </w:rPr>
      </w:pPr>
    </w:p>
    <w:p>
      <w:pPr>
        <w:sectPr>
          <w:pgSz w:w="11900" w:h="16838" w:orient="portrait"/>
          <w:cols w:equalWidth="0" w:num="2">
            <w:col w:w="7020" w:space="520"/>
            <w:col w:w="3880"/>
          </w:cols>
          <w:pgMar w:left="240" w:top="935"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i w:val="1"/>
          <w:iCs w:val="1"/>
          <w:color w:val="auto"/>
        </w:rPr>
        <w:t>Statement of Operations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Expense:</w:t>
      </w:r>
    </w:p>
    <w:p>
      <w:pPr>
        <w:spacing w:after="0" w:line="9" w:lineRule="exact"/>
        <w:rPr>
          <w:sz w:val="20"/>
          <w:szCs w:val="20"/>
          <w:color w:val="auto"/>
        </w:rPr>
      </w:pPr>
    </w:p>
    <w:p>
      <w:pPr>
        <w:ind w:left="360"/>
        <w:spacing w:after="0"/>
        <w:tabs>
          <w:tab w:leader="none" w:pos="2980" w:val="left"/>
          <w:tab w:leader="none" w:pos="7520" w:val="left"/>
        </w:tabs>
        <w:rPr>
          <w:sz w:val="20"/>
          <w:szCs w:val="20"/>
          <w:color w:val="auto"/>
        </w:rPr>
      </w:pPr>
      <w:r>
        <w:rPr>
          <w:rFonts w:ascii="Arial" w:cs="Arial" w:eastAsia="Arial" w:hAnsi="Arial"/>
          <w:sz w:val="18"/>
          <w:szCs w:val="18"/>
          <w:color w:val="auto"/>
        </w:rPr>
        <w:t>Liability accrual</w:t>
      </w:r>
      <w:r>
        <w:rPr>
          <w:sz w:val="20"/>
          <w:szCs w:val="20"/>
          <w:color w:val="auto"/>
        </w:rPr>
        <w:tab/>
      </w:r>
      <w:r>
        <w:rPr>
          <w:rFonts w:ascii="Arial" w:cs="Arial" w:eastAsia="Arial" w:hAnsi="Arial"/>
          <w:sz w:val="18"/>
          <w:szCs w:val="18"/>
          <w:color w:val="auto"/>
        </w:rPr>
        <w:t>Expense charged to cost of operations at same amount</w:t>
      </w:r>
      <w:r>
        <w:rPr>
          <w:sz w:val="20"/>
          <w:szCs w:val="20"/>
          <w:color w:val="auto"/>
        </w:rPr>
        <w:tab/>
      </w:r>
      <w:r>
        <w:rPr>
          <w:rFonts w:ascii="Arial" w:cs="Arial" w:eastAsia="Arial" w:hAnsi="Arial"/>
          <w:sz w:val="16"/>
          <w:szCs w:val="16"/>
          <w:color w:val="auto"/>
        </w:rPr>
        <w:t>Not applicable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accrued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color w:val="auto"/>
        </w:rPr>
        <w:t>Landfill asset amortization</w:t>
      </w:r>
      <w:r>
        <w:rPr>
          <w:sz w:val="20"/>
          <w:szCs w:val="20"/>
          <w:color w:val="auto"/>
        </w:rPr>
        <w:tab/>
      </w:r>
      <w:r>
        <w:rPr>
          <w:rFonts w:ascii="Arial" w:cs="Arial" w:eastAsia="Arial" w:hAnsi="Arial"/>
          <w:sz w:val="16"/>
          <w:szCs w:val="16"/>
          <w:color w:val="auto"/>
        </w:rPr>
        <w:t>Not applicable for landfill closure and post closure</w:t>
      </w:r>
    </w:p>
    <w:p>
      <w:pPr>
        <w:spacing w:after="0" w:line="15" w:lineRule="exact"/>
        <w:rPr>
          <w:sz w:val="20"/>
          <w:szCs w:val="20"/>
          <w:color w:val="auto"/>
        </w:rPr>
      </w:pPr>
    </w:p>
    <w:p>
      <w:pPr>
        <w:ind w:left="3000"/>
        <w:spacing w:after="0" w:line="331" w:lineRule="auto"/>
        <w:rPr>
          <w:sz w:val="20"/>
          <w:szCs w:val="20"/>
          <w:color w:val="auto"/>
        </w:rPr>
      </w:pPr>
      <w:r>
        <w:rPr>
          <w:rFonts w:ascii="Arial" w:cs="Arial" w:eastAsia="Arial" w:hAnsi="Arial"/>
          <w:sz w:val="15"/>
          <w:szCs w:val="15"/>
          <w:color w:val="auto"/>
        </w:rPr>
        <w:t>obligations. For final capping, the capitalized and expected future costs (on an undiscounted basis) were amortized as airspace was consumed over the life of the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Landfill asset is amortized to depreciation and amortization expense as airspace is consumed over the life of the specific final capping event or life of landfill for closure and post-closure</w:t>
      </w:r>
    </w:p>
    <w:p>
      <w:pPr>
        <w:spacing w:after="0" w:line="210"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5"/>
          <w:szCs w:val="15"/>
          <w:color w:val="auto"/>
        </w:rPr>
        <w:t>Accretion</w:t>
      </w:r>
      <w:r>
        <w:rPr>
          <w:sz w:val="20"/>
          <w:szCs w:val="20"/>
          <w:color w:val="auto"/>
        </w:rPr>
        <w:tab/>
      </w:r>
      <w:r>
        <w:rPr>
          <w:rFonts w:ascii="Arial" w:cs="Arial" w:eastAsia="Arial" w:hAnsi="Arial"/>
          <w:sz w:val="15"/>
          <w:szCs w:val="15"/>
          <w:color w:val="auto"/>
        </w:rPr>
        <w:t>Expense, charged to cost of operations, was accrued at risk-</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free rate over the life of the landfill as airspace was</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Expense, charged to cost of operations, is accreted at credit-adjusted, risk-free rate (7.25%) under the effective interest method</w:t>
      </w:r>
    </w:p>
    <w:p>
      <w:pPr>
        <w:spacing w:after="0" w:line="200" w:lineRule="exact"/>
        <w:rPr>
          <w:sz w:val="20"/>
          <w:szCs w:val="20"/>
          <w:color w:val="auto"/>
        </w:rPr>
      </w:pPr>
    </w:p>
    <w:p>
      <w:pPr>
        <w:sectPr>
          <w:pgSz w:w="11900" w:h="16838" w:orient="portrait"/>
          <w:cols w:equalWidth="0" w:num="2">
            <w:col w:w="7180" w:space="360"/>
            <w:col w:w="3880"/>
          </w:cols>
          <w:pgMar w:left="240" w:top="935" w:right="239" w:bottom="1440" w:gutter="0" w:footer="0" w:header="0"/>
          <w:type w:val="continuous"/>
        </w:sectPr>
      </w:pPr>
    </w:p>
    <w:p>
      <w:pPr>
        <w:spacing w:after="0" w:line="25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amortize landfill retirement costs arising from closure and post-closure obligations, which are capitalized as part of the landfill asset, using our historical landfill accounting practices. However, we amortize landfill retirement costs arising from final capping obligations, which are also capitalized as part of the landfill asset, on a units-of-consumption method as airspace is consumed over the estimated capacity associated with each final capping event. This change from our historical method requires the Company to make additional estimates related to the capacity of each final capping event and to track landfill consumption by event. These estimates are reviewed at least annually.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balance sheet impact of the adoption of SFAS No. 143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2002</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Landfill assets</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8,607</w:t>
            </w: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landfill airspace amortization</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(3,539)</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(161)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(3,700)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landfill assets</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5,068</w:t>
            </w: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Current landfill and environmental remediation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Long-term landfill and environmental remediation liabilities</w:t>
            </w:r>
          </w:p>
        </w:tc>
        <w:tc>
          <w:tcPr>
            <w:tcW w:w="6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Total landfill and environmental remediation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w:t>
            </w:r>
          </w:p>
        </w:tc>
        <w:tc>
          <w:tcPr>
            <w:tcW w:w="5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material financial commitments for final capping, closure and post-closure obligations with respect to our landfills. We develop our estimates of these obligations using input from our operations, engineers and accountants. Our estimates are based on our interpretation of current requirements and proposed regulatory changes and are intended to approximate fair value. Absent quoted market prices, the estimate of fair value should be based on the best available information, including the results of present value techniques. In general, we contract with third parties to fulfill most of our obligations for final capping, closure and post-closure. Accordingly, the fair value of these obligations is based upon quoted and actual prices paid for similar work. However, we intend to perform some of these activities using internal resources. Where internal resources are expected to be used to fulfill an asset retirement obligation, we have added a profit margin to the estimated cost of such services to better reflect the fair value of the obligation. When we then perform these services internally, the added profit margin is recognized as a component of operating income in the period earned. An estimate of fair value should include the price that marketplace participants are able to receive for bearing the uncertainties in cash flows. However, when using discounted cash flow techniques, reliable estimates of market premiums may not be obtainable. In the waste industry, there is no market for selling the responsibility for final capping, closure and post-closure obligations independent of selling the landfill in its entirety. Accordingly, we do not believe that it is possible to develop a methodology to reliably estimate a market risk premium and have therefore excluded any such market risk premium from our determination of expected cash flows for landfill asset retirement obligations.</w:t>
      </w:r>
    </w:p>
    <w:p>
      <w:pPr>
        <w:spacing w:after="0" w:line="205" w:lineRule="exact"/>
        <w:rPr>
          <w:sz w:val="20"/>
          <w:szCs w:val="20"/>
          <w:color w:val="auto"/>
        </w:rPr>
      </w:pPr>
    </w:p>
    <w:p>
      <w:pPr>
        <w:ind w:right="180" w:firstLine="324"/>
        <w:spacing w:after="0" w:line="318" w:lineRule="auto"/>
        <w:rPr>
          <w:sz w:val="20"/>
          <w:szCs w:val="20"/>
          <w:color w:val="auto"/>
        </w:rPr>
      </w:pPr>
      <w:r>
        <w:rPr>
          <w:rFonts w:ascii="Arial" w:cs="Arial" w:eastAsia="Arial" w:hAnsi="Arial"/>
          <w:sz w:val="15"/>
          <w:szCs w:val="15"/>
          <w:color w:val="auto"/>
        </w:rPr>
        <w:t>Once we have determined the final capping, closure and post-closure costs, we then inflate those costs to the expected time of payment and discount those expected future costs back to present value. We have inflated these costs in current dollars until the expected time of payment using an inflation rate of 2.5% at June 30, 2003, and have discounted these costs to present value using a credit-adjusted, risk-free discount rate of 7.25% at June 30, 2003. The credit-adjusted, risk-free rate is based on the risk-free interest rate on obligations of similar maturity adjusted for our own credit rating. Changes in our credit-adjusted, risk-free rate do not change recorded liabilities, but subsequently recognized obligations are measured using the revised credit-adjusted, risk-free rate.</w:t>
      </w:r>
    </w:p>
    <w:p>
      <w:pPr>
        <w:spacing w:after="0" w:line="181"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Management reviews the estimates of our obligations at least annually. Significant changes in inflation rates or the amount or timing of future final capping, closure and post-closure cost estimates typically result in both (i) a current adjustment to the recorded liability (and corresponding adjustment to the landfill asset), based on the landfill’s capacity consumed to date, and (ii) a change in liability and asset amounts to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recorded prospectively over the remaining capacity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w:t>
      </w:r>
    </w:p>
    <w:p>
      <w:pPr>
        <w:spacing w:after="0" w:line="2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liability and corresponding asset are recorded on a per-ton basis. The estimated fair value of each final capping event will be fully accrued when the tons associated with such capping event have been disposed in the landfill. Additionally, the estimated fair value of total future final capping, closure and post-closure costs will be fully accrued for each landfill at the time the site discontinues accepting waste and is closed. Closure and post-closure accruals consider estimates for methane gas control, leachate management and ground-water monitoring and other operational and maintenance costs to be incurred after the site discontinues accepting waste, which is generally expected to be for a period of up to thirty years after final site closure. Daily maintenance activities, which include many of these costs, are expensed as incurred during the operating life of the landfill. Daily maintenance activities include leachate disposal; surface water, groundwater, and methane gas monitoring and maintenance; other pollution control activities; mowing and fertilizing the landfill final cap; fence and road maintenance; and third party inspection and reporting costs. For purchased disposal sites, we assess and record the estimated fair value of final capping, closure and post-closure liabilities at the time we assume such responsibilities. Such liabilities are based on the percentage of airspace consumed related to such obligations as of the date we assumed the responsibility. Thereafter, we account for the landfill and related final capping, closure and post-closure obligations consistent with the policy described above.</w:t>
      </w:r>
    </w:p>
    <w:p>
      <w:pPr>
        <w:spacing w:after="0" w:line="20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on the income statement.</w:t>
      </w:r>
    </w:p>
    <w:p>
      <w:pPr>
        <w:spacing w:after="0" w:line="213"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EPA’s Subtitles C and D regulations, as implemented and applied on a state-by-state basis. The costs to comply with these requirements could change materially as a result of legislation or regulation.</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We routinely review and evaluate sites that require remediation, including sites listed on the EPA’s National Priorities List, or NPL. We consider whether we were an owner, operator, transporter, or generator at the site, the amount and type of waste hauled to the site and the number of years we were connected with the site. We also review the same information with respect to other named and unnamed PRPs, or potentially responsible parties. We then determine our estimated cost for the likely remedy, which we base on (i) management’s judgment and experience in remediating sites; (ii) information available from regulatory agencies as to costs of remediation; (iii) the number, financial resources and relative degree of responsibility of other PRPs who may be liable for remediation of a specific site; and (iv) the typical allocation of costs among PRPs. These estimates are sometimes a range of “reasonably possible” outcomes. “Reasonably possible” outcomes are those outcomes that are considered more than remote and less than likely. In cases where our estimates are a range,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and its interpretations. Were we to use the high ends of such ranges, our aggregate potential liability would be approximately $180 million higher on a discounted basis than the estimate recorded in the consolidated financial statements as of June 30, 2003.</w:t>
      </w:r>
    </w:p>
    <w:p>
      <w:pPr>
        <w:spacing w:after="0" w:line="20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June 30, 2003, we had been notified that we are a PRP in connection with 74 locations listed on the NPL. Through various acquisitions, we have come to own 17 of these sites that were initially developed by others. We are working with the government to characterize or remediate identified site problems and have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either agreed with other legally liable parties on an arrangement for sharing the costs of remediation or are pursuing resolution of an allocation formula. We generally expect to receive any amounts due from these parties at, or near, the time that we make remedial expenditures. Claims have been made against us at another 57 sites we do not own where we have been an operator, transporter or generator of waste. These claims are at different procedural stages under the Comprehensive Environmental Response, Compensation and Liability Act of 1980, as amended, which is also known as Superfund. At some of these sites,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19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225" w:lineRule="exact"/>
        <w:rPr>
          <w:sz w:val="20"/>
          <w:szCs w:val="20"/>
          <w:color w:val="auto"/>
        </w:rPr>
      </w:pPr>
    </w:p>
    <w:p>
      <w:pPr>
        <w:ind w:right="160" w:firstLine="324"/>
        <w:spacing w:after="0" w:line="318" w:lineRule="auto"/>
        <w:rPr>
          <w:sz w:val="20"/>
          <w:szCs w:val="20"/>
          <w:color w:val="auto"/>
        </w:rPr>
      </w:pPr>
      <w:r>
        <w:rPr>
          <w:rFonts w:ascii="Arial" w:cs="Arial" w:eastAsia="Arial" w:hAnsi="Arial"/>
          <w:sz w:val="15"/>
          <w:szCs w:val="15"/>
          <w:color w:val="auto"/>
        </w:rPr>
        <w:t>Where we believe that both the amount of a particular environmental remediation liability and the timing of the payments are reliably determinable, we inflate the cost in current dollars (2.5% at June 30, 2003 and 2.0% at December 31, 2002) until the expected time of payment and discount the cost to present value using a risk-free discount rate with a term approximating the weighted average period until settlement of the underlying obligation (4.0% at June 30, 2003 and 5.0% at December 31, 2002). We review the discount rate, which is based on the rates for United States Treasury bonds, and the inflation rate on an annual basis. For remedial liabilities that have been discounted, we include interest accretion, based on the effective interest method, in operating costs and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 2003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December 31, 2002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Landfill(a)</w:t>
            </w:r>
          </w:p>
        </w:tc>
        <w:tc>
          <w:tcPr>
            <w:tcW w:w="28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Landfill(a)</w:t>
            </w:r>
          </w:p>
        </w:tc>
        <w:tc>
          <w:tcPr>
            <w:tcW w:w="28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$ 124</w:t>
            </w:r>
          </w:p>
        </w:tc>
        <w:tc>
          <w:tcPr>
            <w:tcW w:w="4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center"/>
              <w:ind w:left="619"/>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$ 114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Long-term</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292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606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278</w:t>
            </w:r>
          </w:p>
        </w:tc>
        <w:tc>
          <w:tcPr>
            <w:tcW w:w="5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$ 978</w:t>
            </w:r>
          </w:p>
        </w:tc>
        <w:tc>
          <w:tcPr>
            <w:tcW w:w="4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353</w:t>
            </w:r>
          </w:p>
        </w:tc>
        <w:tc>
          <w:tcPr>
            <w:tcW w:w="5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1,331</w:t>
            </w: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655</w:t>
            </w:r>
          </w:p>
        </w:tc>
        <w:tc>
          <w:tcPr>
            <w:tcW w:w="4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center"/>
              <w:ind w:left="619"/>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343</w:t>
            </w:r>
          </w:p>
        </w:tc>
        <w:tc>
          <w:tcPr>
            <w:tcW w:w="5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$ 998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right="540" w:hanging="461"/>
        <w:spacing w:after="0" w:line="33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June 30, 2003, landfill liabilities include our final capping, closure and post-closure obligations pursuant to SFAS No. 143. Final capping obligations to be discharged during the operating lives of landfills were not included in landfill liabilities as of December 31,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to landfill and environmental remediation liabilities for the six months ended June 30, 2003 and June 30, 2002 are as follows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100" w:type="dxa"/>
            <w:vAlign w:val="bottom"/>
            <w:gridSpan w:val="3"/>
          </w:tcPr>
          <w:p>
            <w:pPr>
              <w:ind w:left="32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Obligations settled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200" w:type="dxa"/>
            <w:vAlign w:val="bottom"/>
            <w:gridSpan w:val="3"/>
          </w:tcPr>
          <w:p>
            <w:pPr>
              <w:jc w:val="center"/>
              <w:ind w:left="812"/>
              <w:spacing w:after="0"/>
              <w:rPr>
                <w:sz w:val="20"/>
                <w:szCs w:val="20"/>
                <w:color w:val="auto"/>
              </w:rPr>
            </w:pPr>
            <w:r>
              <w:rPr>
                <w:rFonts w:ascii="Arial" w:cs="Arial" w:eastAsia="Arial" w:hAnsi="Arial"/>
                <w:sz w:val="18"/>
                <w:szCs w:val="18"/>
                <w:color w:val="auto"/>
                <w:w w:val="93"/>
              </w:rPr>
              <w:t>(17)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Revisions in estimates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2003</w:t>
            </w: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20" w:type="dxa"/>
            <w:vAlign w:val="bottom"/>
            <w:gridSpan w:val="2"/>
            <w:vMerge w:val="continue"/>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340" w:type="dxa"/>
            <w:vAlign w:val="bottom"/>
          </w:tcPr>
          <w:p>
            <w:pPr>
              <w:spacing w:after="0"/>
              <w:rPr>
                <w:sz w:val="24"/>
                <w:szCs w:val="24"/>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$353</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Spending</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3"/>
              </w:rPr>
              <w:t>(20)</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$656</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At several of our landfills, we provide financial assurance by depositing cash into escrow accounts or trust funds that are legally restricted for purposes of settling closure and post-closure obligations. These funds are generally invested in cash or cash-equivalent instruments. The fair value of these escrow accounts and trust funds was approximately $105 million at June 30, 2003, and is included as other long-term assets in our condensed consolidated balance sheet.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3.</w:t>
            </w:r>
          </w:p>
        </w:tc>
        <w:tc>
          <w:tcPr>
            <w:tcW w:w="64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Debt and Interest Rate Derivatives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Debt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rPr>
              <w:t>Debt consisted of the following (in millions):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74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Senior notes and debentures, maturing through 2032, interest of 6.375% to 8.75%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6,212</w:t>
            </w:r>
          </w:p>
        </w:tc>
        <w:tc>
          <w:tcPr>
            <w:tcW w:w="90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6,164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Tax-exempt bonds maturing through 2031, fixed and variable interest rates</w:t>
            </w:r>
          </w:p>
        </w:tc>
        <w:tc>
          <w:tcPr>
            <w:tcW w:w="8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7"/>
              </w:rPr>
              <w:t>ranging from 1% to 10% (weighted average interest rate of 3.1% at June 30,</w:t>
            </w:r>
          </w:p>
        </w:tc>
        <w:tc>
          <w:tcPr>
            <w:tcW w:w="8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2003)</w:t>
            </w:r>
          </w:p>
        </w:tc>
        <w:tc>
          <w:tcPr>
            <w:tcW w:w="84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1,376</w:t>
            </w:r>
          </w:p>
        </w:tc>
        <w:tc>
          <w:tcPr>
            <w:tcW w:w="900" w:type="dxa"/>
            <w:vAlign w:val="bottom"/>
            <w:shd w:val="clear" w:color="auto" w:fill="EEEEEE"/>
          </w:tcPr>
          <w:p>
            <w:pPr>
              <w:spacing w:after="0"/>
              <w:rPr>
                <w:sz w:val="19"/>
                <w:szCs w:val="19"/>
                <w:color w:val="auto"/>
              </w:rPr>
            </w:pPr>
          </w:p>
        </w:tc>
        <w:tc>
          <w:tcPr>
            <w:tcW w:w="14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1,262</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4"/>
              </w:rPr>
              <w:t>Project bonds, principal payable in periodic installments, maturing through 2027,</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w w:val="99"/>
              </w:rPr>
              <w:t>fixed and variable interest rates ranging from 1% to 9% (weighted average</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interest rate of 5.1% at June 30, 2003)</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90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634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8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90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1"/>
              </w:rPr>
              <w:t>Capital leases and other notes payable, maturing through 2022, interest rates up to</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6400" w:type="dxa"/>
            <w:vAlign w:val="bottom"/>
            <w:gridSpan w:val="2"/>
          </w:tcPr>
          <w:p>
            <w:pPr>
              <w:ind w:left="48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c>
          <w:tcPr>
            <w:tcW w:w="90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201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8,458</w:t>
            </w:r>
          </w:p>
        </w:tc>
        <w:tc>
          <w:tcPr>
            <w:tcW w:w="90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8,293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900" w:type="dxa"/>
            <w:vAlign w:val="bottom"/>
          </w:tcPr>
          <w:p>
            <w:pPr>
              <w:spacing w:after="0"/>
              <w:rPr>
                <w:sz w:val="20"/>
                <w:szCs w:val="20"/>
                <w:color w:val="auto"/>
              </w:rPr>
            </w:pPr>
            <w:r>
              <w:rPr>
                <w:rFonts w:ascii="Arial" w:cs="Arial" w:eastAsia="Arial" w:hAnsi="Arial"/>
                <w:sz w:val="18"/>
                <w:szCs w:val="18"/>
                <w:color w:val="auto"/>
              </w:rPr>
              <w:t>(a),(b),(c)</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8,350</w:t>
            </w:r>
          </w:p>
        </w:tc>
        <w:tc>
          <w:tcPr>
            <w:tcW w:w="90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$8,062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line="25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2002, we had $434 million of 6.375% senior notes due December 1, 2003 and $450 million of 7.1% senior notes due August 1, 2026 that were subject to redemption on August 1, 2003 at the option of the holders. We classified $770 million of these borrowings as long-term at December 31, 2002. As of June 30, 2003, we have $434 million of 6.375% senior notes due December 1, 2003, $150 million of 8.0% senior notes due April 30, 2004 and $200 million of 6.5% senior</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755"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jc w:val="both"/>
        <w:ind w:left="700" w:right="240"/>
        <w:spacing w:after="0" w:line="306" w:lineRule="auto"/>
        <w:rPr>
          <w:sz w:val="20"/>
          <w:szCs w:val="20"/>
          <w:color w:val="auto"/>
        </w:rPr>
      </w:pPr>
      <w:r>
        <w:rPr>
          <w:rFonts w:ascii="Arial" w:cs="Arial" w:eastAsia="Arial" w:hAnsi="Arial"/>
          <w:sz w:val="16"/>
          <w:szCs w:val="16"/>
          <w:color w:val="auto"/>
        </w:rPr>
        <w:t>notes due May 15, 2004. We classified all of these borrowings as long-term at June 30, 2003. The classification of these obligations as long-term was based upon our available capacity under our two long-term revolving credit facilities and our intent to refinance the borrowings with other long-term financings. In the event other sources of long-term financing are not available, we intend to use our revolving credit facilities.</w:t>
      </w:r>
    </w:p>
    <w:p>
      <w:pPr>
        <w:spacing w:after="0" w:line="188" w:lineRule="exact"/>
        <w:rPr>
          <w:sz w:val="20"/>
          <w:szCs w:val="20"/>
          <w:color w:val="auto"/>
        </w:rPr>
      </w:pPr>
    </w:p>
    <w:p>
      <w:pPr>
        <w:ind w:left="700" w:right="200" w:hanging="462"/>
        <w:spacing w:after="0" w:line="298"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$543 million of tax-exempt bonds at June 30, 2003 that mature through 2031 that are remarketed weekly by a remarketing agent. If the remarketing agent is unable to remarket the bonds, then the remarketing agent can put the bonds to the Company. We have obtained letters of credit, issued under our revolving credit facilities, to guarantee repayment of the bonds in this event. We classified these borrowings as long-term at June 30, 2003 because the borrowings are supported by letters of credit issued under our two revolving credit facilities, which are both long-term.</w:t>
      </w:r>
    </w:p>
    <w:p>
      <w:pPr>
        <w:spacing w:after="0" w:line="193" w:lineRule="exact"/>
        <w:rPr>
          <w:rFonts w:ascii="Arial" w:cs="Arial" w:eastAsia="Arial" w:hAnsi="Arial"/>
          <w:sz w:val="16"/>
          <w:szCs w:val="16"/>
          <w:color w:val="auto"/>
        </w:rPr>
      </w:pPr>
    </w:p>
    <w:p>
      <w:pPr>
        <w:ind w:left="700" w:right="60" w:hanging="462"/>
        <w:spacing w:after="0" w:line="25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$450 million of 7.1% senior notes due August 1, 2026. These notes were subject to repayment on August 1, 2003 at the option of the holder. Approximately $1 million of the notes were put to the Company for redemption. The right to put the remaining $449 million of the senior notes expired July 15, 2003. Therefore, $449 million of the 7.1% senior notes are classified as long-term in the accompanying condensed consolidated balance sheet.</w:t>
      </w:r>
    </w:p>
    <w:p>
      <w:pPr>
        <w:spacing w:after="0" w:line="224"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As of June 30, 2003, we had a three-year, $650 million syndicated revolving credit facility and a five-year, $1.75 billion syndicated revolving credit facility. The three-year revolver matures in June 2005 and the five-year revolver matures in June 2006. At June 30, 2003, no borrowings were outstanding under our revolving credit facilities and we had unused and available credit capacity under these facilities of approximately $870 million. The unused and available capacity under these facilities was approximately $770 million at December 31, 2002.</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our operations, and in connection with issuances of tax-exempt bonds, we use letters of credit to support our bonding and funding needs. In order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increase our letter of credit availability, on June 30, 2003 we entered into a five-year, $15 million letter of credit and term loan agreement, a seven-year,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letter of credit and term loan agreement, and a ten-year, $105 million letter of credit and term loan agreement, which expire in June 2008,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respectively (collectively, the “LC and term loan agreements”). At June 30, 2003, letters of credit were issued and outstanding for the full $295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capacity under these agreements.</w:t>
      </w:r>
    </w:p>
    <w:p>
      <w:pPr>
        <w:spacing w:after="0" w:line="246"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As of June 30, 2003, we had letters of credit in the aggregate amount of approximately $1.93 billion (of which approximately $1.53 billion are issued under the revolving credit facilities, $295 million are issued under the LC and term loan agreements and the remainder are issued under other various lines of credit). These letters of credit generally have terms allowing for automatic renewal after one year. In the event of an unreimbursed draw on a letter of credit, we have the ability to convert that amount into a term loan for the remaining term under its respective agreement or facility.</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of June 30, 2003, we are required to maintain the following financial covenants under our revolving credit facilities: (i) an interest coverage ratio; (ii) total debt to EBITDA;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the sum of stockholders’ equity to be less than $3.5 billion plus 75% of our cumulative consolidated net income for each fiscal quarter, beginning with the first fiscal quarter ended March 31, 2001. We are in compliance with all covenants under our revolving credit facilities and all other debt instruments.</w:t>
      </w:r>
    </w:p>
    <w:p>
      <w:pPr>
        <w:spacing w:after="0" w:line="201" w:lineRule="exact"/>
        <w:rPr>
          <w:sz w:val="20"/>
          <w:szCs w:val="20"/>
          <w:color w:val="auto"/>
        </w:rPr>
      </w:pPr>
    </w:p>
    <w:p>
      <w:pPr>
        <w:ind w:right="320" w:firstLine="324"/>
        <w:spacing w:after="0" w:line="370" w:lineRule="auto"/>
        <w:rPr>
          <w:sz w:val="20"/>
          <w:szCs w:val="20"/>
          <w:color w:val="auto"/>
        </w:rPr>
      </w:pPr>
      <w:r>
        <w:rPr>
          <w:rFonts w:ascii="Arial" w:cs="Arial" w:eastAsia="Arial" w:hAnsi="Arial"/>
          <w:sz w:val="15"/>
          <w:szCs w:val="15"/>
          <w:color w:val="auto"/>
        </w:rPr>
        <w:t>Our tax-exempt and project bonds are primarily related to industrial revenue bonds issued for the construction of various facilities. Proceeds from these financing arrangements are treated as non-cash financing activities for purposes of the statement of cash flows as the proceeds are directly deposited into trust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funds, and we do not have the ability to use the funds in regular operating activities. Accordingly, our 2003 issuances of approximately $116 million of tax-exempt bonds maturing through 2028 were treated as non-cash financing activities.</w:t>
      </w:r>
    </w:p>
    <w:p>
      <w:pPr>
        <w:spacing w:after="0" w:line="21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debt balances are generally unsecured, except for approximately $612 million of the project bonds outstanding at June 30, 2003 that are issued by certain of our subsidiaries within our Wheelabrator Group and secured by the related subsidiary’s assets and revenue.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67% fixed and 33% floating at June 30, 2003. Interest rate swap agreements outstanding as of December 31, 2002 and June 30, 2003 are set forth in the table below (dollars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jc w:val="right"/>
              <w:ind w:right="736"/>
              <w:spacing w:after="0"/>
              <w:rPr>
                <w:sz w:val="20"/>
                <w:szCs w:val="20"/>
                <w:color w:val="auto"/>
              </w:rPr>
            </w:pPr>
            <w:r>
              <w:rPr>
                <w:rFonts w:ascii="Arial" w:cs="Arial" w:eastAsia="Arial" w:hAnsi="Arial"/>
                <w:sz w:val="14"/>
                <w:szCs w:val="14"/>
                <w:b w:val="1"/>
                <w:bCs w:val="1"/>
                <w:color w:val="auto"/>
              </w:rPr>
              <w:t>Receive</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jc w:val="right"/>
              <w:ind w:right="876"/>
              <w:spacing w:after="0"/>
              <w:rPr>
                <w:sz w:val="20"/>
                <w:szCs w:val="20"/>
                <w:color w:val="auto"/>
              </w:rPr>
            </w:pPr>
            <w:r>
              <w:rPr>
                <w:rFonts w:ascii="Arial" w:cs="Arial" w:eastAsia="Arial" w:hAnsi="Arial"/>
                <w:sz w:val="14"/>
                <w:szCs w:val="14"/>
                <w:b w:val="1"/>
                <w:bCs w:val="1"/>
                <w:color w:val="auto"/>
              </w:rPr>
              <w:t>Pay</w:t>
            </w:r>
          </w:p>
        </w:tc>
        <w:tc>
          <w:tcPr>
            <w:tcW w:w="160" w:type="dxa"/>
            <w:vAlign w:val="bottom"/>
          </w:tcPr>
          <w:p>
            <w:pPr>
              <w:spacing w:after="0"/>
              <w:rPr>
                <w:sz w:val="15"/>
                <w:szCs w:val="15"/>
                <w:color w:val="auto"/>
              </w:rPr>
            </w:pPr>
          </w:p>
        </w:tc>
        <w:tc>
          <w:tcPr>
            <w:tcW w:w="2880" w:type="dxa"/>
            <w:vAlign w:val="bottom"/>
          </w:tcPr>
          <w:p>
            <w:pPr>
              <w:ind w:left="10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Asset/(Liability)(a)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December 31,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EEEEEE"/>
          </w:tcPr>
          <w:p>
            <w:pPr>
              <w:jc w:val="right"/>
              <w:ind w:right="796"/>
              <w:spacing w:after="0"/>
              <w:rPr>
                <w:sz w:val="20"/>
                <w:szCs w:val="20"/>
                <w:color w:val="auto"/>
              </w:rPr>
            </w:pPr>
            <w:r>
              <w:rPr>
                <w:rFonts w:ascii="Arial" w:cs="Arial" w:eastAsia="Arial" w:hAnsi="Arial"/>
                <w:sz w:val="18"/>
                <w:szCs w:val="18"/>
                <w:color w:val="auto"/>
              </w:rPr>
              <w:t>2002</w:t>
            </w:r>
          </w:p>
        </w:tc>
        <w:tc>
          <w:tcPr>
            <w:tcW w:w="340" w:type="dxa"/>
            <w:vAlign w:val="bottom"/>
            <w:gridSpan w:val="2"/>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Floating</w:t>
            </w:r>
          </w:p>
        </w:tc>
        <w:tc>
          <w:tcPr>
            <w:tcW w:w="138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4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EEEEEE"/>
          </w:tcPr>
          <w:p>
            <w:pPr>
              <w:spacing w:after="0"/>
              <w:rPr>
                <w:sz w:val="19"/>
                <w:szCs w:val="19"/>
                <w:color w:val="auto"/>
              </w:rPr>
            </w:pPr>
          </w:p>
        </w:tc>
        <w:tc>
          <w:tcPr>
            <w:tcW w:w="28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Through December 31, 2012</w:t>
            </w:r>
          </w:p>
        </w:tc>
        <w:tc>
          <w:tcPr>
            <w:tcW w:w="160" w:type="dxa"/>
            <w:vAlign w:val="bottom"/>
            <w:shd w:val="clear" w:color="auto" w:fill="EEEEEE"/>
          </w:tcPr>
          <w:p>
            <w:pPr>
              <w:spacing w:after="0"/>
              <w:rPr>
                <w:sz w:val="19"/>
                <w:szCs w:val="19"/>
                <w:color w:val="auto"/>
              </w:rPr>
            </w:pPr>
          </w:p>
        </w:tc>
        <w:tc>
          <w:tcPr>
            <w:tcW w:w="14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 (3)(b)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796"/>
              <w:spacing w:after="0"/>
              <w:rPr>
                <w:sz w:val="20"/>
                <w:szCs w:val="20"/>
                <w:color w:val="auto"/>
              </w:rPr>
            </w:pPr>
            <w:r>
              <w:rPr>
                <w:rFonts w:ascii="Arial" w:cs="Arial" w:eastAsia="Arial" w:hAnsi="Arial"/>
                <w:sz w:val="18"/>
                <w:szCs w:val="18"/>
                <w:color w:val="auto"/>
              </w:rPr>
              <w:t>2002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2,000</w:t>
            </w: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Fixed</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6.38%-7.65%</w:t>
            </w:r>
          </w:p>
        </w:tc>
        <w:tc>
          <w:tcPr>
            <w:tcW w:w="1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Floating</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2.97%-4.91%</w:t>
            </w:r>
          </w:p>
        </w:tc>
        <w:tc>
          <w:tcPr>
            <w:tcW w:w="160" w:type="dxa"/>
            <w:vAlign w:val="bottom"/>
          </w:tcPr>
          <w:p>
            <w:pPr>
              <w:spacing w:after="0"/>
              <w:rPr>
                <w:sz w:val="19"/>
                <w:szCs w:val="19"/>
                <w:color w:val="auto"/>
              </w:rPr>
            </w:pPr>
          </w:p>
        </w:tc>
        <w:tc>
          <w:tcPr>
            <w:tcW w:w="2880" w:type="dxa"/>
            <w:vAlign w:val="bottom"/>
          </w:tcPr>
          <w:p>
            <w:pPr>
              <w:ind w:left="440"/>
              <w:spacing w:after="0"/>
              <w:rPr>
                <w:sz w:val="20"/>
                <w:szCs w:val="20"/>
                <w:color w:val="auto"/>
              </w:rPr>
            </w:pPr>
            <w:r>
              <w:rPr>
                <w:rFonts w:ascii="Arial" w:cs="Arial" w:eastAsia="Arial" w:hAnsi="Arial"/>
                <w:sz w:val="18"/>
                <w:szCs w:val="18"/>
                <w:color w:val="auto"/>
              </w:rPr>
              <w:t>Through July 15, 2028</w:t>
            </w:r>
          </w:p>
        </w:tc>
        <w:tc>
          <w:tcPr>
            <w:tcW w:w="160" w:type="dxa"/>
            <w:vAlign w:val="bottom"/>
          </w:tcPr>
          <w:p>
            <w:pPr>
              <w:spacing w:after="0"/>
              <w:rPr>
                <w:sz w:val="19"/>
                <w:szCs w:val="19"/>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$34 (c)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June 30, 2003</w:t>
            </w:r>
          </w:p>
        </w:tc>
        <w:tc>
          <w:tcPr>
            <w:tcW w:w="340" w:type="dxa"/>
            <w:vAlign w:val="bottom"/>
            <w:gridSpan w:val="2"/>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18</w:t>
            </w: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Floating</w:t>
            </w:r>
          </w:p>
        </w:tc>
        <w:tc>
          <w:tcPr>
            <w:tcW w:w="138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4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Through December 31, 2012</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 (3)(b)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June 30, 2003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2,250</w:t>
            </w: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Fixed</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6.38-7.65%</w:t>
            </w:r>
          </w:p>
        </w:tc>
        <w:tc>
          <w:tcPr>
            <w:tcW w:w="1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Floating</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3.71-5.51%</w:t>
            </w:r>
          </w:p>
        </w:tc>
        <w:tc>
          <w:tcPr>
            <w:tcW w:w="160" w:type="dxa"/>
            <w:vAlign w:val="bottom"/>
          </w:tcPr>
          <w:p>
            <w:pPr>
              <w:spacing w:after="0"/>
              <w:rPr>
                <w:sz w:val="19"/>
                <w:szCs w:val="19"/>
                <w:color w:val="auto"/>
              </w:rPr>
            </w:pPr>
          </w:p>
        </w:tc>
        <w:tc>
          <w:tcPr>
            <w:tcW w:w="2880" w:type="dxa"/>
            <w:vAlign w:val="bottom"/>
          </w:tcPr>
          <w:p>
            <w:pPr>
              <w:ind w:left="440"/>
              <w:spacing w:after="0"/>
              <w:rPr>
                <w:sz w:val="20"/>
                <w:szCs w:val="20"/>
                <w:color w:val="auto"/>
              </w:rPr>
            </w:pPr>
            <w:r>
              <w:rPr>
                <w:rFonts w:ascii="Arial" w:cs="Arial" w:eastAsia="Arial" w:hAnsi="Arial"/>
                <w:sz w:val="18"/>
                <w:szCs w:val="18"/>
                <w:color w:val="auto"/>
              </w:rPr>
              <w:t>Through December 15, 2017</w:t>
            </w:r>
          </w:p>
        </w:tc>
        <w:tc>
          <w:tcPr>
            <w:tcW w:w="160" w:type="dxa"/>
            <w:vAlign w:val="bottom"/>
          </w:tcPr>
          <w:p>
            <w:pPr>
              <w:spacing w:after="0"/>
              <w:rPr>
                <w:sz w:val="19"/>
                <w:szCs w:val="19"/>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 (8)(c),(d)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right="180" w:hanging="462"/>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 party pricing models.</w:t>
      </w:r>
    </w:p>
    <w:p>
      <w:pPr>
        <w:spacing w:after="0" w:line="212" w:lineRule="exact"/>
        <w:rPr>
          <w:rFonts w:ascii="Arial" w:cs="Arial" w:eastAsia="Arial" w:hAnsi="Arial"/>
          <w:sz w:val="18"/>
          <w:szCs w:val="18"/>
          <w:color w:val="auto"/>
        </w:rPr>
      </w:pPr>
    </w:p>
    <w:p>
      <w:pPr>
        <w:ind w:left="700" w:right="40" w:hanging="462"/>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this interest rate derivative contract do not qualify for hedge accounting. Therefore, the contract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280" w:hanging="462"/>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these interest rate derivatives is a net fair value liability of $8 million that is comprised of $12 million of other long-term assets and $20 million of other long-term liabilities.</w:t>
      </w:r>
    </w:p>
    <w:p>
      <w:pPr>
        <w:spacing w:after="0" w:line="213"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During the first and second quarters of 2003, we terminated several interest rate swap agreements with a notional amount of $2.35 billion prior to the scheduled maturities and received cash of $117 million (which was comprised of $109 million for the fair value of the swaps terminated and $8 million of interest receivable) from the counterparties to the interest rate swaps. We had designated these swap agreements as fair value hedges, and as such the unamortized adjustment to long-term debt for the change in fair value of the swaps remains classified in long-term debt. The proceeds received from the termination of the interest rate swap agreements have been classified as a change in other assets or other liabilities within operating activities in the accompanying condensed consolidated statement of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$285 million as of June 30, 2003 and $239 million as of December 31, 2002. The following table summarizes the accumulated fair value adjustments from interest rate swap agreements by underlying debt instrument category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ind w:left="1500"/>
              <w:spacing w:after="0"/>
              <w:rPr>
                <w:sz w:val="20"/>
                <w:szCs w:val="20"/>
                <w:color w:val="auto"/>
              </w:rPr>
            </w:pPr>
            <w:r>
              <w:rPr>
                <w:rFonts w:ascii="Arial" w:cs="Arial" w:eastAsia="Arial" w:hAnsi="Arial"/>
                <w:sz w:val="14"/>
                <w:szCs w:val="14"/>
                <w:b w:val="1"/>
                <w:bCs w:val="1"/>
                <w:color w:val="auto"/>
              </w:rPr>
              <w:t>Increase in carrying value of debt due to</w:t>
            </w:r>
          </w:p>
        </w:tc>
        <w:tc>
          <w:tcPr>
            <w:tcW w:w="260" w:type="dxa"/>
            <w:vAlign w:val="bottom"/>
          </w:tcPr>
          <w:p>
            <w:pPr>
              <w:spacing w:after="0"/>
              <w:rPr>
                <w:sz w:val="14"/>
                <w:szCs w:val="14"/>
                <w:color w:val="auto"/>
              </w:rPr>
            </w:pPr>
          </w:p>
        </w:tc>
        <w:tc>
          <w:tcPr>
            <w:tcW w:w="1600" w:type="dxa"/>
            <w:vAlign w:val="bottom"/>
            <w:gridSpan w:val="3"/>
          </w:tcPr>
          <w:p>
            <w:pPr>
              <w:ind w:left="5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ind w:left="1520"/>
              <w:spacing w:after="0"/>
              <w:rPr>
                <w:sz w:val="20"/>
                <w:szCs w:val="20"/>
                <w:color w:val="auto"/>
              </w:rPr>
            </w:pPr>
            <w:r>
              <w:rPr>
                <w:rFonts w:ascii="Arial" w:cs="Arial" w:eastAsia="Arial" w:hAnsi="Arial"/>
                <w:sz w:val="14"/>
                <w:szCs w:val="14"/>
                <w:b w:val="1"/>
                <w:bCs w:val="1"/>
                <w:color w:val="auto"/>
              </w:rPr>
              <w:t>hedge accounting for interest rate swaps</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292</w:t>
            </w:r>
          </w:p>
        </w:tc>
        <w:tc>
          <w:tcPr>
            <w:tcW w:w="6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203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284</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237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285</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239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these amounts, $51 million (on a pre-tax basis) is scheduled to be reclassified as a credit to interest expense over the next twelve months.</w:t>
      </w:r>
    </w:p>
    <w:p>
      <w:pPr>
        <w:spacing w:after="0" w:line="30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rate swap agreements reduced net interest expense by $23 million and $47 million for the three and six months ended June 30, 2003, respectively, and $23 million and $43 million for the three and six months ended June 30, 2002, respectively. The significant terms of the interest rate contracts and the underlying debt instruments are identical and therefore no ineffectiveness has been realized.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During 2002 and 2001, we entered into cash flow hedges to secure the underlying interest rates in anticipation of our senior note issuances. These hedging agreements resulted in a deferred loss, net of taxes, of $38 million at June 30, 2003, which is included in accumulated other comprehensive income. Of this amount, $5 million (on a pre-tax basis) is scheduled to be reclassified into interest expense over the next twelve months.</w:t>
      </w:r>
    </w:p>
    <w:p>
      <w:pPr>
        <w:spacing w:after="0" w:line="39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the three and six months ended June 30, 2003 and June 30, 2002 is primarily due to state and local income taxes, offset in part by non-conventional fuel tax credits.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income represents all changes in our equity except for changes resulting from investments by, and distributions to,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June 30, 2003 and June 30, 2002 was as follows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10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Minimum pension liability adjustment, net of taxes</w:t>
            </w: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Unrealized loss resulting from changes in fair values of</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derivative instruments, net of tax benefit</w:t>
            </w:r>
          </w:p>
        </w:tc>
        <w:tc>
          <w:tcPr>
            <w:tcW w:w="52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(24)</w:t>
            </w: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32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w w:val="94"/>
              </w:rPr>
              <w:t>Gain on derivative instruments reclassified into earnings,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net of taxes</w:t>
            </w:r>
          </w:p>
        </w:tc>
        <w:tc>
          <w:tcPr>
            <w:tcW w:w="5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5"/>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Unrealized loss on marketable securities, net of tax</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benefit</w:t>
            </w:r>
          </w:p>
        </w:tc>
        <w:tc>
          <w:tcPr>
            <w:tcW w:w="52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w w:val="99"/>
              </w:rPr>
              <w:t>Translation adjustment of foreign currency statements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$333</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tcBorders>
              <w:right w:val="single" w:sz="8" w:color="EEEEEE"/>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Minimum pension liability adjustment, net of taxes</w:t>
            </w:r>
          </w:p>
        </w:tc>
        <w:tc>
          <w:tcPr>
            <w:tcW w:w="112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11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5"/>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5"/>
              </w:rPr>
              <w:t>(179)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and Stock Based Compensation</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reconciles net income as presented on the condensed consolidated statements of operations with diluted net income for purposes of calculating diluted earnings per common share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$355</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on convertible securities, net of taxes</w:t>
            </w: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Diluted 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$356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16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reconciles the number of common shares outstanding at June 30 of each year presented to the weighted average number of common shares outstanding and to the weighted average number of common and potentially dilutive common shares outstanding for the purpose of calculating basic and diluted earnings per common share (shares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8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02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2003</w:t>
            </w: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w w:val="97"/>
              </w:rPr>
              <w:t>Number of common shares outstanding at end of period</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591.8</w:t>
            </w:r>
          </w:p>
        </w:tc>
        <w:tc>
          <w:tcPr>
            <w:tcW w:w="8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611.4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591.8</w:t>
            </w:r>
          </w:p>
        </w:tc>
        <w:tc>
          <w:tcPr>
            <w:tcW w:w="11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611.4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591.5</w:t>
            </w:r>
          </w:p>
        </w:tc>
        <w:tc>
          <w:tcPr>
            <w:tcW w:w="8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615.3</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592.6</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620.6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8"/>
              </w:rPr>
              <w:t>Dilutive effect of common stock options and warrants</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and other contingently issuable shares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EEEEEE"/>
          </w:tcPr>
          <w:p>
            <w:pPr>
              <w:spacing w:after="0"/>
              <w:rPr>
                <w:sz w:val="19"/>
                <w:szCs w:val="19"/>
                <w:color w:val="auto"/>
              </w:rPr>
            </w:pP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1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Dilutive effect of convertible subordinated notes</w:t>
            </w:r>
          </w:p>
        </w:tc>
        <w:tc>
          <w:tcPr>
            <w:tcW w:w="4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9"/>
              </w:rPr>
              <w:t>Weighted average diluted common shares outstanding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594.8</w:t>
            </w:r>
          </w:p>
        </w:tc>
        <w:tc>
          <w:tcPr>
            <w:tcW w:w="8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619.2</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595.2</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626.4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For the three and six months ended June 30, 2003 and the three months ended June 30, 2002, we excluded the effect of our convertible subordinated notes from the diluted earnings per share calculation because the inclusion of this item would have been antidilutive.</w:t>
      </w:r>
    </w:p>
    <w:p>
      <w:pPr>
        <w:spacing w:after="0" w:line="16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At June 30, 2003, there were approximately 52.7 million shares of common stock potentially issuable with respect to stock options, warrants and convertible debt. We excluded approximately 32.3 million of these shares from the diluted earnings per share computation because their exercise price was greater than the average per share market price of our stock for the three and six months ended June 30, 2003. Including the impact of these potentially issuable shares in the current period calculations would have been antidilutive at June 30, 2003, but may dilute earnings per share in future periods.</w:t>
      </w:r>
    </w:p>
    <w:p>
      <w:pPr>
        <w:spacing w:after="0" w:line="194" w:lineRule="exact"/>
        <w:rPr>
          <w:sz w:val="20"/>
          <w:szCs w:val="20"/>
          <w:color w:val="auto"/>
        </w:rPr>
      </w:pPr>
    </w:p>
    <w:p>
      <w:pPr>
        <w:ind w:right="48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as amended. Pursuant to APB No. 25, we recognize no compensation cost for our stock option grants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is fixed.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 xml:space="preserve">The following schedule reflects the pro forma impact on net income and earnings per common share of accounting for our stock option grants using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which would result in the recognition of compensation expense for the fair value of stock option grants as computed using the Black-Scholes option-pricing model (in millions, except per share amounts).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Three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9"/>
              </w:rPr>
              <w:t>Ended June 30,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217</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195</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gridSpan w:val="2"/>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1"/>
              </w:rPr>
              <w:t>0.30</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0.35</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0.40</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0.57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0.06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1"/>
              </w:rPr>
              <w:t>0.27</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0.32</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0.34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0.51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gridSpan w:val="2"/>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1"/>
              </w:rPr>
              <w:t>0.30</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0.35</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0.40</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0.57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0.07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1"/>
              </w:rPr>
              <w:t>0.27</w:t>
            </w:r>
          </w:p>
        </w:tc>
        <w:tc>
          <w:tcPr>
            <w:tcW w:w="8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0.31</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0.34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0.50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Repurchases</w:t>
      </w:r>
    </w:p>
    <w:p>
      <w:pPr>
        <w:spacing w:after="0" w:line="2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each year through 2004, to be implemented at management’s discretion. Under the program, our purchases may be made in either open market or privately negotiated transactions primarily using cash flows from operations.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2003 activity under the stock repurchase program (in millions, except shares in thousands and price per share in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3"/>
          </w:tcPr>
          <w:p>
            <w:pPr>
              <w:ind w:left="1440"/>
              <w:spacing w:after="0"/>
              <w:rPr>
                <w:sz w:val="20"/>
                <w:szCs w:val="20"/>
                <w:color w:val="auto"/>
              </w:rPr>
            </w:pPr>
            <w:r>
              <w:rPr>
                <w:rFonts w:ascii="Arial" w:cs="Arial" w:eastAsia="Arial" w:hAnsi="Arial"/>
                <w:sz w:val="14"/>
                <w:szCs w:val="14"/>
                <w:b w:val="1"/>
                <w:bCs w:val="1"/>
                <w:color w:val="auto"/>
                <w:w w:val="90"/>
              </w:rPr>
              <w:t>Agreement</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5"/>
                <w:szCs w:val="15"/>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Settlement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center"/>
              <w:ind w:right="25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Purchase</w:t>
            </w:r>
          </w:p>
        </w:tc>
        <w:tc>
          <w:tcPr>
            <w:tcW w:w="220" w:type="dxa"/>
            <w:vAlign w:val="bottom"/>
            <w:vMerge w:val="restart"/>
          </w:tcPr>
          <w:p>
            <w:pPr>
              <w:spacing w:after="0"/>
              <w:rPr>
                <w:sz w:val="8"/>
                <w:szCs w:val="8"/>
                <w:color w:val="auto"/>
              </w:rPr>
            </w:pPr>
          </w:p>
        </w:tc>
        <w:tc>
          <w:tcPr>
            <w:tcW w:w="80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3"/>
              </w:rPr>
              <w:t>(Received)/</w:t>
            </w:r>
          </w:p>
        </w:tc>
        <w:tc>
          <w:tcPr>
            <w:tcW w:w="220" w:type="dxa"/>
            <w:vAlign w:val="bottom"/>
            <w:vMerge w:val="restart"/>
          </w:tcPr>
          <w:p>
            <w:pPr>
              <w:spacing w:after="0"/>
              <w:rPr>
                <w:sz w:val="8"/>
                <w:szCs w:val="8"/>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ind w:left="660"/>
              <w:spacing w:after="0"/>
              <w:rPr>
                <w:sz w:val="20"/>
                <w:szCs w:val="20"/>
                <w:color w:val="auto"/>
              </w:rPr>
            </w:pPr>
            <w:r>
              <w:rPr>
                <w:rFonts w:ascii="Arial" w:cs="Arial" w:eastAsia="Arial" w:hAnsi="Arial"/>
                <w:sz w:val="14"/>
                <w:szCs w:val="14"/>
                <w:color w:val="auto"/>
              </w:rPr>
              <w:t>Transaction Type</w:t>
            </w:r>
          </w:p>
        </w:tc>
        <w:tc>
          <w:tcPr>
            <w:tcW w:w="2120" w:type="dxa"/>
            <w:vAlign w:val="bottom"/>
            <w:gridSpan w:val="3"/>
          </w:tcPr>
          <w:p>
            <w:pPr>
              <w:ind w:left="340"/>
              <w:spacing w:after="0"/>
              <w:rPr>
                <w:sz w:val="20"/>
                <w:szCs w:val="20"/>
                <w:color w:val="auto"/>
              </w:rPr>
            </w:pPr>
            <w:r>
              <w:rPr>
                <w:rFonts w:ascii="Arial" w:cs="Arial" w:eastAsia="Arial" w:hAnsi="Arial"/>
                <w:sz w:val="14"/>
                <w:szCs w:val="14"/>
                <w:b w:val="1"/>
                <w:bCs w:val="1"/>
                <w:color w:val="auto"/>
              </w:rPr>
              <w:t>Initiating Date</w:t>
            </w:r>
          </w:p>
        </w:tc>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Settlement Date</w:t>
            </w:r>
          </w:p>
        </w:tc>
        <w:tc>
          <w:tcPr>
            <w:tcW w:w="2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6"/>
                <w:szCs w:val="16"/>
                <w:color w:val="auto"/>
              </w:rPr>
            </w:pP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Price per Share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1"/>
              </w:rPr>
              <w:t>Price</w:t>
            </w:r>
          </w:p>
        </w:tc>
        <w:tc>
          <w:tcPr>
            <w:tcW w:w="220" w:type="dxa"/>
            <w:vAlign w:val="bottom"/>
          </w:tcPr>
          <w:p>
            <w:pPr>
              <w:spacing w:after="0"/>
              <w:rPr>
                <w:sz w:val="16"/>
                <w:szCs w:val="16"/>
                <w:color w:val="auto"/>
              </w:rPr>
            </w:pPr>
          </w:p>
        </w:tc>
        <w:tc>
          <w:tcPr>
            <w:tcW w:w="800" w:type="dxa"/>
            <w:vAlign w:val="bottom"/>
            <w:gridSpan w:val="2"/>
          </w:tcPr>
          <w:p>
            <w:pPr>
              <w:ind w:left="260"/>
              <w:spacing w:after="0"/>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Private Accelerated Purchase(a)</w:t>
            </w:r>
          </w:p>
        </w:tc>
        <w:tc>
          <w:tcPr>
            <w:tcW w:w="2120" w:type="dxa"/>
            <w:vAlign w:val="bottom"/>
            <w:gridSpan w:val="3"/>
            <w:shd w:val="clear" w:color="auto" w:fill="EEEEEE"/>
          </w:tcPr>
          <w:p>
            <w:pPr>
              <w:ind w:left="380"/>
              <w:spacing w:after="0" w:line="149" w:lineRule="exact"/>
              <w:rPr>
                <w:sz w:val="20"/>
                <w:szCs w:val="20"/>
                <w:color w:val="auto"/>
              </w:rPr>
            </w:pPr>
            <w:r>
              <w:rPr>
                <w:rFonts w:ascii="Arial" w:cs="Arial" w:eastAsia="Arial" w:hAnsi="Arial"/>
                <w:sz w:val="14"/>
                <w:szCs w:val="14"/>
                <w:color w:val="auto"/>
              </w:rPr>
              <w:t>December 2002</w:t>
            </w:r>
          </w:p>
        </w:tc>
        <w:tc>
          <w:tcPr>
            <w:tcW w:w="1380" w:type="dxa"/>
            <w:vAlign w:val="bottom"/>
            <w:shd w:val="clear" w:color="auto" w:fill="EEEEEE"/>
          </w:tcPr>
          <w:p>
            <w:pPr>
              <w:ind w:left="160"/>
              <w:spacing w:after="0" w:line="149" w:lineRule="exact"/>
              <w:rPr>
                <w:sz w:val="20"/>
                <w:szCs w:val="20"/>
                <w:color w:val="auto"/>
              </w:rPr>
            </w:pPr>
            <w:r>
              <w:rPr>
                <w:rFonts w:ascii="Arial" w:cs="Arial" w:eastAsia="Arial" w:hAnsi="Arial"/>
                <w:sz w:val="14"/>
                <w:szCs w:val="14"/>
                <w:color w:val="auto"/>
              </w:rPr>
              <w:t>February 2003</w:t>
            </w:r>
          </w:p>
        </w:tc>
        <w:tc>
          <w:tcPr>
            <w:tcW w:w="720" w:type="dxa"/>
            <w:vAlign w:val="bottom"/>
            <w:gridSpan w:val="2"/>
            <w:shd w:val="clear" w:color="auto" w:fill="EEEEEE"/>
          </w:tcPr>
          <w:p>
            <w:pPr>
              <w:jc w:val="center"/>
              <w:ind w:left="152"/>
              <w:spacing w:after="0" w:line="149" w:lineRule="exact"/>
              <w:rPr>
                <w:sz w:val="20"/>
                <w:szCs w:val="20"/>
                <w:color w:val="auto"/>
              </w:rPr>
            </w:pPr>
            <w:r>
              <w:rPr>
                <w:rFonts w:ascii="Arial" w:cs="Arial" w:eastAsia="Arial" w:hAnsi="Arial"/>
                <w:sz w:val="14"/>
                <w:szCs w:val="14"/>
                <w:color w:val="auto"/>
                <w:w w:val="85"/>
              </w:rPr>
              <w:t>1,731</w:t>
            </w:r>
          </w:p>
        </w:tc>
        <w:tc>
          <w:tcPr>
            <w:tcW w:w="1760" w:type="dxa"/>
            <w:vAlign w:val="bottom"/>
            <w:gridSpan w:val="2"/>
            <w:shd w:val="clear" w:color="auto" w:fill="EEEEEE"/>
          </w:tcPr>
          <w:p>
            <w:pPr>
              <w:jc w:val="right"/>
              <w:ind w:right="212"/>
              <w:spacing w:after="0" w:line="149" w:lineRule="exact"/>
              <w:rPr>
                <w:sz w:val="20"/>
                <w:szCs w:val="20"/>
                <w:color w:val="auto"/>
              </w:rPr>
            </w:pPr>
            <w:r>
              <w:rPr>
                <w:rFonts w:ascii="Arial" w:cs="Arial" w:eastAsia="Arial" w:hAnsi="Arial"/>
                <w:sz w:val="14"/>
                <w:szCs w:val="14"/>
                <w:color w:val="auto"/>
              </w:rPr>
              <w:t>$24.52</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56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(3)(b)</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Private Accelerated Purchase(a)</w:t>
            </w:r>
          </w:p>
        </w:tc>
        <w:tc>
          <w:tcPr>
            <w:tcW w:w="2120" w:type="dxa"/>
            <w:vAlign w:val="bottom"/>
            <w:gridSpan w:val="3"/>
            <w:vMerge w:val="restart"/>
          </w:tcPr>
          <w:p>
            <w:pPr>
              <w:ind w:left="380"/>
              <w:spacing w:after="0"/>
              <w:rPr>
                <w:sz w:val="20"/>
                <w:szCs w:val="20"/>
                <w:color w:val="auto"/>
              </w:rPr>
            </w:pPr>
            <w:r>
              <w:rPr>
                <w:rFonts w:ascii="Arial" w:cs="Arial" w:eastAsia="Arial" w:hAnsi="Arial"/>
                <w:sz w:val="14"/>
                <w:szCs w:val="14"/>
                <w:color w:val="auto"/>
              </w:rPr>
              <w:t>March 2003</w:t>
            </w:r>
          </w:p>
        </w:tc>
        <w:tc>
          <w:tcPr>
            <w:tcW w:w="1380" w:type="dxa"/>
            <w:vAlign w:val="bottom"/>
            <w:vMerge w:val="restart"/>
          </w:tcPr>
          <w:p>
            <w:pPr>
              <w:ind w:left="160"/>
              <w:spacing w:after="0"/>
              <w:rPr>
                <w:sz w:val="20"/>
                <w:szCs w:val="20"/>
                <w:color w:val="auto"/>
              </w:rPr>
            </w:pPr>
            <w:r>
              <w:rPr>
                <w:rFonts w:ascii="Arial" w:cs="Arial" w:eastAsia="Arial" w:hAnsi="Arial"/>
                <w:sz w:val="14"/>
                <w:szCs w:val="14"/>
                <w:color w:val="auto"/>
              </w:rPr>
              <w:t>May 2003</w:t>
            </w:r>
          </w:p>
        </w:tc>
        <w:tc>
          <w:tcPr>
            <w:tcW w:w="720" w:type="dxa"/>
            <w:vAlign w:val="bottom"/>
            <w:gridSpan w:val="2"/>
            <w:vMerge w:val="restart"/>
          </w:tcPr>
          <w:p>
            <w:pPr>
              <w:jc w:val="center"/>
              <w:ind w:left="152"/>
              <w:spacing w:after="0"/>
              <w:rPr>
                <w:sz w:val="20"/>
                <w:szCs w:val="20"/>
                <w:color w:val="auto"/>
              </w:rPr>
            </w:pPr>
            <w:r>
              <w:rPr>
                <w:rFonts w:ascii="Arial" w:cs="Arial" w:eastAsia="Arial" w:hAnsi="Arial"/>
                <w:sz w:val="14"/>
                <w:szCs w:val="14"/>
                <w:color w:val="auto"/>
                <w:w w:val="85"/>
              </w:rPr>
              <w:t>2,400</w:t>
            </w:r>
          </w:p>
        </w:tc>
        <w:tc>
          <w:tcPr>
            <w:tcW w:w="1760" w:type="dxa"/>
            <w:vAlign w:val="bottom"/>
            <w:gridSpan w:val="2"/>
            <w:vMerge w:val="restart"/>
          </w:tcPr>
          <w:p>
            <w:pPr>
              <w:jc w:val="right"/>
              <w:ind w:right="212"/>
              <w:spacing w:after="0"/>
              <w:rPr>
                <w:sz w:val="20"/>
                <w:szCs w:val="20"/>
                <w:color w:val="auto"/>
              </w:rPr>
            </w:pPr>
            <w:r>
              <w:rPr>
                <w:rFonts w:ascii="Arial" w:cs="Arial" w:eastAsia="Arial" w:hAnsi="Arial"/>
                <w:sz w:val="14"/>
                <w:szCs w:val="14"/>
                <w:color w:val="auto"/>
              </w:rPr>
              <w:t>$20.00</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color w:val="auto"/>
              </w:rPr>
              <w:t>48</w:t>
            </w:r>
          </w:p>
        </w:tc>
        <w:tc>
          <w:tcPr>
            <w:tcW w:w="560" w:type="dxa"/>
            <w:vAlign w:val="bottom"/>
            <w:gridSpan w:val="2"/>
            <w:vMerge w:val="restart"/>
          </w:tcPr>
          <w:p>
            <w:pPr>
              <w:ind w:left="50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line="242" w:lineRule="exact"/>
              <w:rPr>
                <w:sz w:val="20"/>
                <w:szCs w:val="20"/>
                <w:color w:val="auto"/>
              </w:rPr>
            </w:pPr>
            <w:r>
              <w:rPr>
                <w:rFonts w:ascii="Arial" w:cs="Arial" w:eastAsia="Arial" w:hAnsi="Arial"/>
                <w:sz w:val="27"/>
                <w:szCs w:val="27"/>
                <w:color w:val="auto"/>
                <w:vertAlign w:val="subscript"/>
              </w:rPr>
              <w:t>3</w:t>
            </w:r>
            <w:r>
              <w:rPr>
                <w:rFonts w:ascii="Arial" w:cs="Arial" w:eastAsia="Arial" w:hAnsi="Arial"/>
                <w:sz w:val="14"/>
                <w:szCs w:val="14"/>
                <w:color w:val="auto"/>
              </w:rPr>
              <w:t xml:space="preserve"> (c)</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52"/>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Open Market Purchases(d)</w:t>
            </w:r>
          </w:p>
        </w:tc>
        <w:tc>
          <w:tcPr>
            <w:tcW w:w="2120" w:type="dxa"/>
            <w:vAlign w:val="bottom"/>
            <w:gridSpan w:val="3"/>
            <w:shd w:val="clear" w:color="auto" w:fill="EEEEEE"/>
          </w:tcPr>
          <w:p>
            <w:pPr>
              <w:ind w:left="1000"/>
              <w:spacing w:after="0" w:line="149" w:lineRule="exact"/>
              <w:rPr>
                <w:sz w:val="20"/>
                <w:szCs w:val="20"/>
                <w:color w:val="auto"/>
              </w:rPr>
            </w:pPr>
            <w:r>
              <w:rPr>
                <w:rFonts w:ascii="Arial" w:cs="Arial" w:eastAsia="Arial" w:hAnsi="Arial"/>
                <w:sz w:val="14"/>
                <w:szCs w:val="14"/>
                <w:color w:val="auto"/>
              </w:rPr>
              <w:t>N/A</w:t>
            </w:r>
          </w:p>
        </w:tc>
        <w:tc>
          <w:tcPr>
            <w:tcW w:w="1380" w:type="dxa"/>
            <w:vAlign w:val="bottom"/>
            <w:shd w:val="clear" w:color="auto" w:fill="EEEEEE"/>
          </w:tcPr>
          <w:p>
            <w:pPr>
              <w:ind w:left="72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EEEEEE"/>
          </w:tcPr>
          <w:p>
            <w:pPr>
              <w:jc w:val="center"/>
              <w:ind w:left="152"/>
              <w:spacing w:after="0" w:line="149" w:lineRule="exact"/>
              <w:rPr>
                <w:sz w:val="20"/>
                <w:szCs w:val="20"/>
                <w:color w:val="auto"/>
              </w:rPr>
            </w:pPr>
            <w:r>
              <w:rPr>
                <w:rFonts w:ascii="Arial" w:cs="Arial" w:eastAsia="Arial" w:hAnsi="Arial"/>
                <w:sz w:val="14"/>
                <w:szCs w:val="14"/>
                <w:color w:val="auto"/>
                <w:w w:val="85"/>
              </w:rPr>
              <w:t>1,163</w:t>
            </w:r>
          </w:p>
        </w:tc>
        <w:tc>
          <w:tcPr>
            <w:tcW w:w="1760" w:type="dxa"/>
            <w:vAlign w:val="bottom"/>
            <w:gridSpan w:val="2"/>
            <w:shd w:val="clear" w:color="auto" w:fill="EEEEEE"/>
          </w:tcPr>
          <w:p>
            <w:pPr>
              <w:jc w:val="right"/>
              <w:ind w:right="212"/>
              <w:spacing w:after="0" w:line="149" w:lineRule="exact"/>
              <w:rPr>
                <w:sz w:val="20"/>
                <w:szCs w:val="20"/>
                <w:color w:val="auto"/>
              </w:rPr>
            </w:pPr>
            <w:r>
              <w:rPr>
                <w:rFonts w:ascii="Arial" w:cs="Arial" w:eastAsia="Arial" w:hAnsi="Arial"/>
                <w:sz w:val="14"/>
                <w:szCs w:val="14"/>
                <w:color w:val="auto"/>
              </w:rPr>
              <w:t>$19.70 - $20.77</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w w:val="94"/>
              </w:rPr>
              <w:t>N/A</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80" w:hanging="462"/>
        <w:spacing w:after="0" w:line="33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have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agreement, the counterparty paid us the difference of approximately $3 million at the end of the valuation period to settle the agreement.</w:t>
      </w:r>
    </w:p>
    <w:p>
      <w:pPr>
        <w:spacing w:after="0" w:line="218" w:lineRule="exact"/>
        <w:rPr>
          <w:rFonts w:ascii="Arial" w:cs="Arial" w:eastAsia="Arial" w:hAnsi="Arial"/>
          <w:sz w:val="16"/>
          <w:szCs w:val="16"/>
          <w:color w:val="auto"/>
        </w:rPr>
      </w:pPr>
    </w:p>
    <w:p>
      <w:pPr>
        <w:ind w:left="700" w:right="700" w:hanging="462"/>
        <w:spacing w:after="0" w:line="259"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ind w:left="700" w:right="120" w:hanging="462"/>
        <w:spacing w:after="0" w:line="26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engaged in open market purchases during the first quarter of 2003 when trading was allowed pursuant to law and our insider trading policy. We did not engage in open market purchases during the second quarter of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80" w:firstLine="324"/>
        <w:spacing w:after="0" w:line="309" w:lineRule="auto"/>
        <w:rPr>
          <w:sz w:val="20"/>
          <w:szCs w:val="20"/>
          <w:color w:val="auto"/>
        </w:rPr>
      </w:pPr>
      <w:r>
        <w:rPr>
          <w:rFonts w:ascii="Arial" w:cs="Arial" w:eastAsia="Arial" w:hAnsi="Arial"/>
          <w:sz w:val="15"/>
          <w:szCs w:val="15"/>
          <w:i w:val="1"/>
          <w:iCs w:val="1"/>
          <w:color w:val="auto"/>
        </w:rPr>
        <w:t xml:space="preserve">Financial instruments </w:t>
      </w:r>
      <w:r>
        <w:rPr>
          <w:rFonts w:ascii="Arial" w:cs="Arial" w:eastAsia="Arial" w:hAnsi="Arial"/>
          <w:sz w:val="15"/>
          <w:szCs w:val="15"/>
          <w:color w:val="auto"/>
        </w:rPr>
        <w:t>— We have obtained letters of credit, performance bonds and insurance policies, and have established trust funds and issued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guarantees to support tax-exempt bonds, contracts, performance of landfill closure and post-closure requirements, and other obligations. We also use insurance policies issued by our wholly-owned insurance company, the sole business of which is to issue us policies, to secure such performance obligations. In those instances where our use of captive insurance is not allowed, we generally have available alternative bonding mechanisms. Because virtually no claims have been made against these financial instruments in the past, and considering our current financial position, management does not expect that these instruments will have a material adverse effect on our consolidated financial statements. We have not experienced any unmanageable difficulty in obtaining performance bonds or letters of credit for our current operations. During the second quarter of 2003, we entered into the LC and term loan agreements to provide us with an additional source of capacity from which we may obtain letters of credit. See Note 3 for additional information related to these agreements. In an ongoing effort to mitigate risks of future cost increases and reductions in available capacity, we continue to evaluate various options to access cost-effective sources of financial assurance.</w:t>
      </w:r>
    </w:p>
    <w:p>
      <w:pPr>
        <w:spacing w:after="0" w:line="189"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it is unlikely that events relating to Reliance will have a material adverse impact on our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ind w:left="460" w:right="60" w:hanging="101"/>
        <w:spacing w:after="0" w:line="29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their respective obligations. No additional liability has been recorded for these guarantees because the underlying obligations are reflected in our consolidated balance sheets. See Note 12 for further information.</w:t>
      </w:r>
    </w:p>
    <w:p>
      <w:pPr>
        <w:spacing w:after="0" w:line="196"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224" w:lineRule="exact"/>
        <w:rPr>
          <w:rFonts w:ascii="Arial" w:cs="Arial" w:eastAsia="Arial" w:hAnsi="Arial"/>
          <w:sz w:val="18"/>
          <w:szCs w:val="18"/>
          <w:color w:val="auto"/>
        </w:rPr>
      </w:pPr>
    </w:p>
    <w:p>
      <w:pPr>
        <w:ind w:left="460" w:right="200" w:hanging="101"/>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June 30, 2003, we have guaranteed approximately $49 million of debt primarily for entities that we account for under the equity method of accounting. The related debt, which matures through 2021, is not recorded on our consolidated balance sheets, and we have not recorded any liability for these guarantees. We have ongoing projects with the entities and have deemed that our performance under these guarantees is not likely.</w:t>
      </w:r>
    </w:p>
    <w:p>
      <w:pPr>
        <w:spacing w:after="0" w:line="187" w:lineRule="exact"/>
        <w:rPr>
          <w:rFonts w:ascii="Arial" w:cs="Arial" w:eastAsia="Arial" w:hAnsi="Arial"/>
          <w:sz w:val="16"/>
          <w:szCs w:val="16"/>
          <w:color w:val="auto"/>
        </w:rPr>
      </w:pPr>
    </w:p>
    <w:p>
      <w:pPr>
        <w:ind w:left="460" w:hanging="101"/>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market value of the homeowners’ properties, if any. We do not believe it is possible to determine the contingent obligation associated with these guarantees, but we do not believe it would have a material effect on our financial position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540" w:hanging="101"/>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indemnified the purchasers of businesses or divested assets for the occurrence of specified events under certain of our divestiture agreements. We do not believe that it is possible to determine the contingent obligations associated with these indemnities.</w:t>
      </w:r>
    </w:p>
    <w:p>
      <w:pPr>
        <w:spacing w:after="0" w:line="166" w:lineRule="exact"/>
        <w:rPr>
          <w:rFonts w:ascii="Arial" w:cs="Arial" w:eastAsia="Arial" w:hAnsi="Arial"/>
          <w:sz w:val="16"/>
          <w:szCs w:val="16"/>
          <w:color w:val="auto"/>
        </w:rPr>
      </w:pPr>
    </w:p>
    <w:p>
      <w:pPr>
        <w:jc w:val="both"/>
        <w:ind w:left="460" w:right="2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WMI guarantees the lease obligations of certain of its subsidiaries. If a subsidiary fails to meet its contractual lease obligations as they come due, WMI has an unconditional obligation to perform on its behalf. No additional liability has been recorded for these guarantees because the subsidiaries’ obligations are properly accounted for as operating or capital leases, as appropriate.</w:t>
      </w:r>
    </w:p>
    <w:p>
      <w:pPr>
        <w:spacing w:after="0" w:line="221"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2.</w:t>
      </w:r>
    </w:p>
    <w:p>
      <w:pPr>
        <w:spacing w:after="0" w:line="1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In May 2001, the court granted in part and denied in part the defendants’ motion to dismiss. This action is currently in the discovery stage and the extent of possible damages, if any, has not yet been determined.</w:t>
      </w:r>
    </w:p>
    <w:p>
      <w:pPr>
        <w:spacing w:after="0" w:line="22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We are one of the defendants in a class action lawsuit arising from events related to our earnings announcements in July and August of 1999. On November 7, 2001, we announced that we had reached a settlement agreement with the plaintiff in this case, resolving all claims against us as well as claims against our current and former officers and directors. The agreement provides for a payment of $457 million to members of the class and for us to consent, for settlement purposes, to the certification of a class of purchasers or acquirers of our securities from June 11, 1998 through November 9, 1999. The payment provided for by the settlement agreement, including interest accrued at the Federal Funds rate, is included in the accompanying condensed consolidated balance sheets as a component of accrued liabilities. A hearing was held April 29, 2002 at which the settlement was approved. A former participant in WM Holdings’ ERISA plans filed an appeal of both the final ruling and related motions on March 27, 2003. That appeal has now been conditionally remanded back to the trial court where a settlement among plaintiffs’ counsel and the appellant was approved by the court. This settlement requires no additional commitment from the Company. If no appeal is taken from this most recent approval from the trial court, the case will be final and payment will be due in September. This former participant and another individual also filed a separate case in Washington, D.C. against us and others, attempting to increase the recovery of a class of ERISA plan participants based on allegations related to both the events alleged in, and the settlements relating to, the class action against WM Holdings that was settled in 1998 and the complaint in this action. This D.C. case has been stayed pending finalization of the class action settlement.</w:t>
      </w:r>
    </w:p>
    <w:p>
      <w:pPr>
        <w:spacing w:after="0" w:line="20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Also on November 7, 2001, we announced that we would receive $20 million (less fees of approximately $5 million awarded to counsel for the derivative plaintiffs) as a result of a settlement reached between the derivative plaintiffs and Arthur Andersen in a stockholder derivative suit filed on July 3, 2001 in Texas state court against Arthur Andersen, as our former independent auditor. The derivative plaintiffs alleged, among other things, that Arthur Andersen engaged in professional malpractice in connection with certain services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that it performed for us. Arthur Andersen informed us that neither the complaint nor the settlement affected its independence in 2001 or prior years, when Arthur Andersen was serving as our independent auditor. The settlement was approved in May 2002. Arthur Andersen’s payment will become due at the same time our payment to the plaintiffs in settlement of the class action lawsuit described above becomes due. Because of the appeal filed in that case in March 2003, we cannot predict when the class action payment will be due, and thus cannot predict when the Arthur Andersen receivable will become due. Although Arthur Andersen has ceased operations, we presently have no reason to believe that the settlement amount will not be paid and we will not collect the receivable we have recorded. Any prolonged delay in the payment ultimately becoming due could make such payment more uncertain, depending on Arthur Andersen’s financial status at such time. If such uncertainties develop in the future, it is reasonably possible that we will be required to write down the receivable up to the full amount due from Arthur Andersen.</w:t>
      </w:r>
    </w:p>
    <w:p>
      <w:pPr>
        <w:spacing w:after="0" w:line="19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Three groups of stockholders have filed separate lawsuits in state courts in Texas and federal court in Illinois against us and certain of our former officers. The petitions allege that the plaintiffs are substantial stockholders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The plaintiffs assert that the value of their retained stock declined dramatically. The plaintiffs assert claims for fraud, negligent misrepresentation, and conspiracy. The Texas state court granted our motion for summary judgment in the first of these cases in March 2002, which the plaintiffs have appealed. The other two cases are in early stages, and the extent of damages, if any, cannot yet be determined.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intrinsically connected with the protection of the environment, and there is the potential for unintended or unpermitted noncompliance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laws or regulations. From time to time, we pay fines or penalties in environmental proceedings relating primarily to waste treatment, storage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facilities. As of June 30, 2003, there were 11 proceedings involving our subsidiaries where the sanctions involved in each could potentially exceed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 The matters involve allegations that subsidiaries (i) operated a hazardous waste incinerator in such a way that its air emissions exceeded permit limits,</w:t>
      </w:r>
    </w:p>
    <w:p>
      <w:pPr>
        <w:spacing w:after="0" w:line="44" w:lineRule="exact"/>
        <w:rPr>
          <w:sz w:val="20"/>
          <w:szCs w:val="20"/>
          <w:color w:val="auto"/>
        </w:rPr>
      </w:pPr>
    </w:p>
    <w:p>
      <w:pPr>
        <w:ind w:right="40" w:firstLine="8"/>
        <w:spacing w:after="0" w:line="285" w:lineRule="auto"/>
        <w:tabs>
          <w:tab w:leader="none" w:pos="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operated a waste-to-energy facility that, as a result of intermittent and isolated equipment malfunctions, exceeded emission limits and failed to meet monitoring requirements, (iii) are responsible for remediation of landfill gas and chemical compounds required pursuant to a Unilateral Administrative Order associated with an NPL site, (iv) are responsible for late performance of work required under a Unilateral Administrative Order, (v) in two separate cases improperly operated a solid waste landfill and caused excess odors, (vi) improperly operated a solid waste landfill by failing to maintain required records, properly place and cover waste and adhere to proper leachate levels, (vii) violated the state’s clean water act, (viii) did not comply with air regulations requiring control of emissions at a closed landfill, and (ix) improperly operated a solid waste landfill by failing to maintain required leachate levels and erosion control and failing to properly operate and monitor gas wells and adequately control odors and stormwater. On April 11, 2003, Alliance Sanitary Landfill, Inc., a wholly-owned subsidiary, entered into a Consent Order with the Pennsylvania Department of Environmental Protection, pursuant to which we voluntarily suspended operations at the landfill to address certain gas collection system, leachate collection system and capping deficiencies. The landfill reopened on May 9, 2003, and we are negotiating the resolution of any fines arising from the Consent Order. We believe that the resolution will likely exceed $100,000. We do not believe that the fines or other penalties in any of these matters will, individually or in the aggregate, have a material adverse effect on our financial condition or results of operations.</w:t>
      </w:r>
    </w:p>
    <w:p>
      <w:pPr>
        <w:spacing w:after="0" w:line="20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and each of our subsidiaries intend to defend ourselves vigorously in all the above matters. However, it is possible that the outcome of any of these matters may ultimately have a material adverse impact on our financial condition or results of operations in one or more future periods.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We and certain of our subsidiaries are also currently involved in other routine civil litigation and governmental proceedings relating to the conduct of our business. We do not believe that any of these routine matters will have a material adverse impact on our consolidated financial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are currently under audit by the Internal Revenue Service and from time to time are audited by other taxing authorities. We fully cooperate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audits, but defend our positions vigorously. Our audits are in various stages of completion. Results of audit assessments by taxing authorities could have a material effect on our quarterly or annual cash flows. However, we do not believe that any of these matters will have a material adverse impact on our results of operations.</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Restructurings</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2002 we reorganized the structure of the Company into market areas to better align our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was recorded in the third quarter of 2002. These charges included $36 million for employee severance and benefit costs and $2 million related to abandoned operating lease agreements. As of June 30, 2003, payments of $36 million had been recorded against the restructuring liability that was previously established and $2 million of the related accrual remained.</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Our market areas all report to one of our seven Groups that divide our operations geographically into the Eastern, Midwest, Southern, Western and Canadian operations and functionally into Recycling and Wheelabrator. We manage and evaluate our operations through these seven operating Groups, which represent our reporting segments as further described in Note 11. Management believes that this structure will result in a more effective utilization of resources and enable us to serve our customers more efficiently. In connection with the restructuring, there was a workforce reduction of about 700 employees and 270 contract workers.</w:t>
      </w:r>
    </w:p>
    <w:p>
      <w:pPr>
        <w:spacing w:after="0" w:line="20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the first quarter of 2003, we recorded $20 million of pre-tax charges for costs associated with our February 2003 restructuring and workforce reduction, all of which was associated with employee severance and benefit costs. No material costs for this restructuring and workforce reduction have been incurred in the second quarter of 2003. In the second quarter of 2003, we recorded $23 million of pre-tax charges for costs associated with the June 2003 workforce reduction.</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anticipate incurring a total of approximately $44 million in employee severance and benefit costs for the 2003 restructuring and workforce reduction efforts, with $43 million incurred during the six month period ended June 30, 2003 and the remaining $1 million to be incurred throughout the remainder of the year.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summarizes the total costs recorded for the three and six months ended June 30, 2003 for each of our operating Groups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2003</w:t>
            </w:r>
          </w:p>
        </w:tc>
        <w:tc>
          <w:tcPr>
            <w:tcW w:w="2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1580" w:type="dxa"/>
            <w:vAlign w:val="bottom"/>
            <w:gridSpan w:val="3"/>
            <w:shd w:val="clear" w:color="auto" w:fill="EEEEEE"/>
          </w:tcPr>
          <w:p>
            <w:pPr>
              <w:jc w:val="right"/>
              <w:ind w:right="6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Eastern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Southern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Wheelabrator</w:t>
            </w:r>
          </w:p>
        </w:tc>
        <w:tc>
          <w:tcPr>
            <w:tcW w:w="680" w:type="dxa"/>
            <w:vAlign w:val="bottom"/>
          </w:tcPr>
          <w:p>
            <w:pPr>
              <w:spacing w:after="0"/>
              <w:rPr>
                <w:sz w:val="18"/>
                <w:szCs w:val="18"/>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6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Corporate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$ 23</w:t>
            </w:r>
          </w:p>
        </w:tc>
        <w:tc>
          <w:tcPr>
            <w:tcW w:w="6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shd w:val="clear" w:color="auto" w:fill="EEEEEE"/>
          </w:tcPr>
          <w:p>
            <w:pPr>
              <w:spacing w:after="0"/>
              <w:rPr>
                <w:sz w:val="5"/>
                <w:szCs w:val="5"/>
                <w:color w:val="auto"/>
              </w:rPr>
            </w:pPr>
          </w:p>
        </w:tc>
        <w:tc>
          <w:tcPr>
            <w:tcW w:w="680" w:type="dxa"/>
            <w:vAlign w:val="bottom"/>
            <w:shd w:val="clear" w:color="auto" w:fill="EEEEE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-104140</wp:posOffset>
            </wp:positionV>
            <wp:extent cx="13271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paid approximately $9 million of the employee severance and benefit costs incurred as a result of the February 2003 restructuring and workforce reduction during the three month period ended June 30, 2003 and have paid $13 million of these costs during the six month period ended June 30, 2003. As of June 30, 2003, $7 million of the related accrual remained for employee severance and benefit costs. The length of time we are obligated to make severance payments to employees associated with the February 2003 reorganization and workforce reduction varies, with the longest period of obligation ending in the first quarter of 2005.</w:t>
      </w:r>
    </w:p>
    <w:p>
      <w:pPr>
        <w:spacing w:after="0" w:line="2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June 30, 2003, we had not paid any of the employee severance and benefit costs incurred as a result of the June 2003 workforce reduction. The length of time we are obligated to make severance payments to employees associated with the June 2003 workforce reduction varies, with the longest period of obligation ending in the third quarter of 2005.</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Acquisitions</w:t>
      </w:r>
    </w:p>
    <w:p>
      <w:pPr>
        <w:spacing w:after="0" w:line="258"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During the six month period ended June 30, 2003, we paid $172 million, net of cash acquired, for the acquisitions of certain businesses. We paid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$85 million in the first quarter of 2003 for acquisitions, which was primarily associated with our acquisition of the Peltz Group,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privately-held recycler in the United States. Its assets were contributed to Recycle America Alliance. See Note 11 for further discussion.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 million of the acquisitions occurred during the second quarter of 2003, the most significant of which was the acquisition of certain collection assets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Allied Waste Industries.</w:t>
      </w:r>
    </w:p>
    <w:p>
      <w:pPr>
        <w:spacing w:after="0" w:line="2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in the second quarter of 2003 we acquired certain operations from Bio-Energy Partners, a general partnership in which we have a 50% ownership interest, for $18 million. Bio-Energy Partners owns and operates facilities that produce electrical power from landfill gas that is ultimately sold to public utilities and other commercial users. Concurrent with this transaction, the Company received net cash proceeds from Bio-Energy Partners of $30 million in exchange for assuming a like amount of indebtedness of the partnership. We continue to account for our remaining interests in Bio-Energy Partners as an equity investment.</w:t>
      </w:r>
    </w:p>
    <w:p>
      <w:pPr>
        <w:spacing w:after="0" w:line="224" w:lineRule="exact"/>
        <w:rPr>
          <w:sz w:val="20"/>
          <w:szCs w:val="20"/>
          <w:color w:val="auto"/>
        </w:rPr>
      </w:pPr>
    </w:p>
    <w:p>
      <w:pPr>
        <w:ind w:right="200" w:firstLine="324"/>
        <w:spacing w:after="0" w:line="318" w:lineRule="auto"/>
        <w:rPr>
          <w:sz w:val="20"/>
          <w:szCs w:val="20"/>
          <w:color w:val="auto"/>
        </w:rPr>
      </w:pPr>
      <w:r>
        <w:rPr>
          <w:rFonts w:ascii="Arial" w:cs="Arial" w:eastAsia="Arial" w:hAnsi="Arial"/>
          <w:sz w:val="15"/>
          <w:szCs w:val="15"/>
          <w:color w:val="auto"/>
        </w:rPr>
        <w:t xml:space="preserve">All 2003 acquisitions were accounted for under the purchase method of accounting, as required by SFAS No. 141, </w:t>
      </w:r>
      <w:r>
        <w:rPr>
          <w:rFonts w:ascii="Arial" w:cs="Arial" w:eastAsia="Arial" w:hAnsi="Arial"/>
          <w:sz w:val="15"/>
          <w:szCs w:val="15"/>
          <w:i w:val="1"/>
          <w:iCs w:val="1"/>
          <w:color w:val="auto"/>
        </w:rPr>
        <w:t>Accounting for Business Combinations,</w:t>
      </w:r>
      <w:r>
        <w:rPr>
          <w:rFonts w:ascii="Arial" w:cs="Arial" w:eastAsia="Arial" w:hAnsi="Arial"/>
          <w:sz w:val="15"/>
          <w:szCs w:val="15"/>
          <w:color w:val="auto"/>
        </w:rPr>
        <w:t xml:space="preserve"> with the purchase price being allocated to the net assets acquired based on their respective fair values. As a result of these acquisitions, we recorded approximately $225 million in additional assets, including approximately $99 million of goodwill and approximately $32 million of other intangible assets. No single acquisition has been material to our consolidated financial position or our results of operations for the periods presented herein, and we do not anticipate that these acquisitions, when considered individually or in the aggregate, will have a material impact on our results of operations in future periods.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8"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landfill and hazardous waste landfill),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 We also had international waste management services and non-solid waste services, all of which were divested by March 31, 2002. However, we continue to incur minimal administrative expenses in connection with these divestitures. These operations are included in the table below as “Other.”</w:t>
      </w:r>
    </w:p>
    <w:p>
      <w:pPr>
        <w:spacing w:after="0" w:line="189" w:lineRule="exact"/>
        <w:rPr>
          <w:sz w:val="20"/>
          <w:szCs w:val="20"/>
          <w:color w:val="auto"/>
        </w:rPr>
      </w:pPr>
    </w:p>
    <w:p>
      <w:pPr>
        <w:ind w:right="600" w:firstLine="324"/>
        <w:spacing w:after="0" w:line="306" w:lineRule="auto"/>
        <w:rPr>
          <w:sz w:val="20"/>
          <w:szCs w:val="20"/>
          <w:color w:val="auto"/>
        </w:rPr>
      </w:pPr>
      <w:r>
        <w:rPr>
          <w:rFonts w:ascii="Arial" w:cs="Arial" w:eastAsia="Arial" w:hAnsi="Arial"/>
          <w:sz w:val="16"/>
          <w:szCs w:val="16"/>
          <w:color w:val="auto"/>
        </w:rPr>
        <w:t>Summarized financial information concerning our reportable segments for the three and six months ended June 30 is shown in the following table (in millions). In prior interim period disclosures to the condensed consolidated financial statements, NASW was presented as one reportable segment. For comparability purposes, prior period information has been restated to conform to the current year presentation.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color w:val="auto"/>
                <w:w w:val="80"/>
              </w:rPr>
              <w:t>Gross</w:t>
            </w:r>
          </w:p>
        </w:tc>
        <w:tc>
          <w:tcPr>
            <w:tcW w:w="24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Intercompany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ind w:left="580"/>
              <w:spacing w:after="0"/>
              <w:rPr>
                <w:sz w:val="20"/>
                <w:szCs w:val="20"/>
                <w:color w:val="auto"/>
              </w:rPr>
            </w:pPr>
            <w:r>
              <w:rPr>
                <w:rFonts w:ascii="Arial" w:cs="Arial" w:eastAsia="Arial" w:hAnsi="Arial"/>
                <w:sz w:val="14"/>
                <w:szCs w:val="14"/>
                <w:b w:val="1"/>
                <w:bCs w:val="1"/>
                <w:color w:val="auto"/>
              </w:rPr>
              <w:t>Income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Net Operating</w:t>
            </w:r>
          </w:p>
        </w:tc>
        <w:tc>
          <w:tcPr>
            <w:tcW w:w="280" w:type="dxa"/>
            <w:vAlign w:val="bottom"/>
          </w:tcPr>
          <w:p>
            <w:pPr>
              <w:spacing w:after="0"/>
              <w:rPr>
                <w:sz w:val="12"/>
                <w:szCs w:val="12"/>
                <w:color w:val="auto"/>
              </w:rPr>
            </w:pPr>
          </w:p>
        </w:tc>
        <w:tc>
          <w:tcPr>
            <w:tcW w:w="16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from</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2920" w:type="dxa"/>
            <w:vAlign w:val="bottom"/>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Revenues</w:t>
            </w:r>
          </w:p>
        </w:tc>
        <w:tc>
          <w:tcPr>
            <w:tcW w:w="24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Revenues(d)</w:t>
            </w:r>
          </w:p>
        </w:tc>
        <w:tc>
          <w:tcPr>
            <w:tcW w:w="260" w:type="dxa"/>
            <w:vAlign w:val="bottom"/>
          </w:tcPr>
          <w:p>
            <w:pPr>
              <w:spacing w:after="0"/>
              <w:rPr>
                <w:sz w:val="15"/>
                <w:szCs w:val="15"/>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280" w:type="dxa"/>
            <w:vAlign w:val="bottom"/>
          </w:tcPr>
          <w:p>
            <w:pPr>
              <w:spacing w:after="0"/>
              <w:rPr>
                <w:sz w:val="15"/>
                <w:szCs w:val="15"/>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Operations(f)</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2003</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Canadian</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64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981</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(204)</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777</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(116)</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141</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3,473</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(558)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2,915</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477</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93"/>
              </w:rPr>
              <w:t>(92)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3,473</w:t>
            </w:r>
          </w:p>
        </w:tc>
        <w:tc>
          <w:tcPr>
            <w:tcW w:w="4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(558)</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2,915</w:t>
            </w:r>
          </w:p>
        </w:tc>
        <w:tc>
          <w:tcPr>
            <w:tcW w:w="6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385</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2002</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Canadian</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640" w:type="dxa"/>
            <w:vAlign w:val="bottom"/>
          </w:tcPr>
          <w:p>
            <w:pPr>
              <w:spacing w:after="0"/>
              <w:rPr>
                <w:sz w:val="18"/>
                <w:szCs w:val="18"/>
                <w:color w:val="auto"/>
              </w:rPr>
            </w:pP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(192)</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132</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(115)</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640</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149</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3,339</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(514)</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2,825</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552</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93"/>
              </w:rPr>
              <w:t>(88)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3,339</w:t>
            </w:r>
          </w:p>
        </w:tc>
        <w:tc>
          <w:tcPr>
            <w:tcW w:w="4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5"/>
              </w:rPr>
              <w:t>(514)</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2,825</w:t>
            </w:r>
          </w:p>
        </w:tc>
        <w:tc>
          <w:tcPr>
            <w:tcW w:w="6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464</w:t>
            </w:r>
          </w:p>
        </w:tc>
        <w:tc>
          <w:tcPr>
            <w:tcW w:w="6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jc w:val="center"/>
        <w:ind w:right="218"/>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022"/>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34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Intercompany</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2"/>
                <w:szCs w:val="12"/>
                <w:color w:val="auto"/>
              </w:rPr>
            </w:pPr>
          </w:p>
        </w:tc>
        <w:tc>
          <w:tcPr>
            <w:tcW w:w="15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Net Operating</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ind w:left="10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5"/>
                <w:szCs w:val="15"/>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Revenues(d)</w:t>
            </w:r>
          </w:p>
        </w:tc>
        <w:tc>
          <w:tcPr>
            <w:tcW w:w="260" w:type="dxa"/>
            <w:vAlign w:val="bottom"/>
          </w:tcPr>
          <w:p>
            <w:pPr>
              <w:spacing w:after="0"/>
              <w:rPr>
                <w:sz w:val="15"/>
                <w:szCs w:val="15"/>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26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2003</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Canadian</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1,843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1,474</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149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1,497</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281</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1,064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113</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6,673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4"/>
              </w:rPr>
              <w:t>(1,042)</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5,631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869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6,673</w:t>
            </w:r>
          </w:p>
        </w:tc>
        <w:tc>
          <w:tcPr>
            <w:tcW w:w="38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4"/>
              </w:rPr>
              <w:t>(1,042)</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5,631</w:t>
            </w:r>
          </w:p>
        </w:tc>
        <w:tc>
          <w:tcPr>
            <w:tcW w:w="5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664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2002</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Canadian</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5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1,818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1,467</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239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1,480</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1,259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287</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1,043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171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100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6,389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(963)</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5,426</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976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5"/>
              </w:rPr>
              <w:t>(178)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6,398</w:t>
            </w:r>
          </w:p>
        </w:tc>
        <w:tc>
          <w:tcPr>
            <w:tcW w:w="38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(964)</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5,434</w:t>
            </w:r>
          </w:p>
        </w:tc>
        <w:tc>
          <w:tcPr>
            <w:tcW w:w="5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796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2" w:right="240" w:hanging="462"/>
        <w:spacing w:after="0" w:line="332" w:lineRule="auto"/>
        <w:tabs>
          <w:tab w:leader="none" w:pos="4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Recycling Group is comprised of Recycle America Alliance, L.L.C. Recycle America Alliance includes certain recycling assets transferred from our geographic operating groups as well as assets contributed by the Peltz Group, our minority interest partner in Recycle America Alliance.</w:t>
      </w:r>
    </w:p>
    <w:p>
      <w:pPr>
        <w:spacing w:after="0" w:line="166" w:lineRule="exact"/>
        <w:rPr>
          <w:rFonts w:ascii="Arial" w:cs="Arial" w:eastAsia="Arial" w:hAnsi="Arial"/>
          <w:sz w:val="16"/>
          <w:szCs w:val="16"/>
          <w:color w:val="auto"/>
        </w:rPr>
      </w:pPr>
    </w:p>
    <w:p>
      <w:pPr>
        <w:ind w:left="462" w:right="460" w:hanging="462"/>
        <w:spacing w:after="0" w:line="306" w:lineRule="auto"/>
        <w:tabs>
          <w:tab w:leader="none" w:pos="4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 contract and administration revenues managed by our national accounts department. Also included are certain quarter-end adjustments related to the reportable segments but not included in the measure of segment profit or loss used to assess their performance for the periods disclosed.</w:t>
      </w:r>
    </w:p>
    <w:p>
      <w:pPr>
        <w:spacing w:after="0" w:line="187" w:lineRule="exact"/>
        <w:rPr>
          <w:rFonts w:ascii="Arial" w:cs="Arial" w:eastAsia="Arial" w:hAnsi="Arial"/>
          <w:sz w:val="16"/>
          <w:szCs w:val="16"/>
          <w:color w:val="auto"/>
        </w:rPr>
      </w:pPr>
    </w:p>
    <w:p>
      <w:pPr>
        <w:ind w:left="462" w:right="60" w:hanging="462"/>
        <w:spacing w:after="0" w:line="259" w:lineRule="auto"/>
        <w:tabs>
          <w:tab w:leader="none" w:pos="4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462" w:hanging="462"/>
        <w:spacing w:after="0" w:line="332" w:lineRule="auto"/>
        <w:tabs>
          <w:tab w:leader="none" w:pos="4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462" w:right="80" w:hanging="462"/>
        <w:spacing w:after="0" w:line="256" w:lineRule="auto"/>
        <w:tabs>
          <w:tab w:leader="none" w:pos="4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97" w:lineRule="exact"/>
        <w:rPr>
          <w:rFonts w:ascii="Arial" w:cs="Arial" w:eastAsia="Arial" w:hAnsi="Arial"/>
          <w:sz w:val="18"/>
          <w:szCs w:val="18"/>
          <w:color w:val="auto"/>
        </w:rPr>
      </w:pPr>
    </w:p>
    <w:p>
      <w:pPr>
        <w:ind w:left="342" w:hanging="342"/>
        <w:spacing w:after="0" w:line="370" w:lineRule="auto"/>
        <w:tabs>
          <w:tab w:leader="none" w:pos="342" w:val="left"/>
        </w:tabs>
        <w:numPr>
          <w:ilvl w:val="0"/>
          <w:numId w:val="22"/>
        </w:numPr>
        <w:rPr>
          <w:rFonts w:ascii="Arial" w:cs="Arial" w:eastAsia="Arial" w:hAnsi="Arial"/>
          <w:sz w:val="15"/>
          <w:szCs w:val="15"/>
          <w:color w:val="auto"/>
        </w:rPr>
      </w:pPr>
      <w:r>
        <w:rPr>
          <w:rFonts w:ascii="Arial" w:cs="Arial" w:eastAsia="Arial" w:hAnsi="Arial"/>
          <w:sz w:val="15"/>
          <w:szCs w:val="15"/>
          <w:color w:val="auto"/>
        </w:rPr>
        <w:t>For those items included in the determination of income from operations, the accounting policies of our segments are generally the same as those described in the summary of significant accounting policies included in our December 31, 2002 Form 10-K except as discussed in Note 1 included herein.</w:t>
      </w:r>
    </w:p>
    <w:p>
      <w:pPr>
        <w:spacing w:after="0" w:line="116" w:lineRule="exact"/>
        <w:rPr>
          <w:sz w:val="20"/>
          <w:szCs w:val="20"/>
          <w:color w:val="auto"/>
        </w:rPr>
      </w:pPr>
    </w:p>
    <w:p>
      <w:pPr>
        <w:jc w:val="center"/>
        <w:ind w:right="21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2"/>
          </w:cols>
          <w:pgMar w:left="478" w:top="935"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contributed by the principal lines of business within NASW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1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NASW:</w:t>
            </w: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$1,916</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$ 3,822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$3,739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Landfill</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694</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1,279</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Transfer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746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Wheelabrator</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Recycling and other(a)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Intercompany(b)</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(558)</w:t>
            </w:r>
          </w:p>
        </w:tc>
        <w:tc>
          <w:tcPr>
            <w:tcW w:w="16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(514)</w:t>
            </w:r>
          </w:p>
        </w:tc>
        <w:tc>
          <w:tcPr>
            <w:tcW w:w="1580" w:type="dxa"/>
            <w:vAlign w:val="bottom"/>
            <w:gridSpan w:val="4"/>
            <w:shd w:val="clear" w:color="auto" w:fill="EEEEEE"/>
          </w:tcPr>
          <w:p>
            <w:pPr>
              <w:jc w:val="right"/>
              <w:ind w:right="332"/>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Operating revenues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$2,825</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$ 5,631</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3"/>
              </w:rPr>
              <w:t>$5,426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540" w:hanging="462"/>
        <w:spacing w:after="0" w:line="332" w:lineRule="auto"/>
        <w:tabs>
          <w:tab w:leader="none" w:pos="7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69" w:lineRule="exact"/>
        <w:rPr>
          <w:rFonts w:ascii="Arial" w:cs="Arial" w:eastAsia="Arial" w:hAnsi="Arial"/>
          <w:sz w:val="16"/>
          <w:szCs w:val="16"/>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WM Holdings, which is 100% owned by WMI, has fully and unconditionally guaranteed all of WMI’s senior indebtedness, as well as WMI’s 4% convertible subordinated notes that matured and were repaid in February 2002. WMI has fully and unconditionally guaranteed the 5.75% convertible subordinated debentures due 2005 issued by WM Holdings. However, none of WMI’s other subsidiaries guaranteed any of WMI’s or WM Holdings’ debt. As a result of these guarantee arrangements, we are required to present the following condensed consolidating financial information (in millions).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WM Holdings</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assets: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809</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2,433</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2,433</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809</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2,377</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3,186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10,812</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10,812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Intercompany and investment in subsidiaries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9,358</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5,246</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0"/>
              </w:rPr>
              <w:t>(6,705)</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(7,899)</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6,288</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6,458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right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820"/>
              <w:spacing w:after="0" w:line="149" w:lineRule="exact"/>
              <w:rPr>
                <w:sz w:val="20"/>
                <w:szCs w:val="20"/>
                <w:color w:val="auto"/>
              </w:rPr>
            </w:pPr>
            <w:r>
              <w:rPr>
                <w:rFonts w:ascii="Arial" w:cs="Arial" w:eastAsia="Arial" w:hAnsi="Arial"/>
                <w:sz w:val="14"/>
                <w:szCs w:val="14"/>
                <w:color w:val="auto"/>
              </w:rPr>
              <w:t>Total assets</w:t>
            </w:r>
          </w:p>
        </w:tc>
        <w:tc>
          <w:tcPr>
            <w:tcW w:w="1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$10,200</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5,383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12,772</w:t>
            </w: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1"/>
              </w:rPr>
              <w:t>(7,899)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20,456</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600" w:type="dxa"/>
            <w:vAlign w:val="bottom"/>
            <w:gridSpan w:val="2"/>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shd w:val="clear" w:color="auto" w:fill="EEEEEE"/>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400" w:type="dxa"/>
            <w:vAlign w:val="bottom"/>
            <w:tcBorders>
              <w:right w:val="single" w:sz="8" w:color="808080"/>
            </w:tcBorders>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20" w:type="dxa"/>
            <w:vAlign w:val="bottom"/>
            <w:gridSpan w:val="9"/>
          </w:tcPr>
          <w:p>
            <w:pPr>
              <w:ind w:left="640"/>
              <w:spacing w:after="0"/>
              <w:rPr>
                <w:sz w:val="20"/>
                <w:szCs w:val="20"/>
                <w:color w:val="auto"/>
              </w:rPr>
            </w:pPr>
            <w:r>
              <w:rPr>
                <w:rFonts w:ascii="Arial" w:cs="Arial" w:eastAsia="Arial" w:hAnsi="Arial"/>
                <w:sz w:val="14"/>
                <w:szCs w:val="14"/>
                <w:color w:val="auto"/>
                <w:w w:val="98"/>
              </w:rPr>
              <w:t>LIABILITIES AND STOCKHOLDERS’ EQUITY</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liabilities: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72</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46</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2,909</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3,027</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72</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3,010</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3,135</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4,526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1,973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1,851</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8,350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liabilities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3,320</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3,340</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540"/>
              <w:spacing w:after="0" w:line="149" w:lineRule="exact"/>
              <w:rPr>
                <w:sz w:val="20"/>
                <w:szCs w:val="20"/>
                <w:color w:val="auto"/>
              </w:rPr>
            </w:pPr>
            <w:r>
              <w:rPr>
                <w:rFonts w:ascii="Arial" w:cs="Arial" w:eastAsia="Arial" w:hAnsi="Arial"/>
                <w:sz w:val="14"/>
                <w:szCs w:val="14"/>
                <w:color w:val="auto"/>
              </w:rPr>
              <w:t>Total liabilities</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4,616</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2,028</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8,181</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14,825</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Stockholders’ equity</w:t>
            </w:r>
          </w:p>
        </w:tc>
        <w:tc>
          <w:tcPr>
            <w:tcW w:w="78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5,584</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3,355</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4,544</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(7,899)</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5,584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8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5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$10,200</w:t>
            </w: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5,383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12,772</w:t>
            </w:r>
          </w:p>
        </w:tc>
        <w:tc>
          <w:tcPr>
            <w:tcW w:w="42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(7,899)</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20,456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WMI</w:t>
            </w:r>
          </w:p>
        </w:tc>
        <w:tc>
          <w:tcPr>
            <w:tcW w:w="300" w:type="dxa"/>
            <w:vAlign w:val="bottom"/>
          </w:tcPr>
          <w:p>
            <w:pPr>
              <w:spacing w:after="0"/>
              <w:rPr>
                <w:sz w:val="15"/>
                <w:szCs w:val="15"/>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WM Holdings</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assets: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2,432</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2,436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316</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2,380</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2,700</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10,612</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10,612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Intercompany and investment in subsidiaries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9,484</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5,694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0"/>
              </w:rPr>
              <w:t>(7,277)</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(7,901)</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6,139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6,319</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EEEEEE"/>
            </w:tcBorders>
            <w:shd w:val="clear" w:color="auto" w:fill="EEEEEE"/>
          </w:tcPr>
          <w:p>
            <w:pPr>
              <w:spacing w:after="0"/>
              <w:rPr>
                <w:sz w:val="9"/>
                <w:szCs w:val="9"/>
                <w:color w:val="auto"/>
              </w:rPr>
            </w:pPr>
          </w:p>
        </w:tc>
        <w:tc>
          <w:tcPr>
            <w:tcW w:w="10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shd w:val="clear" w:color="auto" w:fill="EEEEEE"/>
          </w:tcPr>
          <w:p>
            <w:pPr>
              <w:spacing w:after="0"/>
              <w:rPr>
                <w:sz w:val="8"/>
                <w:szCs w:val="8"/>
                <w:color w:val="auto"/>
              </w:rPr>
            </w:pPr>
          </w:p>
        </w:tc>
        <w:tc>
          <w:tcPr>
            <w:tcW w:w="106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560"/>
              <w:spacing w:after="0" w:line="149" w:lineRule="exact"/>
              <w:rPr>
                <w:sz w:val="20"/>
                <w:szCs w:val="20"/>
                <w:color w:val="auto"/>
              </w:rPr>
            </w:pPr>
            <w:r>
              <w:rPr>
                <w:rFonts w:ascii="Arial" w:cs="Arial" w:eastAsia="Arial" w:hAnsi="Arial"/>
                <w:sz w:val="14"/>
                <w:szCs w:val="14"/>
                <w:color w:val="auto"/>
              </w:rPr>
              <w:t>Total assets</w:t>
            </w:r>
          </w:p>
        </w:tc>
        <w:tc>
          <w:tcPr>
            <w:tcW w:w="1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$9,857</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5,821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11,854</w:t>
            </w: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1"/>
              </w:rPr>
              <w:t>(7,901)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19,631</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shd w:val="clear" w:color="auto" w:fill="EEEEEE"/>
          </w:tcPr>
          <w:p>
            <w:pPr>
              <w:spacing w:after="0"/>
              <w:rPr>
                <w:sz w:val="9"/>
                <w:szCs w:val="9"/>
                <w:color w:val="auto"/>
              </w:rPr>
            </w:pPr>
          </w:p>
        </w:tc>
        <w:tc>
          <w:tcPr>
            <w:tcW w:w="10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600" w:type="dxa"/>
            <w:vAlign w:val="bottom"/>
            <w:gridSpan w:val="2"/>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shd w:val="clear" w:color="auto" w:fill="EEEEEE"/>
          </w:tcPr>
          <w:p>
            <w:pPr>
              <w:spacing w:after="0"/>
              <w:rPr>
                <w:sz w:val="5"/>
                <w:szCs w:val="5"/>
                <w:color w:val="auto"/>
              </w:rPr>
            </w:pPr>
          </w:p>
        </w:tc>
        <w:tc>
          <w:tcPr>
            <w:tcW w:w="106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40" w:type="dxa"/>
            <w:vAlign w:val="bottom"/>
            <w:shd w:val="clear" w:color="auto" w:fill="EEEEEE"/>
          </w:tcPr>
          <w:p>
            <w:pPr>
              <w:spacing w:after="0"/>
              <w:rPr>
                <w:sz w:val="22"/>
                <w:szCs w:val="22"/>
                <w:color w:val="auto"/>
              </w:rPr>
            </w:pPr>
          </w:p>
        </w:tc>
        <w:tc>
          <w:tcPr>
            <w:tcW w:w="1060" w:type="dxa"/>
            <w:vAlign w:val="bottom"/>
            <w:shd w:val="clear" w:color="auto" w:fill="EEEEEE"/>
          </w:tcPr>
          <w:p>
            <w:pPr>
              <w:spacing w:after="0"/>
              <w:rPr>
                <w:sz w:val="22"/>
                <w:szCs w:val="22"/>
                <w:color w:val="auto"/>
              </w:rPr>
            </w:pPr>
          </w:p>
        </w:tc>
        <w:tc>
          <w:tcPr>
            <w:tcW w:w="300" w:type="dxa"/>
            <w:vAlign w:val="bottom"/>
            <w:tcBorders>
              <w:right w:val="single" w:sz="8" w:color="EEEEEE"/>
            </w:tcBorders>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320" w:type="dxa"/>
            <w:vAlign w:val="bottom"/>
            <w:shd w:val="clear" w:color="auto" w:fill="EEEEEE"/>
          </w:tcPr>
          <w:p>
            <w:pPr>
              <w:spacing w:after="0"/>
              <w:rPr>
                <w:sz w:val="22"/>
                <w:szCs w:val="22"/>
                <w:color w:val="auto"/>
              </w:rPr>
            </w:pPr>
          </w:p>
        </w:tc>
        <w:tc>
          <w:tcPr>
            <w:tcW w:w="32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42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460" w:type="dxa"/>
            <w:vAlign w:val="bottom"/>
            <w:tcBorders>
              <w:right w:val="single" w:sz="8" w:color="EEEEEE"/>
            </w:tcBorders>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420" w:type="dxa"/>
            <w:vAlign w:val="bottom"/>
            <w:shd w:val="clear" w:color="auto" w:fill="EEEEEE"/>
          </w:tcPr>
          <w:p>
            <w:pPr>
              <w:spacing w:after="0"/>
              <w:rPr>
                <w:sz w:val="22"/>
                <w:szCs w:val="22"/>
                <w:color w:val="auto"/>
              </w:rPr>
            </w:pPr>
          </w:p>
        </w:tc>
        <w:tc>
          <w:tcPr>
            <w:tcW w:w="400" w:type="dxa"/>
            <w:vAlign w:val="bottom"/>
            <w:tcBorders>
              <w:right w:val="single" w:sz="8" w:color="EEEEEE"/>
            </w:tcBorders>
            <w:shd w:val="clear" w:color="auto" w:fill="EEEEEE"/>
          </w:tcPr>
          <w:p>
            <w:pPr>
              <w:spacing w:after="0"/>
              <w:rPr>
                <w:sz w:val="22"/>
                <w:szCs w:val="22"/>
                <w:color w:val="auto"/>
              </w:rPr>
            </w:pPr>
          </w:p>
        </w:tc>
        <w:tc>
          <w:tcPr>
            <w:tcW w:w="4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40" w:type="dxa"/>
            <w:vAlign w:val="bottom"/>
            <w:gridSpan w:val="9"/>
          </w:tcPr>
          <w:p>
            <w:pPr>
              <w:ind w:left="760"/>
              <w:spacing w:after="0"/>
              <w:rPr>
                <w:sz w:val="20"/>
                <w:szCs w:val="20"/>
                <w:color w:val="auto"/>
              </w:rPr>
            </w:pPr>
            <w:r>
              <w:rPr>
                <w:rFonts w:ascii="Arial" w:cs="Arial" w:eastAsia="Arial" w:hAnsi="Arial"/>
                <w:sz w:val="14"/>
                <w:szCs w:val="14"/>
                <w:color w:val="auto"/>
                <w:w w:val="98"/>
              </w:rPr>
              <w:t>LIABILITIES AND STOCKHOLDERS’ EQUITY</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liabilities: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2,837</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2,942</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144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2,956</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3,173</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4,476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1,863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1,723</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8,062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liabilities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3,069</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3,069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Total liabilities</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4,549</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2,007</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7,748</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14,304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Stockholders’ equity</w:t>
            </w:r>
          </w:p>
        </w:tc>
        <w:tc>
          <w:tcPr>
            <w:tcW w:w="106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5,308</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3,814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4,087</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(7,901)</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5,308</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$9,857</w:t>
            </w: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5,821</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11,854</w:t>
            </w:r>
          </w:p>
        </w:tc>
        <w:tc>
          <w:tcPr>
            <w:tcW w:w="42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1"/>
              </w:rPr>
              <w:t>(7,901)</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19,631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418"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June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WM</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6"/>
              </w:rPr>
              <w:t>Holdings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 —</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2,530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left w:val="single" w:sz="8" w:color="EEEEEE"/>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lef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left w:val="single" w:sz="8" w:color="EEEEEE"/>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lef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8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(59)</w:t>
            </w:r>
          </w:p>
        </w:tc>
        <w:tc>
          <w:tcPr>
            <w:tcW w:w="142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3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tcBorders>
              <w:left w:val="single" w:sz="8" w:color="EEEEEE"/>
            </w:tcBorders>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left w:val="single" w:sz="8" w:color="EEEEEE"/>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lef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left w:val="single" w:sz="8" w:color="EEEEEE"/>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lef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8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(22)</w:t>
            </w:r>
          </w:p>
        </w:tc>
        <w:tc>
          <w:tcPr>
            <w:tcW w:w="142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$(447)</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4"/>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gridSpan w:val="4"/>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780" w:type="dxa"/>
            <w:vAlign w:val="bottom"/>
            <w:gridSpan w:val="3"/>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720" w:type="dxa"/>
            <w:vAlign w:val="bottom"/>
            <w:gridSpan w:val="10"/>
          </w:tcPr>
          <w:p>
            <w:pPr>
              <w:jc w:val="center"/>
              <w:spacing w:after="0"/>
              <w:rPr>
                <w:sz w:val="20"/>
                <w:szCs w:val="20"/>
                <w:color w:val="auto"/>
              </w:rPr>
            </w:pPr>
            <w:r>
              <w:rPr>
                <w:rFonts w:ascii="Arial" w:cs="Arial" w:eastAsia="Arial" w:hAnsi="Arial"/>
                <w:sz w:val="18"/>
                <w:szCs w:val="18"/>
                <w:color w:val="auto"/>
                <w:w w:val="87"/>
              </w:rPr>
              <w:t>Three Months Ended June 30, 2002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7"/>
          </w:tcPr>
          <w:p>
            <w:pPr>
              <w:jc w:val="center"/>
              <w:ind w:right="78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WM</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6"/>
              </w:rPr>
              <w:t>Holdings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4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gridSpan w:val="5"/>
          </w:tcPr>
          <w:p>
            <w:pPr>
              <w:spacing w:after="0"/>
              <w:rPr>
                <w:sz w:val="8"/>
                <w:szCs w:val="8"/>
                <w:color w:val="auto"/>
              </w:rPr>
            </w:pPr>
          </w:p>
        </w:tc>
        <w:tc>
          <w:tcPr>
            <w:tcW w:w="8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 —</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$2,825</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$2,825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2,361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gridSpan w:val="2"/>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60" w:type="dxa"/>
            <w:vAlign w:val="bottom"/>
            <w:tcBorders>
              <w:left w:val="single" w:sz="8" w:color="EEEEEE"/>
            </w:tcBorders>
            <w:gridSpan w:val="4"/>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left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left w:val="single" w:sz="8" w:color="EEEEEE"/>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lef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8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(58)</w:t>
            </w:r>
          </w:p>
        </w:tc>
        <w:tc>
          <w:tcPr>
            <w:tcW w:w="142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3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tcBorders>
              <w:left w:val="single" w:sz="8" w:color="EEEEEE"/>
            </w:tcBorders>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6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100" w:type="dxa"/>
            <w:vAlign w:val="bottom"/>
            <w:gridSpan w:val="4"/>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left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6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100" w:type="dxa"/>
            <w:vAlign w:val="bottom"/>
            <w:gridSpan w:val="4"/>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left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8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(21)</w:t>
            </w:r>
          </w:p>
        </w:tc>
        <w:tc>
          <w:tcPr>
            <w:tcW w:w="142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4"/>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4"/>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278</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$(532)</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auto"/>
                <w:w w:val="89"/>
              </w:rPr>
              <w:t>29</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WM</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WMI</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Holdings</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 —</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$5,631</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$5,631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4,967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4,967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5"/>
              </w:rPr>
              <w:t>(119)</w:t>
            </w:r>
          </w:p>
        </w:tc>
        <w:tc>
          <w:tcPr>
            <w:tcW w:w="136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(44)</w:t>
            </w:r>
          </w:p>
        </w:tc>
        <w:tc>
          <w:tcPr>
            <w:tcW w:w="136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before cumulative effect of changes in accounting</w:t>
            </w: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300" w:type="dxa"/>
            <w:vAlign w:val="bottom"/>
            <w:tcBorders>
              <w:right w:val="single" w:sz="8" w:color="EEEEEE"/>
            </w:tcBorders>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237</w:t>
            </w:r>
          </w:p>
        </w:tc>
        <w:tc>
          <w:tcPr>
            <w:tcW w:w="140" w:type="dxa"/>
            <w:vAlign w:val="bottom"/>
            <w:shd w:val="clear" w:color="auto" w:fill="EEEEEE"/>
          </w:tcPr>
          <w:p>
            <w:pPr>
              <w:spacing w:after="0"/>
              <w:rPr>
                <w:sz w:val="19"/>
                <w:szCs w:val="19"/>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$ 237</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$(665)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20" w:type="dxa"/>
            <w:vAlign w:val="bottom"/>
            <w:gridSpan w:val="9"/>
          </w:tcPr>
          <w:p>
            <w:pPr>
              <w:jc w:val="center"/>
              <w:spacing w:after="0"/>
              <w:rPr>
                <w:sz w:val="20"/>
                <w:szCs w:val="20"/>
                <w:color w:val="auto"/>
              </w:rPr>
            </w:pPr>
            <w:r>
              <w:rPr>
                <w:rFonts w:ascii="Arial" w:cs="Arial" w:eastAsia="Arial" w:hAnsi="Arial"/>
                <w:sz w:val="18"/>
                <w:szCs w:val="18"/>
                <w:color w:val="auto"/>
                <w:w w:val="88"/>
              </w:rPr>
              <w:t>Six Months Ended June 30, 2002</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6"/>
          </w:tcPr>
          <w:p>
            <w:pPr>
              <w:jc w:val="center"/>
              <w:ind w:right="680"/>
              <w:spacing w:after="0"/>
              <w:rPr>
                <w:sz w:val="20"/>
                <w:szCs w:val="20"/>
                <w:color w:val="auto"/>
              </w:rPr>
            </w:pPr>
            <w:r>
              <w:rPr>
                <w:rFonts w:ascii="Arial" w:cs="Arial" w:eastAsia="Arial" w:hAnsi="Arial"/>
                <w:sz w:val="18"/>
                <w:szCs w:val="18"/>
                <w:color w:val="auto"/>
                <w:w w:val="91"/>
              </w:rPr>
              <w:t>(Unaudited)</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WM</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WMI</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Holdings</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4"/>
          </w:tcPr>
          <w:p>
            <w:pPr>
              <w:spacing w:after="0"/>
              <w:rPr>
                <w:sz w:val="8"/>
                <w:szCs w:val="8"/>
                <w:color w:val="auto"/>
              </w:rPr>
            </w:pPr>
          </w:p>
        </w:tc>
        <w:tc>
          <w:tcPr>
            <w:tcW w:w="96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 —</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$5,434</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$5,434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4,638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60" w:type="dxa"/>
            <w:vAlign w:val="bottom"/>
            <w:gridSpan w:val="2"/>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880" w:type="dxa"/>
            <w:vAlign w:val="bottom"/>
            <w:gridSpan w:val="3"/>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right w:val="single" w:sz="8" w:color="EEEEEE"/>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5"/>
              </w:rPr>
              <w:t>(114)</w:t>
            </w:r>
          </w:p>
        </w:tc>
        <w:tc>
          <w:tcPr>
            <w:tcW w:w="136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427</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(903)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040" w:type="dxa"/>
            <w:vAlign w:val="bottom"/>
            <w:gridSpan w:val="4"/>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right w:val="single" w:sz="8" w:color="EEEEEE"/>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313</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(903)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040" w:type="dxa"/>
            <w:vAlign w:val="bottom"/>
            <w:gridSpan w:val="4"/>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right w:val="single" w:sz="8" w:color="EEEEEE"/>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313</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(903)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136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before cumulative effect of change in accounting</w:t>
            </w: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w:t>
            </w:r>
          </w:p>
        </w:tc>
        <w:tc>
          <w:tcPr>
            <w:tcW w:w="300" w:type="dxa"/>
            <w:vAlign w:val="bottom"/>
            <w:tcBorders>
              <w:right w:val="single" w:sz="8" w:color="EEEEEE"/>
            </w:tcBorders>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355</w:t>
            </w:r>
          </w:p>
        </w:tc>
        <w:tc>
          <w:tcPr>
            <w:tcW w:w="140" w:type="dxa"/>
            <w:vAlign w:val="bottom"/>
            <w:shd w:val="clear" w:color="auto" w:fill="EEEEEE"/>
          </w:tcPr>
          <w:p>
            <w:pPr>
              <w:spacing w:after="0"/>
              <w:rPr>
                <w:sz w:val="19"/>
                <w:szCs w:val="19"/>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474</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(903)</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620" w:type="dxa"/>
            <w:vAlign w:val="bottom"/>
            <w:gridSpan w:val="2"/>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040" w:type="dxa"/>
            <w:vAlign w:val="bottom"/>
            <w:gridSpan w:val="4"/>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80" w:type="dxa"/>
            <w:vAlign w:val="bottom"/>
            <w:gridSpan w:val="4"/>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right w:val="single" w:sz="8" w:color="EEEEEE"/>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$ 355</w:t>
            </w: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$(903)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780" w:type="dxa"/>
            <w:vAlign w:val="bottom"/>
            <w:tcBorders>
              <w:right w:val="single" w:sz="8" w:color="EEEEEE"/>
            </w:tcBorders>
            <w:gridSpan w:val="3"/>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30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573" w:gutter="0" w:footer="0" w:header="0"/>
        </w:sectPr>
      </w:pPr>
    </w:p>
    <w:bookmarkStart w:id="33" w:name="page34"/>
    <w:bookmarkEnd w:id="3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8"/>
              </w:rPr>
              <w:t>WM</w:t>
            </w:r>
          </w:p>
        </w:tc>
        <w:tc>
          <w:tcPr>
            <w:tcW w:w="60" w:type="dxa"/>
            <w:vAlign w:val="bottom"/>
          </w:tcPr>
          <w:p>
            <w:pPr>
              <w:spacing w:after="0"/>
              <w:rPr>
                <w:sz w:val="14"/>
                <w:szCs w:val="1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WMI</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6"/>
              </w:rPr>
              <w:t>Holdings</w:t>
            </w:r>
          </w:p>
        </w:tc>
        <w:tc>
          <w:tcPr>
            <w:tcW w:w="60" w:type="dxa"/>
            <w:vAlign w:val="bottom"/>
          </w:tcPr>
          <w:p>
            <w:pPr>
              <w:spacing w:after="0"/>
              <w:rPr>
                <w:sz w:val="15"/>
                <w:szCs w:val="15"/>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$ 237</w:t>
            </w:r>
          </w:p>
        </w:tc>
        <w:tc>
          <w:tcPr>
            <w:tcW w:w="1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$ 312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8"/>
                <w:szCs w:val="18"/>
                <w:color w:val="auto"/>
              </w:rPr>
            </w:pPr>
          </w:p>
        </w:tc>
        <w:tc>
          <w:tcPr>
            <w:tcW w:w="1140" w:type="dxa"/>
            <w:vAlign w:val="bottom"/>
            <w:gridSpan w:val="7"/>
          </w:tcPr>
          <w:p>
            <w:pPr>
              <w:jc w:val="right"/>
              <w:ind w:right="20"/>
              <w:spacing w:after="0"/>
              <w:rPr>
                <w:sz w:val="20"/>
                <w:szCs w:val="20"/>
                <w:color w:val="auto"/>
              </w:rPr>
            </w:pPr>
            <w:r>
              <w:rPr>
                <w:rFonts w:ascii="Arial" w:cs="Arial" w:eastAsia="Arial" w:hAnsi="Arial"/>
                <w:sz w:val="18"/>
                <w:szCs w:val="18"/>
                <w:color w:val="auto"/>
              </w:rPr>
              <w:t>$(665)</w:t>
            </w:r>
          </w:p>
        </w:tc>
        <w:tc>
          <w:tcPr>
            <w:tcW w:w="3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of subsidiaries, net of taxes</w:t>
            </w:r>
          </w:p>
        </w:tc>
        <w:tc>
          <w:tcPr>
            <w:tcW w:w="6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Other adjustments and charges</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1,073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Acquisitions of businesses, net of cash acquired</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(172)</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(501)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6"/>
              </w:rPr>
              <w:t>Proceeds from divestitures of businesses, net of cash</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Net receipts from restricted funds and other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(512)</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New borrowings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Debt repayments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Common stock repurchases</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Exercise of common stock options and warrants</w:t>
            </w:r>
          </w:p>
        </w:tc>
        <w:tc>
          <w:tcPr>
            <w:tcW w:w="6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Other</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4"/>
              </w:rPr>
              <w:t>(Increase) decrease in intercompany and investments,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w:t>
            </w:r>
          </w:p>
        </w:tc>
        <w:tc>
          <w:tcPr>
            <w:tcW w:w="6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EEEEEE"/>
          </w:tcPr>
          <w:p>
            <w:pPr>
              <w:spacing w:after="0"/>
              <w:rPr>
                <w:sz w:val="19"/>
                <w:szCs w:val="19"/>
                <w:color w:val="auto"/>
              </w:rPr>
            </w:pPr>
          </w:p>
        </w:tc>
        <w:tc>
          <w:tcPr>
            <w:tcW w:w="112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(662)</w:t>
            </w:r>
          </w:p>
        </w:tc>
        <w:tc>
          <w:tcPr>
            <w:tcW w:w="3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(669)</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489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5"/>
          </w:tcPr>
          <w:p>
            <w:pPr>
              <w:jc w:val="right"/>
              <w:ind w:right="6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right"/>
              <w:ind w:right="420"/>
              <w:spacing w:after="0"/>
              <w:rPr>
                <w:sz w:val="20"/>
                <w:szCs w:val="20"/>
                <w:color w:val="auto"/>
              </w:rPr>
            </w:pPr>
            <w:r>
              <w:rPr>
                <w:rFonts w:ascii="Arial" w:cs="Arial" w:eastAsia="Arial" w:hAnsi="Arial"/>
                <w:sz w:val="18"/>
                <w:szCs w:val="18"/>
                <w:color w:val="auto"/>
              </w:rPr>
              <w:t>$  —</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20" w:type="dxa"/>
            <w:vAlign w:val="bottom"/>
            <w:gridSpan w:val="2"/>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tcBorders>
              <w:right w:val="single" w:sz="8" w:color="EEEEEE"/>
            </w:tcBorders>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EEEEEE"/>
          </w:tcPr>
          <w:p>
            <w:pPr>
              <w:spacing w:after="0"/>
              <w:rPr>
                <w:sz w:val="5"/>
                <w:szCs w:val="5"/>
                <w:color w:val="auto"/>
              </w:rPr>
            </w:pPr>
          </w:p>
        </w:tc>
        <w:tc>
          <w:tcPr>
            <w:tcW w:w="320" w:type="dxa"/>
            <w:vAlign w:val="bottom"/>
            <w:tcBorders>
              <w:right w:val="single" w:sz="8" w:color="EEEEEE"/>
            </w:tcBorders>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540" w:type="dxa"/>
            <w:vAlign w:val="bottom"/>
            <w:tcBorders>
              <w:right w:val="single" w:sz="8" w:color="808080"/>
            </w:tcBorders>
            <w:shd w:val="clear" w:color="auto" w:fill="EEEEEE"/>
          </w:tcPr>
          <w:p>
            <w:pPr>
              <w:spacing w:after="0"/>
              <w:rPr>
                <w:sz w:val="5"/>
                <w:szCs w:val="5"/>
                <w:color w:val="auto"/>
              </w:rPr>
            </w:pPr>
          </w:p>
        </w:tc>
        <w:tc>
          <w:tcPr>
            <w:tcW w:w="400" w:type="dxa"/>
            <w:vAlign w:val="bottom"/>
            <w:tcBorders>
              <w:right w:val="single" w:sz="8" w:color="EEEEEE"/>
            </w:tcBorders>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3"/>
          </w:tcPr>
          <w:p>
            <w:pPr>
              <w:jc w:val="center"/>
              <w:spacing w:after="0"/>
              <w:rPr>
                <w:sz w:val="20"/>
                <w:szCs w:val="20"/>
                <w:color w:val="auto"/>
              </w:rPr>
            </w:pPr>
            <w:r>
              <w:rPr>
                <w:rFonts w:ascii="Arial" w:cs="Arial" w:eastAsia="Arial" w:hAnsi="Arial"/>
                <w:sz w:val="18"/>
                <w:szCs w:val="18"/>
                <w:color w:val="auto"/>
                <w:w w:val="88"/>
              </w:rPr>
              <w:t>Six Months Ended June 30, 2003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jc w:val="center"/>
              <w:ind w:right="70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24"/>
                <w:szCs w:val="2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WMI</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Holdings</w:t>
            </w:r>
          </w:p>
        </w:tc>
        <w:tc>
          <w:tcPr>
            <w:tcW w:w="60" w:type="dxa"/>
            <w:vAlign w:val="bottom"/>
          </w:tcPr>
          <w:p>
            <w:pPr>
              <w:spacing w:after="0"/>
              <w:rPr>
                <w:sz w:val="15"/>
                <w:szCs w:val="15"/>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800" w:type="dxa"/>
            <w:vAlign w:val="bottom"/>
            <w:gridSpan w:val="5"/>
          </w:tcPr>
          <w:p>
            <w:pPr>
              <w:jc w:val="right"/>
              <w:ind w:right="120"/>
              <w:spacing w:after="0"/>
              <w:rPr>
                <w:sz w:val="20"/>
                <w:szCs w:val="20"/>
                <w:color w:val="auto"/>
              </w:rPr>
            </w:pPr>
            <w:r>
              <w:rPr>
                <w:rFonts w:ascii="Arial" w:cs="Arial" w:eastAsia="Arial" w:hAnsi="Arial"/>
                <w:sz w:val="18"/>
                <w:szCs w:val="18"/>
                <w:color w:val="auto"/>
              </w:rPr>
              <w:t>$ 355</w:t>
            </w:r>
          </w:p>
        </w:tc>
        <w:tc>
          <w:tcPr>
            <w:tcW w:w="1380" w:type="dxa"/>
            <w:vAlign w:val="bottom"/>
            <w:gridSpan w:val="7"/>
          </w:tcPr>
          <w:p>
            <w:pPr>
              <w:jc w:val="right"/>
              <w:ind w:right="260"/>
              <w:spacing w:after="0"/>
              <w:rPr>
                <w:sz w:val="20"/>
                <w:szCs w:val="20"/>
                <w:color w:val="auto"/>
              </w:rPr>
            </w:pPr>
            <w:r>
              <w:rPr>
                <w:rFonts w:ascii="Arial" w:cs="Arial" w:eastAsia="Arial" w:hAnsi="Arial"/>
                <w:sz w:val="18"/>
                <w:szCs w:val="18"/>
                <w:color w:val="auto"/>
              </w:rPr>
              <w:t>$ 427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476</w:t>
            </w:r>
          </w:p>
        </w:tc>
        <w:tc>
          <w:tcPr>
            <w:tcW w:w="1480" w:type="dxa"/>
            <w:vAlign w:val="bottom"/>
            <w:gridSpan w:val="8"/>
          </w:tcPr>
          <w:p>
            <w:pPr>
              <w:jc w:val="right"/>
              <w:ind w:right="280"/>
              <w:spacing w:after="0"/>
              <w:rPr>
                <w:sz w:val="20"/>
                <w:szCs w:val="20"/>
                <w:color w:val="auto"/>
              </w:rPr>
            </w:pPr>
            <w:r>
              <w:rPr>
                <w:rFonts w:ascii="Arial" w:cs="Arial" w:eastAsia="Arial" w:hAnsi="Arial"/>
                <w:sz w:val="18"/>
                <w:szCs w:val="18"/>
                <w:color w:val="auto"/>
              </w:rPr>
              <w:t>$(903)</w:t>
            </w: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$ 355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of subsidiaries, net of taxes</w:t>
            </w:r>
          </w:p>
        </w:tc>
        <w:tc>
          <w:tcPr>
            <w:tcW w:w="80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(427)</w:t>
            </w:r>
          </w:p>
        </w:tc>
        <w:tc>
          <w:tcPr>
            <w:tcW w:w="1380" w:type="dxa"/>
            <w:vAlign w:val="bottom"/>
            <w:gridSpan w:val="7"/>
            <w:shd w:val="clear" w:color="auto" w:fill="EEEEEE"/>
          </w:tcPr>
          <w:p>
            <w:pPr>
              <w:jc w:val="right"/>
              <w:ind w:right="20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8"/>
            <w:shd w:val="clear" w:color="auto" w:fill="EEEEEE"/>
          </w:tcPr>
          <w:p>
            <w:pPr>
              <w:jc w:val="right"/>
              <w:ind w:right="340"/>
              <w:spacing w:after="0"/>
              <w:rPr>
                <w:sz w:val="20"/>
                <w:szCs w:val="20"/>
                <w:color w:val="auto"/>
              </w:rPr>
            </w:pPr>
            <w:r>
              <w:rPr>
                <w:rFonts w:ascii="Arial" w:cs="Arial" w:eastAsia="Arial" w:hAnsi="Arial"/>
                <w:sz w:val="18"/>
                <w:szCs w:val="18"/>
                <w:color w:val="auto"/>
              </w:rPr>
              <w:t>903</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Other adjustments and charges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(12)</w:t>
            </w:r>
          </w:p>
        </w:tc>
        <w:tc>
          <w:tcPr>
            <w:tcW w:w="1380" w:type="dxa"/>
            <w:vAlign w:val="bottom"/>
            <w:gridSpan w:val="7"/>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80" w:type="dxa"/>
            <w:vAlign w:val="bottom"/>
            <w:gridSpan w:val="2"/>
            <w:shd w:val="clear" w:color="auto" w:fill="EEEEEE"/>
          </w:tcPr>
          <w:p>
            <w:pPr>
              <w:spacing w:after="0"/>
              <w:rPr>
                <w:sz w:val="9"/>
                <w:szCs w:val="9"/>
                <w:color w:val="auto"/>
              </w:rPr>
            </w:pPr>
          </w:p>
        </w:tc>
        <w:tc>
          <w:tcPr>
            <w:tcW w:w="300" w:type="dxa"/>
            <w:vAlign w:val="bottom"/>
            <w:gridSpan w:val="2"/>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4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60" w:type="dxa"/>
            <w:vAlign w:val="bottom"/>
            <w:tcBorders>
              <w:top w:val="single" w:sz="8" w:color="EEEEEE"/>
            </w:tcBorders>
            <w:shd w:val="clear" w:color="auto" w:fill="EEEEEE"/>
          </w:tcPr>
          <w:p>
            <w:pPr>
              <w:spacing w:after="0"/>
              <w:rPr>
                <w:sz w:val="8"/>
                <w:szCs w:val="8"/>
                <w:color w:val="auto"/>
              </w:rPr>
            </w:pPr>
          </w:p>
        </w:tc>
        <w:tc>
          <w:tcPr>
            <w:tcW w:w="240" w:type="dxa"/>
            <w:vAlign w:val="bottom"/>
            <w:tcBorders>
              <w:top w:val="single" w:sz="8" w:color="EEEEEE"/>
            </w:tcBorders>
            <w:shd w:val="clear" w:color="auto" w:fill="EEEEEE"/>
          </w:tcPr>
          <w:p>
            <w:pPr>
              <w:spacing w:after="0"/>
              <w:rPr>
                <w:sz w:val="8"/>
                <w:szCs w:val="8"/>
                <w:color w:val="auto"/>
              </w:rPr>
            </w:pPr>
          </w:p>
        </w:tc>
        <w:tc>
          <w:tcPr>
            <w:tcW w:w="6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right w:val="single" w:sz="8" w:color="EEEEEE"/>
            </w:tcBorders>
            <w:shd w:val="clear" w:color="auto" w:fill="EEEEEE"/>
          </w:tcPr>
          <w:p>
            <w:pPr>
              <w:spacing w:after="0"/>
              <w:rPr>
                <w:sz w:val="8"/>
                <w:szCs w:val="8"/>
                <w:color w:val="auto"/>
              </w:rPr>
            </w:pPr>
          </w:p>
        </w:tc>
        <w:tc>
          <w:tcPr>
            <w:tcW w:w="400" w:type="dxa"/>
            <w:vAlign w:val="bottom"/>
            <w:tcBorders>
              <w:top w:val="single" w:sz="8" w:color="808080"/>
              <w:right w:val="single" w:sz="8" w:color="EEEEEE"/>
            </w:tcBorders>
            <w:shd w:val="clear" w:color="auto" w:fill="EEEEEE"/>
          </w:tcPr>
          <w:p>
            <w:pPr>
              <w:spacing w:after="0"/>
              <w:rPr>
                <w:sz w:val="8"/>
                <w:szCs w:val="8"/>
                <w:color w:val="auto"/>
              </w:rPr>
            </w:pPr>
          </w:p>
        </w:tc>
        <w:tc>
          <w:tcPr>
            <w:tcW w:w="36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240" w:type="dxa"/>
            <w:vAlign w:val="bottom"/>
            <w:tcBorders>
              <w:top w:val="single" w:sz="8" w:color="808080"/>
            </w:tcBorders>
            <w:shd w:val="clear" w:color="auto" w:fill="EEEEEE"/>
          </w:tcPr>
          <w:p>
            <w:pPr>
              <w:spacing w:after="0"/>
              <w:rPr>
                <w:sz w:val="8"/>
                <w:szCs w:val="8"/>
                <w:color w:val="auto"/>
              </w:rPr>
            </w:pPr>
          </w:p>
        </w:tc>
        <w:tc>
          <w:tcPr>
            <w:tcW w:w="80" w:type="dxa"/>
            <w:vAlign w:val="bottom"/>
            <w:tcBorders>
              <w:top w:val="single" w:sz="8" w:color="808080"/>
            </w:tcBorders>
            <w:shd w:val="clear" w:color="auto" w:fill="EEEEEE"/>
          </w:tcPr>
          <w:p>
            <w:pPr>
              <w:spacing w:after="0"/>
              <w:rPr>
                <w:sz w:val="8"/>
                <w:szCs w:val="8"/>
                <w:color w:val="auto"/>
              </w:rPr>
            </w:pPr>
          </w:p>
        </w:tc>
        <w:tc>
          <w:tcPr>
            <w:tcW w:w="34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(84)</w:t>
            </w:r>
          </w:p>
        </w:tc>
        <w:tc>
          <w:tcPr>
            <w:tcW w:w="1380" w:type="dxa"/>
            <w:vAlign w:val="bottom"/>
            <w:gridSpan w:val="7"/>
          </w:tcPr>
          <w:p>
            <w:pPr>
              <w:jc w:val="right"/>
              <w:ind w:right="20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Acquisitions of businesses, net of cash acquired</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(64)</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6"/>
              </w:rPr>
              <w:t>Proceeds from divestitures of businesses, net of cash</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Net receipts from restricted funds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EEEEEE"/>
            </w:tcBorders>
          </w:tcPr>
          <w:p>
            <w:pPr>
              <w:ind w:left="280"/>
              <w:spacing w:after="0"/>
              <w:rPr>
                <w:sz w:val="20"/>
                <w:szCs w:val="20"/>
                <w:color w:val="auto"/>
              </w:rPr>
            </w:pPr>
            <w:r>
              <w:rPr>
                <w:rFonts w:ascii="Arial" w:cs="Arial" w:eastAsia="Arial" w:hAnsi="Arial"/>
                <w:sz w:val="18"/>
                <w:szCs w:val="18"/>
                <w:color w:val="auto"/>
              </w:rPr>
              <w:t>New borrowings</w:t>
            </w:r>
          </w:p>
        </w:tc>
        <w:tc>
          <w:tcPr>
            <w:tcW w:w="800" w:type="dxa"/>
            <w:vAlign w:val="bottom"/>
            <w:tcBorders>
              <w:bottom w:val="single" w:sz="8" w:color="EEEEEE"/>
            </w:tcBorders>
            <w:gridSpan w:val="5"/>
          </w:tcPr>
          <w:p>
            <w:pPr>
              <w:jc w:val="right"/>
              <w:ind w:right="12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gridSpan w:val="4"/>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EEEEE"/>
            </w:tcBorders>
          </w:tcPr>
          <w:p>
            <w:pPr>
              <w:spacing w:after="0"/>
              <w:rPr>
                <w:sz w:val="18"/>
                <w:szCs w:val="18"/>
                <w:color w:val="auto"/>
              </w:rPr>
            </w:pPr>
          </w:p>
        </w:tc>
        <w:tc>
          <w:tcPr>
            <w:tcW w:w="540" w:type="dxa"/>
            <w:vAlign w:val="bottom"/>
            <w:tcBorders>
              <w:bottom w:val="single" w:sz="8" w:color="EEEEEE"/>
            </w:tcBorders>
          </w:tcPr>
          <w:p>
            <w:pPr>
              <w:spacing w:after="0"/>
              <w:rPr>
                <w:sz w:val="18"/>
                <w:szCs w:val="18"/>
                <w:color w:val="auto"/>
              </w:rPr>
            </w:pPr>
          </w:p>
        </w:tc>
        <w:tc>
          <w:tcPr>
            <w:tcW w:w="76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46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498</w:t>
            </w:r>
          </w:p>
        </w:tc>
        <w:tc>
          <w:tcPr>
            <w:tcW w:w="4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Debt repayments</w:t>
            </w: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(427)</w:t>
            </w:r>
          </w:p>
        </w:tc>
        <w:tc>
          <w:tcPr>
            <w:tcW w:w="15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(24)</w:t>
            </w:r>
          </w:p>
        </w:tc>
        <w:tc>
          <w:tcPr>
            <w:tcW w:w="158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(17)</w:t>
            </w: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Common stock repurchases</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Exercise of common stock options and warrants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3"/>
              </w:rPr>
              <w:t>(Increase) decrease in intercompany and investments,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0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9"/>
                <w:szCs w:val="19"/>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(608)</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8"/>
                <w:szCs w:val="18"/>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(625)</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Effect of exchange rate changes on cash and cash</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equivalents</w:t>
            </w:r>
          </w:p>
        </w:tc>
        <w:tc>
          <w:tcPr>
            <w:tcW w:w="40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(27)</w:t>
            </w: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$ 792</w:t>
            </w:r>
          </w:p>
        </w:tc>
        <w:tc>
          <w:tcPr>
            <w:tcW w:w="3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  —</w:t>
            </w:r>
          </w:p>
        </w:tc>
        <w:tc>
          <w:tcPr>
            <w:tcW w:w="158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  (72)</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$ 720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January 2003, the Financial Accounting Standards Board issued FASB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FIN 46 requires variable interest entities to be consolidated by their primary beneficiaries. A primary beneficiary is the party that absorbs a majority of the entity’s expected losses or residual benefits. FIN 46 is currently effective for all variable interest entities created or modified after January 31, 2003 and is effective for all variable interest entities, regardless of when created, in quarterly periods beginning after June 15, 2003. Management has determined that a limited number of the Company’s arrangements are with variable interest entities and may require consolidation and/or disclosure as of July 1, 2003. However, we have yet to definitively conclude whether consolidation or disclosure will be required upon full adoption of FIN 46 or to measure the impact that this accounting change will have on our results of operations or financial position. Upon full adoption, we will disclose the nature, purpose, size and activities of the variable interest entities in which we are either the primary beneficiary or have significant variable interests. We will also disclose our maximum exposure to loss as a result of our involvement with these entities.</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August 5, 2003, we announced that our Board of Directors approved a quarterly dividend program beginning in 2004. The dividend will be $0.75 per share annually and we expect to announce the record and payment dates of the first quarter dividend in January 2004, which we expect will be payable in March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about our plans, programs and objectives for the future, about our future economic performance or statements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over which we have no control.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statements for the remainder of 2003 and beyond. However, they are not the only risks that we face. There may be additional risks that we do not presently know or that we currently believe are immaterial which could also impair our business.</w:t>
      </w:r>
    </w:p>
    <w:p>
      <w:pPr>
        <w:spacing w:after="0" w:line="194"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possible changes in our estimates of site remediation requirements, final closure and post-closure obligations, compliance and regulatory developments;</w:t>
      </w:r>
    </w:p>
    <w:p>
      <w:pPr>
        <w:spacing w:after="0" w:line="302" w:lineRule="exact"/>
        <w:rPr>
          <w:rFonts w:ascii="Arial" w:cs="Arial" w:eastAsia="Arial" w:hAnsi="Arial"/>
          <w:sz w:val="16"/>
          <w:szCs w:val="16"/>
          <w:color w:val="auto"/>
        </w:rPr>
      </w:pPr>
    </w:p>
    <w:p>
      <w:pPr>
        <w:ind w:left="460" w:right="240" w:hanging="101"/>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possible charges against earnings as a result of shut-down operations, uncompleted acquisitions, development or expansion projects or other events;</w:t>
      </w:r>
    </w:p>
    <w:p>
      <w:pPr>
        <w:spacing w:after="0" w:line="302" w:lineRule="exact"/>
        <w:rPr>
          <w:rFonts w:ascii="Arial" w:cs="Arial" w:eastAsia="Arial" w:hAnsi="Arial"/>
          <w:sz w:val="16"/>
          <w:szCs w:val="16"/>
          <w:color w:val="auto"/>
        </w:rPr>
      </w:pPr>
    </w:p>
    <w:p>
      <w:pPr>
        <w:ind w:left="460" w:right="560" w:hanging="101"/>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profitability;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400" w:hanging="101"/>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disruptions due to the implementation of our workforce reductions.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Our principal executive offices are located at 1001 Fannin Street, Suite 4000, Houston, Texas 77002. Our telephone number at that address is (713) 512-6200. Our website address is </w:t>
      </w:r>
      <w:r>
        <w:rPr>
          <w:rFonts w:ascii="Arial" w:cs="Arial" w:eastAsia="Arial" w:hAnsi="Arial"/>
          <w:sz w:val="18"/>
          <w:szCs w:val="18"/>
          <w:i w:val="1"/>
          <w:iCs w:val="1"/>
          <w:color w:val="auto"/>
        </w:rPr>
        <w:t>http://www.wm.com</w:t>
      </w:r>
      <w:r>
        <w:rPr>
          <w:rFonts w:ascii="Arial" w:cs="Arial" w:eastAsia="Arial" w:hAnsi="Arial"/>
          <w:sz w:val="18"/>
          <w:szCs w:val="18"/>
          <w:color w:val="auto"/>
        </w:rPr>
        <w:t>.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We are the waste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and governmental entities.</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collection services involve picking up and transporting waste from where it was generated to a transfer station or disposal site. Transfer stations are facilities located near residential and commercial collection routes where collection trucks take the solid waste that has been collected. The solid waste is then transferred via transfer trucks, rail or barge to disposal sites. These disposal sites include landfills and waste-to-energy facilities. As of June 30, 2003, we owned or operated 284 solid waste landfills, five hazardous waste landfills, 16 waste-to-energy facilities and eight independent power production plants (“IPPs”). The operation of a solid waste landfill includes excavation, construction of liners and final caps, continuous spreading and compacting of waste, and covering of waste with earth or other inert materials. These operations are carefully planned to maintain sanitary conditions, to ensure the best possible use of the airspace and to prepare the site so it can ultimately be used for other purposes. We also operate secure hazardous waste landfills in the United States. Our hazardous waste landfills are sited, constructed and operated in a manner designed to provide long-term containment of hazardous waste. At waste-to-energy facilities, solid waste is burned at high temperatures in specially designed boilers, producing heat that is converted into high-pressure steam. We use that steam to generate electricity for sale to electric utilities under long-term contracts. Our IPPs also convert various waste and conventional fuels into electricity. The IPPs combust wood waste, anthracite coal waste (culm), tires, landfill gas and natural gas. In addition to electricity production, the IPPs also produce steam, which is sold to industrial and commercial users.</w:t>
      </w:r>
    </w:p>
    <w:p>
      <w:pPr>
        <w:spacing w:after="0" w:line="205" w:lineRule="exact"/>
        <w:rPr>
          <w:sz w:val="20"/>
          <w:szCs w:val="20"/>
          <w:color w:val="auto"/>
        </w:rPr>
      </w:pPr>
    </w:p>
    <w:p>
      <w:pPr>
        <w:jc w:val="both"/>
        <w:ind w:right="240" w:firstLine="324"/>
        <w:spacing w:after="0" w:line="306" w:lineRule="auto"/>
        <w:rPr>
          <w:sz w:val="20"/>
          <w:szCs w:val="20"/>
          <w:color w:val="auto"/>
        </w:rPr>
      </w:pPr>
      <w:r>
        <w:rPr>
          <w:rFonts w:ascii="Arial" w:cs="Arial" w:eastAsia="Arial" w:hAnsi="Arial"/>
          <w:sz w:val="16"/>
          <w:szCs w:val="16"/>
          <w:color w:val="auto"/>
        </w:rPr>
        <w:t>We actively pursue landfill gas-to-energy projects and are currently supplying methane gas from several of our solid waste landfills. The processed gas is delivered to engine generators to produce electricity that is sold to public utilities, municipal utilities or power cooperatives, delivered via pipeline to industrial customers as a direct substitute for fossil fuels in industrial processes or processed and delivered to natural gas suppliers.</w:t>
      </w:r>
    </w:p>
    <w:p>
      <w:pPr>
        <w:spacing w:after="0" w:line="18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In addition to disposing of waste, we offer recycling services, which involve the removal of reusable materials from the waste stream for processing and resale or other disposition for use in various applications. These services are mainly offered through our Recycling Group, which is composed of our majority-owned recycling entity, Recycle America Alliance, L.L.C. During the first quarter of 2003, we transferred the majority of the recycling assets and businesses of our subsidiaries to Recycle America Alliance to optimize the capacity and improve the profitability of our recycling operations.</w:t>
      </w:r>
    </w:p>
    <w:p>
      <w:pPr>
        <w:spacing w:after="0" w:line="19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rent and service portable restroom facilities under the name Port-o-let®, provide street and parking lot sweeping services and provide in-plant services, in which we outsource our employees to provide full service waste management to customers at their plants. Our vertically integrated waste management operations allow us to provide these customers with full management of their waste, including choosing the right-sized containers, finding recycling opportunities, minimizing their waste and transporting and disposing of their waste.</w:t>
      </w:r>
    </w:p>
    <w:p>
      <w:pPr>
        <w:spacing w:after="0" w:line="224"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Our North American Solid Waste operations are comprised of our seven Groups that divide our operations geographically into the Eastern, Midwest, Southern, Western and Canadian operations and functionally into Recycling and Wheelabrator. Our Other NASW services include our national accounts and methane gas recovery operations that provide services throughout the Groups. Each of the Groups within NASW is reported as a separate segment, as is Other NASW. We also had international waste management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ind w:right="120"/>
        <w:spacing w:after="0" w:line="268" w:lineRule="auto"/>
        <w:rPr>
          <w:sz w:val="20"/>
          <w:szCs w:val="20"/>
          <w:color w:val="auto"/>
        </w:rPr>
      </w:pPr>
      <w:r>
        <w:rPr>
          <w:rFonts w:ascii="Arial" w:cs="Arial" w:eastAsia="Arial" w:hAnsi="Arial"/>
          <w:sz w:val="18"/>
          <w:szCs w:val="18"/>
          <w:color w:val="auto"/>
        </w:rPr>
        <w:t>services and non-solid waste services, all of which were divested by March 31, 2002. The impact of these divested operations is included in our presentations in this report as “Other.”</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preparing our financial statements, we make several estimates and assumptions that affect our assets and liabilities and revenues and expenses. We must make these estimates and assumptions because certain of the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environmental liabilities and asset impairments, as described in Item 7 of our Annual Report on Form 10-K for the year ended December 31, 2002.</w:t>
      </w:r>
    </w:p>
    <w:p>
      <w:pPr>
        <w:spacing w:after="0" w:line="20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Effective January 1, 2003, we adopted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Although the adoption of SFAS No. 143 has impacted our landfill accounting policies, the estimates and assumptions that we used as of December 31, 2002 and that are inherent in the application of these policies continue to be a relevant component of our accounting for landfill retirement obligations.</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a result of adopting SFAS No. 143, additional landfill accounting related estimates and assumptions are required in determining the obligations associated with retiring landfill assets. 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Additionally,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future timing of landfill final capping and closure activities would have an effect on these liabilities, related assets and results of operations.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 for the Three and Six Months Ended June 30, 2003 and 2002</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6"/>
              </w:rPr>
              <w:t>Period to Period Change</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Period to Period Change</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520" w:type="dxa"/>
            <w:vAlign w:val="bottom"/>
            <w:gridSpan w:val="3"/>
          </w:tcPr>
          <w:p>
            <w:pPr>
              <w:jc w:val="center"/>
              <w:ind w:left="699"/>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3"/>
          </w:tcPr>
          <w:p>
            <w:pPr>
              <w:jc w:val="center"/>
              <w:ind w:left="612"/>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292"/>
              <w:spacing w:after="0"/>
              <w:rPr>
                <w:sz w:val="20"/>
                <w:szCs w:val="20"/>
                <w:color w:val="auto"/>
              </w:rPr>
            </w:pPr>
            <w:r>
              <w:rPr>
                <w:rFonts w:ascii="Arial" w:cs="Arial" w:eastAsia="Arial" w:hAnsi="Arial"/>
                <w:sz w:val="14"/>
                <w:szCs w:val="14"/>
                <w:b w:val="1"/>
                <w:bCs w:val="1"/>
                <w:color w:val="auto"/>
                <w:w w:val="86"/>
              </w:rPr>
              <w:t>2003 and 2002</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2003 and 2002</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c>
          <w:tcPr>
            <w:tcW w:w="13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197</w:t>
            </w:r>
          </w:p>
        </w:tc>
        <w:tc>
          <w:tcPr>
            <w:tcW w:w="12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3.6 %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3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(exclusive of depreciation and</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amortization shown below)</w:t>
            </w:r>
          </w:p>
        </w:tc>
        <w:tc>
          <w:tcPr>
            <w:tcW w:w="86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155</w:t>
            </w:r>
          </w:p>
        </w:tc>
        <w:tc>
          <w:tcPr>
            <w:tcW w:w="1380" w:type="dxa"/>
            <w:vAlign w:val="bottom"/>
            <w:shd w:val="clear" w:color="auto" w:fill="EEEEEE"/>
          </w:tcPr>
          <w:p>
            <w:pPr>
              <w:spacing w:after="0"/>
              <w:rPr>
                <w:sz w:val="19"/>
                <w:szCs w:val="19"/>
                <w:color w:val="auto"/>
              </w:rPr>
            </w:pP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EEEEE"/>
          </w:tcPr>
          <w:p>
            <w:pPr>
              <w:spacing w:after="0"/>
              <w:rPr>
                <w:sz w:val="19"/>
                <w:szCs w:val="19"/>
                <w:color w:val="auto"/>
              </w:rPr>
            </w:pPr>
          </w:p>
        </w:tc>
        <w:tc>
          <w:tcPr>
            <w:tcW w:w="760" w:type="dxa"/>
            <w:vAlign w:val="bottom"/>
            <w:tcBorders>
              <w:right w:val="single" w:sz="8" w:color="EEEEEE"/>
            </w:tcBorders>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383</w:t>
            </w:r>
          </w:p>
        </w:tc>
        <w:tc>
          <w:tcPr>
            <w:tcW w:w="1200" w:type="dxa"/>
            <w:vAlign w:val="bottom"/>
            <w:shd w:val="clear" w:color="auto" w:fill="EEEEEE"/>
          </w:tcPr>
          <w:p>
            <w:pPr>
              <w:spacing w:after="0"/>
              <w:rPr>
                <w:sz w:val="19"/>
                <w:szCs w:val="19"/>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8"/>
                <w:szCs w:val="18"/>
                <w:color w:val="auto"/>
              </w:rPr>
            </w:pPr>
          </w:p>
        </w:tc>
        <w:tc>
          <w:tcPr>
            <w:tcW w:w="1660" w:type="dxa"/>
            <w:vAlign w:val="bottom"/>
            <w:gridSpan w:val="2"/>
          </w:tcPr>
          <w:p>
            <w:pPr>
              <w:jc w:val="right"/>
              <w:ind w:right="1272"/>
              <w:spacing w:after="0"/>
              <w:rPr>
                <w:sz w:val="20"/>
                <w:szCs w:val="20"/>
                <w:color w:val="auto"/>
              </w:rPr>
            </w:pPr>
            <w:r>
              <w:rPr>
                <w:rFonts w:ascii="Arial" w:cs="Arial" w:eastAsia="Arial" w:hAnsi="Arial"/>
                <w:sz w:val="18"/>
                <w:szCs w:val="18"/>
                <w:color w:val="auto"/>
                <w:w w:val="93"/>
              </w:rPr>
              <w:t>(15)</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1092"/>
              <w:spacing w:after="0"/>
              <w:rPr>
                <w:sz w:val="20"/>
                <w:szCs w:val="20"/>
                <w:color w:val="auto"/>
              </w:rPr>
            </w:pPr>
            <w:r>
              <w:rPr>
                <w:rFonts w:ascii="Arial" w:cs="Arial" w:eastAsia="Arial" w:hAnsi="Arial"/>
                <w:sz w:val="18"/>
                <w:szCs w:val="18"/>
                <w:color w:val="auto"/>
              </w:rPr>
              <w:t>(79)</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3"/>
              </w:rPr>
              <w:t>(11.2)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38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16.2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8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272"/>
              <w:spacing w:after="0"/>
              <w:rPr>
                <w:sz w:val="20"/>
                <w:szCs w:val="20"/>
                <w:color w:val="auto"/>
              </w:rPr>
            </w:pPr>
            <w:r>
              <w:rPr>
                <w:rFonts w:ascii="Arial" w:cs="Arial" w:eastAsia="Arial" w:hAnsi="Arial"/>
                <w:sz w:val="18"/>
                <w:szCs w:val="18"/>
                <w:color w:val="auto"/>
              </w:rPr>
              <w:t>(6)</w:t>
            </w: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N/A</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520" w:type="dxa"/>
            <w:vAlign w:val="bottom"/>
            <w:gridSpan w:val="2"/>
            <w:shd w:val="clear" w:color="auto" w:fill="EEEEEE"/>
          </w:tcPr>
          <w:p>
            <w:pPr>
              <w:jc w:val="right"/>
              <w:ind w:right="1092"/>
              <w:spacing w:after="0"/>
              <w:rPr>
                <w:sz w:val="20"/>
                <w:szCs w:val="20"/>
                <w:color w:val="auto"/>
              </w:rPr>
            </w:pPr>
            <w:r>
              <w:rPr>
                <w:rFonts w:ascii="Arial" w:cs="Arial" w:eastAsia="Arial" w:hAnsi="Arial"/>
                <w:sz w:val="18"/>
                <w:szCs w:val="18"/>
                <w:color w:val="auto"/>
              </w:rPr>
              <w:t>(1)</w:t>
            </w:r>
          </w:p>
        </w:tc>
        <w:tc>
          <w:tcPr>
            <w:tcW w:w="72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w w:val="93"/>
              </w:rPr>
              <w:t>(16.7)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169</w:t>
            </w: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7.2</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329</w:t>
            </w: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272"/>
              <w:spacing w:after="0"/>
              <w:rPr>
                <w:sz w:val="20"/>
                <w:szCs w:val="20"/>
                <w:color w:val="auto"/>
              </w:rPr>
            </w:pPr>
            <w:r>
              <w:rPr>
                <w:rFonts w:ascii="Arial" w:cs="Arial" w:eastAsia="Arial" w:hAnsi="Arial"/>
                <w:sz w:val="18"/>
                <w:szCs w:val="18"/>
                <w:color w:val="auto"/>
                <w:w w:val="93"/>
              </w:rPr>
              <w:t>(79)</w:t>
            </w:r>
          </w:p>
        </w:tc>
        <w:tc>
          <w:tcPr>
            <w:tcW w:w="7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3"/>
              </w:rPr>
              <w:t>(17.0)</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520" w:type="dxa"/>
            <w:vAlign w:val="bottom"/>
            <w:gridSpan w:val="2"/>
            <w:shd w:val="clear" w:color="auto" w:fill="EEEEEE"/>
          </w:tcPr>
          <w:p>
            <w:pPr>
              <w:jc w:val="right"/>
              <w:ind w:right="1092"/>
              <w:spacing w:after="0"/>
              <w:rPr>
                <w:sz w:val="20"/>
                <w:szCs w:val="20"/>
                <w:color w:val="auto"/>
              </w:rPr>
            </w:pPr>
            <w:r>
              <w:rPr>
                <w:rFonts w:ascii="Arial" w:cs="Arial" w:eastAsia="Arial" w:hAnsi="Arial"/>
                <w:sz w:val="18"/>
                <w:szCs w:val="18"/>
                <w:color w:val="auto"/>
                <w:w w:val="80"/>
              </w:rPr>
              <w:t>(132)</w:t>
            </w:r>
          </w:p>
        </w:tc>
        <w:tc>
          <w:tcPr>
            <w:tcW w:w="72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w w:val="93"/>
              </w:rPr>
              <w:t>(16.6)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and other income, net</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860" w:type="dxa"/>
            <w:vAlign w:val="bottom"/>
          </w:tcPr>
          <w:p>
            <w:pPr>
              <w:spacing w:after="0"/>
              <w:rPr>
                <w:sz w:val="18"/>
                <w:szCs w:val="18"/>
                <w:color w:val="auto"/>
              </w:rPr>
            </w:pPr>
          </w:p>
        </w:tc>
        <w:tc>
          <w:tcPr>
            <w:tcW w:w="1660" w:type="dxa"/>
            <w:vAlign w:val="bottom"/>
            <w:gridSpan w:val="2"/>
          </w:tcPr>
          <w:p>
            <w:pPr>
              <w:jc w:val="right"/>
              <w:ind w:right="13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1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3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2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3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8"/>
                <w:szCs w:val="18"/>
                <w:color w:val="auto"/>
              </w:rPr>
            </w:pPr>
          </w:p>
        </w:tc>
        <w:tc>
          <w:tcPr>
            <w:tcW w:w="1660" w:type="dxa"/>
            <w:vAlign w:val="bottom"/>
            <w:gridSpan w:val="2"/>
          </w:tcPr>
          <w:p>
            <w:pPr>
              <w:jc w:val="right"/>
              <w:ind w:right="1272"/>
              <w:spacing w:after="0"/>
              <w:rPr>
                <w:sz w:val="20"/>
                <w:szCs w:val="20"/>
                <w:color w:val="auto"/>
              </w:rPr>
            </w:pPr>
            <w:r>
              <w:rPr>
                <w:rFonts w:ascii="Arial" w:cs="Arial" w:eastAsia="Arial" w:hAnsi="Arial"/>
                <w:sz w:val="18"/>
                <w:szCs w:val="18"/>
                <w:color w:val="auto"/>
                <w:w w:val="93"/>
              </w:rPr>
              <w:t>(70)</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w w:val="93"/>
              </w:rPr>
              <w:t>(19.9)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1092"/>
              <w:spacing w:after="0"/>
              <w:rPr>
                <w:sz w:val="20"/>
                <w:szCs w:val="20"/>
                <w:color w:val="auto"/>
              </w:rPr>
            </w:pPr>
            <w:r>
              <w:rPr>
                <w:rFonts w:ascii="Arial" w:cs="Arial" w:eastAsia="Arial" w:hAnsi="Arial"/>
                <w:sz w:val="18"/>
                <w:szCs w:val="18"/>
                <w:color w:val="auto"/>
                <w:w w:val="80"/>
              </w:rPr>
              <w:t>(114)</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3"/>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272"/>
              <w:spacing w:after="0"/>
              <w:rPr>
                <w:sz w:val="20"/>
                <w:szCs w:val="20"/>
                <w:color w:val="auto"/>
              </w:rPr>
            </w:pPr>
            <w:r>
              <w:rPr>
                <w:rFonts w:ascii="Arial" w:cs="Arial" w:eastAsia="Arial" w:hAnsi="Arial"/>
                <w:sz w:val="18"/>
                <w:szCs w:val="18"/>
                <w:color w:val="auto"/>
                <w:w w:val="93"/>
              </w:rPr>
              <w:t>(29)</w:t>
            </w:r>
          </w:p>
        </w:tc>
        <w:tc>
          <w:tcPr>
            <w:tcW w:w="7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3"/>
              </w:rPr>
              <w:t>(21.5)</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520" w:type="dxa"/>
            <w:vAlign w:val="bottom"/>
            <w:gridSpan w:val="2"/>
            <w:shd w:val="clear" w:color="auto" w:fill="EEEEEE"/>
          </w:tcPr>
          <w:p>
            <w:pPr>
              <w:jc w:val="right"/>
              <w:ind w:right="1092"/>
              <w:spacing w:after="0"/>
              <w:rPr>
                <w:sz w:val="20"/>
                <w:szCs w:val="20"/>
                <w:color w:val="auto"/>
              </w:rPr>
            </w:pPr>
            <w:r>
              <w:rPr>
                <w:rFonts w:ascii="Arial" w:cs="Arial" w:eastAsia="Arial" w:hAnsi="Arial"/>
                <w:sz w:val="18"/>
                <w:szCs w:val="18"/>
                <w:color w:val="auto"/>
              </w:rPr>
              <w:t>(44)</w:t>
            </w:r>
          </w:p>
        </w:tc>
        <w:tc>
          <w:tcPr>
            <w:tcW w:w="72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w w:val="93"/>
              </w:rPr>
              <w:t>(20.2)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accounting principles</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1272"/>
              <w:spacing w:after="0"/>
              <w:rPr>
                <w:sz w:val="20"/>
                <w:szCs w:val="20"/>
                <w:color w:val="auto"/>
              </w:rPr>
            </w:pPr>
            <w:r>
              <w:rPr>
                <w:rFonts w:ascii="Arial" w:cs="Arial" w:eastAsia="Arial" w:hAnsi="Arial"/>
                <w:sz w:val="18"/>
                <w:szCs w:val="18"/>
                <w:color w:val="auto"/>
                <w:w w:val="93"/>
              </w:rPr>
              <w:t>(41)</w:t>
            </w:r>
          </w:p>
        </w:tc>
        <w:tc>
          <w:tcPr>
            <w:tcW w:w="7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91"/>
              </w:rPr>
              <w:t>(18.9)%</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92"/>
              <w:spacing w:after="0"/>
              <w:rPr>
                <w:sz w:val="20"/>
                <w:szCs w:val="20"/>
                <w:color w:val="auto"/>
              </w:rPr>
            </w:pPr>
            <w:r>
              <w:rPr>
                <w:rFonts w:ascii="Arial" w:cs="Arial" w:eastAsia="Arial" w:hAnsi="Arial"/>
                <w:sz w:val="18"/>
                <w:szCs w:val="18"/>
                <w:color w:val="auto"/>
              </w:rPr>
              <w:t>(70)</w:t>
            </w:r>
          </w:p>
        </w:tc>
        <w:tc>
          <w:tcPr>
            <w:tcW w:w="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95"/>
              </w:rPr>
              <w:t>(19.8)%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gridSpan w:val="2"/>
          </w:tcPr>
          <w:p>
            <w:pPr>
              <w:jc w:val="right"/>
              <w:ind w:right="932"/>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12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Six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Operating revenues</w:t>
            </w:r>
          </w:p>
        </w:tc>
        <w:tc>
          <w:tcPr>
            <w:tcW w:w="1140" w:type="dxa"/>
            <w:vAlign w:val="bottom"/>
            <w:gridSpan w:val="3"/>
          </w:tcPr>
          <w:p>
            <w:pPr>
              <w:jc w:val="right"/>
              <w:ind w:right="92"/>
              <w:spacing w:after="0"/>
              <w:rPr>
                <w:sz w:val="20"/>
                <w:szCs w:val="20"/>
                <w:color w:val="auto"/>
              </w:rPr>
            </w:pPr>
            <w:r>
              <w:rPr>
                <w:rFonts w:ascii="Arial" w:cs="Arial" w:eastAsia="Arial" w:hAnsi="Arial"/>
                <w:sz w:val="18"/>
                <w:szCs w:val="18"/>
                <w:color w:val="auto"/>
              </w:rPr>
              <w:t>100.0 %</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100.0 %</w:t>
            </w:r>
          </w:p>
        </w:tc>
        <w:tc>
          <w:tcPr>
            <w:tcW w:w="1320" w:type="dxa"/>
            <w:vAlign w:val="bottom"/>
            <w:gridSpan w:val="4"/>
          </w:tcPr>
          <w:p>
            <w:pPr>
              <w:jc w:val="right"/>
              <w:ind w:right="92"/>
              <w:spacing w:after="0"/>
              <w:rPr>
                <w:sz w:val="20"/>
                <w:szCs w:val="20"/>
                <w:color w:val="auto"/>
              </w:rPr>
            </w:pPr>
            <w:r>
              <w:rPr>
                <w:rFonts w:ascii="Arial" w:cs="Arial" w:eastAsia="Arial" w:hAnsi="Arial"/>
                <w:sz w:val="18"/>
                <w:szCs w:val="18"/>
                <w:color w:val="auto"/>
              </w:rPr>
              <w:t>100.0 %</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100.0 %</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3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Operating (exclusive of depreciation</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31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and amortization shown below)</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64.7</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61.3</w:t>
            </w:r>
          </w:p>
        </w:tc>
        <w:tc>
          <w:tcPr>
            <w:tcW w:w="28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EEEEE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Asset impairments and unusual items</w:t>
            </w:r>
          </w:p>
        </w:tc>
        <w:tc>
          <w:tcPr>
            <w:tcW w:w="114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(0.2)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EEEEE"/>
          </w:tcPr>
          <w:p>
            <w:pPr>
              <w:jc w:val="right"/>
              <w:ind w:right="212"/>
              <w:spacing w:after="0"/>
              <w:rPr>
                <w:sz w:val="20"/>
                <w:szCs w:val="20"/>
                <w:color w:val="auto"/>
              </w:rPr>
            </w:pPr>
            <w:r>
              <w:rPr>
                <w:rFonts w:ascii="Arial" w:cs="Arial" w:eastAsia="Arial" w:hAnsi="Arial"/>
                <w:sz w:val="18"/>
                <w:szCs w:val="18"/>
                <w:color w:val="auto"/>
              </w:rPr>
              <w:t>(0.1)</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40" w:type="dxa"/>
            <w:vAlign w:val="bottom"/>
            <w:gridSpan w:val="3"/>
          </w:tcPr>
          <w:p>
            <w:pPr>
              <w:jc w:val="right"/>
              <w:ind w:right="21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320" w:type="dxa"/>
            <w:vAlign w:val="bottom"/>
            <w:gridSpan w:val="4"/>
          </w:tcPr>
          <w:p>
            <w:pPr>
              <w:jc w:val="right"/>
              <w:ind w:right="212"/>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and other income, net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140" w:type="dxa"/>
            <w:vAlign w:val="bottom"/>
            <w:gridSpan w:val="3"/>
          </w:tcPr>
          <w:p>
            <w:pPr>
              <w:jc w:val="right"/>
              <w:ind w:right="212"/>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320" w:type="dxa"/>
            <w:vAlign w:val="bottom"/>
            <w:gridSpan w:val="4"/>
          </w:tcPr>
          <w:p>
            <w:pPr>
              <w:jc w:val="right"/>
              <w:ind w:right="212"/>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1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40" w:type="dxa"/>
            <w:vAlign w:val="bottom"/>
            <w:gridSpan w:val="3"/>
          </w:tcPr>
          <w:p>
            <w:pPr>
              <w:jc w:val="right"/>
              <w:ind w:right="212"/>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320" w:type="dxa"/>
            <w:vAlign w:val="bottom"/>
            <w:gridSpan w:val="4"/>
          </w:tcPr>
          <w:p>
            <w:pPr>
              <w:jc w:val="right"/>
              <w:ind w:right="21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7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3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changes in accounting principles</w:t>
            </w:r>
          </w:p>
        </w:tc>
        <w:tc>
          <w:tcPr>
            <w:tcW w:w="1140" w:type="dxa"/>
            <w:vAlign w:val="bottom"/>
            <w:gridSpan w:val="3"/>
            <w:shd w:val="clear" w:color="auto" w:fill="EEEEEE"/>
          </w:tcPr>
          <w:p>
            <w:pPr>
              <w:jc w:val="right"/>
              <w:ind w:right="92"/>
              <w:spacing w:after="0"/>
              <w:rPr>
                <w:sz w:val="20"/>
                <w:szCs w:val="20"/>
                <w:color w:val="auto"/>
              </w:rPr>
            </w:pPr>
            <w:r>
              <w:rPr>
                <w:rFonts w:ascii="Arial" w:cs="Arial" w:eastAsia="Arial" w:hAnsi="Arial"/>
                <w:sz w:val="18"/>
                <w:szCs w:val="18"/>
                <w:color w:val="auto"/>
              </w:rPr>
              <w:t>6.0 %</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7.7 %</w:t>
            </w:r>
          </w:p>
        </w:tc>
        <w:tc>
          <w:tcPr>
            <w:tcW w:w="1320" w:type="dxa"/>
            <w:vAlign w:val="bottom"/>
            <w:gridSpan w:val="4"/>
            <w:shd w:val="clear" w:color="auto" w:fill="EEEEEE"/>
          </w:tcPr>
          <w:p>
            <w:pPr>
              <w:jc w:val="right"/>
              <w:ind w:right="92"/>
              <w:spacing w:after="0"/>
              <w:rPr>
                <w:sz w:val="20"/>
                <w:szCs w:val="20"/>
                <w:color w:val="auto"/>
              </w:rPr>
            </w:pPr>
            <w:r>
              <w:rPr>
                <w:rFonts w:ascii="Arial" w:cs="Arial" w:eastAsia="Arial" w:hAnsi="Arial"/>
                <w:sz w:val="18"/>
                <w:szCs w:val="18"/>
                <w:color w:val="auto"/>
              </w:rPr>
              <w:t>5.0 %</w:t>
            </w:r>
          </w:p>
        </w:tc>
        <w:tc>
          <w:tcPr>
            <w:tcW w:w="2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6.5 %</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gridSpan w:val="3"/>
          </w:tcPr>
          <w:p>
            <w:pPr>
              <w:jc w:val="right"/>
              <w:ind w:right="9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41" w:name="page42"/>
    <w:bookmarkEnd w:id="41"/>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Our operating revenues for the three months ended June 30, 2003 were $2.9 billion, compared to $2.8 billion in 2002. For the six months ended June 30, 2003, our operating revenues were $5.6 billion, as compared to $5.4 billion in 2002. As shown below (in millions), NASW is our principal operation, which is comprised of seven operating Groups within North America, along with our Other NASW services. Our “Other” operations consisted of international waste management services and non-solid waste services, all of which were divested as of March 31, 2002.</w:t>
      </w:r>
    </w:p>
    <w:p>
      <w:pPr>
        <w:spacing w:after="0" w:line="3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Eastern</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1,071</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1,078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Southern</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1,227</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1,213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Wheelabrator</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NASW</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4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(1,042)</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NASW</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2,915</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2,825</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5,631</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5,426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40"/>
              <w:spacing w:after="0"/>
              <w:rPr>
                <w:sz w:val="20"/>
                <w:szCs w:val="20"/>
                <w:color w:val="auto"/>
              </w:rPr>
            </w:pPr>
            <w:r>
              <w:rPr>
                <w:rFonts w:ascii="Arial" w:cs="Arial" w:eastAsia="Arial" w:hAnsi="Arial"/>
                <w:sz w:val="18"/>
                <w:szCs w:val="18"/>
                <w:color w:val="auto"/>
              </w:rPr>
              <w:t>Net operating revenues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2,825</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5,631</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NASW operating revenues generally come from fees charged for our collection, disposal and transfer station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based on the volume and type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NASW operating revenues from our different services is reflected in the table below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89"/>
              </w:rPr>
              <w:t>June 30,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$1,953</w:t>
            </w:r>
          </w:p>
        </w:tc>
        <w:tc>
          <w:tcPr>
            <w:tcW w:w="8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3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$ 3,822</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$3,739</w:t>
            </w:r>
          </w:p>
        </w:tc>
        <w:tc>
          <w:tcPr>
            <w:tcW w:w="2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Landfill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694</w:t>
            </w: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Wheelabrator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Intercompany</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(558)</w:t>
            </w:r>
          </w:p>
        </w:tc>
        <w:tc>
          <w:tcPr>
            <w:tcW w:w="1620" w:type="dxa"/>
            <w:vAlign w:val="bottom"/>
            <w:gridSpan w:val="5"/>
          </w:tcPr>
          <w:p>
            <w:pPr>
              <w:jc w:val="right"/>
              <w:ind w:right="300"/>
              <w:spacing w:after="0"/>
              <w:rPr>
                <w:sz w:val="20"/>
                <w:szCs w:val="20"/>
                <w:color w:val="auto"/>
              </w:rPr>
            </w:pPr>
            <w:r>
              <w:rPr>
                <w:rFonts w:ascii="Arial" w:cs="Arial" w:eastAsia="Arial" w:hAnsi="Arial"/>
                <w:sz w:val="18"/>
                <w:szCs w:val="18"/>
                <w:color w:val="auto"/>
              </w:rPr>
              <w:t>(514)</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(1,042)</w:t>
            </w:r>
          </w:p>
        </w:tc>
        <w:tc>
          <w:tcPr>
            <w:tcW w:w="1400" w:type="dxa"/>
            <w:vAlign w:val="bottom"/>
            <w:gridSpan w:val="5"/>
          </w:tcPr>
          <w:p>
            <w:pPr>
              <w:jc w:val="right"/>
              <w:ind w:right="200"/>
              <w:spacing w:after="0"/>
              <w:rPr>
                <w:sz w:val="20"/>
                <w:szCs w:val="20"/>
                <w:color w:val="auto"/>
              </w:rPr>
            </w:pPr>
            <w:r>
              <w:rPr>
                <w:rFonts w:ascii="Arial" w:cs="Arial" w:eastAsia="Arial" w:hAnsi="Arial"/>
                <w:sz w:val="18"/>
                <w:szCs w:val="18"/>
                <w:color w:val="auto"/>
              </w:rPr>
              <w:t>(963)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0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0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Total NASW</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$2,915</w:t>
            </w:r>
          </w:p>
        </w:tc>
        <w:tc>
          <w:tcPr>
            <w:tcW w:w="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$2,825</w:t>
            </w: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$ 5,631</w:t>
            </w:r>
          </w:p>
        </w:tc>
        <w:tc>
          <w:tcPr>
            <w:tcW w:w="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$5,426</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0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0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0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79"/>
              </w:rPr>
              <w:t>38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42" w:name="page43"/>
    <w:bookmarkEnd w:id="42"/>
    <w:p>
      <w:pPr>
        <w:ind w:right="220" w:firstLine="270"/>
        <w:spacing w:after="0" w:line="259" w:lineRule="auto"/>
        <w:rPr>
          <w:sz w:val="20"/>
          <w:szCs w:val="20"/>
          <w:color w:val="auto"/>
        </w:rPr>
      </w:pPr>
      <w:r>
        <w:rPr>
          <w:rFonts w:ascii="Arial" w:cs="Arial" w:eastAsia="Arial" w:hAnsi="Arial"/>
          <w:sz w:val="18"/>
          <w:szCs w:val="18"/>
          <w:color w:val="auto"/>
        </w:rPr>
        <w:t>We experienced positive internal revenue growth for the three and six months ended June 30, 2003, as compared with the corresponding prior year periods. The following table provides details associated with the period to period change in NASW revenues (dollars in millions) along with an explanation of the significant components of the current period changes.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Period to Period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Period to Period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2"/>
          </w:tcPr>
          <w:p>
            <w:pPr>
              <w:jc w:val="center"/>
              <w:ind w:left="115"/>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6"/>
              </w:rPr>
              <w:t>June 30, 2003 and 2002</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6"/>
              </w:rPr>
              <w:t>June 30, 2003 and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Price:</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Base business(a)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$ 17</w:t>
            </w:r>
          </w:p>
        </w:tc>
        <w:tc>
          <w:tcPr>
            <w:tcW w:w="1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0.6 %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Commodity(b)</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Electricity(c)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Fuel(d)</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Total price</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Volume(e)</w:t>
            </w:r>
          </w:p>
        </w:tc>
        <w:tc>
          <w:tcPr>
            <w:tcW w:w="1940" w:type="dxa"/>
            <w:vAlign w:val="bottom"/>
            <w:gridSpan w:val="3"/>
          </w:tcPr>
          <w:p>
            <w:pPr>
              <w:jc w:val="right"/>
              <w:ind w:right="1072"/>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(0.4)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1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Internal growth</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1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Acquisitions(f)</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136</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Divestitures</w:t>
            </w:r>
          </w:p>
        </w:tc>
        <w:tc>
          <w:tcPr>
            <w:tcW w:w="1940" w:type="dxa"/>
            <w:vAlign w:val="bottom"/>
            <w:gridSpan w:val="3"/>
          </w:tcPr>
          <w:p>
            <w:pPr>
              <w:jc w:val="right"/>
              <w:ind w:right="1072"/>
              <w:spacing w:after="0"/>
              <w:rPr>
                <w:sz w:val="20"/>
                <w:szCs w:val="20"/>
                <w:color w:val="auto"/>
              </w:rPr>
            </w:pPr>
            <w:r>
              <w:rPr>
                <w:rFonts w:ascii="Arial" w:cs="Arial" w:eastAsia="Arial" w:hAnsi="Arial"/>
                <w:sz w:val="18"/>
                <w:szCs w:val="18"/>
                <w:color w:val="auto"/>
              </w:rPr>
              <w:t>(17)</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(0.6)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992"/>
              <w:spacing w:after="0"/>
              <w:rPr>
                <w:sz w:val="20"/>
                <w:szCs w:val="20"/>
                <w:color w:val="auto"/>
              </w:rPr>
            </w:pPr>
            <w:r>
              <w:rPr>
                <w:rFonts w:ascii="Arial" w:cs="Arial" w:eastAsia="Arial" w:hAnsi="Arial"/>
                <w:sz w:val="18"/>
                <w:szCs w:val="18"/>
                <w:color w:val="auto"/>
                <w:w w:val="93"/>
              </w:rPr>
              <w:t>(29)</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translation(g)</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$ 90</w:t>
            </w:r>
          </w:p>
        </w:tc>
        <w:tc>
          <w:tcPr>
            <w:tcW w:w="11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5"/>
              </w:rPr>
              <w:t>3.2 %</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205</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9"/>
              </w:rPr>
              <w:t>3.8 %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100" w:hanging="462"/>
        <w:spacing w:after="0" w:line="290"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increases in our base business revenues during the three and six months ended June 30, 2003 are attributable to our collection, transfer and waste-to-energy businesses with a significant increase in our residential collection operations. However, for our landfill business we experienced decreases in price-related revenue due to our special waste and municipal solid waste landfill operations, even after considering a significant price-related revenue increase at our landfill operations in Pennsylvania for a new $4 per ton landfill tax imposed by the state. The decrease in price-related revenue from special waste landfill operations is due principally to an increase in lower priced event work in the southern and western portions of the United States. The lower price-related revenue from municipal solid waste landfill operations was driven in part by increased competition and the mix of volumes received at certain landfills, particularly in the western portion of the United States.</w:t>
      </w:r>
    </w:p>
    <w:p>
      <w:pPr>
        <w:spacing w:after="0" w:line="199" w:lineRule="exact"/>
        <w:rPr>
          <w:rFonts w:ascii="Arial" w:cs="Arial" w:eastAsia="Arial" w:hAnsi="Arial"/>
          <w:sz w:val="16"/>
          <w:szCs w:val="16"/>
          <w:color w:val="auto"/>
        </w:rPr>
      </w:pPr>
    </w:p>
    <w:p>
      <w:pPr>
        <w:ind w:left="700" w:hanging="462"/>
        <w:spacing w:after="0" w:line="25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commodity prices resulted in additional revenues of approximately $5 million for the three months ended June 30, 2003, with the majority of this increase attributable to the prices of old newsprint (“ONP”). Commodity prices played an even greater role in our revenue increase for the six months ended June 30, 2003, increasing revenue by approximately $27 million. Specifically, (i) the prices of old corrugated cardboard (“OCC”) increased to an average of $64 per ton for the six months ended June 30, 2003 as compared to an average of $58 per ton for the corresponding prior year period and (ii) the prices of ONP increased to an average of $68 per ton for the six months ended June 30, 2003 as compared to an average of $53 per ton for the corresponding prior year period.</w:t>
      </w:r>
    </w:p>
    <w:p>
      <w:pPr>
        <w:spacing w:after="0" w:line="225" w:lineRule="exact"/>
        <w:rPr>
          <w:rFonts w:ascii="Arial" w:cs="Arial" w:eastAsia="Arial" w:hAnsi="Arial"/>
          <w:sz w:val="18"/>
          <w:szCs w:val="18"/>
          <w:color w:val="auto"/>
        </w:rPr>
      </w:pPr>
    </w:p>
    <w:p>
      <w:pPr>
        <w:ind w:left="700" w:hanging="46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experienced positive price increases due to increased electricity rates at our IPP facilities.</w:t>
      </w:r>
    </w:p>
    <w:p>
      <w:pPr>
        <w:spacing w:after="0" w:line="279" w:lineRule="exact"/>
        <w:rPr>
          <w:rFonts w:ascii="Arial" w:cs="Arial" w:eastAsia="Arial" w:hAnsi="Arial"/>
          <w:sz w:val="18"/>
          <w:szCs w:val="18"/>
          <w:color w:val="auto"/>
        </w:rPr>
      </w:pPr>
    </w:p>
    <w:p>
      <w:pPr>
        <w:ind w:left="700" w:hanging="46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experienced positive price increases due to increased fuel surcharges.</w:t>
      </w:r>
    </w:p>
    <w:p>
      <w:pPr>
        <w:spacing w:after="0" w:line="279" w:lineRule="exact"/>
        <w:rPr>
          <w:rFonts w:ascii="Arial" w:cs="Arial" w:eastAsia="Arial" w:hAnsi="Arial"/>
          <w:sz w:val="18"/>
          <w:szCs w:val="18"/>
          <w:color w:val="auto"/>
        </w:rPr>
      </w:pPr>
    </w:p>
    <w:p>
      <w:pPr>
        <w:ind w:left="700" w:right="240" w:hanging="462"/>
        <w:spacing w:after="0" w:line="294"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volume-related decline in revenue during the three months ended June 30, 2003 is primarily attributable to the loss of a contract with the City of Chicago that generated $19 million of revenue during the corresponding prior year period. Losing this contract negatively impacted revenues by $27 million for the six-month period ended June 30, 2003. However, favorably impacting our revenue during these periods were volume-related revenue increases in special waste activity within our landfill line of business in the southern and western portions of the United States. Additionally, our waste-to-energy facilities contributed to the overall volume-related revenue increase for the six month period ended June 30, 2003.</w:t>
      </w:r>
    </w:p>
    <w:p>
      <w:pPr>
        <w:spacing w:after="0" w:line="169" w:lineRule="exact"/>
        <w:rPr>
          <w:rFonts w:ascii="Arial" w:cs="Arial" w:eastAsia="Arial" w:hAnsi="Arial"/>
          <w:sz w:val="16"/>
          <w:szCs w:val="16"/>
          <w:color w:val="auto"/>
        </w:rPr>
      </w:pPr>
    </w:p>
    <w:p>
      <w:pPr>
        <w:ind w:left="580" w:hanging="342"/>
        <w:spacing w:after="0" w:line="25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acquisitions positively impacted our revenues for both the three and six months ended June 30, 2003. The most significant acquisition consummated during this period was associated with the formation of Recycle America Alliance, which resulted in our acquisition of the Peltz Group, the largest privately-held recycler in the United States, in January 2003.</w:t>
      </w:r>
    </w:p>
    <w:p>
      <w:pPr>
        <w:spacing w:after="0" w:line="194" w:lineRule="exact"/>
        <w:rPr>
          <w:rFonts w:ascii="Arial" w:cs="Arial" w:eastAsia="Arial" w:hAnsi="Arial"/>
          <w:sz w:val="18"/>
          <w:szCs w:val="18"/>
          <w:color w:val="auto"/>
        </w:rPr>
      </w:pPr>
    </w:p>
    <w:p>
      <w:pPr>
        <w:ind w:left="700" w:hanging="462"/>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Fluctuations in the relative value of the Canadian dollar favorably impacted revenues for both the three and six months ended June 30, 2003.</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Costs and Expenses (Exclusive of Depreciation and Amortization Shown Below)</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operating costs and expenses include direct and indirect labor and related taxes and benefits, risk management costs, fuel, facility operating costs, maintenance and repairs of equipment and facilities, tipping fees paid to third party disposal facilities and transfer stations, and accretion of and expense revisions relating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9" w:right="259" w:bottom="971"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to future landfill final capping,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w:t>
      </w: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Operating costs and expenses increased $155 million, or 8.9%, for the three months ended June 30, 2003 as compared to the corresponding prior year period. As a percentage of operating revenues, operating costs and expenses increased 3.4 percentage points, to 64.7%, in the same year-over-year comparison. For the six months ended June 30, 2003, operating costs and expenses were $383 million higher than the prior year period, representing an increase of 11.6%. As a percentage of operating revenue, operating costs and expenses were 65.3% for the six months ended June 30, 2003, which is a 4.6 percentage point increase from the prior year period.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operating costs and expenses for the three months ended June 30, 2003 as compared to the previous year was generally due to:</w:t>
      </w:r>
    </w:p>
    <w:p>
      <w:pPr>
        <w:spacing w:after="0" w:line="248"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 of goods sold of approximately $54 million, largely related to our acquisition of the Peltz Group in January 2003</w:t>
      </w:r>
    </w:p>
    <w:p>
      <w:pPr>
        <w:spacing w:after="0" w:line="279" w:lineRule="exact"/>
        <w:rPr>
          <w:rFonts w:ascii="Arial" w:cs="Arial" w:eastAsia="Arial" w:hAnsi="Arial"/>
          <w:sz w:val="18"/>
          <w:szCs w:val="18"/>
          <w:color w:val="auto"/>
        </w:rPr>
      </w:pPr>
    </w:p>
    <w:p>
      <w:pPr>
        <w:ind w:left="460" w:right="480" w:hanging="101"/>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disposal costs of approximately $31 million, partially attributable to the redirection of waste as a result of landfill constraints in the eastern portion of the United States. The increase was also attributable to increased taxes of approximately $9 million on disposal of waste in Pennsylvania, although approximately 90% of the tax increases have been passed on to our customers as price increases;</w:t>
      </w:r>
    </w:p>
    <w:p>
      <w:pPr>
        <w:spacing w:after="0" w:line="187" w:lineRule="exact"/>
        <w:rPr>
          <w:rFonts w:ascii="Arial" w:cs="Arial" w:eastAsia="Arial" w:hAnsi="Arial"/>
          <w:sz w:val="16"/>
          <w:szCs w:val="16"/>
          <w:color w:val="auto"/>
        </w:rPr>
      </w:pPr>
    </w:p>
    <w:p>
      <w:pPr>
        <w:jc w:val="both"/>
        <w:ind w:left="460" w:right="80" w:hanging="101"/>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subcontractor costs of approximately $11 million, due to the redirection of waste as a result of landfill constraints in the eastern portion of the United States, increases in subcontracted transportation costs due to the current period increase in special waste activity within our landfill line of business and increased use of subcontractors for our national accounts in areas where we do not provide services;</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Salary and wage increases of approximately $15 million, for annual merit raises and increased overtime expenses, partially offset by headcount reductions;</w:t>
      </w:r>
    </w:p>
    <w:p>
      <w:pPr>
        <w:spacing w:after="0" w:line="313" w:lineRule="exact"/>
        <w:rPr>
          <w:rFonts w:ascii="Arial" w:cs="Arial" w:eastAsia="Arial" w:hAnsi="Arial"/>
          <w:sz w:val="15"/>
          <w:szCs w:val="15"/>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risk management costs of approximately $10 million, associated with our insurance and claims expenditures;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fuel costs of approximately $0.18 per gallon, or approximately $10 million, for the quarter; and</w:t>
      </w:r>
    </w:p>
    <w:p>
      <w:pPr>
        <w:spacing w:after="0" w:line="279" w:lineRule="exact"/>
        <w:rPr>
          <w:rFonts w:ascii="Arial" w:cs="Arial" w:eastAsia="Arial" w:hAnsi="Arial"/>
          <w:sz w:val="18"/>
          <w:szCs w:val="18"/>
          <w:color w:val="auto"/>
        </w:rPr>
      </w:pPr>
    </w:p>
    <w:p>
      <w:pPr>
        <w:ind w:left="460" w:right="40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the strengthening Canadian dollar on foreign currency translation, which resulted in an $11 million increase in operating expenses in our Canadian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Increased costs from business acquisitions accounted for approximately $60 million of the increases discussed above.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costs and expenses were also higher for the six months ended June 30, 2003, as compared to the same period of the prior year, due to:</w:t>
      </w:r>
    </w:p>
    <w:p>
      <w:pPr>
        <w:spacing w:after="0" w:line="248" w:lineRule="exact"/>
        <w:rPr>
          <w:sz w:val="20"/>
          <w:szCs w:val="20"/>
          <w:color w:val="auto"/>
        </w:rPr>
      </w:pPr>
    </w:p>
    <w:p>
      <w:pPr>
        <w:ind w:left="460" w:right="20" w:hanging="101"/>
        <w:spacing w:after="0" w:line="294"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reorganization of its operations in March 2002. During our 2003 planning processes we determined that certain employee costs and facility-related expenses were more appropriately classified as operating expenses after the adoption of the new organizational structure and have reclassified these costs beginning in the second quarter of 2002, as this was the first full accounting period that these organizational changes were effective. During the first quarter of 2003, approximately $50 million of such costs have been classified as operating expenses that would have been reported as selling, general and administrative costs prior to the reorganization;</w:t>
      </w:r>
    </w:p>
    <w:p>
      <w:pPr>
        <w:spacing w:after="0" w:line="196" w:lineRule="exact"/>
        <w:rPr>
          <w:rFonts w:ascii="Arial" w:cs="Arial" w:eastAsia="Arial" w:hAnsi="Arial"/>
          <w:sz w:val="16"/>
          <w:szCs w:val="16"/>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cost of goods sold of approximately $110 million, largely related to our acquisition of the Peltz Group in January 2003;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4" w:name="page45"/>
    <w:bookmarkEnd w:id="44"/>
    <w:p>
      <w:pPr>
        <w:jc w:val="both"/>
        <w:ind w:left="460" w:right="480" w:hanging="101"/>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disposal costs of approximately $62 million, partially attributable to the redirection of waste as a result of landfill constraints in the eastern portion of the United States. The increase was also attributable to increased taxes of approximately $17 million on disposal of waste in Pennsylvania, although approximately 87% of the tax increases have been passed on to our customers as price increases;</w:t>
      </w:r>
    </w:p>
    <w:p>
      <w:pPr>
        <w:spacing w:after="0" w:line="187" w:lineRule="exact"/>
        <w:rPr>
          <w:rFonts w:ascii="Arial" w:cs="Arial" w:eastAsia="Arial" w:hAnsi="Arial"/>
          <w:sz w:val="16"/>
          <w:szCs w:val="16"/>
          <w:color w:val="auto"/>
        </w:rPr>
      </w:pPr>
    </w:p>
    <w:p>
      <w:pPr>
        <w:jc w:val="both"/>
        <w:ind w:left="460" w:right="100" w:hanging="101"/>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Increases in subcontractor costs of approximately $19 million, due to the redirection of waste as a result of landfill constraints in the eastern portion of the United States, increases in subcontracted transportation costs due to the current period increase in special waste activity within our landfill line of business and increased use of subcontractors for our national accounts in areas where we do not provide services;</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Salary and wage increases of approximately $32 million, for annual merit raises and increased overtime expenses, partially offset by headcount reductions;</w:t>
      </w:r>
    </w:p>
    <w:p>
      <w:pPr>
        <w:spacing w:after="0" w:line="313" w:lineRule="exact"/>
        <w:rPr>
          <w:rFonts w:ascii="Arial" w:cs="Arial" w:eastAsia="Arial" w:hAnsi="Arial"/>
          <w:sz w:val="15"/>
          <w:szCs w:val="15"/>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fuel costs of approximately $35 million, an average of $0.30 per gallon;</w:t>
      </w:r>
    </w:p>
    <w:p>
      <w:pPr>
        <w:spacing w:after="0" w:line="279"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strengthening of the Canadian dollar on foreign currency translation, which resulted in a $15 million increase in operating expenses for our Canadian operations;</w:t>
      </w:r>
    </w:p>
    <w:p>
      <w:pPr>
        <w:spacing w:after="0" w:line="212"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maintenance costs of approximately $15 million, due mostly to changes in the timing and scope of certain maintenance projects at our waste-to-energy facilities;</w:t>
      </w:r>
    </w:p>
    <w:p>
      <w:pPr>
        <w:spacing w:after="0" w:line="212" w:lineRule="exact"/>
        <w:rPr>
          <w:rFonts w:ascii="Arial" w:cs="Arial" w:eastAsia="Arial" w:hAnsi="Arial"/>
          <w:sz w:val="18"/>
          <w:szCs w:val="18"/>
          <w:color w:val="auto"/>
        </w:rPr>
      </w:pPr>
    </w:p>
    <w:p>
      <w:pPr>
        <w:ind w:left="460" w:right="40" w:hanging="10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landfill and environmental costs of approximately $18 million, due to the increase in the inflation rate applicable to future costs of environmental remedial reserves from 2.0% to 2.5%, and due to increases in costs principally associated with accretion expense on landfill asset retirement obligations, related to our adoption of SFAS No. 143 in 2003; and</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management expenses of approximately $24 million, due primarily to the increased year-over-year average cost per claim;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Business acquisitions accounted for approximately $115 million of the increases discussed above.</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selling, general and administrative expenses include management salaries and benefits; clerical and administrative costs; marketing costs; professional services; provision for doubtful accounts; and administrative-related costs including telecommunications, travel and insurance costs; as well as costs related to our sales force and customer service.</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Selling, general and administrative expenses decreased $15 million, or 4.7%, for the three months ended June 30, 2003, as compared to the prior year period. As a percentage of operating revenues, our selling, general and administrative expenses decreased from 11.2% for the three months ended June 30, 2002 to 10.3% for the three months ended June 30, 2003. This decrease was due principally to the favorable settlement of a legal dispute for $11 million as well as a reduction of nearly $3 million in costs due to management’s focus on reducing spending related to professional fees, supplies, travel and entertainment, and other administrative costs. This decrease was offset partially by increased bad debt expense of over $4 million attributable largely to the weaker economy. The salary and wage expense reductions resulting from restructurings were largely offset by increases in such expenses associated with annual merit increases and businesses acquired.</w:t>
      </w:r>
    </w:p>
    <w:p>
      <w:pPr>
        <w:spacing w:after="0" w:line="22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For the six months ended June 30, 2003, selling, general and administrative expenses decreased by $79 million, or 11.2%, as compared to the prior year period. As a percentage of revenue, the decrease was 1.8 percentage points from 12.9% for the six months ended June 30, 2002 to 11.1% for the six months ended June 30, 2003. In addition to the second quarter reductions, we experienced a decrease of approximately $50 million for the six months ended June 30, 2003 when compared with the same period of the prior year as a result of the re-characterization of certain costs as discussed above in </w:t>
      </w:r>
      <w:r>
        <w:rPr>
          <w:rFonts w:ascii="Arial" w:cs="Arial" w:eastAsia="Arial" w:hAnsi="Arial"/>
          <w:sz w:val="18"/>
          <w:szCs w:val="18"/>
          <w:i w:val="1"/>
          <w:iCs w:val="1"/>
          <w:color w:val="auto"/>
        </w:rPr>
        <w:t>Operating Costs and Expenses.</w:t>
      </w:r>
      <w:r>
        <w:rPr>
          <w:rFonts w:ascii="Arial" w:cs="Arial" w:eastAsia="Arial" w:hAnsi="Arial"/>
          <w:sz w:val="18"/>
          <w:szCs w:val="18"/>
          <w:color w:val="auto"/>
        </w:rPr>
        <w:t xml:space="preserve"> Those costs related principally to employee costs and facility-related expenses, including property taxes, utilities, and risk management expenses, that are reflected as operating costs since April 1, 2002. The decrease was also a result of our March 2002 reorganization and February 2003 restructuring, which allowed us to reduce expenses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5" w:name="page46"/>
    <w:bookmarkEnd w:id="45"/>
    <w:p>
      <w:pPr>
        <w:ind w:right="160"/>
        <w:spacing w:after="0" w:line="259" w:lineRule="auto"/>
        <w:rPr>
          <w:sz w:val="20"/>
          <w:szCs w:val="20"/>
          <w:color w:val="auto"/>
        </w:rPr>
      </w:pPr>
      <w:r>
        <w:rPr>
          <w:rFonts w:ascii="Arial" w:cs="Arial" w:eastAsia="Arial" w:hAnsi="Arial"/>
          <w:sz w:val="18"/>
          <w:szCs w:val="18"/>
          <w:color w:val="auto"/>
        </w:rPr>
        <w:t>for salaries and other labor-related costs. Further, selling, general and administrative costs declined in the six months ended June 30, 2003 compared to the prior year period by $18 million due to management’s focus on reducing spending related to professional fees, supplies, travel and entertainment, and other administrative costs, but was offset by $8 million due to increased bad debt expenses.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300" w:firstLine="324"/>
        <w:spacing w:after="0" w:line="286" w:lineRule="auto"/>
        <w:rPr>
          <w:sz w:val="20"/>
          <w:szCs w:val="20"/>
          <w:color w:val="auto"/>
        </w:rPr>
      </w:pPr>
      <w:r>
        <w:rPr>
          <w:rFonts w:ascii="Arial" w:cs="Arial" w:eastAsia="Arial" w:hAnsi="Arial"/>
          <w:sz w:val="16"/>
          <w:szCs w:val="16"/>
          <w:color w:val="auto"/>
        </w:rPr>
        <w:t>Depreciation and amortization includes (i) amortization of intangible assets with a definite life, other than goodwill, on a straight-line basis over the definitive terms of the related agreements (generally from 3 to 7 years); (ii) depreciation of property and equipment on a straight-line basis from 3 to 50 years;</w:t>
      </w: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amortization of landfill costs, including those incurred and all estimated future costs for closure and post-closure, on a units-of-consumption method as</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landfill airspace is consumed over the estimated remaining capacity of a site; and (iv) as a result of our adoption of SFAS No. 143, amortization of landfill asset retirement costs arising from final capping obligations on a units-of-consumption method as airspace is consumed over the estimated capacity associated with each final capping event.</w:t>
      </w:r>
    </w:p>
    <w:p>
      <w:pPr>
        <w:spacing w:after="0" w:line="225" w:lineRule="exact"/>
        <w:rPr>
          <w:sz w:val="20"/>
          <w:szCs w:val="20"/>
          <w:color w:val="auto"/>
        </w:rPr>
      </w:pPr>
    </w:p>
    <w:p>
      <w:pPr>
        <w:ind w:right="680" w:firstLine="324"/>
        <w:spacing w:after="0" w:line="305" w:lineRule="auto"/>
        <w:rPr>
          <w:sz w:val="20"/>
          <w:szCs w:val="20"/>
          <w:color w:val="auto"/>
        </w:rPr>
      </w:pPr>
      <w:r>
        <w:rPr>
          <w:rFonts w:ascii="Arial" w:cs="Arial" w:eastAsia="Arial" w:hAnsi="Arial"/>
          <w:sz w:val="15"/>
          <w:szCs w:val="15"/>
          <w:color w:val="auto"/>
        </w:rPr>
        <w:t>Depreciation and amortization expense increased by $12 million and $20 million during the three and six months ended June 30, 2003, respectively, compared to the corresponding prior year periods. This increase is primarily attributable to the accounting changes that resulted from our adoption of</w:t>
      </w:r>
    </w:p>
    <w:p>
      <w:pPr>
        <w:ind w:right="180"/>
        <w:spacing w:after="0" w:line="261" w:lineRule="auto"/>
        <w:rPr>
          <w:sz w:val="20"/>
          <w:szCs w:val="20"/>
          <w:color w:val="auto"/>
        </w:rPr>
      </w:pPr>
      <w:r>
        <w:rPr>
          <w:rFonts w:ascii="Arial" w:cs="Arial" w:eastAsia="Arial" w:hAnsi="Arial"/>
          <w:sz w:val="18"/>
          <w:szCs w:val="18"/>
          <w:color w:val="auto"/>
        </w:rPr>
        <w:t>SFAS No. 143. Depreciation and amortization expense as a percentage of operating revenues was 11.2% and 11.1% for the three and six months ended June 30, 2003, respectively, and 11.1% and 11.2% for the three and six months ended June 30, 2002, respectively.</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2002, we reorganized the structure of the Company into market areas to align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These charges included $34 million for employee severance and benefit costs and $3 million related to abandoned operating lease agreements. No additional costs were recorded during the second quarter of 2002.</w:t>
      </w:r>
    </w:p>
    <w:p>
      <w:pPr>
        <w:spacing w:after="0" w:line="224"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Management believes that this structure results in a more effective utilization of resources and enables us to serve our customers more efficiently. In connection with these restructuring efforts, there was a workforce reduction of about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700 employees and 270 contract workers. In the first quarter of 2003, we recorded $20 million of pre-tax charges for costs associated with the implementation of the new structure, all of which was associated with employee severance and benefit costs. No material costs for this restructuring and workforce reduction have been incurred in the second quarter of 2003.</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600 employee positions and 200 contract worker positions. In the second quarter of 2003, we recorded $23 million of pre-tax charges for employee severance and benefit costs associated with this workforce reduction.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six months ended June 30, 2003, we recorded a net credit of $7 million to asset impairments and unusual items primarily as a result of gains recognized on divestitures of certain small operations that were offset, in part, by asset impairment charges. Approximately $6 million of this net activity occurred during the second quarter of 2003.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6" w:name="page47"/>
    <w:bookmarkEnd w:id="46"/>
    <w:p>
      <w:pPr>
        <w:ind w:right="80" w:firstLine="324"/>
        <w:spacing w:after="0" w:line="259" w:lineRule="auto"/>
        <w:rPr>
          <w:sz w:val="20"/>
          <w:szCs w:val="20"/>
          <w:color w:val="auto"/>
        </w:rPr>
      </w:pPr>
      <w:r>
        <w:rPr>
          <w:rFonts w:ascii="Arial" w:cs="Arial" w:eastAsia="Arial" w:hAnsi="Arial"/>
          <w:sz w:val="18"/>
          <w:szCs w:val="18"/>
          <w:color w:val="auto"/>
        </w:rPr>
        <w:t>During the first quarter of 2002 we recorded a net credit of $6 million to asset impairments and unusual items primarily due to a reversal of a loss contract reserve and adjustments for revisions of estimated losses on assets held-for-sale that were partially offset by asset impairment charges. We incurred no such costs during the second quarter of 2002.</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Interest expense decreased by $6 million and $15 million for the three and six months ended June 30, 2003, respectively, when compared to the corresponding prior year periods. The decrease in interest expense is partially attributable to our increased utilization of tax-exempt financing, which has resulted in a decline in our weighted average interest rate. The remaining decrease in interest expense between 2003 and 2002 is attributable to the overall positive impact of our interest rate derivative transactions, including the amortization of the fair value adjustments to debt for the early termination of many interest rate swap agreements. Interest rate derivative contracts reduced interest expense by $23 million and $47 million for the three and six months ended June 30, 2003, respectively, and $23 million and $43 million for the three and six months ended June 30, 2002, respectively.</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recorded a provision for income taxes of $106 and $174 million for the three and six months ended June 30, 2003, respectively, and $135 million and $218 million for the corresponding periods in 2002. The difference in federal income taxes computed at the federal statutory rate and reported income taxes for the three and six months ended June 30, 2003 and June 30, 2002 is primarily due to state and local income taxes, offset in part by non-conventional fuel tax credits.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to cumulative effect of changes in accounting principles for the adoption of certain accounting changes described below.</w:t>
      </w:r>
    </w:p>
    <w:p>
      <w:pPr>
        <w:spacing w:after="0" w:line="186" w:lineRule="exact"/>
        <w:rPr>
          <w:sz w:val="20"/>
          <w:szCs w:val="20"/>
          <w:color w:val="auto"/>
        </w:rPr>
      </w:pPr>
    </w:p>
    <w:p>
      <w:pPr>
        <w:ind w:left="460" w:hanging="101"/>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this method to one that expenses these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220" w:hanging="101"/>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this method to one that expenses these losses as they are incurred. We recorded approximately $30 million, net of taxes, or $0.05 per diluted share, as a credit to cumulative effect of changes in accounting principles.</w:t>
      </w:r>
    </w:p>
    <w:p>
      <w:pPr>
        <w:spacing w:after="0" w:line="187" w:lineRule="exact"/>
        <w:rPr>
          <w:rFonts w:ascii="Arial" w:cs="Arial" w:eastAsia="Arial" w:hAnsi="Arial"/>
          <w:sz w:val="16"/>
          <w:szCs w:val="16"/>
          <w:color w:val="auto"/>
        </w:rPr>
      </w:pPr>
    </w:p>
    <w:p>
      <w:pPr>
        <w:ind w:left="460" w:right="60" w:hanging="101"/>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22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 xml:space="preserve">In the first quarter of 2002, we recorded a credit of $2 million, net of tax, to cumulative effect of change in accounting principle to write-off the aggregate amount of negative goodwill as a result of adopting SFAS No. 141, </w:t>
      </w:r>
      <w:r>
        <w:rPr>
          <w:rFonts w:ascii="Arial" w:cs="Arial" w:eastAsia="Arial" w:hAnsi="Arial"/>
          <w:sz w:val="18"/>
          <w:szCs w:val="18"/>
          <w:i w:val="1"/>
          <w:iCs w:val="1"/>
          <w:color w:val="auto"/>
        </w:rPr>
        <w:t>Accounting for Business Combinations.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As discussed in Note 11 to the condensed consolidated financial statements, we manage and evaluate our operations primarily through our Eastern, Midwest, Southern, Western, Canadian, Wheelabrator and Recycling Groups. The operations not managed through our seven operating Groups are presented herein as “Other NASW.” We also had international waste management services and non-solid waste services, all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9" w:right="259" w:bottom="1440" w:gutter="0" w:footer="0" w:header="0"/>
        </w:sectPr>
      </w:pPr>
    </w:p>
    <w:bookmarkStart w:id="47" w:name="page48"/>
    <w:bookmarkEnd w:id="47"/>
    <w:p>
      <w:pPr>
        <w:ind w:right="80"/>
        <w:spacing w:after="0" w:line="268" w:lineRule="auto"/>
        <w:rPr>
          <w:sz w:val="20"/>
          <w:szCs w:val="20"/>
          <w:color w:val="auto"/>
        </w:rPr>
      </w:pPr>
      <w:r>
        <w:rPr>
          <w:rFonts w:ascii="Arial" w:cs="Arial" w:eastAsia="Arial" w:hAnsi="Arial"/>
          <w:sz w:val="18"/>
          <w:szCs w:val="18"/>
          <w:color w:val="auto"/>
        </w:rPr>
        <w:t>which were divested by March 31, 2002. However, we do continue to incur minimal administrative expenses in connection with these divested operations. These operations are included in the table below as “Other.”</w:t>
      </w:r>
    </w:p>
    <w:p>
      <w:pPr>
        <w:spacing w:after="0" w:line="213"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As discussed in Note 9 to the condensed consolidated financial statements, our restructuring and workforce reductions have impacted the operating results of our reportable segments in both 2002 and 2003. The following table summarizes income from operations by reportable segment for the three and six months ended June 30, 2003 and June 30, 2002 and provides explanations of other significant factors contributing to the identified variances.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5"/>
          </w:tcPr>
          <w:p>
            <w:pPr>
              <w:jc w:val="center"/>
              <w:ind w:left="22"/>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Six Months Ended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3"/>
          </w:tcPr>
          <w:p>
            <w:pPr>
              <w:ind w:left="3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3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7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Eastern</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(41)(a)</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(13)(b)</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142</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166</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Southern</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149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(13)(c)</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167</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171</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NASW</w:t>
            </w:r>
          </w:p>
        </w:tc>
        <w:tc>
          <w:tcPr>
            <w:tcW w:w="3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right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 NASW</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477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552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976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(92)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(88)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(203)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(178)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right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385</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464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664</w:t>
            </w:r>
          </w:p>
        </w:tc>
        <w:tc>
          <w:tcPr>
            <w:tcW w:w="34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796</w:t>
            </w:r>
          </w:p>
        </w:tc>
        <w:tc>
          <w:tcPr>
            <w:tcW w:w="36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60" w:type="dxa"/>
            <w:vAlign w:val="bottom"/>
            <w:tcBorders>
              <w:right w:val="single" w:sz="8" w:color="EEEEEE"/>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Eastern Group was significantly impacted by harsh winter weather during the first quarter of 2003. Increased operating costs, including higher disposal costs, fuel costs, landfill operating costs and repairs and maintenance also contributed to the Group’s lower operating income in both the first and second quarters of 2003.</w:t>
      </w:r>
    </w:p>
    <w:p>
      <w:pPr>
        <w:spacing w:after="0" w:line="221" w:lineRule="exact"/>
        <w:rPr>
          <w:rFonts w:ascii="Arial" w:cs="Arial" w:eastAsia="Arial" w:hAnsi="Arial"/>
          <w:sz w:val="18"/>
          <w:szCs w:val="18"/>
          <w:color w:val="auto"/>
        </w:rPr>
      </w:pPr>
    </w:p>
    <w:p>
      <w:pPr>
        <w:ind w:left="700" w:right="440" w:hanging="462"/>
        <w:spacing w:after="0" w:line="33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Harsh winter weather conditions in the first quarter of 2003, higher fuel and disposal costs and lower base business pricing negatively affected the Midwest Group’s results of operations during 2003 when compared to the corresponding prior year period.</w:t>
      </w:r>
    </w:p>
    <w:p>
      <w:pPr>
        <w:spacing w:after="0" w:line="166" w:lineRule="exact"/>
        <w:rPr>
          <w:rFonts w:ascii="Arial" w:cs="Arial" w:eastAsia="Arial" w:hAnsi="Arial"/>
          <w:sz w:val="16"/>
          <w:szCs w:val="16"/>
          <w:color w:val="auto"/>
        </w:rPr>
      </w:pPr>
    </w:p>
    <w:p>
      <w:pPr>
        <w:ind w:left="700" w:right="100" w:hanging="462"/>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operating costs including higher disposal costs, repairs and maintenance and fuel costs negatively affected the Western Group’s income from operations during the three months ended June 30, 2003.</w:t>
      </w:r>
    </w:p>
    <w:p>
      <w:pPr>
        <w:spacing w:after="0" w:line="212" w:lineRule="exact"/>
        <w:rPr>
          <w:rFonts w:ascii="Arial" w:cs="Arial" w:eastAsia="Arial" w:hAnsi="Arial"/>
          <w:sz w:val="18"/>
          <w:szCs w:val="18"/>
          <w:color w:val="auto"/>
        </w:rPr>
      </w:pPr>
    </w:p>
    <w:p>
      <w:pPr>
        <w:ind w:left="700" w:hanging="462"/>
        <w:spacing w:after="0" w:line="25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costs in the Corporate Group is due to higher environmental remediation expenses for closed sites, which in part relates to an increase in the inflation rate used in connection with inflating future cash flows to estimate the present value of remedial liabilities, and the transfer of printing and postage costs to the centralized service center related to certain customer billing activities that were previously included in the results of operations of the Eastern, Midwest, Southern and Western Groups.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balances and cash flows for the six months ended June 30, 2003 and 2002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the end of the period</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ind w:left="760"/>
              <w:spacing w:after="0"/>
              <w:rPr>
                <w:sz w:val="20"/>
                <w:szCs w:val="20"/>
                <w:color w:val="auto"/>
              </w:rPr>
            </w:pPr>
            <w:r>
              <w:rPr>
                <w:rFonts w:ascii="Arial" w:cs="Arial" w:eastAsia="Arial" w:hAnsi="Arial"/>
                <w:sz w:val="18"/>
                <w:szCs w:val="18"/>
                <w:color w:val="auto"/>
                <w:w w:val="88"/>
              </w:rPr>
              <w:t>$ 720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1,073</w:t>
            </w:r>
          </w:p>
        </w:tc>
        <w:tc>
          <w:tcPr>
            <w:tcW w:w="1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ind w:left="760"/>
              <w:spacing w:after="0"/>
              <w:rPr>
                <w:sz w:val="20"/>
                <w:szCs w:val="20"/>
                <w:color w:val="auto"/>
              </w:rPr>
            </w:pPr>
            <w:r>
              <w:rPr>
                <w:rFonts w:ascii="Arial" w:cs="Arial" w:eastAsia="Arial" w:hAnsi="Arial"/>
                <w:sz w:val="18"/>
                <w:szCs w:val="18"/>
                <w:color w:val="auto"/>
                <w:w w:val="88"/>
              </w:rPr>
              <w:t>$ 884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Cash used in investing activities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(512)</w:t>
            </w:r>
          </w:p>
        </w:tc>
        <w:tc>
          <w:tcPr>
            <w:tcW w:w="1460" w:type="dxa"/>
            <w:vAlign w:val="bottom"/>
            <w:gridSpan w:val="5"/>
            <w:shd w:val="clear" w:color="auto" w:fill="EEEEEE"/>
          </w:tcPr>
          <w:p>
            <w:pPr>
              <w:ind w:left="7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Cash used in financing activities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(72)</w:t>
            </w:r>
          </w:p>
        </w:tc>
        <w:tc>
          <w:tcPr>
            <w:tcW w:w="1460" w:type="dxa"/>
            <w:vAlign w:val="bottom"/>
            <w:gridSpan w:val="5"/>
            <w:shd w:val="clear" w:color="auto" w:fill="EEEEEE"/>
          </w:tcPr>
          <w:p>
            <w:pPr>
              <w:ind w:left="7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We generated cash flows from operations of approximately $1.1 billion for the six months ended June 30, 2003, which includes approximately $109 million received for the fair value of interest rate swap agreements terminated prior to their scheduled maturities. We used $512 million for investing activities, consisting of $501 million for capital expenditures and $172 million for the acquisition of businesses, net of cash acquired, which was offset by net receipts of $109 million from restricted funds and proceeds from divestitures of businesses, net of cash divested, and other asset sales of $34 million. Additionally, we used $72 million for financing activities, which consisted primarily of the repurchase of approximately 3.6 million shares of our common stock for $71 million.</w:t>
      </w:r>
    </w:p>
    <w:p>
      <w:pPr>
        <w:spacing w:after="0" w:line="19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generated cash flows from operations of $884 million for the six months ended June 30, 2002. During that period, we spent $449 million for investing activities including capital expenditures of $552 million and acquisitions of businesses, net of cash acquired, of $64 million, which were offset by net receipts of $103 million from restricted funds and proceeds from sales of assets and cash generated from other investing activities of $64 million. In addition, we used $447 million for financing activities, which included $500 million spent for our stock buy back program, offset by $30 million of net debt borrowings and $23 million from exercises of common stock options and warrants.</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In addition to our working capital needs for ongoing operations, we have capital requirements for (i) capital expenditures for construction and expansion of landfill sites, as well as new trucks and equipment for collection and other operations, (ii) refurbishments and improvements at waste-to-energy facilities and (iii) business acquisitions. We currently expect to spend approximately $700 million for capital expenditures during the final two quarters of 2003.</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for each year through 2004, to be implemented at management’s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discretion. We expect to utilize cash flows from operations for purchases that will be made in open market or privately negotiated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2003 activity for our stock repurchase program (in millions, except shares in thousands and price per share in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ind w:left="1420"/>
              <w:spacing w:after="0"/>
              <w:rPr>
                <w:sz w:val="20"/>
                <w:szCs w:val="20"/>
                <w:color w:val="auto"/>
              </w:rPr>
            </w:pPr>
            <w:r>
              <w:rPr>
                <w:rFonts w:ascii="Arial" w:cs="Arial" w:eastAsia="Arial" w:hAnsi="Arial"/>
                <w:sz w:val="14"/>
                <w:szCs w:val="14"/>
                <w:b w:val="1"/>
                <w:bCs w:val="1"/>
                <w:color w:val="auto"/>
                <w:w w:val="90"/>
              </w:rPr>
              <w:t>Agreement</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w w:val="89"/>
              </w:rPr>
              <w:t>Common Stock</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5"/>
                <w:szCs w:val="15"/>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Settlement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center"/>
              <w:ind w:right="25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Purchase</w:t>
            </w:r>
          </w:p>
        </w:tc>
        <w:tc>
          <w:tcPr>
            <w:tcW w:w="220" w:type="dxa"/>
            <w:vAlign w:val="bottom"/>
            <w:vMerge w:val="restart"/>
          </w:tcPr>
          <w:p>
            <w:pPr>
              <w:spacing w:after="0"/>
              <w:rPr>
                <w:sz w:val="8"/>
                <w:szCs w:val="8"/>
                <w:color w:val="auto"/>
              </w:rPr>
            </w:pPr>
          </w:p>
        </w:tc>
        <w:tc>
          <w:tcPr>
            <w:tcW w:w="80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3"/>
              </w:rPr>
              <w:t>(Received)/</w:t>
            </w:r>
          </w:p>
        </w:tc>
        <w:tc>
          <w:tcPr>
            <w:tcW w:w="220" w:type="dxa"/>
            <w:vAlign w:val="bottom"/>
            <w:vMerge w:val="restart"/>
          </w:tcPr>
          <w:p>
            <w:pPr>
              <w:spacing w:after="0"/>
              <w:rPr>
                <w:sz w:val="8"/>
                <w:szCs w:val="8"/>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tcPr>
          <w:p>
            <w:pPr>
              <w:ind w:left="580"/>
              <w:spacing w:after="0"/>
              <w:rPr>
                <w:sz w:val="20"/>
                <w:szCs w:val="20"/>
                <w:color w:val="auto"/>
              </w:rPr>
            </w:pPr>
            <w:r>
              <w:rPr>
                <w:rFonts w:ascii="Arial" w:cs="Arial" w:eastAsia="Arial" w:hAnsi="Arial"/>
                <w:sz w:val="14"/>
                <w:szCs w:val="14"/>
                <w:b w:val="1"/>
                <w:bCs w:val="1"/>
                <w:color w:val="auto"/>
              </w:rPr>
              <w:t>Transaction Type</w:t>
            </w:r>
          </w:p>
        </w:tc>
        <w:tc>
          <w:tcPr>
            <w:tcW w:w="2100" w:type="dxa"/>
            <w:vAlign w:val="bottom"/>
            <w:gridSpan w:val="3"/>
          </w:tcPr>
          <w:p>
            <w:pPr>
              <w:ind w:left="340"/>
              <w:spacing w:after="0"/>
              <w:rPr>
                <w:sz w:val="20"/>
                <w:szCs w:val="20"/>
                <w:color w:val="auto"/>
              </w:rPr>
            </w:pPr>
            <w:r>
              <w:rPr>
                <w:rFonts w:ascii="Arial" w:cs="Arial" w:eastAsia="Arial" w:hAnsi="Arial"/>
                <w:sz w:val="14"/>
                <w:szCs w:val="14"/>
                <w:b w:val="1"/>
                <w:bCs w:val="1"/>
                <w:color w:val="auto"/>
              </w:rPr>
              <w:t>Initiating Date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Settlement Date</w:t>
            </w:r>
          </w:p>
        </w:tc>
        <w:tc>
          <w:tcPr>
            <w:tcW w:w="24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6"/>
                <w:szCs w:val="16"/>
                <w:color w:val="auto"/>
              </w:rPr>
            </w:pPr>
          </w:p>
        </w:tc>
        <w:tc>
          <w:tcPr>
            <w:tcW w:w="15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Price per Share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1"/>
              </w:rPr>
              <w:t>Price</w:t>
            </w:r>
          </w:p>
        </w:tc>
        <w:tc>
          <w:tcPr>
            <w:tcW w:w="220" w:type="dxa"/>
            <w:vAlign w:val="bottom"/>
          </w:tcPr>
          <w:p>
            <w:pPr>
              <w:spacing w:after="0"/>
              <w:rPr>
                <w:sz w:val="16"/>
                <w:szCs w:val="16"/>
                <w:color w:val="auto"/>
              </w:rPr>
            </w:pPr>
          </w:p>
        </w:tc>
        <w:tc>
          <w:tcPr>
            <w:tcW w:w="800" w:type="dxa"/>
            <w:vAlign w:val="bottom"/>
            <w:gridSpan w:val="2"/>
          </w:tcPr>
          <w:p>
            <w:pPr>
              <w:ind w:left="260"/>
              <w:spacing w:after="0"/>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Private Accelerated Purchase(a)</w:t>
            </w:r>
          </w:p>
        </w:tc>
        <w:tc>
          <w:tcPr>
            <w:tcW w:w="2100" w:type="dxa"/>
            <w:vAlign w:val="bottom"/>
            <w:gridSpan w:val="3"/>
            <w:shd w:val="clear" w:color="auto" w:fill="EEEEEE"/>
          </w:tcPr>
          <w:p>
            <w:pPr>
              <w:ind w:left="360"/>
              <w:spacing w:after="0" w:line="149" w:lineRule="exact"/>
              <w:rPr>
                <w:sz w:val="20"/>
                <w:szCs w:val="20"/>
                <w:color w:val="auto"/>
              </w:rPr>
            </w:pPr>
            <w:r>
              <w:rPr>
                <w:rFonts w:ascii="Arial" w:cs="Arial" w:eastAsia="Arial" w:hAnsi="Arial"/>
                <w:sz w:val="14"/>
                <w:szCs w:val="14"/>
                <w:color w:val="auto"/>
              </w:rPr>
              <w:t>December 2002</w:t>
            </w:r>
          </w:p>
        </w:tc>
        <w:tc>
          <w:tcPr>
            <w:tcW w:w="138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February 2003</w:t>
            </w:r>
          </w:p>
        </w:tc>
        <w:tc>
          <w:tcPr>
            <w:tcW w:w="80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1,731</w:t>
            </w:r>
          </w:p>
        </w:tc>
        <w:tc>
          <w:tcPr>
            <w:tcW w:w="1100" w:type="dxa"/>
            <w:vAlign w:val="bottom"/>
            <w:gridSpan w:val="2"/>
            <w:shd w:val="clear" w:color="auto" w:fill="EEEEEE"/>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w w:val="85"/>
              </w:rPr>
              <w:t>24.52</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56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(3)(b)</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Private Accelerated Purchase(a)</w:t>
            </w:r>
          </w:p>
        </w:tc>
        <w:tc>
          <w:tcPr>
            <w:tcW w:w="2100" w:type="dxa"/>
            <w:vAlign w:val="bottom"/>
            <w:gridSpan w:val="3"/>
            <w:vMerge w:val="restart"/>
          </w:tcPr>
          <w:p>
            <w:pPr>
              <w:ind w:left="360"/>
              <w:spacing w:after="0"/>
              <w:rPr>
                <w:sz w:val="20"/>
                <w:szCs w:val="20"/>
                <w:color w:val="auto"/>
              </w:rPr>
            </w:pPr>
            <w:r>
              <w:rPr>
                <w:rFonts w:ascii="Arial" w:cs="Arial" w:eastAsia="Arial" w:hAnsi="Arial"/>
                <w:sz w:val="14"/>
                <w:szCs w:val="14"/>
                <w:color w:val="auto"/>
              </w:rPr>
              <w:t>March 2003</w:t>
            </w: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May 2003</w:t>
            </w:r>
          </w:p>
        </w:tc>
        <w:tc>
          <w:tcPr>
            <w:tcW w:w="800" w:type="dxa"/>
            <w:vAlign w:val="bottom"/>
            <w:gridSpan w:val="2"/>
            <w:vMerge w:val="restart"/>
          </w:tcPr>
          <w:p>
            <w:pPr>
              <w:jc w:val="right"/>
              <w:ind w:right="12"/>
              <w:spacing w:after="0"/>
              <w:rPr>
                <w:sz w:val="20"/>
                <w:szCs w:val="20"/>
                <w:color w:val="auto"/>
              </w:rPr>
            </w:pPr>
            <w:r>
              <w:rPr>
                <w:rFonts w:ascii="Arial" w:cs="Arial" w:eastAsia="Arial" w:hAnsi="Arial"/>
                <w:sz w:val="14"/>
                <w:szCs w:val="14"/>
                <w:color w:val="auto"/>
              </w:rPr>
              <w:t>2,400</w:t>
            </w:r>
          </w:p>
        </w:tc>
        <w:tc>
          <w:tcPr>
            <w:tcW w:w="110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92"/>
              <w:spacing w:after="0"/>
              <w:rPr>
                <w:sz w:val="20"/>
                <w:szCs w:val="20"/>
                <w:color w:val="auto"/>
              </w:rPr>
            </w:pPr>
            <w:r>
              <w:rPr>
                <w:rFonts w:ascii="Arial" w:cs="Arial" w:eastAsia="Arial" w:hAnsi="Arial"/>
                <w:sz w:val="14"/>
                <w:szCs w:val="14"/>
                <w:color w:val="auto"/>
                <w:w w:val="85"/>
              </w:rPr>
              <w:t>20.00</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color w:val="auto"/>
              </w:rPr>
              <w:t>48</w:t>
            </w:r>
          </w:p>
        </w:tc>
        <w:tc>
          <w:tcPr>
            <w:tcW w:w="560" w:type="dxa"/>
            <w:vAlign w:val="bottom"/>
            <w:gridSpan w:val="2"/>
            <w:vMerge w:val="restart"/>
          </w:tcPr>
          <w:p>
            <w:pPr>
              <w:ind w:left="50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line="242" w:lineRule="exact"/>
              <w:rPr>
                <w:sz w:val="20"/>
                <w:szCs w:val="20"/>
                <w:color w:val="auto"/>
              </w:rPr>
            </w:pPr>
            <w:r>
              <w:rPr>
                <w:rFonts w:ascii="Arial" w:cs="Arial" w:eastAsia="Arial" w:hAnsi="Arial"/>
                <w:sz w:val="27"/>
                <w:szCs w:val="27"/>
                <w:color w:val="auto"/>
                <w:vertAlign w:val="subscript"/>
              </w:rPr>
              <w:t>3</w:t>
            </w:r>
            <w:r>
              <w:rPr>
                <w:rFonts w:ascii="Arial" w:cs="Arial" w:eastAsia="Arial" w:hAnsi="Arial"/>
                <w:sz w:val="14"/>
                <w:szCs w:val="14"/>
                <w:color w:val="auto"/>
              </w:rPr>
              <w:t xml:space="preserve"> (c)</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52"/>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Open Market Purchases(d)</w:t>
            </w:r>
          </w:p>
        </w:tc>
        <w:tc>
          <w:tcPr>
            <w:tcW w:w="2100" w:type="dxa"/>
            <w:vAlign w:val="bottom"/>
            <w:gridSpan w:val="3"/>
            <w:shd w:val="clear" w:color="auto" w:fill="EEEEEE"/>
          </w:tcPr>
          <w:p>
            <w:pPr>
              <w:ind w:left="980"/>
              <w:spacing w:after="0" w:line="149" w:lineRule="exact"/>
              <w:rPr>
                <w:sz w:val="20"/>
                <w:szCs w:val="20"/>
                <w:color w:val="auto"/>
              </w:rPr>
            </w:pPr>
            <w:r>
              <w:rPr>
                <w:rFonts w:ascii="Arial" w:cs="Arial" w:eastAsia="Arial" w:hAnsi="Arial"/>
                <w:sz w:val="14"/>
                <w:szCs w:val="14"/>
                <w:color w:val="auto"/>
              </w:rPr>
              <w:t>N/A</w:t>
            </w:r>
          </w:p>
        </w:tc>
        <w:tc>
          <w:tcPr>
            <w:tcW w:w="1380" w:type="dxa"/>
            <w:vAlign w:val="bottom"/>
            <w:shd w:val="clear" w:color="auto" w:fill="EEEEEE"/>
          </w:tcPr>
          <w:p>
            <w:pPr>
              <w:ind w:left="74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1,163</w:t>
            </w:r>
          </w:p>
        </w:tc>
        <w:tc>
          <w:tcPr>
            <w:tcW w:w="1100" w:type="dxa"/>
            <w:vAlign w:val="bottom"/>
            <w:gridSpan w:val="2"/>
            <w:shd w:val="clear" w:color="auto" w:fill="EEEEEE"/>
          </w:tcPr>
          <w:p>
            <w:pPr>
              <w:ind w:left="540"/>
              <w:spacing w:after="0" w:line="149" w:lineRule="exact"/>
              <w:rPr>
                <w:sz w:val="20"/>
                <w:szCs w:val="20"/>
                <w:color w:val="auto"/>
              </w:rPr>
            </w:pPr>
            <w:r>
              <w:rPr>
                <w:rFonts w:ascii="Arial" w:cs="Arial" w:eastAsia="Arial" w:hAnsi="Arial"/>
                <w:sz w:val="14"/>
                <w:szCs w:val="14"/>
                <w:color w:val="auto"/>
                <w:w w:val="85"/>
              </w:rPr>
              <w:t>$19.70 - $</w:t>
            </w:r>
          </w:p>
        </w:tc>
        <w:tc>
          <w:tcPr>
            <w:tcW w:w="6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w w:val="85"/>
              </w:rPr>
              <w:t>20.77</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w w:val="94"/>
              </w:rPr>
              <w:t>N/A</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80" w:hanging="462"/>
        <w:spacing w:after="0" w:line="33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have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agreement, the counterparty paid us the difference of approximately $3 million at the end of the valuation period to settle the agreement.</w:t>
      </w:r>
    </w:p>
    <w:p>
      <w:pPr>
        <w:spacing w:after="0" w:line="218" w:lineRule="exact"/>
        <w:rPr>
          <w:rFonts w:ascii="Arial" w:cs="Arial" w:eastAsia="Arial" w:hAnsi="Arial"/>
          <w:sz w:val="16"/>
          <w:szCs w:val="16"/>
          <w:color w:val="auto"/>
        </w:rPr>
      </w:pPr>
    </w:p>
    <w:p>
      <w:pPr>
        <w:ind w:left="700" w:right="700" w:hanging="462"/>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194" w:lineRule="exact"/>
        <w:rPr>
          <w:rFonts w:ascii="Arial" w:cs="Arial" w:eastAsia="Arial" w:hAnsi="Arial"/>
          <w:sz w:val="18"/>
          <w:szCs w:val="18"/>
          <w:color w:val="auto"/>
        </w:rPr>
      </w:pPr>
    </w:p>
    <w:p>
      <w:pPr>
        <w:ind w:left="460" w:right="80" w:hanging="22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engaged in open market purchases during the first quarter of 2003 when trading was allowed pursuant to law and our insider trading policy. We did not engage in open market purchases during the second quarter of 2003.</w:t>
      </w:r>
    </w:p>
    <w:p>
      <w:pPr>
        <w:spacing w:after="0" w:line="213"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We expect a net cash outflow, after considering insurance, tax deductions and related settlement costs, of approximately $230 to $240 million for settlement of our securities class action lawsuit. The settlement fund began to accrue interest, at the Federal Funds rate, during the second quarter of 2002, although payment will not become due until the judgment is final. That judgment will not be final until an appeal of the approval of the settlement filed in March 2003, is decided. We currently expect the payment to be made before the end of 2003.</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Our strategy is to primarily utilize cash flows from operations to meet our capital needs and contractual obligations. However, we also have bank borrowings available to meet our capital needs and contractual obligations and, when appropriate, will obtain financing by issuing debt or common stock.</w:t>
      </w:r>
    </w:p>
    <w:p>
      <w:pPr>
        <w:spacing w:after="0" w:line="16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of June 30, 2003, we had a three-year, $650 million syndicated revolving credit facility and a five-year, $1.75 billion syndicated revolving credit facility. The three-year revolver matures in June 2005 and the five-year revolver matures in June 2006. At June 30, 2003, no borrowings were outstanding under our revolving credit facilities and we had unused and available credit capacity under these facilities of approximately $870 million. The unused and available capacity under the facilities was approximately $770 million at December 31, 2002.</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our operations, and in connection with issuances of tax-exempt bonds, we use letters of credit to support our bonding and funding needs. In order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increase our letter of credit availability, on June 30, 2003 we entered into a five-year, $15 million letter of credit and term loan agreement, a seven-year,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letter of credit and term loan agreement, and a ten-year, $105 million letter of credit and term loan agreement, which expire in June 2008,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respectively (collectively, the “LC and term loan agreements”). At June 30, 2003, letters of credit were issued and outstanding for the full $295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capacity under these agreements.</w:t>
      </w:r>
    </w:p>
    <w:p>
      <w:pPr>
        <w:spacing w:after="0" w:line="246"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As of June 30, 2003, we had letters of credit in the aggregate amount of approximately $1.93 billion (of which approximately $1.53 billion are issued under the revolving credit facilities, $295 million are issued under the LC and term loan agreements and the remainder are issued under other various lines of credit). These letters of credit generally have terms allowing for automatic renewal after one year. In the event of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0" w:name="page51"/>
    <w:bookmarkEnd w:id="50"/>
    <w:p>
      <w:pPr>
        <w:ind w:right="480"/>
        <w:spacing w:after="0" w:line="268" w:lineRule="auto"/>
        <w:rPr>
          <w:sz w:val="20"/>
          <w:szCs w:val="20"/>
          <w:color w:val="auto"/>
        </w:rPr>
      </w:pPr>
      <w:r>
        <w:rPr>
          <w:rFonts w:ascii="Arial" w:cs="Arial" w:eastAsia="Arial" w:hAnsi="Arial"/>
          <w:sz w:val="18"/>
          <w:szCs w:val="18"/>
          <w:color w:val="auto"/>
        </w:rPr>
        <w:t>unreimbursed draw on a letter of credit, we have the ability to convert that amount into a term loan for the remaining term under its respective agreement or facility.</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of June 30, 2003, we are required to maintain the following financial covenants under our revolving credit facilities: (i) an interest coverage ratio; (ii) total debt to EBITDA;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the sum of stockholders’ equity to be less than $3.5 billion plus 75% of our cumulative consolidated net income for each fiscal quarter, beginning with the first fiscal quarter ended March 31, 2001. We are in compliance with all covenants under our revolving credit facilities and all other debt instruments.</w:t>
      </w:r>
    </w:p>
    <w:p>
      <w:pPr>
        <w:spacing w:after="0" w:line="201"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Additionally, we have issued industrial revenue bonds primarily for the construction of various facilities. Proceeds from these financing arrangements are directly deposited into trust funds and we do not have the ability to utilize the funds in regular operating activities. Accordingly, we report these amounts as an investing activity when the cash is released from the trust funds and a financing activity when the industrial revenue bonds are repaid. At June 30, 2003, approximately $425 million of funds were held in trust to meet future capital expenditures at various facilities. These fund balances are included as other long-term assets in the accompanying condensed consolidated balance sheets.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2003, we have $434 million of 6.375% senior notes due December 1, 2003, $150 million of 8.0% senior notes due April 30, 2004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6.5% senior notes due May 15, 2004. We classified all of these borrowings as long-term at June 30, 2003. The classification of these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long-term was based upon our available capacity under our two long-term revolving credit facilities and our intent to refinance the borrowings with other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financings. However, in the event other sources of long-term financing are not available, we intend to use our revolving credit facilities.</w:t>
      </w:r>
    </w:p>
    <w:p>
      <w:pPr>
        <w:spacing w:after="0" w:line="2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67% fixed and 33% floating at June 30, 2003. In addition, we periodically enter into derivative transactions to secure the then-current market interest rate in anticipation of senior debt issuances.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Options</w:t>
      </w:r>
    </w:p>
    <w:p>
      <w:pPr>
        <w:spacing w:after="0" w:line="258" w:lineRule="exact"/>
        <w:rPr>
          <w:sz w:val="20"/>
          <w:szCs w:val="20"/>
          <w:color w:val="auto"/>
        </w:rPr>
      </w:pPr>
    </w:p>
    <w:p>
      <w:pPr>
        <w:ind w:right="56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as amended. Pursuant to APB No. 25, we recognize no compensation cost for our stock option grants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is fixed.</w:t>
      </w:r>
    </w:p>
    <w:p>
      <w:pPr>
        <w:spacing w:after="0" w:line="18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Were the Company to recognize compensation expense based on the fair value of stock options granted, as provided for under SFAS No.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we would have recognized compensation expense of $18 million, or $0.03 per diluted share,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2003, and $22 million, or $0.04 per diluted share, for the three months ended June 30, 2002. The compensation expense for the six month periods ended June 30, 2003 and June 30, 2002 would have been $33 million, or $0.06 per diluted share, and $40 million, or $0.07 per diluted share,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51" w:name="page52"/>
    <w:bookmarkEnd w:id="51"/>
    <w:p>
      <w:pPr>
        <w:ind w:right="160"/>
        <w:spacing w:after="0" w:line="256" w:lineRule="auto"/>
        <w:rPr>
          <w:sz w:val="20"/>
          <w:szCs w:val="20"/>
          <w:color w:val="auto"/>
        </w:rPr>
      </w:pPr>
      <w:r>
        <w:rPr>
          <w:rFonts w:ascii="Arial" w:cs="Arial" w:eastAsia="Arial" w:hAnsi="Arial"/>
          <w:sz w:val="18"/>
          <w:szCs w:val="18"/>
          <w:color w:val="auto"/>
        </w:rPr>
        <w:t>regions where we operate also tend to decrease during the winter months. Our first and fourth quarter results of operations typically reflect this seasonality.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We believe that inflation has not had, and is not expected to have, any material adverse effect on our results of operations in the near future. However, management’s estimates associated with inflation have had, and will continue to have, an impact on our accounting for landfill and environmental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August 5, 2003, we announced that our Board of Directors approved a quarterly dividend program beginning in 2004. The dividend will be $0.75 per share annually and we expect to announce the record and payment dates of the first quarter dividend in January 2004, which we expect will be payable in March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January 2003, the Financial Accounting Standards Board issued FASB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FIN 46 requires variable interest entities to be consolidated by their primary beneficiaries. A primary beneficiary is the party that absorbs a majority of the entity’s expected losses or residual benefits. FIN 46 is currently effective for all variable interest entities created or modified after January 31, 2003 and is effective for all variable interest entities, regardless of when created, in quarterly periods beginning after June 15, 2003. Management has determined that a limited number of the Company’s arrangements are with variable interest entities and may require consolidation and/or disclosure as of July 1, 2003. However, we have yet to definitively conclude whether consolidation or disclosure will be required upon full adoption of FIN 46 or to measure the impact that this accounting change will have on our results of operations or financial position. Upon full adoption, we will disclose the nature, purpose, size and activities of the variable interest entities in which we are either the primary beneficiary or have significant variable interests. We will also disclose our maximum exposure to loss as a result of our involvement with these entities.</w:t>
      </w: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Within the 90 days prior to the date of this Form 10-Q, an evaluation was performed under the supervision and with the participation of our management, including the Chief Executive Officer, Chief Financial Officer and Chief Accounting Officer, of the effectiveness of the design and operation of our disclosure controls and procedures. Based on that evaluation, our management, including the Chief Executive Officer, Chief Financial Officer and Chief Accounting Officer, concluded that our disclosure controls and procedures were effective. There have been no significant changes in our internal controls and procedures or in other factors that could significantly affect internal controls subsequent to the date the Company carried out its evaluation.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2" w:name="page53"/>
    <w:bookmarkEnd w:id="52"/>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2003 Annual Meeting of Stockholders held on May 16, 2003, a proposal to elect the nominees listed in the following table as directors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was submitted to a vote of our stockholders. The following table also shows the results of voting as to each nominee:</w:t>
      </w:r>
    </w:p>
    <w:p>
      <w:pPr>
        <w:spacing w:after="0" w:line="200" w:lineRule="exact"/>
        <w:rPr>
          <w:sz w:val="20"/>
          <w:szCs w:val="20"/>
          <w:color w:val="auto"/>
        </w:rPr>
      </w:pP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720" w:type="dxa"/>
            <w:vAlign w:val="bottom"/>
          </w:tcPr>
          <w:p>
            <w:pPr>
              <w:jc w:val="right"/>
              <w:ind w:right="674"/>
              <w:spacing w:after="0"/>
              <w:rPr>
                <w:sz w:val="20"/>
                <w:szCs w:val="20"/>
                <w:color w:val="auto"/>
              </w:rPr>
            </w:pPr>
            <w:r>
              <w:rPr>
                <w:rFonts w:ascii="Arial" w:cs="Arial" w:eastAsia="Arial" w:hAnsi="Arial"/>
                <w:sz w:val="14"/>
                <w:szCs w:val="14"/>
                <w:b w:val="1"/>
                <w:bCs w:val="1"/>
                <w:color w:val="auto"/>
              </w:rPr>
              <w:t>For</w:t>
            </w:r>
          </w:p>
        </w:tc>
        <w:tc>
          <w:tcPr>
            <w:tcW w:w="160" w:type="dxa"/>
            <w:vAlign w:val="bottom"/>
          </w:tcPr>
          <w:p>
            <w:pPr>
              <w:spacing w:after="0"/>
              <w:rPr>
                <w:sz w:val="15"/>
                <w:szCs w:val="15"/>
                <w:color w:val="auto"/>
              </w:rPr>
            </w:pPr>
          </w:p>
        </w:tc>
        <w:tc>
          <w:tcPr>
            <w:tcW w:w="1700" w:type="dxa"/>
            <w:vAlign w:val="bottom"/>
          </w:tcPr>
          <w:p>
            <w:pPr>
              <w:jc w:val="right"/>
              <w:ind w:right="51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Pastora San Juan Cafferty</w:t>
            </w:r>
          </w:p>
        </w:tc>
        <w:tc>
          <w:tcPr>
            <w:tcW w:w="17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504,017,386</w:t>
            </w:r>
          </w:p>
        </w:tc>
        <w:tc>
          <w:tcPr>
            <w:tcW w:w="18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23,717,879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Frank M. Clark, Jr.</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504,112,884</w:t>
            </w:r>
          </w:p>
        </w:tc>
        <w:tc>
          <w:tcPr>
            <w:tcW w:w="1860" w:type="dxa"/>
            <w:vAlign w:val="bottom"/>
            <w:gridSpan w:val="2"/>
          </w:tcPr>
          <w:p>
            <w:pPr>
              <w:jc w:val="right"/>
              <w:ind w:right="332"/>
              <w:spacing w:after="0"/>
              <w:rPr>
                <w:sz w:val="20"/>
                <w:szCs w:val="20"/>
                <w:color w:val="auto"/>
              </w:rPr>
            </w:pPr>
            <w:r>
              <w:rPr>
                <w:rFonts w:ascii="Arial" w:cs="Arial" w:eastAsia="Arial" w:hAnsi="Arial"/>
                <w:sz w:val="18"/>
                <w:szCs w:val="18"/>
                <w:color w:val="auto"/>
              </w:rPr>
              <w:t>23,622,381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Robert S. Miller</w:t>
            </w:r>
          </w:p>
        </w:tc>
        <w:tc>
          <w:tcPr>
            <w:tcW w:w="17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304,990,847</w:t>
            </w:r>
          </w:p>
        </w:tc>
        <w:tc>
          <w:tcPr>
            <w:tcW w:w="18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222,744,418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 Maurice Myers</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502,151,389</w:t>
            </w:r>
          </w:p>
        </w:tc>
        <w:tc>
          <w:tcPr>
            <w:tcW w:w="1860" w:type="dxa"/>
            <w:vAlign w:val="bottom"/>
            <w:gridSpan w:val="2"/>
          </w:tcPr>
          <w:p>
            <w:pPr>
              <w:jc w:val="right"/>
              <w:ind w:right="332"/>
              <w:spacing w:after="0"/>
              <w:rPr>
                <w:sz w:val="20"/>
                <w:szCs w:val="20"/>
                <w:color w:val="auto"/>
              </w:rPr>
            </w:pPr>
            <w:r>
              <w:rPr>
                <w:rFonts w:ascii="Arial" w:cs="Arial" w:eastAsia="Arial" w:hAnsi="Arial"/>
                <w:sz w:val="18"/>
                <w:szCs w:val="18"/>
                <w:color w:val="auto"/>
              </w:rPr>
              <w:t>25,583,876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John C. Pope</w:t>
            </w:r>
          </w:p>
        </w:tc>
        <w:tc>
          <w:tcPr>
            <w:tcW w:w="17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503,879,507</w:t>
            </w:r>
          </w:p>
        </w:tc>
        <w:tc>
          <w:tcPr>
            <w:tcW w:w="18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23,855,758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 Robert Reum</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504,041,189</w:t>
            </w:r>
          </w:p>
        </w:tc>
        <w:tc>
          <w:tcPr>
            <w:tcW w:w="1860" w:type="dxa"/>
            <w:vAlign w:val="bottom"/>
            <w:gridSpan w:val="2"/>
          </w:tcPr>
          <w:p>
            <w:pPr>
              <w:jc w:val="right"/>
              <w:ind w:right="332"/>
              <w:spacing w:after="0"/>
              <w:rPr>
                <w:sz w:val="20"/>
                <w:szCs w:val="20"/>
                <w:color w:val="auto"/>
              </w:rPr>
            </w:pPr>
            <w:r>
              <w:rPr>
                <w:rFonts w:ascii="Arial" w:cs="Arial" w:eastAsia="Arial" w:hAnsi="Arial"/>
                <w:sz w:val="18"/>
                <w:szCs w:val="18"/>
                <w:color w:val="auto"/>
              </w:rPr>
              <w:t>23,694,076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Steven G. Rothmeier</w:t>
            </w:r>
          </w:p>
        </w:tc>
        <w:tc>
          <w:tcPr>
            <w:tcW w:w="17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504,002,513</w:t>
            </w:r>
          </w:p>
        </w:tc>
        <w:tc>
          <w:tcPr>
            <w:tcW w:w="18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23,732,752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Carl W. Vogt</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346,865,620</w:t>
            </w:r>
          </w:p>
        </w:tc>
        <w:tc>
          <w:tcPr>
            <w:tcW w:w="1860" w:type="dxa"/>
            <w:vAlign w:val="bottom"/>
            <w:gridSpan w:val="2"/>
          </w:tcPr>
          <w:p>
            <w:pPr>
              <w:jc w:val="right"/>
              <w:ind w:right="332"/>
              <w:spacing w:after="0"/>
              <w:rPr>
                <w:sz w:val="20"/>
                <w:szCs w:val="20"/>
                <w:color w:val="auto"/>
              </w:rPr>
            </w:pPr>
            <w:r>
              <w:rPr>
                <w:rFonts w:ascii="Arial" w:cs="Arial" w:eastAsia="Arial" w:hAnsi="Arial"/>
                <w:sz w:val="18"/>
                <w:szCs w:val="18"/>
                <w:color w:val="auto"/>
              </w:rPr>
              <w:t>180,869,646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Ralph V. Whitworth</w:t>
            </w:r>
          </w:p>
        </w:tc>
        <w:tc>
          <w:tcPr>
            <w:tcW w:w="17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503,396,734</w:t>
            </w:r>
          </w:p>
        </w:tc>
        <w:tc>
          <w:tcPr>
            <w:tcW w:w="18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24,338,531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same meeting, the following proposals were also adopted by our stockholders. The voting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Pr>
          <w:p>
            <w:pPr>
              <w:jc w:val="right"/>
              <w:ind w:right="699"/>
              <w:spacing w:after="0"/>
              <w:rPr>
                <w:sz w:val="20"/>
                <w:szCs w:val="20"/>
                <w:color w:val="auto"/>
              </w:rPr>
            </w:pPr>
            <w:r>
              <w:rPr>
                <w:rFonts w:ascii="Arial" w:cs="Arial" w:eastAsia="Arial" w:hAnsi="Arial"/>
                <w:sz w:val="14"/>
                <w:szCs w:val="14"/>
                <w:b w:val="1"/>
                <w:bCs w:val="1"/>
                <w:color w:val="auto"/>
              </w:rPr>
              <w:t>For</w:t>
            </w:r>
          </w:p>
        </w:tc>
        <w:tc>
          <w:tcPr>
            <w:tcW w:w="220" w:type="dxa"/>
            <w:vAlign w:val="bottom"/>
          </w:tcPr>
          <w:p>
            <w:pPr>
              <w:spacing w:after="0"/>
              <w:rPr>
                <w:sz w:val="15"/>
                <w:szCs w:val="15"/>
                <w:color w:val="auto"/>
              </w:rPr>
            </w:pPr>
          </w:p>
        </w:tc>
        <w:tc>
          <w:tcPr>
            <w:tcW w:w="1600" w:type="dxa"/>
            <w:vAlign w:val="bottom"/>
          </w:tcPr>
          <w:p>
            <w:pPr>
              <w:jc w:val="right"/>
              <w:ind w:right="512"/>
              <w:spacing w:after="0"/>
              <w:rPr>
                <w:sz w:val="20"/>
                <w:szCs w:val="20"/>
                <w:color w:val="auto"/>
              </w:rPr>
            </w:pPr>
            <w:r>
              <w:rPr>
                <w:rFonts w:ascii="Arial" w:cs="Arial" w:eastAsia="Arial" w:hAnsi="Arial"/>
                <w:sz w:val="14"/>
                <w:szCs w:val="14"/>
                <w:b w:val="1"/>
                <w:bCs w:val="1"/>
                <w:color w:val="auto"/>
              </w:rPr>
              <w:t>Against</w:t>
            </w:r>
          </w:p>
        </w:tc>
        <w:tc>
          <w:tcPr>
            <w:tcW w:w="220" w:type="dxa"/>
            <w:vAlign w:val="bottom"/>
          </w:tcPr>
          <w:p>
            <w:pPr>
              <w:spacing w:after="0"/>
              <w:rPr>
                <w:sz w:val="15"/>
                <w:szCs w:val="15"/>
                <w:color w:val="auto"/>
              </w:rPr>
            </w:pPr>
          </w:p>
        </w:tc>
        <w:tc>
          <w:tcPr>
            <w:tcW w:w="1440" w:type="dxa"/>
            <w:vAlign w:val="bottom"/>
          </w:tcPr>
          <w:p>
            <w:pPr>
              <w:jc w:val="right"/>
              <w:ind w:right="39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w w:val="98"/>
              </w:rPr>
              <w:t>Ratification of appointment of Ernst &amp; Young LLP</w:t>
            </w:r>
          </w:p>
        </w:tc>
        <w:tc>
          <w:tcPr>
            <w:tcW w:w="1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our independent auditors for the fiscal year</w:t>
            </w:r>
          </w:p>
        </w:tc>
        <w:tc>
          <w:tcPr>
            <w:tcW w:w="1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ending December 31, 2003</w:t>
            </w:r>
          </w:p>
        </w:tc>
        <w:tc>
          <w:tcPr>
            <w:tcW w:w="176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516,514,272</w:t>
            </w:r>
          </w:p>
        </w:tc>
        <w:tc>
          <w:tcPr>
            <w:tcW w:w="18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6,405,937</w:t>
            </w:r>
          </w:p>
        </w:tc>
        <w:tc>
          <w:tcPr>
            <w:tcW w:w="16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4,815,056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Amendment to the Company’s Employee Stock</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1760" w:type="dxa"/>
            <w:vAlign w:val="bottom"/>
          </w:tcPr>
          <w:p>
            <w:pPr>
              <w:jc w:val="right"/>
              <w:ind w:right="339"/>
              <w:spacing w:after="0"/>
              <w:rPr>
                <w:sz w:val="20"/>
                <w:szCs w:val="20"/>
                <w:color w:val="auto"/>
              </w:rPr>
            </w:pPr>
            <w:r>
              <w:rPr>
                <w:rFonts w:ascii="Arial" w:cs="Arial" w:eastAsia="Arial" w:hAnsi="Arial"/>
                <w:sz w:val="18"/>
                <w:szCs w:val="18"/>
                <w:color w:val="auto"/>
              </w:rPr>
              <w:t>510,187,933</w:t>
            </w:r>
          </w:p>
        </w:tc>
        <w:tc>
          <w:tcPr>
            <w:tcW w:w="1820" w:type="dxa"/>
            <w:vAlign w:val="bottom"/>
            <w:gridSpan w:val="2"/>
          </w:tcPr>
          <w:p>
            <w:pPr>
              <w:jc w:val="right"/>
              <w:ind w:right="332"/>
              <w:spacing w:after="0"/>
              <w:rPr>
                <w:sz w:val="20"/>
                <w:szCs w:val="20"/>
                <w:color w:val="auto"/>
              </w:rPr>
            </w:pPr>
            <w:r>
              <w:rPr>
                <w:rFonts w:ascii="Arial" w:cs="Arial" w:eastAsia="Arial" w:hAnsi="Arial"/>
                <w:sz w:val="18"/>
                <w:szCs w:val="18"/>
                <w:color w:val="auto"/>
              </w:rPr>
              <w:t>12,140,036</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color w:val="auto"/>
              </w:rPr>
              <w:t>5,405,820</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proposal was submitted to our stockholders, but was not approved. The vote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5"/>
                <w:szCs w:val="15"/>
                <w:color w:val="auto"/>
              </w:rPr>
            </w:pPr>
          </w:p>
        </w:tc>
        <w:tc>
          <w:tcPr>
            <w:tcW w:w="1740" w:type="dxa"/>
            <w:vAlign w:val="bottom"/>
          </w:tcPr>
          <w:p>
            <w:pPr>
              <w:jc w:val="right"/>
              <w:ind w:right="592"/>
              <w:spacing w:after="0"/>
              <w:rPr>
                <w:sz w:val="20"/>
                <w:szCs w:val="20"/>
                <w:color w:val="auto"/>
              </w:rPr>
            </w:pPr>
            <w:r>
              <w:rPr>
                <w:rFonts w:ascii="Arial" w:cs="Arial" w:eastAsia="Arial" w:hAnsi="Arial"/>
                <w:sz w:val="14"/>
                <w:szCs w:val="14"/>
                <w:b w:val="1"/>
                <w:bCs w:val="1"/>
                <w:color w:val="auto"/>
              </w:rPr>
              <w:t>Against</w:t>
            </w:r>
          </w:p>
        </w:tc>
        <w:tc>
          <w:tcPr>
            <w:tcW w:w="2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Withheld</w:t>
            </w: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3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Require disclosure of management’s plan to</w:t>
            </w: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oppose privatization</w:t>
            </w:r>
          </w:p>
        </w:tc>
        <w:tc>
          <w:tcPr>
            <w:tcW w:w="1580" w:type="dxa"/>
            <w:vAlign w:val="bottom"/>
            <w:shd w:val="clear" w:color="auto" w:fill="EEEEEE"/>
          </w:tcPr>
          <w:p>
            <w:pPr>
              <w:jc w:val="right"/>
              <w:ind w:right="322"/>
              <w:spacing w:after="0"/>
              <w:rPr>
                <w:sz w:val="20"/>
                <w:szCs w:val="20"/>
                <w:color w:val="auto"/>
              </w:rPr>
            </w:pPr>
            <w:r>
              <w:rPr>
                <w:rFonts w:ascii="Arial" w:cs="Arial" w:eastAsia="Arial" w:hAnsi="Arial"/>
                <w:sz w:val="18"/>
                <w:szCs w:val="18"/>
                <w:color w:val="auto"/>
              </w:rPr>
              <w:t>25,119,108</w:t>
            </w:r>
          </w:p>
        </w:tc>
        <w:tc>
          <w:tcPr>
            <w:tcW w:w="19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383,873,987</w:t>
            </w:r>
          </w:p>
        </w:tc>
        <w:tc>
          <w:tcPr>
            <w:tcW w:w="18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64,625,267</w:t>
            </w:r>
          </w:p>
        </w:tc>
        <w:tc>
          <w:tcPr>
            <w:tcW w:w="0" w:type="dxa"/>
            <w:vAlign w:val="bottom"/>
          </w:tcPr>
          <w:p>
            <w:pPr>
              <w:spacing w:after="0"/>
              <w:rPr>
                <w:sz w:val="1"/>
                <w:szCs w:val="1"/>
                <w:color w:val="auto"/>
              </w:rPr>
            </w:pPr>
          </w:p>
        </w:tc>
      </w:tr>
      <w:tr>
        <w:trPr>
          <w:trHeight w:val="457"/>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8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Other Information</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340"/>
              <w:spacing w:after="0"/>
              <w:rPr>
                <w:sz w:val="20"/>
                <w:szCs w:val="20"/>
                <w:color w:val="auto"/>
              </w:rPr>
            </w:pPr>
            <w:r>
              <w:rPr>
                <w:rFonts w:ascii="Arial" w:cs="Arial" w:eastAsia="Arial" w:hAnsi="Arial"/>
                <w:sz w:val="18"/>
                <w:szCs w:val="18"/>
                <w:color w:val="auto"/>
                <w:w w:val="99"/>
              </w:rPr>
              <w:t>None.</w:t>
            </w: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258" w:lineRule="exact"/>
        <w:rPr>
          <w:sz w:val="20"/>
          <w:szCs w:val="20"/>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14"/>
                <w:szCs w:val="14"/>
                <w:color w:val="auto"/>
              </w:rPr>
            </w:pPr>
          </w:p>
        </w:tc>
        <w:tc>
          <w:tcPr>
            <w:tcW w:w="8780" w:type="dxa"/>
            <w:vAlign w:val="bottom"/>
          </w:tcPr>
          <w:p>
            <w:pPr>
              <w:spacing w:after="0"/>
              <w:rPr>
                <w:sz w:val="14"/>
                <w:szCs w:val="14"/>
                <w:color w:val="auto"/>
              </w:rPr>
            </w:pPr>
          </w:p>
        </w:tc>
      </w:tr>
      <w:tr>
        <w:trPr>
          <w:trHeight w:val="174"/>
        </w:trPr>
        <w:tc>
          <w:tcPr>
            <w:tcW w:w="1520" w:type="dxa"/>
            <w:vAlign w:val="bottom"/>
          </w:tcPr>
          <w:p>
            <w:pPr>
              <w:ind w:left="520"/>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309"/>
        </w:trPr>
        <w:tc>
          <w:tcPr>
            <w:tcW w:w="1520" w:type="dxa"/>
            <w:vAlign w:val="bottom"/>
          </w:tcPr>
          <w:p>
            <w:pPr>
              <w:ind w:left="660"/>
              <w:spacing w:after="0"/>
              <w:rPr>
                <w:sz w:val="20"/>
                <w:szCs w:val="20"/>
                <w:color w:val="auto"/>
              </w:rPr>
            </w:pPr>
            <w:r>
              <w:rPr>
                <w:rFonts w:ascii="Arial" w:cs="Arial" w:eastAsia="Arial" w:hAnsi="Arial"/>
                <w:sz w:val="18"/>
                <w:szCs w:val="18"/>
                <w:color w:val="auto"/>
              </w:rPr>
              <w:t>10.1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Employment Agreement between Recycle America Alliance, L.L.C. and Steve Ragiel, dated March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Ten-Year Letter of Credit and Term Loan Agreement among the Registrant, Waste Management Holdings, Inc., and Bank of</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88"/>
              </w:rPr>
              <w:t>America, N.A., as Administrative Agent and Letter of Credit Issuer and the Lenders party thereto, dated as of June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Five-Year Letter of Credit and Term Loan Agreement among the Registrant, Waste Management Holdings, Inc., and Bank of</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88"/>
              </w:rPr>
              <w:t>America, N.A., as Administrative Agent and Letter of Credit Issuer and the Lenders party thereto, dated as of June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Seven-Year Letter of Credit and Term Loan Agreement among the Registrant, Waste Management Holdings, Inc., and Bank</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1"/>
              </w:rPr>
              <w:t>of America, N.A., as Administrative Agent and Letter of Credit Issuer and the Lenders party thereto, dated as of June 30,</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10.5</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2003 Waste Management, Inc. Directors’ Deferred Compensation Plan.</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0"/>
              </w:rPr>
              <w:t>Certification Pursuant to Rule 15d — 14(a) under the Securities Exchange Act of 1934, as amended, of A. Maurice Myers,</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2"/>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80" w:type="dxa"/>
            <w:vAlign w:val="bottom"/>
          </w:tcPr>
          <w:p>
            <w:pPr>
              <w:ind w:left="2980"/>
              <w:spacing w:after="0"/>
              <w:rPr>
                <w:sz w:val="20"/>
                <w:szCs w:val="20"/>
                <w:color w:val="auto"/>
              </w:rPr>
            </w:pPr>
            <w:r>
              <w:rPr>
                <w:rFonts w:ascii="Arial" w:cs="Arial" w:eastAsia="Arial" w:hAnsi="Arial"/>
                <w:sz w:val="18"/>
                <w:szCs w:val="18"/>
                <w:color w:val="auto"/>
              </w:rPr>
              <w:t>49</w:t>
            </w:r>
          </w:p>
        </w:tc>
      </w:tr>
      <w:tr>
        <w:trPr>
          <w:trHeight w:val="228"/>
        </w:trPr>
        <w:tc>
          <w:tcPr>
            <w:tcW w:w="15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667" w:gutter="0" w:footer="0" w:header="0"/>
        </w:sectPr>
      </w:pPr>
    </w:p>
    <w:bookmarkStart w:id="53" w:name="page54"/>
    <w:bookmarkEnd w:id="53"/>
    <w:p>
      <w:pPr>
        <w:ind w:left="228"/>
        <w:spacing w:after="0"/>
        <w:rPr>
          <w:sz w:val="20"/>
          <w:szCs w:val="20"/>
          <w:color w:val="auto"/>
        </w:rPr>
      </w:pPr>
      <w:r>
        <w:rPr>
          <w:rFonts w:ascii="Arial" w:cs="Arial" w:eastAsia="Arial" w:hAnsi="Arial"/>
          <w:sz w:val="14"/>
          <w:szCs w:val="14"/>
          <w:color w:val="auto"/>
        </w:rPr>
        <w:t>Exhibit</w:t>
      </w:r>
    </w:p>
    <w:p>
      <w:pPr>
        <w:ind w:left="188"/>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59690</wp:posOffset>
            </wp:positionV>
            <wp:extent cx="9607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8" w:lineRule="exact"/>
        <w:rPr>
          <w:sz w:val="20"/>
          <w:szCs w:val="20"/>
          <w:color w:val="auto"/>
        </w:rPr>
      </w:pPr>
    </w:p>
    <w:p>
      <w:pPr>
        <w:ind w:left="328"/>
        <w:spacing w:after="0"/>
        <w:tabs>
          <w:tab w:leader="none" w:pos="1507"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328"/>
        <w:spacing w:after="0"/>
        <w:tabs>
          <w:tab w:leader="none" w:pos="1507"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ind w:left="248" w:hanging="248"/>
        <w:spacing w:after="0"/>
        <w:tabs>
          <w:tab w:leader="none" w:pos="24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Reports on Form 8-K:</w:t>
      </w:r>
    </w:p>
    <w:p>
      <w:pPr>
        <w:spacing w:after="0" w:line="275" w:lineRule="exact"/>
        <w:rPr>
          <w:sz w:val="20"/>
          <w:szCs w:val="20"/>
          <w:color w:val="auto"/>
        </w:rPr>
      </w:pPr>
    </w:p>
    <w:p>
      <w:pPr>
        <w:ind w:left="8"/>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4971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of David P. Steiner,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808" w:space="620"/>
            <w:col w:w="8180"/>
          </w:cols>
          <w:pgMar w:left="572" w:top="1155" w:right="71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ind w:left="220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1520" w:type="dxa"/>
            <w:vAlign w:val="bottom"/>
          </w:tcPr>
          <w:p>
            <w:pPr>
              <w:ind w:left="520"/>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309"/>
        </w:trPr>
        <w:tc>
          <w:tcPr>
            <w:tcW w:w="1520" w:type="dxa"/>
            <w:vAlign w:val="bottom"/>
          </w:tcPr>
          <w:p>
            <w:pPr>
              <w:ind w:left="660"/>
              <w:spacing w:after="0"/>
              <w:rPr>
                <w:sz w:val="20"/>
                <w:szCs w:val="20"/>
                <w:color w:val="auto"/>
              </w:rPr>
            </w:pPr>
            <w:r>
              <w:rPr>
                <w:rFonts w:ascii="Arial" w:cs="Arial" w:eastAsia="Arial" w:hAnsi="Arial"/>
                <w:sz w:val="18"/>
                <w:szCs w:val="18"/>
                <w:color w:val="auto"/>
              </w:rPr>
              <w:t>10.1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Employment Agreement between Recycle America Alliance, L.L.C. and Steve Ragiel, dated March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Ten-Year Letter of Credit and Term Loan Agreement among the Registrant, Waste Management Holdings, Inc., and Bank of</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88"/>
              </w:rPr>
              <w:t>America, N.A., as Administrative Agent and Letter of Credit Issuer and the Lenders party thereto, dated as of June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Five-Year Letter of Credit and Term Loan Agreement among the Registrant, Waste Management Holdings, Inc., and Bank of</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88"/>
              </w:rPr>
              <w:t>America, N.A., as Administrative Agent and Letter of Credit Issuer and the Lenders party thereto, dated as of June 30, 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8"/>
              </w:rPr>
              <w:t>Seven-Year Letter of Credit and Term Loan Agreement among the Registrant, Waste Management Holdings, Inc., and Bank</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1"/>
              </w:rPr>
              <w:t>of America, N.A., as Administrative Agent and Letter of Credit Issuer and the Lenders party thereto, dated as of June 30,</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2003.</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10.5</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2003 Waste Management, Inc. Directors’ Deferred Compensation Plan.</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0"/>
              </w:rPr>
              <w:t>Certification Pursuant to Rule 15d — 14(a) under the Securities Exchange Act of 1934, as amended, of A. Maurice Myers,</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tc>
      </w:tr>
      <w:tr>
        <w:trPr>
          <w:trHeight w:val="222"/>
        </w:trPr>
        <w:tc>
          <w:tcPr>
            <w:tcW w:w="1520" w:type="dxa"/>
            <w:vAlign w:val="bottom"/>
          </w:tcPr>
          <w:p>
            <w:pPr>
              <w:ind w:left="660"/>
              <w:spacing w:after="0"/>
              <w:rPr>
                <w:sz w:val="20"/>
                <w:szCs w:val="20"/>
                <w:color w:val="auto"/>
              </w:rPr>
            </w:pPr>
            <w:r>
              <w:rPr>
                <w:rFonts w:ascii="Arial" w:cs="Arial" w:eastAsia="Arial" w:hAnsi="Arial"/>
                <w:sz w:val="18"/>
                <w:szCs w:val="18"/>
                <w:color w:val="auto"/>
              </w:rPr>
              <w:t>32.2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5"/>
              </w:rPr>
              <w:t>Certification Pursuant to 18 U.S.C. §1350 of David P. Steiner, Executive Vice President and Chief Financial Officer.</w:t>
            </w:r>
          </w:p>
        </w:tc>
      </w:tr>
    </w:tbl>
    <w:p>
      <w:pPr>
        <w:sectPr>
          <w:pgSz w:w="11900" w:h="16838" w:orient="portrait"/>
          <w:cols w:equalWidth="0" w:num="1">
            <w:col w:w="11420"/>
          </w:cols>
          <w:pgMar w:left="240" w:top="93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2" w:lineRule="exact"/>
        <w:rPr>
          <w:sz w:val="20"/>
          <w:szCs w:val="20"/>
          <w:color w:val="auto"/>
        </w:rPr>
      </w:pPr>
    </w:p>
    <w:p>
      <w:pPr>
        <w:ind w:right="20" w:firstLine="216"/>
        <w:spacing w:after="0" w:line="222" w:lineRule="auto"/>
        <w:rPr>
          <w:sz w:val="20"/>
          <w:szCs w:val="20"/>
          <w:color w:val="auto"/>
        </w:rPr>
      </w:pPr>
      <w:r>
        <w:rPr>
          <w:rFonts w:ascii="Arial" w:cs="Arial" w:eastAsia="Arial" w:hAnsi="Arial"/>
          <w:sz w:val="18"/>
          <w:szCs w:val="18"/>
          <w:color w:val="auto"/>
        </w:rPr>
        <w:t>This EMPLOYMENT AGREEMENT (the “Agreement”) is made and entered into on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2003 by and between Recycle America Alliance, L.L.C. and Steve Ragiel (the “Executive”). Recycle America Alliance, L.L.C. is an indirect subsidiary of Waste Management, Inc. (“WMI”). Recycle America Alliance, L.L.C. and all of its affiliates shall be referred to herein as “the Company.”</w:t>
      </w:r>
    </w:p>
    <w:p>
      <w:pPr>
        <w:spacing w:after="0" w:line="206" w:lineRule="exact"/>
        <w:rPr>
          <w:sz w:val="20"/>
          <w:szCs w:val="20"/>
          <w:color w:val="auto"/>
        </w:rPr>
      </w:pPr>
    </w:p>
    <w:p>
      <w:pPr>
        <w:ind w:left="580" w:hanging="35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and Termination of Previous Employment Agreement.</w:t>
      </w:r>
    </w:p>
    <w:p>
      <w:pPr>
        <w:spacing w:after="0" w:line="231" w:lineRule="exact"/>
        <w:rPr>
          <w:sz w:val="20"/>
          <w:szCs w:val="20"/>
          <w:color w:val="auto"/>
        </w:rPr>
      </w:pPr>
    </w:p>
    <w:p>
      <w:pPr>
        <w:ind w:right="640" w:firstLine="216"/>
        <w:spacing w:after="0" w:line="268"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186" w:lineRule="exact"/>
        <w:rPr>
          <w:sz w:val="20"/>
          <w:szCs w:val="20"/>
          <w:color w:val="auto"/>
        </w:rPr>
      </w:pPr>
    </w:p>
    <w:p>
      <w:pPr>
        <w:ind w:right="160" w:firstLine="220"/>
        <w:spacing w:after="0" w:line="306" w:lineRule="auto"/>
        <w:rPr>
          <w:sz w:val="20"/>
          <w:szCs w:val="20"/>
          <w:color w:val="auto"/>
        </w:rPr>
      </w:pPr>
      <w:r>
        <w:rPr>
          <w:rFonts w:ascii="Arial" w:cs="Arial" w:eastAsia="Arial" w:hAnsi="Arial"/>
          <w:sz w:val="16"/>
          <w:szCs w:val="16"/>
          <w:color w:val="auto"/>
        </w:rPr>
        <w:t>Executive acknowledges and represents that the certain Employment Agreement between he and WMI dated on or about October 14, 1998 is terminated, and that any and all obligations of WMI created thereunder, whether express or implied, are null and void and of no further force or effect, and that the only rights, obligations, and duties between the Company and Executive are those expressly set forth in this Agreement.</w:t>
      </w:r>
    </w:p>
    <w:p>
      <w:pPr>
        <w:spacing w:after="0" w:line="155" w:lineRule="exact"/>
        <w:rPr>
          <w:sz w:val="20"/>
          <w:szCs w:val="20"/>
          <w:color w:val="auto"/>
        </w:rPr>
      </w:pPr>
    </w:p>
    <w:p>
      <w:pPr>
        <w:ind w:left="580" w:hanging="35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 of Employment.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period of Executive’s employment under this Agreement shall commence on January 1, 2003 (“Employment Date”), and shall continue for a period of two</w:t>
      </w:r>
    </w:p>
    <w:p>
      <w:pPr>
        <w:spacing w:after="0" w:line="38" w:lineRule="exact"/>
        <w:rPr>
          <w:sz w:val="20"/>
          <w:szCs w:val="20"/>
          <w:color w:val="auto"/>
        </w:rPr>
      </w:pPr>
    </w:p>
    <w:p>
      <w:pPr>
        <w:ind w:right="40" w:firstLine="8"/>
        <w:spacing w:after="0" w:line="323"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years thereafter, and shall automatically be renewed for successive one (1) year periods thereafter, unless Executive’s employment is terminated in accordance with Section 5 below. The period during which Executive is employed hereunder shall be referred to as the “Employment Period.”</w:t>
      </w:r>
    </w:p>
    <w:p>
      <w:pPr>
        <w:spacing w:after="0" w:line="140" w:lineRule="exact"/>
        <w:rPr>
          <w:rFonts w:ascii="Arial" w:cs="Arial" w:eastAsia="Arial" w:hAnsi="Arial"/>
          <w:sz w:val="16"/>
          <w:szCs w:val="16"/>
          <w:color w:val="auto"/>
        </w:rPr>
      </w:pPr>
    </w:p>
    <w:p>
      <w:pPr>
        <w:ind w:left="580" w:hanging="352"/>
        <w:spacing w:after="0"/>
        <w:tabs>
          <w:tab w:leader="none" w:pos="58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w:t>
      </w:r>
    </w:p>
    <w:p>
      <w:pPr>
        <w:spacing w:after="0" w:line="231" w:lineRule="exact"/>
        <w:rPr>
          <w:sz w:val="20"/>
          <w:szCs w:val="20"/>
          <w:color w:val="auto"/>
        </w:rPr>
      </w:pPr>
    </w:p>
    <w:p>
      <w:pPr>
        <w:jc w:val="both"/>
        <w:ind w:right="440" w:firstLine="228"/>
        <w:spacing w:after="0" w:line="298" w:lineRule="auto"/>
        <w:tabs>
          <w:tab w:leader="none" w:pos="512"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Executive shall serve as President of Recycle America Alliance, L.L.C. In such capacity, Executive shall perform such duties and have the power, authority, and functions as set forth in the Operating Agreement of the Company, in the policies and procedures of WMI (which shall be applicable to the Company), as otherwise set forth by the Board of Managers of the Company, and as may be assigned to Executive from time to time by the Chief Executive Officer, Chief Administrative Officer or Chief Operating Officer of WMI (in any such case, hereinafter referred to as the “Chief Executive Officer”).</w:t>
      </w:r>
    </w:p>
    <w:p>
      <w:pPr>
        <w:spacing w:after="0" w:line="166" w:lineRule="exact"/>
        <w:rPr>
          <w:rFonts w:ascii="Arial" w:cs="Arial" w:eastAsia="Arial" w:hAnsi="Arial"/>
          <w:sz w:val="16"/>
          <w:szCs w:val="16"/>
          <w:b w:val="1"/>
          <w:bCs w:val="1"/>
          <w:color w:val="auto"/>
        </w:rPr>
      </w:pPr>
    </w:p>
    <w:p>
      <w:pPr>
        <w:ind w:right="240" w:firstLine="228"/>
        <w:spacing w:after="0" w:line="298" w:lineRule="auto"/>
        <w:tabs>
          <w:tab w:leader="none" w:pos="522"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the provisions of Section 8 of this Agreement), be involved in charitable and professional activities, and, with the prior written consent of the Chief Executive Officer, serve on boards of other for profit entities, provided such activities do not materially interfere with the performance of his duties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580" w:hanging="35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225" w:lineRule="exact"/>
        <w:rPr>
          <w:sz w:val="20"/>
          <w:szCs w:val="20"/>
          <w:color w:val="auto"/>
        </w:rPr>
      </w:pPr>
    </w:p>
    <w:p>
      <w:pPr>
        <w:jc w:val="both"/>
        <w:ind w:right="40" w:firstLine="228"/>
        <w:spacing w:after="0" w:line="339" w:lineRule="auto"/>
        <w:tabs>
          <w:tab w:leader="none" w:pos="512"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Base Salary. </w:t>
      </w:r>
      <w:r>
        <w:rPr>
          <w:rFonts w:ascii="Arial" w:cs="Arial" w:eastAsia="Arial" w:hAnsi="Arial"/>
          <w:sz w:val="15"/>
          <w:szCs w:val="15"/>
          <w:color w:val="auto"/>
        </w:rPr>
        <w:t>During the Employment Period, the Company shall pay Executive a base salary at the annual rate of Two Hundred Seventy-Five Thousand</w:t>
      </w:r>
      <w:r>
        <w:rPr>
          <w:rFonts w:ascii="Arial" w:cs="Arial" w:eastAsia="Arial" w:hAnsi="Arial"/>
          <w:sz w:val="15"/>
          <w:szCs w:val="15"/>
          <w:b w:val="1"/>
          <w:bCs w:val="1"/>
          <w:color w:val="auto"/>
        </w:rPr>
        <w:t xml:space="preserve"> </w:t>
      </w:r>
      <w:r>
        <w:rPr>
          <w:rFonts w:ascii="Arial" w:cs="Arial" w:eastAsia="Arial" w:hAnsi="Arial"/>
          <w:sz w:val="15"/>
          <w:szCs w:val="15"/>
          <w:color w:val="auto"/>
        </w:rPr>
        <w:t>and 00/100ths Dollars ($275,000.00) per year, or such higher rate as may be determined from time to time by the Chief Executive Officer (“Base Salary”). Such Base Salary shall be paid in accordance with the Company’s standard payroll practice for its executive officers. Once increased, Base Salary shall not be reduced.</w:t>
      </w:r>
    </w:p>
    <w:p>
      <w:pPr>
        <w:spacing w:after="0" w:line="133" w:lineRule="exact"/>
        <w:rPr>
          <w:rFonts w:ascii="Arial" w:cs="Arial" w:eastAsia="Arial" w:hAnsi="Arial"/>
          <w:sz w:val="15"/>
          <w:szCs w:val="15"/>
          <w:b w:val="1"/>
          <w:bCs w:val="1"/>
          <w:color w:val="auto"/>
        </w:rPr>
      </w:pPr>
    </w:p>
    <w:p>
      <w:pPr>
        <w:ind w:right="40" w:firstLine="228"/>
        <w:spacing w:after="0" w:line="296" w:lineRule="auto"/>
        <w:tabs>
          <w:tab w:leader="none" w:pos="52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During the Employment Period, Executive will be entitled to participate in an annual incentive compensation plan of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target annual bonus will be seventy-five percent (75%) of his Base Salary in effect for such year (the “Target Bonus”), and his actual annual bonus may range from 0% to 150% (two times Target Bonus), and will be determined based upon (i) the achievement of certain WMI and Company performance goals, as may be established and approved by from time to time by the Compensation Committee of the WMI Board of Directors, and (ii) the achievement of personal performance goals as may be established by the Chief Executive Officer.</w:t>
      </w:r>
    </w:p>
    <w:p>
      <w:pPr>
        <w:spacing w:after="0" w:line="161" w:lineRule="exact"/>
        <w:rPr>
          <w:rFonts w:ascii="Arial" w:cs="Arial" w:eastAsia="Arial" w:hAnsi="Arial"/>
          <w:sz w:val="16"/>
          <w:szCs w:val="16"/>
          <w:b w:val="1"/>
          <w:bCs w:val="1"/>
          <w:color w:val="auto"/>
        </w:rPr>
      </w:pPr>
    </w:p>
    <w:p>
      <w:pPr>
        <w:ind w:firstLine="228"/>
        <w:spacing w:after="0" w:line="275" w:lineRule="auto"/>
        <w:tabs>
          <w:tab w:leader="none" w:pos="50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Executive shall be eligible to be considered for stock option grants under Waste Management, Inc.’s annual stock option award program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by, and at the discretion of, the Compensation Committee of the WMI Board of Directors.</w:t>
      </w:r>
    </w:p>
    <w:p>
      <w:pPr>
        <w:spacing w:after="0" w:line="173" w:lineRule="exact"/>
        <w:rPr>
          <w:rFonts w:ascii="Arial" w:cs="Arial" w:eastAsia="Arial" w:hAnsi="Arial"/>
          <w:sz w:val="18"/>
          <w:szCs w:val="18"/>
          <w:b w:val="1"/>
          <w:bCs w:val="1"/>
          <w:color w:val="auto"/>
        </w:rPr>
      </w:pPr>
    </w:p>
    <w:p>
      <w:pPr>
        <w:ind w:right="200" w:firstLine="228"/>
        <w:spacing w:after="0" w:line="256" w:lineRule="auto"/>
        <w:tabs>
          <w:tab w:leader="none" w:pos="52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pension plan, profit sharing plan, salary deferral plan, medical and dental benefits plan, life insurance plan, short-term and long-term disability plans, or any other health, welfare or fringe benefit plan, generally made available to similarly-situated WMI executive employees. Neither WMI nor the Company shall be obligated to institute, maintain, or refrain from changing, amending, or discontinuing any benefit plan, or perquisite, so long as such changes are similarly applicable to similarly-situated employees generally.</w:t>
      </w:r>
    </w:p>
    <w:p>
      <w:pPr>
        <w:spacing w:after="0" w:line="199"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80" w:lineRule="exact"/>
        <w:rPr>
          <w:sz w:val="20"/>
          <w:szCs w:val="20"/>
          <w:color w:val="auto"/>
        </w:rPr>
      </w:pPr>
    </w:p>
    <w:p>
      <w:pPr>
        <w:ind w:right="120" w:firstLine="228"/>
        <w:spacing w:after="0" w:line="339" w:lineRule="auto"/>
        <w:tabs>
          <w:tab w:leader="none" w:pos="50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 Reimbursement. </w:t>
      </w:r>
      <w:r>
        <w:rPr>
          <w:rFonts w:ascii="Arial" w:cs="Arial" w:eastAsia="Arial" w:hAnsi="Arial"/>
          <w:sz w:val="16"/>
          <w:szCs w:val="16"/>
          <w:color w:val="auto"/>
        </w:rPr>
        <w:t>The Company shall promptly reimburse Executive for the ordinary and necessary business expenses incurred by Executive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duties hereunder in accordance with the Company’s customary practices applicable to its executive officers.</w:t>
      </w:r>
    </w:p>
    <w:p>
      <w:pPr>
        <w:spacing w:after="0" w:line="128" w:lineRule="exact"/>
        <w:rPr>
          <w:rFonts w:ascii="Arial" w:cs="Arial" w:eastAsia="Arial" w:hAnsi="Arial"/>
          <w:sz w:val="16"/>
          <w:szCs w:val="16"/>
          <w:b w:val="1"/>
          <w:bCs w:val="1"/>
          <w:color w:val="auto"/>
        </w:rPr>
      </w:pPr>
    </w:p>
    <w:p>
      <w:pPr>
        <w:ind w:right="60" w:firstLine="228"/>
        <w:spacing w:after="0" w:line="275" w:lineRule="auto"/>
        <w:tabs>
          <w:tab w:leader="none" w:pos="48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WMI as approved by the Chief Executive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of the WMI Board of Directors, and as they may exist from time to time.</w:t>
      </w:r>
    </w:p>
    <w:p>
      <w:pPr>
        <w:spacing w:after="0" w:line="174" w:lineRule="exact"/>
        <w:rPr>
          <w:sz w:val="20"/>
          <w:szCs w:val="20"/>
          <w:color w:val="auto"/>
        </w:rPr>
      </w:pPr>
    </w:p>
    <w:p>
      <w:pPr>
        <w:ind w:left="580" w:hanging="35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Executive’s employment hereunder may be terminated during the Employment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under the following circumstances:</w:t>
      </w:r>
    </w:p>
    <w:p>
      <w:pPr>
        <w:spacing w:after="0" w:line="219" w:lineRule="exact"/>
        <w:rPr>
          <w:sz w:val="20"/>
          <w:szCs w:val="20"/>
          <w:color w:val="auto"/>
        </w:rPr>
      </w:pPr>
    </w:p>
    <w:p>
      <w:pPr>
        <w:ind w:left="520" w:hanging="29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225" w:lineRule="exact"/>
        <w:rPr>
          <w:rFonts w:ascii="Arial" w:cs="Arial" w:eastAsia="Arial" w:hAnsi="Arial"/>
          <w:sz w:val="18"/>
          <w:szCs w:val="18"/>
          <w:b w:val="1"/>
          <w:bCs w:val="1"/>
          <w:color w:val="auto"/>
        </w:rPr>
      </w:pPr>
    </w:p>
    <w:p>
      <w:pPr>
        <w:ind w:right="80" w:firstLine="228"/>
        <w:spacing w:after="0" w:line="293" w:lineRule="auto"/>
        <w:tabs>
          <w:tab w:leader="none" w:pos="52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Board of Managers may, in its reasonable discretion (but based upon appropriate medical evidence), determine that Executive is Totally Disabled.</w:t>
      </w:r>
    </w:p>
    <w:p>
      <w:pPr>
        <w:spacing w:after="0" w:line="164" w:lineRule="exact"/>
        <w:rPr>
          <w:rFonts w:ascii="Arial" w:cs="Arial" w:eastAsia="Arial" w:hAnsi="Arial"/>
          <w:sz w:val="16"/>
          <w:szCs w:val="16"/>
          <w:b w:val="1"/>
          <w:bCs w:val="1"/>
          <w:color w:val="auto"/>
        </w:rPr>
      </w:pPr>
    </w:p>
    <w:p>
      <w:pPr>
        <w:ind w:right="340" w:firstLine="228"/>
        <w:spacing w:after="0" w:line="275" w:lineRule="auto"/>
        <w:tabs>
          <w:tab w:leader="none" w:pos="50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179" w:lineRule="exact"/>
        <w:rPr>
          <w:rFonts w:ascii="Arial" w:cs="Arial" w:eastAsia="Arial" w:hAnsi="Arial"/>
          <w:sz w:val="18"/>
          <w:szCs w:val="18"/>
          <w:b w:val="1"/>
          <w:bCs w:val="1"/>
          <w:color w:val="auto"/>
        </w:rPr>
      </w:pPr>
    </w:p>
    <w:p>
      <w:pPr>
        <w:ind w:left="880" w:right="40" w:hanging="548"/>
        <w:spacing w:after="0" w:line="283" w:lineRule="auto"/>
        <w:tabs>
          <w:tab w:leader="none" w:pos="8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term “Cause” means any of the following: (A) willful or deliberate and continual refusal to perform Executive’s employment duties reasonably requested by the Company or the Chief Executive Officer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willfully or intentionally caused material injury to the Company, its property, or its assets;</w:t>
      </w:r>
    </w:p>
    <w:p>
      <w:pPr>
        <w:spacing w:after="0" w:line="2" w:lineRule="exact"/>
        <w:rPr>
          <w:rFonts w:ascii="Arial" w:cs="Arial" w:eastAsia="Arial" w:hAnsi="Arial"/>
          <w:sz w:val="16"/>
          <w:szCs w:val="16"/>
          <w:color w:val="auto"/>
        </w:rPr>
      </w:pPr>
    </w:p>
    <w:p>
      <w:pPr>
        <w:ind w:left="880" w:right="340"/>
        <w:spacing w:after="0" w:line="261" w:lineRule="auto"/>
        <w:rPr>
          <w:rFonts w:ascii="Arial" w:cs="Arial" w:eastAsia="Arial" w:hAnsi="Arial"/>
          <w:sz w:val="16"/>
          <w:szCs w:val="16"/>
          <w:color w:val="auto"/>
        </w:rPr>
      </w:pPr>
      <w:r>
        <w:rPr>
          <w:rFonts w:ascii="Arial" w:cs="Arial" w:eastAsia="Arial" w:hAnsi="Arial"/>
          <w:sz w:val="18"/>
          <w:szCs w:val="18"/>
          <w:color w:val="auto"/>
        </w:rPr>
        <w:t>(E) disclosed to unauthorized person(s) proprietary or confidential information of the Company; or (F) breach of any of the covenants set forth in Section 8 hereof.</w:t>
      </w:r>
    </w:p>
    <w:p>
      <w:pPr>
        <w:spacing w:after="0" w:line="191" w:lineRule="exact"/>
        <w:rPr>
          <w:rFonts w:ascii="Arial" w:cs="Arial" w:eastAsia="Arial" w:hAnsi="Arial"/>
          <w:sz w:val="16"/>
          <w:szCs w:val="16"/>
          <w:color w:val="auto"/>
        </w:rPr>
      </w:pPr>
    </w:p>
    <w:p>
      <w:pPr>
        <w:ind w:left="880" w:hanging="548"/>
        <w:spacing w:after="0" w:line="290" w:lineRule="auto"/>
        <w:tabs>
          <w:tab w:leader="none" w:pos="8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a majority of the entire membership of the Company’s Board of Managers at a meeting of the Board of Managers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9" w:name="page60"/>
    <w:bookmarkEnd w:id="59"/>
    <w:p>
      <w:pPr>
        <w:ind w:left="-20" w:right="40" w:firstLine="228"/>
        <w:spacing w:after="0" w:line="275" w:lineRule="auto"/>
        <w:tabs>
          <w:tab w:leader="none" w:pos="50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w:t>
      </w:r>
    </w:p>
    <w:p>
      <w:pPr>
        <w:spacing w:after="0" w:line="179" w:lineRule="exact"/>
        <w:rPr>
          <w:rFonts w:ascii="Arial" w:cs="Arial" w:eastAsia="Arial" w:hAnsi="Arial"/>
          <w:sz w:val="18"/>
          <w:szCs w:val="18"/>
          <w:b w:val="1"/>
          <w:bCs w:val="1"/>
          <w:color w:val="auto"/>
        </w:rPr>
      </w:pPr>
    </w:p>
    <w:p>
      <w:pPr>
        <w:ind w:left="860" w:hanging="548"/>
        <w:spacing w:after="0" w:line="301" w:lineRule="auto"/>
        <w:tabs>
          <w:tab w:leader="none" w:pos="8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 termination for “Good Reason” means a resignation of employment by Executive by written notice (“Notice of Termination for Good Reason”) given to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the change in the geographic area of Executive’s responsibility or the change in reporting structure shall not constitute Good Reason under any circumstances; further provided that if the Company becomes a fifty percent or more subsidiary of any other entity, or merges with, transfers assets to, or the business is otherwise transferred to a third party (which may be owned in whole or in part, directly or indirectly by WMI), Executive shall be deemed to have a substantial change in the core duties of his position unless he is the equivalent of a Senior Vice-President of WMI or such other successor entity and retains the core duties and responsibilities of his existing position; (B) other than as contemplated by</w:t>
      </w:r>
    </w:p>
    <w:p>
      <w:pPr>
        <w:spacing w:after="0" w:line="3" w:lineRule="exact"/>
        <w:rPr>
          <w:rFonts w:ascii="Arial" w:cs="Arial" w:eastAsia="Arial" w:hAnsi="Arial"/>
          <w:sz w:val="15"/>
          <w:szCs w:val="15"/>
          <w:color w:val="auto"/>
        </w:rPr>
      </w:pPr>
    </w:p>
    <w:p>
      <w:pPr>
        <w:ind w:left="860" w:right="200"/>
        <w:spacing w:after="0" w:line="253" w:lineRule="auto"/>
        <w:rPr>
          <w:rFonts w:ascii="Arial" w:cs="Arial" w:eastAsia="Arial" w:hAnsi="Arial"/>
          <w:sz w:val="15"/>
          <w:szCs w:val="15"/>
          <w:color w:val="auto"/>
        </w:rPr>
      </w:pPr>
      <w:r>
        <w:rPr>
          <w:rFonts w:ascii="Arial" w:cs="Arial" w:eastAsia="Arial" w:hAnsi="Arial"/>
          <w:sz w:val="18"/>
          <w:szCs w:val="18"/>
          <w:color w:val="auto"/>
        </w:rPr>
        <w:t>(a) above,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or to WMI (whether direct or indirect and whether by merger, acquisition, consolidation or otherwise) to assume in a writing delivered to Executive upon the assignee becoming such, the obligations of the Company hereunder.</w:t>
      </w:r>
    </w:p>
    <w:p>
      <w:pPr>
        <w:spacing w:after="0" w:line="199" w:lineRule="exact"/>
        <w:rPr>
          <w:sz w:val="20"/>
          <w:szCs w:val="20"/>
          <w:color w:val="auto"/>
        </w:rPr>
      </w:pPr>
    </w:p>
    <w:p>
      <w:pPr>
        <w:ind w:left="860" w:hanging="548"/>
        <w:spacing w:after="0" w:line="255" w:lineRule="auto"/>
        <w:tabs>
          <w:tab w:leader="none" w:pos="8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w:t>
      </w:r>
    </w:p>
    <w:p>
      <w:pPr>
        <w:spacing w:after="0" w:line="190" w:lineRule="exact"/>
        <w:rPr>
          <w:rFonts w:ascii="Arial" w:cs="Arial" w:eastAsia="Arial" w:hAnsi="Arial"/>
          <w:sz w:val="18"/>
          <w:szCs w:val="18"/>
          <w:color w:val="auto"/>
        </w:rPr>
      </w:pPr>
    </w:p>
    <w:p>
      <w:pPr>
        <w:ind w:left="-20" w:right="100" w:firstLine="228"/>
        <w:spacing w:after="0" w:line="275" w:lineRule="auto"/>
        <w:tabs>
          <w:tab w:leader="none" w:pos="48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Executive.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60" w:name="page61"/>
    <w:bookmarkEnd w:id="60"/>
    <w:p>
      <w:pPr>
        <w:ind w:right="180" w:firstLine="228"/>
        <w:spacing w:after="0" w:line="275" w:lineRule="auto"/>
        <w:tabs>
          <w:tab w:leader="none" w:pos="48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with the Company, or any of its parent corporations or subsidiaries held by him at such time.</w:t>
      </w:r>
    </w:p>
    <w:p>
      <w:pPr>
        <w:spacing w:after="0" w:line="174" w:lineRule="exact"/>
        <w:rPr>
          <w:sz w:val="20"/>
          <w:szCs w:val="20"/>
          <w:color w:val="auto"/>
        </w:rPr>
      </w:pPr>
    </w:p>
    <w:p>
      <w:pPr>
        <w:ind w:left="580" w:hanging="35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Following Termination of Employment.</w:t>
      </w:r>
    </w:p>
    <w:p>
      <w:pPr>
        <w:spacing w:after="0" w:line="231"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In the event that Executive’s employment hereunder is terminated, Executive shall be entitled to the following compensation and benefits upon such termination:</w:t>
      </w:r>
    </w:p>
    <w:p>
      <w:pPr>
        <w:spacing w:after="0" w:line="180" w:lineRule="exact"/>
        <w:rPr>
          <w:sz w:val="20"/>
          <w:szCs w:val="20"/>
          <w:color w:val="auto"/>
        </w:rPr>
      </w:pPr>
    </w:p>
    <w:p>
      <w:pPr>
        <w:ind w:right="320" w:firstLine="228"/>
        <w:spacing w:after="0" w:line="275" w:lineRule="auto"/>
        <w:tabs>
          <w:tab w:leader="none" w:pos="51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179" w:lineRule="exact"/>
        <w:rPr>
          <w:rFonts w:ascii="Arial" w:cs="Arial" w:eastAsia="Arial" w:hAnsi="Arial"/>
          <w:sz w:val="18"/>
          <w:szCs w:val="18"/>
          <w:b w:val="1"/>
          <w:bCs w:val="1"/>
          <w:color w:val="auto"/>
        </w:rPr>
      </w:pPr>
    </w:p>
    <w:p>
      <w:pPr>
        <w:ind w:left="940" w:hanging="608"/>
        <w:spacing w:after="0" w:line="256" w:lineRule="auto"/>
        <w:tabs>
          <w:tab w:leader="none" w:pos="9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accrued but unused vacation, any earned but unpaid bonuses for any prior period, and, to the extent not otherwise paid, a pro-rata bonus or incentive compensation payment to the extent payments are awarded to senior executives of WMI and paid at the same time as senior executives are paid.</w:t>
      </w:r>
    </w:p>
    <w:p>
      <w:pPr>
        <w:spacing w:after="0" w:line="197" w:lineRule="exact"/>
        <w:rPr>
          <w:rFonts w:ascii="Arial" w:cs="Arial" w:eastAsia="Arial" w:hAnsi="Arial"/>
          <w:sz w:val="18"/>
          <w:szCs w:val="18"/>
          <w:color w:val="auto"/>
        </w:rPr>
      </w:pPr>
    </w:p>
    <w:p>
      <w:pPr>
        <w:ind w:left="940" w:right="560" w:hanging="608"/>
        <w:spacing w:after="0" w:line="268" w:lineRule="auto"/>
        <w:tabs>
          <w:tab w:leader="none" w:pos="9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85" w:lineRule="exact"/>
        <w:rPr>
          <w:rFonts w:ascii="Arial" w:cs="Arial" w:eastAsia="Arial" w:hAnsi="Arial"/>
          <w:sz w:val="18"/>
          <w:szCs w:val="18"/>
          <w:color w:val="auto"/>
        </w:rPr>
      </w:pPr>
    </w:p>
    <w:p>
      <w:pPr>
        <w:ind w:left="940" w:right="220" w:hanging="608"/>
        <w:spacing w:after="0" w:line="306" w:lineRule="auto"/>
        <w:tabs>
          <w:tab w:leader="none" w:pos="9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60" w:lineRule="exact"/>
        <w:rPr>
          <w:rFonts w:ascii="Arial" w:cs="Arial" w:eastAsia="Arial" w:hAnsi="Arial"/>
          <w:sz w:val="16"/>
          <w:szCs w:val="16"/>
          <w:color w:val="auto"/>
        </w:rPr>
      </w:pPr>
    </w:p>
    <w:p>
      <w:pPr>
        <w:ind w:left="940" w:right="160" w:hanging="608"/>
        <w:spacing w:after="0" w:line="256" w:lineRule="auto"/>
        <w:tabs>
          <w:tab w:leader="none" w:pos="9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As of the date of termination by reason of Executive’s death, stock options previously awarded to Executive as of the date of death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191" w:lineRule="exact"/>
        <w:rPr>
          <w:rFonts w:ascii="Arial" w:cs="Arial" w:eastAsia="Arial" w:hAnsi="Arial"/>
          <w:sz w:val="18"/>
          <w:szCs w:val="18"/>
          <w:color w:val="auto"/>
        </w:rPr>
      </w:pPr>
    </w:p>
    <w:p>
      <w:pPr>
        <w:ind w:right="680" w:firstLine="228"/>
        <w:spacing w:after="0" w:line="275" w:lineRule="auto"/>
        <w:tabs>
          <w:tab w:leader="none" w:pos="52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reason of Executive’s Total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Section 5(b), the Company shall pay the following amounts to Executive:</w:t>
      </w:r>
    </w:p>
    <w:p>
      <w:pPr>
        <w:spacing w:after="0" w:line="179" w:lineRule="exact"/>
        <w:rPr>
          <w:rFonts w:ascii="Arial" w:cs="Arial" w:eastAsia="Arial" w:hAnsi="Arial"/>
          <w:sz w:val="18"/>
          <w:szCs w:val="18"/>
          <w:b w:val="1"/>
          <w:bCs w:val="1"/>
          <w:color w:val="auto"/>
        </w:rPr>
      </w:pPr>
    </w:p>
    <w:p>
      <w:pPr>
        <w:ind w:left="840" w:right="400" w:hanging="508"/>
        <w:spacing w:after="0" w:line="268"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1" w:name="page62"/>
    <w:bookmarkEnd w:id="61"/>
    <w:p>
      <w:pPr>
        <w:ind w:left="900" w:right="40"/>
        <w:spacing w:after="0" w:line="259" w:lineRule="auto"/>
        <w:rPr>
          <w:sz w:val="20"/>
          <w:szCs w:val="20"/>
          <w:color w:val="auto"/>
        </w:rPr>
      </w:pPr>
      <w:r>
        <w:rPr>
          <w:rFonts w:ascii="Arial" w:cs="Arial" w:eastAsia="Arial" w:hAnsi="Arial"/>
          <w:sz w:val="18"/>
          <w:szCs w:val="18"/>
          <w:color w:val="auto"/>
        </w:rPr>
        <w:t>this Agreement, any accrued but unused vacation, and any earned but unpaid bonuses for any prior period. Executive shall also be eligible for a pro-rata bonus or incentive compensation payment to the extent such awards are made to senior executives of WMI for the year in which Executive is terminated, and to the extent not otherwise paid to the Executive.</w:t>
      </w:r>
    </w:p>
    <w:p>
      <w:pPr>
        <w:spacing w:after="0" w:line="194" w:lineRule="exact"/>
        <w:rPr>
          <w:sz w:val="20"/>
          <w:szCs w:val="20"/>
          <w:color w:val="auto"/>
        </w:rPr>
      </w:pPr>
    </w:p>
    <w:p>
      <w:pPr>
        <w:ind w:left="900" w:hanging="608"/>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85" w:lineRule="exact"/>
        <w:rPr>
          <w:rFonts w:ascii="Arial" w:cs="Arial" w:eastAsia="Arial" w:hAnsi="Arial"/>
          <w:sz w:val="18"/>
          <w:szCs w:val="18"/>
          <w:color w:val="auto"/>
        </w:rPr>
      </w:pPr>
    </w:p>
    <w:p>
      <w:pPr>
        <w:ind w:left="900" w:right="60" w:hanging="608"/>
        <w:spacing w:after="0" w:line="298"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66" w:lineRule="exact"/>
        <w:rPr>
          <w:rFonts w:ascii="Arial" w:cs="Arial" w:eastAsia="Arial" w:hAnsi="Arial"/>
          <w:sz w:val="16"/>
          <w:szCs w:val="16"/>
          <w:color w:val="auto"/>
        </w:rPr>
      </w:pPr>
    </w:p>
    <w:p>
      <w:pPr>
        <w:ind w:left="900" w:hanging="608"/>
        <w:spacing w:after="0" w:line="298"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160" w:lineRule="exact"/>
        <w:rPr>
          <w:rFonts w:ascii="Arial" w:cs="Arial" w:eastAsia="Arial" w:hAnsi="Arial"/>
          <w:sz w:val="16"/>
          <w:szCs w:val="16"/>
          <w:color w:val="auto"/>
        </w:rPr>
      </w:pPr>
    </w:p>
    <w:p>
      <w:pPr>
        <w:ind w:left="-40" w:right="600" w:firstLine="228"/>
        <w:spacing w:after="0" w:line="275" w:lineRule="auto"/>
        <w:tabs>
          <w:tab w:leader="none" w:pos="46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179" w:lineRule="exact"/>
        <w:rPr>
          <w:rFonts w:ascii="Arial" w:cs="Arial" w:eastAsia="Arial" w:hAnsi="Arial"/>
          <w:sz w:val="18"/>
          <w:szCs w:val="18"/>
          <w:b w:val="1"/>
          <w:bCs w:val="1"/>
          <w:color w:val="auto"/>
        </w:rPr>
      </w:pPr>
    </w:p>
    <w:p>
      <w:pPr>
        <w:ind w:left="900" w:right="300" w:hanging="608"/>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and any earned but unpaid bonuses for any prior period.</w:t>
      </w:r>
    </w:p>
    <w:p>
      <w:pPr>
        <w:spacing w:after="0" w:line="139" w:lineRule="exact"/>
        <w:rPr>
          <w:rFonts w:ascii="Arial" w:cs="Arial" w:eastAsia="Arial" w:hAnsi="Arial"/>
          <w:sz w:val="16"/>
          <w:szCs w:val="16"/>
          <w:color w:val="auto"/>
        </w:rPr>
      </w:pPr>
    </w:p>
    <w:p>
      <w:pPr>
        <w:ind w:left="900" w:right="40" w:hanging="608"/>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39" w:lineRule="exact"/>
        <w:rPr>
          <w:rFonts w:ascii="Arial" w:cs="Arial" w:eastAsia="Arial" w:hAnsi="Arial"/>
          <w:sz w:val="16"/>
          <w:szCs w:val="16"/>
          <w:color w:val="auto"/>
        </w:rPr>
      </w:pPr>
    </w:p>
    <w:p>
      <w:pPr>
        <w:ind w:left="900" w:right="140" w:hanging="608"/>
        <w:spacing w:after="0" w:line="256"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2" w:right="279" w:bottom="1440" w:gutter="0" w:footer="0" w:header="0"/>
        </w:sectPr>
      </w:pPr>
    </w:p>
    <w:bookmarkStart w:id="62" w:name="page63"/>
    <w:bookmarkEnd w:id="62"/>
    <w:p>
      <w:pPr>
        <w:ind w:left="-20" w:right="280" w:firstLine="228"/>
        <w:spacing w:after="0" w:line="275" w:lineRule="auto"/>
        <w:tabs>
          <w:tab w:leader="none" w:pos="50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179" w:lineRule="exact"/>
        <w:rPr>
          <w:rFonts w:ascii="Arial" w:cs="Arial" w:eastAsia="Arial" w:hAnsi="Arial"/>
          <w:sz w:val="18"/>
          <w:szCs w:val="18"/>
          <w:b w:val="1"/>
          <w:bCs w:val="1"/>
          <w:color w:val="auto"/>
        </w:rPr>
      </w:pPr>
    </w:p>
    <w:p>
      <w:pPr>
        <w:ind w:left="920" w:right="340" w:hanging="608"/>
        <w:spacing w:after="0" w:line="332" w:lineRule="auto"/>
        <w:tabs>
          <w:tab w:leader="none" w:pos="9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and any earned but unpaid bonuses for any prior period.</w:t>
      </w:r>
    </w:p>
    <w:p>
      <w:pPr>
        <w:spacing w:after="0" w:line="139" w:lineRule="exact"/>
        <w:rPr>
          <w:rFonts w:ascii="Arial" w:cs="Arial" w:eastAsia="Arial" w:hAnsi="Arial"/>
          <w:sz w:val="16"/>
          <w:szCs w:val="16"/>
          <w:color w:val="auto"/>
        </w:rPr>
      </w:pPr>
    </w:p>
    <w:p>
      <w:pPr>
        <w:ind w:left="920" w:right="80" w:hanging="608"/>
        <w:spacing w:after="0" w:line="332" w:lineRule="auto"/>
        <w:tabs>
          <w:tab w:leader="none" w:pos="9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39" w:lineRule="exact"/>
        <w:rPr>
          <w:rFonts w:ascii="Arial" w:cs="Arial" w:eastAsia="Arial" w:hAnsi="Arial"/>
          <w:sz w:val="16"/>
          <w:szCs w:val="16"/>
          <w:color w:val="auto"/>
        </w:rPr>
      </w:pPr>
    </w:p>
    <w:p>
      <w:pPr>
        <w:ind w:left="920" w:hanging="608"/>
        <w:spacing w:after="0" w:line="256"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stock options that have not vested prior to the date of such termination of employment shall be automatically cancelled as of that date, and Executive shall have ninety (90) 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191" w:lineRule="exact"/>
        <w:rPr>
          <w:rFonts w:ascii="Arial" w:cs="Arial" w:eastAsia="Arial" w:hAnsi="Arial"/>
          <w:sz w:val="18"/>
          <w:szCs w:val="18"/>
          <w:color w:val="auto"/>
        </w:rPr>
      </w:pPr>
    </w:p>
    <w:p>
      <w:pPr>
        <w:ind w:left="-20" w:right="220" w:firstLine="228"/>
        <w:spacing w:after="0" w:line="262" w:lineRule="auto"/>
        <w:tabs>
          <w:tab w:leader="none" w:pos="48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Termination by Executive for Good Reason. </w:t>
      </w:r>
      <w:r>
        <w:rPr>
          <w:rFonts w:ascii="Arial" w:cs="Arial" w:eastAsia="Arial" w:hAnsi="Arial"/>
          <w:sz w:val="18"/>
          <w:szCs w:val="18"/>
          <w:color w:val="auto"/>
        </w:rPr>
        <w:t>In the event that Executive’s employment is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for reasons other than death, Total Disability or Cause, or Executive terminates his employment for Good Reason, the Company shall pay the following amounts to Executive:</w:t>
      </w:r>
    </w:p>
    <w:p>
      <w:pPr>
        <w:spacing w:after="0" w:line="192" w:lineRule="exact"/>
        <w:rPr>
          <w:rFonts w:ascii="Arial" w:cs="Arial" w:eastAsia="Arial" w:hAnsi="Arial"/>
          <w:sz w:val="18"/>
          <w:szCs w:val="18"/>
          <w:b w:val="1"/>
          <w:bCs w:val="1"/>
          <w:color w:val="auto"/>
        </w:rPr>
      </w:pPr>
    </w:p>
    <w:p>
      <w:pPr>
        <w:ind w:left="920" w:right="340" w:hanging="608"/>
        <w:spacing w:after="0" w:line="332" w:lineRule="auto"/>
        <w:tabs>
          <w:tab w:leader="none" w:pos="9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and any earned but unpaid bonuses for any prior period.</w:t>
      </w:r>
    </w:p>
    <w:p>
      <w:pPr>
        <w:spacing w:after="0" w:line="139" w:lineRule="exact"/>
        <w:rPr>
          <w:rFonts w:ascii="Arial" w:cs="Arial" w:eastAsia="Arial" w:hAnsi="Arial"/>
          <w:sz w:val="16"/>
          <w:szCs w:val="16"/>
          <w:color w:val="auto"/>
        </w:rPr>
      </w:pPr>
    </w:p>
    <w:p>
      <w:pPr>
        <w:ind w:left="920" w:right="680" w:hanging="608"/>
        <w:spacing w:after="0" w:line="268"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5" w:lineRule="exact"/>
        <w:rPr>
          <w:rFonts w:ascii="Arial" w:cs="Arial" w:eastAsia="Arial" w:hAnsi="Arial"/>
          <w:sz w:val="18"/>
          <w:szCs w:val="18"/>
          <w:color w:val="auto"/>
        </w:rPr>
      </w:pPr>
    </w:p>
    <w:p>
      <w:pPr>
        <w:ind w:left="920" w:right="200" w:hanging="608"/>
        <w:spacing w:after="0" w:line="256"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97" w:lineRule="exact"/>
        <w:rPr>
          <w:rFonts w:ascii="Arial" w:cs="Arial" w:eastAsia="Arial" w:hAnsi="Arial"/>
          <w:sz w:val="18"/>
          <w:szCs w:val="18"/>
          <w:color w:val="auto"/>
        </w:rPr>
      </w:pPr>
    </w:p>
    <w:p>
      <w:pPr>
        <w:ind w:left="920" w:right="200" w:hanging="608"/>
        <w:spacing w:after="0" w:line="268"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will continue for Executive and Executive’s spouse and dependents, all health benefit plans, whether group or individual, disability, and other similar benefit plans, in which Executive was participating on the date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63" w:name="page64"/>
    <w:bookmarkEnd w:id="63"/>
    <w:p>
      <w:pPr>
        <w:ind w:left="880"/>
        <w:spacing w:after="0" w:line="288" w:lineRule="auto"/>
        <w:rPr>
          <w:sz w:val="20"/>
          <w:szCs w:val="20"/>
          <w:color w:val="auto"/>
        </w:rPr>
      </w:pPr>
      <w:r>
        <w:rPr>
          <w:rFonts w:ascii="Arial" w:cs="Arial" w:eastAsia="Arial" w:hAnsi="Arial"/>
          <w:sz w:val="16"/>
          <w:szCs w:val="16"/>
          <w:color w:val="auto"/>
        </w:rPr>
        <w:t>termination, until the earliest to occur of (A) two years after the date of termination; (B) Executive’s death (provided that benefits provided to Executive’s spouse and dependents shall not terminate upon Executive’s death); or (C) with respect to any particular plan, the date Executive becomes eligible to participate in a comparable benefit provided by a subsequent employer. The first eighteen (18) months of any medical and dental insurance coverage provided by the Company pursuant to the foregoing sentence will be provided pursuant to the provisions of COBRA, 29 U.S.C. §1161; provided, however, that Executive shall only be required to pay the normal employee premium required of similarly-situated active employees of the Company, and the Company shall pay the difference in the cost of the coverage directly to the medical and/or dental plans or their administrator. Dental and health insurance coverage for any remaining period required to be provided by the Company to Executive hereunder shall be provided by Company pursuant to private insurance purchased by the Company for Executive for which the Executive shall only be required to pay an amount equal to the premiums that Executive would be required to pay under the Company’s dental and health insurance plans then in effect.</w:t>
      </w:r>
    </w:p>
    <w:p>
      <w:pPr>
        <w:spacing w:after="0" w:line="174" w:lineRule="exact"/>
        <w:rPr>
          <w:sz w:val="20"/>
          <w:szCs w:val="20"/>
          <w:color w:val="auto"/>
        </w:rPr>
      </w:pPr>
    </w:p>
    <w:p>
      <w:pPr>
        <w:ind w:left="880" w:right="280" w:hanging="548"/>
        <w:spacing w:after="0" w:line="259"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188" w:lineRule="exact"/>
        <w:rPr>
          <w:rFonts w:ascii="Arial" w:cs="Arial" w:eastAsia="Arial" w:hAnsi="Arial"/>
          <w:sz w:val="18"/>
          <w:szCs w:val="18"/>
          <w:color w:val="auto"/>
        </w:rPr>
      </w:pPr>
    </w:p>
    <w:p>
      <w:pPr>
        <w:jc w:val="both"/>
        <w:ind w:right="280" w:firstLine="228"/>
        <w:spacing w:after="0" w:line="339" w:lineRule="auto"/>
        <w:tabs>
          <w:tab w:leader="none" w:pos="483"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Other Benefits or Compensation. </w:t>
      </w:r>
      <w:r>
        <w:rPr>
          <w:rFonts w:ascii="Arial" w:cs="Arial" w:eastAsia="Arial" w:hAnsi="Arial"/>
          <w:sz w:val="15"/>
          <w:szCs w:val="15"/>
          <w:color w:val="auto"/>
        </w:rPr>
        <w:t>Except as may be provided under this Agreement, under the terms of any incentive compensation, 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33" w:lineRule="exact"/>
        <w:rPr>
          <w:rFonts w:ascii="Arial" w:cs="Arial" w:eastAsia="Arial" w:hAnsi="Arial"/>
          <w:sz w:val="15"/>
          <w:szCs w:val="15"/>
          <w:b w:val="1"/>
          <w:bCs w:val="1"/>
          <w:color w:val="auto"/>
        </w:rPr>
      </w:pPr>
    </w:p>
    <w:p>
      <w:pPr>
        <w:ind w:right="80" w:firstLine="228"/>
        <w:spacing w:after="0" w:line="301" w:lineRule="auto"/>
        <w:tabs>
          <w:tab w:leader="none" w:pos="51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Mitigation; No Set-Off. </w:t>
      </w:r>
      <w:r>
        <w:rPr>
          <w:rFonts w:ascii="Arial" w:cs="Arial" w:eastAsia="Arial" w:hAnsi="Arial"/>
          <w:sz w:val="16"/>
          <w:szCs w:val="16"/>
          <w:color w:val="auto"/>
        </w:rPr>
        <w:t>In the event of any termination of employment hereunder, Executive shall be under no obligation to seek 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57" w:lineRule="exact"/>
        <w:rPr>
          <w:sz w:val="20"/>
          <w:szCs w:val="20"/>
          <w:color w:val="auto"/>
        </w:rPr>
      </w:pPr>
    </w:p>
    <w:p>
      <w:pPr>
        <w:ind w:left="580" w:hanging="35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Executive for Good Reason and Compensation Payable Following Change in Control.</w:t>
      </w:r>
    </w:p>
    <w:p>
      <w:pPr>
        <w:spacing w:after="0" w:line="225" w:lineRule="exact"/>
        <w:rPr>
          <w:sz w:val="20"/>
          <w:szCs w:val="20"/>
          <w:color w:val="auto"/>
        </w:rPr>
      </w:pPr>
    </w:p>
    <w:p>
      <w:pPr>
        <w:ind w:right="60" w:firstLine="228"/>
        <w:spacing w:after="0" w:line="310" w:lineRule="auto"/>
        <w:tabs>
          <w:tab w:leader="none" w:pos="51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Resignation for Good Reason following Change in Control. </w:t>
      </w:r>
      <w:r>
        <w:rPr>
          <w:rFonts w:ascii="Arial" w:cs="Arial" w:eastAsia="Arial" w:hAnsi="Arial"/>
          <w:sz w:val="16"/>
          <w:szCs w:val="16"/>
          <w:color w:val="auto"/>
        </w:rPr>
        <w:t>In the event a “Change in Control” occurs and Executive terminates his employment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Good Reason thereafter, or the Company terminates Executive’s employment other than for Cause, or such termination for Good Reason or without Cause occurs in contemplation of such Change in Control (any termination within six (6) months prior to such Change in Control being presumed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to be in contemplation unless rebutted by clear and demonstrable evidence to the contrary), the Company shall pay the following amounts to Executive:</w:t>
      </w:r>
    </w:p>
    <w:p>
      <w:pPr>
        <w:spacing w:after="0" w:line="248" w:lineRule="exact"/>
        <w:rPr>
          <w:sz w:val="20"/>
          <w:szCs w:val="20"/>
          <w:color w:val="auto"/>
        </w:rPr>
      </w:pPr>
    </w:p>
    <w:p>
      <w:pPr>
        <w:jc w:val="both"/>
        <w:ind w:left="880" w:right="20" w:hanging="548"/>
        <w:spacing w:after="0" w:line="259"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years.</w:t>
      </w:r>
    </w:p>
    <w:p>
      <w:pPr>
        <w:spacing w:after="0" w:line="194" w:lineRule="exact"/>
        <w:rPr>
          <w:rFonts w:ascii="Arial" w:cs="Arial" w:eastAsia="Arial" w:hAnsi="Arial"/>
          <w:sz w:val="18"/>
          <w:szCs w:val="18"/>
          <w:color w:val="auto"/>
        </w:rPr>
      </w:pPr>
    </w:p>
    <w:p>
      <w:pPr>
        <w:ind w:left="880" w:right="160" w:hanging="548"/>
        <w:spacing w:after="0" w:line="288" w:lineRule="auto"/>
        <w:tabs>
          <w:tab w:leader="none" w:pos="8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lieu of Section 6(e)(v), 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67" w:lineRule="exact"/>
        <w:rPr>
          <w:rFonts w:ascii="Arial" w:cs="Arial" w:eastAsia="Arial" w:hAnsi="Arial"/>
          <w:sz w:val="16"/>
          <w:szCs w:val="16"/>
          <w:color w:val="auto"/>
        </w:rPr>
      </w:pPr>
    </w:p>
    <w:p>
      <w:pPr>
        <w:ind w:left="520" w:hanging="29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Certain Additional Payments by the Company.</w:t>
      </w:r>
    </w:p>
    <w:p>
      <w:pPr>
        <w:spacing w:after="0" w:line="231" w:lineRule="exact"/>
        <w:rPr>
          <w:rFonts w:ascii="Arial" w:cs="Arial" w:eastAsia="Arial" w:hAnsi="Arial"/>
          <w:sz w:val="18"/>
          <w:szCs w:val="18"/>
          <w:b w:val="1"/>
          <w:bCs w:val="1"/>
          <w:color w:val="auto"/>
        </w:rPr>
      </w:pPr>
    </w:p>
    <w:p>
      <w:pPr>
        <w:ind w:left="880" w:hanging="548"/>
        <w:spacing w:after="0" w:line="288" w:lineRule="auto"/>
        <w:tabs>
          <w:tab w:leader="none" w:pos="8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73" w:lineRule="exact"/>
        <w:rPr>
          <w:rFonts w:ascii="Arial" w:cs="Arial" w:eastAsia="Arial" w:hAnsi="Arial"/>
          <w:sz w:val="16"/>
          <w:szCs w:val="16"/>
          <w:color w:val="auto"/>
        </w:rPr>
      </w:pPr>
    </w:p>
    <w:p>
      <w:pPr>
        <w:ind w:left="880" w:right="220" w:hanging="548"/>
        <w:spacing w:after="0" w:line="268"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purposes of determining whether any of the Company Payments and Gross-up Payments (collectively the “Total Payments”) will be subject to the Excise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5" w:name="page66"/>
    <w:bookmarkEnd w:id="65"/>
    <w:p>
      <w:pPr>
        <w:ind w:left="608"/>
        <w:spacing w:after="0" w:line="289" w:lineRule="auto"/>
        <w:rPr>
          <w:sz w:val="20"/>
          <w:szCs w:val="20"/>
          <w:color w:val="auto"/>
        </w:rPr>
      </w:pPr>
      <w:r>
        <w:rPr>
          <w:rFonts w:ascii="Arial" w:cs="Arial" w:eastAsia="Arial" w:hAnsi="Arial"/>
          <w:sz w:val="16"/>
          <w:szCs w:val="16"/>
          <w:color w:val="auto"/>
        </w:rPr>
        <w:t>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72" w:lineRule="exact"/>
        <w:rPr>
          <w:sz w:val="20"/>
          <w:szCs w:val="20"/>
          <w:color w:val="auto"/>
        </w:rPr>
      </w:pPr>
    </w:p>
    <w:p>
      <w:pPr>
        <w:ind w:left="608" w:hanging="608"/>
        <w:spacing w:after="0" w:line="285" w:lineRule="auto"/>
        <w:tabs>
          <w:tab w:leader="none" w:pos="608"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80" w:lineRule="exact"/>
        <w:rPr>
          <w:sz w:val="20"/>
          <w:szCs w:val="20"/>
          <w:color w:val="auto"/>
        </w:rPr>
      </w:pPr>
    </w:p>
    <w:p>
      <w:pPr>
        <w:ind w:left="608" w:right="60"/>
        <w:spacing w:after="0" w:line="306" w:lineRule="auto"/>
        <w:rPr>
          <w:sz w:val="20"/>
          <w:szCs w:val="20"/>
          <w:color w:val="auto"/>
        </w:rPr>
      </w:pPr>
      <w:r>
        <w:rPr>
          <w:rFonts w:ascii="Arial" w:cs="Arial" w:eastAsia="Arial" w:hAnsi="Arial"/>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w:t>
      </w:r>
    </w:p>
    <w:p>
      <w:pPr>
        <w:spacing w:after="0" w:line="16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941" w:right="259" w:bottom="1440" w:gutter="0" w:footer="0" w:header="0"/>
        </w:sectPr>
      </w:pPr>
    </w:p>
    <w:bookmarkStart w:id="66" w:name="page67"/>
    <w:bookmarkEnd w:id="66"/>
    <w:p>
      <w:pPr>
        <w:ind w:left="760"/>
        <w:spacing w:after="0"/>
        <w:rPr>
          <w:sz w:val="20"/>
          <w:szCs w:val="20"/>
          <w:color w:val="auto"/>
        </w:rPr>
      </w:pPr>
      <w:r>
        <w:rPr>
          <w:rFonts w:ascii="Arial" w:cs="Arial" w:eastAsia="Arial" w:hAnsi="Arial"/>
          <w:sz w:val="16"/>
          <w:szCs w:val="16"/>
          <w:color w:val="auto"/>
        </w:rPr>
        <w:t>such excess (plus any interest or penalties payable with respect to such excess) at the time that the amount of such excess is finally determined.</w:t>
      </w:r>
    </w:p>
    <w:p>
      <w:pPr>
        <w:spacing w:after="0" w:line="248" w:lineRule="exact"/>
        <w:rPr>
          <w:sz w:val="20"/>
          <w:szCs w:val="20"/>
          <w:color w:val="auto"/>
        </w:rPr>
      </w:pPr>
    </w:p>
    <w:p>
      <w:pPr>
        <w:ind w:left="760" w:right="20" w:hanging="648"/>
        <w:spacing w:after="0" w:line="301" w:lineRule="auto"/>
        <w:tabs>
          <w:tab w:leader="none" w:pos="76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w:t>
      </w:r>
    </w:p>
    <w:p>
      <w:pPr>
        <w:spacing w:after="0" w:line="4" w:lineRule="exact"/>
        <w:rPr>
          <w:rFonts w:ascii="Arial" w:cs="Arial" w:eastAsia="Arial" w:hAnsi="Arial"/>
          <w:sz w:val="15"/>
          <w:szCs w:val="15"/>
          <w:color w:val="auto"/>
        </w:rPr>
      </w:pPr>
    </w:p>
    <w:p>
      <w:pPr>
        <w:ind w:left="1040" w:hanging="280"/>
        <w:spacing w:after="0"/>
        <w:tabs>
          <w:tab w:leader="none" w:pos="10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218" w:lineRule="exact"/>
        <w:rPr>
          <w:rFonts w:ascii="Arial" w:cs="Arial" w:eastAsia="Arial" w:hAnsi="Arial"/>
          <w:sz w:val="18"/>
          <w:szCs w:val="18"/>
          <w:color w:val="auto"/>
        </w:rPr>
      </w:pPr>
    </w:p>
    <w:p>
      <w:pPr>
        <w:ind w:left="760" w:hanging="648"/>
        <w:spacing w:after="0" w:line="290" w:lineRule="auto"/>
        <w:tabs>
          <w:tab w:leader="none" w:pos="7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72" w:lineRule="exact"/>
        <w:rPr>
          <w:rFonts w:ascii="Arial" w:cs="Arial" w:eastAsia="Arial" w:hAnsi="Arial"/>
          <w:sz w:val="16"/>
          <w:szCs w:val="16"/>
          <w:color w:val="auto"/>
        </w:rPr>
      </w:pPr>
    </w:p>
    <w:p>
      <w:pPr>
        <w:ind w:left="760" w:hanging="648"/>
        <w:spacing w:after="0"/>
        <w:tabs>
          <w:tab w:leader="none" w:pos="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225" w:lineRule="exact"/>
        <w:rPr>
          <w:rFonts w:ascii="Arial" w:cs="Arial" w:eastAsia="Arial" w:hAnsi="Arial"/>
          <w:sz w:val="18"/>
          <w:szCs w:val="18"/>
          <w:color w:val="auto"/>
        </w:rPr>
      </w:pPr>
    </w:p>
    <w:p>
      <w:pPr>
        <w:ind w:left="760" w:right="740" w:hanging="648"/>
        <w:spacing w:after="0" w:line="332" w:lineRule="auto"/>
        <w:tabs>
          <w:tab w:leader="none" w:pos="7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33" w:lineRule="exact"/>
        <w:rPr>
          <w:rFonts w:ascii="Arial" w:cs="Arial" w:eastAsia="Arial" w:hAnsi="Arial"/>
          <w:sz w:val="16"/>
          <w:szCs w:val="16"/>
          <w:color w:val="auto"/>
        </w:rPr>
      </w:pPr>
    </w:p>
    <w:p>
      <w:pPr>
        <w:ind w:left="420" w:hanging="412"/>
        <w:spacing w:after="0"/>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For purposes of this Agreement, “Change in Control” means the occurrence of any of the following events:</w:t>
      </w:r>
    </w:p>
    <w:p>
      <w:pPr>
        <w:spacing w:after="0" w:line="231" w:lineRule="exact"/>
        <w:rPr>
          <w:rFonts w:ascii="Arial" w:cs="Arial" w:eastAsia="Arial" w:hAnsi="Arial"/>
          <w:sz w:val="18"/>
          <w:szCs w:val="18"/>
          <w:b w:val="1"/>
          <w:bCs w:val="1"/>
          <w:color w:val="auto"/>
        </w:rPr>
      </w:pPr>
    </w:p>
    <w:p>
      <w:pPr>
        <w:ind w:left="620" w:hanging="508"/>
        <w:spacing w:after="0" w:line="259" w:lineRule="auto"/>
        <w:tabs>
          <w:tab w:leader="none" w:pos="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WMI (not including in the securities beneficially owned by such person any securities acquired directly from WMI or its Affiliates) representing twenty-five percent (25%) or more of the combined voting power of WMI’s then outstanding voting securities;</w:t>
      </w:r>
    </w:p>
    <w:p>
      <w:pPr>
        <w:spacing w:after="0" w:line="19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41" w:right="259" w:bottom="1440" w:gutter="0" w:footer="0" w:header="0"/>
        </w:sectPr>
      </w:pPr>
    </w:p>
    <w:bookmarkStart w:id="67" w:name="page68"/>
    <w:bookmarkEnd w:id="67"/>
    <w:p>
      <w:pPr>
        <w:ind w:left="720" w:hanging="608"/>
        <w:spacing w:after="0" w:line="254"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Employment Date, constitute the Board of WMI and any new director (other than a director whose initial assumption of office is in connection with an actual or threatened election contest, including but not limited to a consent solicitation, relating to the election of directors of WMI) whose appointment or election by the Board or nomination for election by WMI’s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198" w:lineRule="exact"/>
        <w:rPr>
          <w:rFonts w:ascii="Arial" w:cs="Arial" w:eastAsia="Arial" w:hAnsi="Arial"/>
          <w:sz w:val="18"/>
          <w:szCs w:val="18"/>
          <w:color w:val="auto"/>
        </w:rPr>
      </w:pPr>
    </w:p>
    <w:p>
      <w:pPr>
        <w:ind w:left="720" w:right="40" w:hanging="608"/>
        <w:spacing w:after="0" w:line="289"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there is a consummated merger or consolidation of the Company pursuant to which no securities of the Company are owned by WMI or its direct or indirect subsidiaries, or a merger or consolidation of WMI or any direct or indirect subsidiary of WMI (other than the Company) with any other corporation, other than (A) a merger or consolidation which would result in the voting securities of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entity outstanding immediately after such merger or consolidation or (B) a merger or consolidation effected to implement a recapitalization of WMI (or similar transaction) in which no Person, directly or indirectly, acquired twenty-five percent (25%) or more of the combined voting power of WMI’s then outstanding securities (not including in the securities beneficially owned by such person any securities acquired directly from WMI or its Affiliates); or</w:t>
      </w:r>
    </w:p>
    <w:p>
      <w:pPr>
        <w:spacing w:after="0" w:line="172" w:lineRule="exact"/>
        <w:rPr>
          <w:rFonts w:ascii="Arial" w:cs="Arial" w:eastAsia="Arial" w:hAnsi="Arial"/>
          <w:sz w:val="16"/>
          <w:szCs w:val="16"/>
          <w:color w:val="auto"/>
        </w:rPr>
      </w:pPr>
    </w:p>
    <w:p>
      <w:pPr>
        <w:ind w:left="720" w:right="80" w:hanging="608"/>
        <w:spacing w:after="0" w:line="294"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stock holders of the Company or WMI approve a plan of complete liquidation of the Company or WMI or there is consummated an agreement for the sale or disposition by the Company or WMI of all or substantially all of the Company’s or WMI’s assets (or any transaction having a similar effect), other than a sale or disposition by the Company or WMI of all or substantially all of the Company’s or WMI’s assets to an entity, at least fifty percent (50%) of the combined voting power of the voting securities of which are owned by stockholders of the Company or WMI in substantially the same proportions as their ownership of the Company or WMI immediately prior to such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7(c), the following terms shall have the following meanings:</w:t>
      </w:r>
    </w:p>
    <w:p>
      <w:pPr>
        <w:spacing w:after="0" w:line="225" w:lineRule="exact"/>
        <w:rPr>
          <w:sz w:val="20"/>
          <w:szCs w:val="20"/>
          <w:color w:val="auto"/>
        </w:rPr>
      </w:pPr>
    </w:p>
    <w:p>
      <w:pPr>
        <w:ind w:left="600" w:right="280" w:hanging="2"/>
        <w:spacing w:after="0" w:line="268" w:lineRule="auto"/>
        <w:tabs>
          <w:tab w:leader="none" w:pos="8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“Affiliate” shall mean an affiliate of WMI, as defined in Rule 12b-2 promulgated under Section 12 of the Securities Exchange Act of 1934, as amended from time to time (the “Exchange Act”);</w:t>
      </w:r>
    </w:p>
    <w:p>
      <w:pPr>
        <w:spacing w:after="0" w:line="185" w:lineRule="exact"/>
        <w:rPr>
          <w:rFonts w:ascii="Arial" w:cs="Arial" w:eastAsia="Arial" w:hAnsi="Arial"/>
          <w:sz w:val="18"/>
          <w:szCs w:val="18"/>
          <w:color w:val="auto"/>
        </w:rPr>
      </w:pPr>
    </w:p>
    <w:p>
      <w:pPr>
        <w:ind w:left="900" w:hanging="302"/>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225" w:lineRule="exact"/>
        <w:rPr>
          <w:rFonts w:ascii="Arial" w:cs="Arial" w:eastAsia="Arial" w:hAnsi="Arial"/>
          <w:sz w:val="18"/>
          <w:szCs w:val="18"/>
          <w:color w:val="auto"/>
        </w:rPr>
      </w:pPr>
    </w:p>
    <w:p>
      <w:pPr>
        <w:ind w:left="900" w:hanging="302"/>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41" w:right="279" w:bottom="1440" w:gutter="0" w:footer="0" w:header="0"/>
        </w:sectPr>
      </w:pPr>
    </w:p>
    <w:bookmarkStart w:id="68" w:name="page69"/>
    <w:bookmarkEnd w:id="68"/>
    <w:p>
      <w:pPr>
        <w:ind w:left="820" w:right="60"/>
        <w:spacing w:after="0" w:line="256" w:lineRule="auto"/>
        <w:rPr>
          <w:sz w:val="20"/>
          <w:szCs w:val="20"/>
          <w:color w:val="auto"/>
        </w:rPr>
      </w:pPr>
      <w:r>
        <w:rPr>
          <w:rFonts w:ascii="Arial" w:cs="Arial" w:eastAsia="Arial" w:hAnsi="Arial"/>
          <w:sz w:val="18"/>
          <w:szCs w:val="18"/>
          <w:color w:val="auto"/>
        </w:rPr>
        <w:t>Exchange Act, as modified and used in Sections 13(d) and 14(d) thereof, except that such term shall not include (1) WMI, (2) a trustee or other fiduciary holding securities under an employee benefit plan of WMI, (3) an underwriter temporarily holding securities pursuant to an offering of such securities or (4) a corporation owned, directly or indirectly, by the stockholders of WMI in substantially the same proportions as their ownership of shares of Common Stock of WMI.</w:t>
      </w:r>
    </w:p>
    <w:p>
      <w:pPr>
        <w:spacing w:after="0" w:line="191" w:lineRule="exact"/>
        <w:rPr>
          <w:sz w:val="20"/>
          <w:szCs w:val="20"/>
          <w:color w:val="auto"/>
        </w:rPr>
      </w:pPr>
    </w:p>
    <w:p>
      <w:pPr>
        <w:ind w:left="580" w:hanging="35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right="160" w:firstLine="228"/>
        <w:spacing w:after="0" w:line="262" w:lineRule="auto"/>
        <w:tabs>
          <w:tab w:leader="none" w:pos="51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w:t>
      </w:r>
      <w:r>
        <w:rPr>
          <w:rFonts w:ascii="Arial" w:cs="Arial" w:eastAsia="Arial" w:hAnsi="Arial"/>
          <w:sz w:val="18"/>
          <w:szCs w:val="18"/>
          <w:color w:val="auto"/>
        </w:rPr>
        <w:t>. The terms of this Agreement constitute Confidential Information, which Executive shall not disclose to anyone other than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spouse, attorneys, advisors, or as required by law. Disclosure of these terms is a material breach of this Agreement and could subject Executive to disciplinary action, including without limitation, termination of employment for Cause.</w:t>
      </w:r>
    </w:p>
    <w:p>
      <w:pPr>
        <w:spacing w:after="0" w:line="186" w:lineRule="exact"/>
        <w:rPr>
          <w:rFonts w:ascii="Arial" w:cs="Arial" w:eastAsia="Arial" w:hAnsi="Arial"/>
          <w:sz w:val="18"/>
          <w:szCs w:val="18"/>
          <w:b w:val="1"/>
          <w:bCs w:val="1"/>
          <w:color w:val="auto"/>
        </w:rPr>
      </w:pPr>
    </w:p>
    <w:p>
      <w:pPr>
        <w:ind w:right="80" w:firstLine="228"/>
        <w:spacing w:after="0" w:line="291" w:lineRule="auto"/>
        <w:tabs>
          <w:tab w:leader="none" w:pos="52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Company Property</w:t>
      </w:r>
      <w:r>
        <w:rPr>
          <w:rFonts w:ascii="Arial" w:cs="Arial" w:eastAsia="Arial" w:hAnsi="Arial"/>
          <w:sz w:val="16"/>
          <w:szCs w:val="16"/>
          <w:color w:val="auto"/>
        </w:rPr>
        <w:t>. All written materials, records, data, and other documents prepared or possessed by Executive during Executive’s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67" w:lineRule="exact"/>
        <w:rPr>
          <w:rFonts w:ascii="Arial" w:cs="Arial" w:eastAsia="Arial" w:hAnsi="Arial"/>
          <w:sz w:val="16"/>
          <w:szCs w:val="16"/>
          <w:b w:val="1"/>
          <w:bCs w:val="1"/>
          <w:color w:val="auto"/>
        </w:rPr>
      </w:pPr>
    </w:p>
    <w:p>
      <w:pPr>
        <w:ind w:right="120" w:firstLine="228"/>
        <w:spacing w:after="0" w:line="262" w:lineRule="auto"/>
        <w:tabs>
          <w:tab w:leader="none" w:pos="50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Non-Disclosure</w:t>
      </w:r>
      <w:r>
        <w:rPr>
          <w:rFonts w:ascii="Arial" w:cs="Arial" w:eastAsia="Arial" w:hAnsi="Arial"/>
          <w:sz w:val="18"/>
          <w:szCs w:val="18"/>
          <w:color w:val="auto"/>
        </w:rPr>
        <w:t>. Executive acknowledges that the business of the Company is highly competitive and that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provide and immediately will provide Executive with access to “Confidential Information” relating to the business of the Company, WMI, and their respective affiliates.</w:t>
      </w:r>
    </w:p>
    <w:p>
      <w:pPr>
        <w:spacing w:after="0" w:line="192"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For purposes of this Agreement, “Confidential Information” means and includes the Company’s and WMI’s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69" w:name="page70"/>
    <w:bookmarkEnd w:id="69"/>
    <w:p>
      <w:pPr>
        <w:spacing w:after="0" w:line="288" w:lineRule="auto"/>
        <w:rPr>
          <w:sz w:val="20"/>
          <w:szCs w:val="20"/>
          <w:color w:val="auto"/>
        </w:rPr>
      </w:pPr>
      <w:r>
        <w:rPr>
          <w:rFonts w:ascii="Arial" w:cs="Arial" w:eastAsia="Arial" w:hAnsi="Arial"/>
          <w:sz w:val="16"/>
          <w:szCs w:val="16"/>
          <w:color w:val="auto"/>
        </w:rPr>
        <w:t>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WMI, and their respective affiliates in their businesses to obtain a competitive advantage over their competitors. Executive further acknowledges that protection of such Confidential Information against unauthorized disclosure and use is of critical importance to the Company, WMI, and their respective affiliates in maintaining their competitive position.</w:t>
      </w:r>
    </w:p>
    <w:p>
      <w:pPr>
        <w:spacing w:after="0" w:line="174"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Executive also will have access to, or knowledge of, Confidential Information of third parties, such as actual and potential customers, suppliers, partners, joint venturers, investors, financing sources, and the like, of the Company, WMI, and their affiliates.</w:t>
      </w:r>
    </w:p>
    <w:p>
      <w:pPr>
        <w:spacing w:after="0" w:line="186" w:lineRule="exact"/>
        <w:rPr>
          <w:sz w:val="20"/>
          <w:szCs w:val="20"/>
          <w:color w:val="auto"/>
        </w:rPr>
      </w:pPr>
    </w:p>
    <w:p>
      <w:pPr>
        <w:ind w:right="120" w:firstLine="216"/>
        <w:spacing w:after="0" w:line="294" w:lineRule="auto"/>
        <w:rPr>
          <w:sz w:val="20"/>
          <w:szCs w:val="20"/>
          <w:color w:val="auto"/>
        </w:rPr>
      </w:pPr>
      <w:r>
        <w:rPr>
          <w:rFonts w:ascii="Arial" w:cs="Arial" w:eastAsia="Arial" w:hAnsi="Arial"/>
          <w:sz w:val="16"/>
          <w:szCs w:val="16"/>
          <w:color w:val="auto"/>
        </w:rPr>
        <w:t>The Company also agrees to provide Executive with one or more of the following: access to Confidential Information, specialized training regarding the Company’s and WMI’s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70" w:lineRule="exact"/>
        <w:rPr>
          <w:sz w:val="20"/>
          <w:szCs w:val="20"/>
          <w:color w:val="auto"/>
        </w:rPr>
      </w:pPr>
    </w:p>
    <w:p>
      <w:pPr>
        <w:jc w:val="both"/>
        <w:ind w:right="280" w:firstLine="220"/>
        <w:spacing w:after="0" w:line="298" w:lineRule="auto"/>
        <w:rPr>
          <w:sz w:val="20"/>
          <w:szCs w:val="20"/>
          <w:color w:val="auto"/>
        </w:rPr>
      </w:pPr>
      <w:r>
        <w:rPr>
          <w:rFonts w:ascii="Arial" w:cs="Arial" w:eastAsia="Arial" w:hAnsi="Arial"/>
          <w:sz w:val="16"/>
          <w:szCs w:val="16"/>
          <w:color w:val="auto"/>
        </w:rPr>
        <w:t>In addition to the requirements set forth in Section 5(c)(i), Executive agrees that Executive will not after Executive’s employment with the Company, make any unauthorized disclosure of any then Confidential Information or specialized training of the Company, WMI, or their respective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161" w:lineRule="exact"/>
        <w:rPr>
          <w:sz w:val="20"/>
          <w:szCs w:val="20"/>
          <w:color w:val="auto"/>
        </w:rPr>
      </w:pPr>
    </w:p>
    <w:p>
      <w:pPr>
        <w:ind w:right="40" w:firstLine="228"/>
        <w:spacing w:after="0" w:line="293" w:lineRule="auto"/>
        <w:tabs>
          <w:tab w:leader="none" w:pos="522"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Upon Executive’s Employment Date, the Company agrees to and shall provide Executive with immediate access to</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parishes in Louisiana) (the “Restricted Area”) do the following, unless expressly authorized to do so in writing by the Chief Executive Officer:</w:t>
      </w:r>
    </w:p>
    <w:p>
      <w:pPr>
        <w:spacing w:after="0" w:line="200" w:lineRule="exact"/>
        <w:rPr>
          <w:sz w:val="20"/>
          <w:szCs w:val="20"/>
          <w:color w:val="auto"/>
        </w:rPr>
      </w:pPr>
    </w:p>
    <w:p>
      <w:pPr>
        <w:spacing w:after="0" w:line="268" w:lineRule="exact"/>
        <w:rPr>
          <w:sz w:val="20"/>
          <w:szCs w:val="20"/>
          <w:color w:val="auto"/>
        </w:rPr>
      </w:pPr>
    </w:p>
    <w:p>
      <w:pPr>
        <w:ind w:left="2580" w:right="2560"/>
        <w:spacing w:after="0" w:line="286"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or WMI are currently in the business of providing and were in the business of providing, or were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including the operation of waste-to-energy facilities and alternative energy facilities, and trading or hedging of positions (physical and financial) in any fiber or fiber-related materials, including, but not limited to, those marketed or traded by the Company</w:t>
      </w:r>
    </w:p>
    <w:p>
      <w:pPr>
        <w:spacing w:after="0" w:line="181" w:lineRule="exact"/>
        <w:rPr>
          <w:sz w:val="20"/>
          <w:szCs w:val="20"/>
          <w:color w:val="auto"/>
        </w:rPr>
      </w:pPr>
    </w:p>
    <w:p>
      <w:pPr>
        <w:jc w:val="both"/>
        <w:ind w:right="80" w:firstLine="220"/>
        <w:spacing w:after="0" w:line="298" w:lineRule="auto"/>
        <w:rPr>
          <w:sz w:val="20"/>
          <w:szCs w:val="20"/>
          <w:color w:val="auto"/>
        </w:rPr>
      </w:pPr>
      <w:r>
        <w:rPr>
          <w:rFonts w:ascii="Arial" w:cs="Arial" w:eastAsia="Arial" w:hAnsi="Arial"/>
          <w:sz w:val="16"/>
          <w:szCs w:val="16"/>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and WMI have provided to Executive.</w:t>
      </w:r>
    </w:p>
    <w:p>
      <w:pPr>
        <w:spacing w:after="0" w:line="167" w:lineRule="exact"/>
        <w:rPr>
          <w:sz w:val="20"/>
          <w:szCs w:val="20"/>
          <w:color w:val="auto"/>
        </w:rPr>
      </w:pPr>
    </w:p>
    <w:p>
      <w:pPr>
        <w:ind w:right="40" w:firstLine="210"/>
        <w:spacing w:after="0" w:line="291"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or with WMI does not prevent Executive from using and offering the skills that Executive possessed prior to receiving access to Confidential Information, confidential training, and knowledge from the Company and WMI.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to be no material threat to the legitimate business interests of the Company or WMI.</w:t>
      </w:r>
    </w:p>
    <w:p>
      <w:pPr>
        <w:spacing w:after="0" w:line="168" w:lineRule="exact"/>
        <w:rPr>
          <w:sz w:val="20"/>
          <w:szCs w:val="20"/>
          <w:color w:val="auto"/>
        </w:rPr>
      </w:pPr>
    </w:p>
    <w:p>
      <w:pPr>
        <w:ind w:firstLine="228"/>
        <w:spacing w:after="0" w:line="289" w:lineRule="auto"/>
        <w:tabs>
          <w:tab w:leader="none" w:pos="502"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Non-Solicitation of Customers</w:t>
      </w:r>
      <w:r>
        <w:rPr>
          <w:rFonts w:ascii="Arial" w:cs="Arial" w:eastAsia="Arial" w:hAnsi="Arial"/>
          <w:sz w:val="16"/>
          <w:szCs w:val="16"/>
          <w:color w:val="auto"/>
        </w:rPr>
        <w:t>. For a period of two (2) years following the termination of employment for any reason, Executive will not call on,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or solicit competing business from customers of the Company, WMI, or their respective affiliates whom Executive, within the previous twelve (12) months,</w:t>
      </w:r>
    </w:p>
    <w:p>
      <w:pPr>
        <w:spacing w:after="0" w:line="1" w:lineRule="exact"/>
        <w:rPr>
          <w:rFonts w:ascii="Arial" w:cs="Arial" w:eastAsia="Arial" w:hAnsi="Arial"/>
          <w:sz w:val="16"/>
          <w:szCs w:val="16"/>
          <w:b w:val="1"/>
          <w:bCs w:val="1"/>
          <w:color w:val="auto"/>
        </w:rPr>
      </w:pPr>
    </w:p>
    <w:p>
      <w:pPr>
        <w:ind w:right="220" w:firstLine="8"/>
        <w:spacing w:after="0" w:line="261" w:lineRule="auto"/>
        <w:tabs>
          <w:tab w:leader="none" w:pos="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had or made contact with, or (ii) had access to information and files about, or induce or encourage any such customer or other source of ongoing business to stop doing business with the Company or WMI.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1" w:name="page72"/>
    <w:bookmarkEnd w:id="71"/>
    <w:p>
      <w:pPr>
        <w:ind w:left="-20" w:right="180" w:firstLine="228"/>
        <w:spacing w:after="0" w:line="258" w:lineRule="auto"/>
        <w:tabs>
          <w:tab w:leader="none" w:pos="46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WMI, or their respective affiliates whom Executive had contact with, knowledge of, or association within the course of employment with the Company to terminate his or her employment, and will not assist any other person or entity in such a solicitation.</w:t>
      </w:r>
    </w:p>
    <w:p>
      <w:pPr>
        <w:spacing w:after="0" w:line="190" w:lineRule="exact"/>
        <w:rPr>
          <w:rFonts w:ascii="Arial" w:cs="Arial" w:eastAsia="Arial" w:hAnsi="Arial"/>
          <w:sz w:val="18"/>
          <w:szCs w:val="18"/>
          <w:b w:val="1"/>
          <w:bCs w:val="1"/>
          <w:color w:val="auto"/>
        </w:rPr>
      </w:pPr>
    </w:p>
    <w:p>
      <w:pPr>
        <w:jc w:val="both"/>
        <w:ind w:left="-20" w:right="20" w:firstLine="228"/>
        <w:spacing w:after="0" w:line="258" w:lineRule="auto"/>
        <w:tabs>
          <w:tab w:leader="none" w:pos="49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 of</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or oral statements or remarks (including, without limitation, the repetition or distribution of derogatory rumors, allegations, negative reports or comments) which are disparaging, deleterious or damaging to the integrity, reputation or good will of the Company or WMI, their respective management, or of management of corporations affiliated with the Company or WMI.</w:t>
      </w:r>
    </w:p>
    <w:p>
      <w:pPr>
        <w:spacing w:after="0" w:line="190" w:lineRule="exact"/>
        <w:rPr>
          <w:sz w:val="20"/>
          <w:szCs w:val="20"/>
          <w:color w:val="auto"/>
        </w:rPr>
      </w:pPr>
    </w:p>
    <w:p>
      <w:pPr>
        <w:ind w:left="560" w:hanging="352"/>
        <w:spacing w:after="0"/>
        <w:tabs>
          <w:tab w:leader="none" w:pos="5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Covenants.</w:t>
      </w:r>
    </w:p>
    <w:p>
      <w:pPr>
        <w:spacing w:after="0" w:line="225" w:lineRule="exact"/>
        <w:rPr>
          <w:sz w:val="20"/>
          <w:szCs w:val="20"/>
          <w:color w:val="auto"/>
        </w:rPr>
      </w:pPr>
    </w:p>
    <w:p>
      <w:pPr>
        <w:ind w:left="-20" w:right="200" w:firstLine="228"/>
        <w:spacing w:after="0" w:line="310" w:lineRule="auto"/>
        <w:tabs>
          <w:tab w:leader="none" w:pos="49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Executive agrees that any breach by Executive of any of the covenants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8 hereof during Executive’s employment by the Company, shall be grounds for immediate dismissal of Executive for Cause pursuant to Section 5(c)(i), which shall be in addition to and not exclusive of any and all other rights and remedies the Company may have against Executive.</w:t>
      </w:r>
    </w:p>
    <w:p>
      <w:pPr>
        <w:spacing w:after="0" w:line="151" w:lineRule="exact"/>
        <w:rPr>
          <w:rFonts w:ascii="Arial" w:cs="Arial" w:eastAsia="Arial" w:hAnsi="Arial"/>
          <w:sz w:val="16"/>
          <w:szCs w:val="16"/>
          <w:b w:val="1"/>
          <w:bCs w:val="1"/>
          <w:color w:val="auto"/>
        </w:rPr>
      </w:pPr>
    </w:p>
    <w:p>
      <w:pPr>
        <w:ind w:left="-20" w:right="20" w:firstLine="228"/>
        <w:spacing w:after="0" w:line="291" w:lineRule="auto"/>
        <w:tabs>
          <w:tab w:leader="none" w:pos="50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Right to Injunction</w:t>
      </w:r>
      <w:r>
        <w:rPr>
          <w:rFonts w:ascii="Arial" w:cs="Arial" w:eastAsia="Arial" w:hAnsi="Arial"/>
          <w:sz w:val="16"/>
          <w:szCs w:val="16"/>
          <w:color w:val="auto"/>
        </w:rPr>
        <w:t>. Executive acknowledges that a breach of the covenants set forth in Section 8 hereof will cause irreparable damage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and/or WMI with respect to which the remedy at law for damages will be inadequate. Therefore, in the event of breach or anticipatory breach of the covenants set forth in this Section 8 by Executive, Executive and the Company agree that the Company and/or WMI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and/or WMI to enforce the covenants set forth in this section.</w:t>
      </w:r>
    </w:p>
    <w:p>
      <w:pPr>
        <w:spacing w:after="0" w:line="167" w:lineRule="exact"/>
        <w:rPr>
          <w:rFonts w:ascii="Arial" w:cs="Arial" w:eastAsia="Arial" w:hAnsi="Arial"/>
          <w:sz w:val="16"/>
          <w:szCs w:val="16"/>
          <w:b w:val="1"/>
          <w:bCs w:val="1"/>
          <w:color w:val="auto"/>
        </w:rPr>
      </w:pPr>
    </w:p>
    <w:p>
      <w:pPr>
        <w:ind w:left="-20" w:firstLine="228"/>
        <w:spacing w:after="0" w:line="290" w:lineRule="auto"/>
        <w:tabs>
          <w:tab w:leader="none" w:pos="48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8 hereof constitute a series of separate but ancillary covenants, one for each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2" w:name="page73"/>
    <w:bookmarkEnd w:id="72"/>
    <w:p>
      <w:pPr>
        <w:ind w:right="20"/>
        <w:spacing w:after="0" w:line="268" w:lineRule="auto"/>
        <w:rPr>
          <w:sz w:val="20"/>
          <w:szCs w:val="20"/>
          <w:color w:val="auto"/>
        </w:rPr>
      </w:pPr>
      <w:r>
        <w:rPr>
          <w:rFonts w:ascii="Arial" w:cs="Arial" w:eastAsia="Arial" w:hAnsi="Arial"/>
          <w:sz w:val="18"/>
          <w:szCs w:val="18"/>
          <w:color w:val="auto"/>
        </w:rPr>
        <w:t>Executive against the Company or WMI whether predicated on this Agreement or otherwise, shall not constitute a defense to the enforcement by the Company of any of the covenants of Section 8.</w:t>
      </w:r>
    </w:p>
    <w:p>
      <w:pPr>
        <w:spacing w:after="0" w:line="180" w:lineRule="exact"/>
        <w:rPr>
          <w:sz w:val="20"/>
          <w:szCs w:val="20"/>
          <w:color w:val="auto"/>
        </w:rPr>
      </w:pPr>
    </w:p>
    <w:p>
      <w:pPr>
        <w:ind w:left="660" w:hanging="43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280" w:firstLine="216"/>
        <w:spacing w:after="0" w:line="291" w:lineRule="auto"/>
        <w:rPr>
          <w:sz w:val="20"/>
          <w:szCs w:val="20"/>
          <w:color w:val="auto"/>
        </w:rPr>
      </w:pPr>
      <w:r>
        <w:rPr>
          <w:rFonts w:ascii="Arial" w:cs="Arial" w:eastAsia="Arial" w:hAnsi="Arial"/>
          <w:sz w:val="16"/>
          <w:szCs w:val="16"/>
          <w:color w:val="auto"/>
        </w:rPr>
        <w:t>The Company shall indemnify and hold harmless Executive to the fullest extent permitted by Delaware law for any action or inaction of Executive while serving as an officer or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68" w:lineRule="exact"/>
        <w:rPr>
          <w:sz w:val="20"/>
          <w:szCs w:val="20"/>
          <w:color w:val="auto"/>
        </w:rPr>
      </w:pPr>
    </w:p>
    <w:p>
      <w:pPr>
        <w:ind w:left="660" w:hanging="43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Disputes and Payment of Attorney’s Fees.</w:t>
      </w:r>
    </w:p>
    <w:p>
      <w:pPr>
        <w:spacing w:after="0" w:line="23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66" w:lineRule="exact"/>
        <w:rPr>
          <w:sz w:val="20"/>
          <w:szCs w:val="20"/>
          <w:color w:val="auto"/>
        </w:rPr>
      </w:pPr>
    </w:p>
    <w:p>
      <w:pPr>
        <w:ind w:left="660" w:hanging="43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may withhold from any compensation and benefits payable under this Agreement all applicable federal, state, local, or other taxes.</w:t>
      </w:r>
    </w:p>
    <w:p>
      <w:pPr>
        <w:spacing w:after="0" w:line="242" w:lineRule="exact"/>
        <w:rPr>
          <w:sz w:val="20"/>
          <w:szCs w:val="20"/>
          <w:color w:val="auto"/>
        </w:rPr>
      </w:pPr>
    </w:p>
    <w:p>
      <w:pPr>
        <w:ind w:left="660" w:hanging="43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Payments.</w:t>
      </w:r>
    </w:p>
    <w:p>
      <w:pPr>
        <w:spacing w:after="0" w:line="231" w:lineRule="exact"/>
        <w:rPr>
          <w:sz w:val="20"/>
          <w:szCs w:val="20"/>
          <w:color w:val="auto"/>
        </w:rPr>
      </w:pPr>
    </w:p>
    <w:p>
      <w:pPr>
        <w:ind w:right="20" w:firstLine="210"/>
        <w:spacing w:after="0" w:line="298" w:lineRule="auto"/>
        <w:rPr>
          <w:sz w:val="20"/>
          <w:szCs w:val="20"/>
          <w:color w:val="auto"/>
        </w:rPr>
      </w:pPr>
      <w:r>
        <w:rPr>
          <w:rFonts w:ascii="Arial" w:cs="Arial" w:eastAsia="Arial" w:hAnsi="Arial"/>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73" w:name="page74"/>
    <w:bookmarkEnd w:id="73"/>
    <w:p>
      <w:pPr>
        <w:ind w:left="660" w:hanging="43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3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66" w:lineRule="exact"/>
        <w:rPr>
          <w:sz w:val="20"/>
          <w:szCs w:val="20"/>
          <w:color w:val="auto"/>
        </w:rPr>
      </w:pPr>
    </w:p>
    <w:p>
      <w:pPr>
        <w:ind w:left="660" w:hanging="43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w:t>
      </w:r>
    </w:p>
    <w:p>
      <w:pPr>
        <w:spacing w:after="0" w:line="231" w:lineRule="exact"/>
        <w:rPr>
          <w:sz w:val="20"/>
          <w:szCs w:val="20"/>
          <w:color w:val="auto"/>
        </w:rPr>
      </w:pPr>
    </w:p>
    <w:p>
      <w:pPr>
        <w:jc w:val="both"/>
        <w:ind w:right="80" w:firstLine="216"/>
        <w:spacing w:after="0" w:line="259"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WMI, or any of their respective parent, subsidiaries or affiliated entities relating to the terms of Executive’s employment by the Company or WMI. It may not be amended except by a written agreement signed by both parties.</w:t>
      </w:r>
    </w:p>
    <w:p>
      <w:pPr>
        <w:spacing w:after="0" w:line="188" w:lineRule="exact"/>
        <w:rPr>
          <w:sz w:val="20"/>
          <w:szCs w:val="20"/>
          <w:color w:val="auto"/>
        </w:rPr>
      </w:pPr>
    </w:p>
    <w:p>
      <w:pPr>
        <w:ind w:left="660" w:hanging="43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200" w:firstLine="21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80" w:lineRule="exact"/>
        <w:rPr>
          <w:sz w:val="20"/>
          <w:szCs w:val="20"/>
          <w:color w:val="auto"/>
        </w:rPr>
      </w:pPr>
    </w:p>
    <w:p>
      <w:pPr>
        <w:ind w:left="660" w:hanging="43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 of Timely Payments.</w:t>
      </w:r>
    </w:p>
    <w:p>
      <w:pPr>
        <w:spacing w:after="0" w:line="231" w:lineRule="exact"/>
        <w:rPr>
          <w:sz w:val="20"/>
          <w:szCs w:val="20"/>
          <w:color w:val="auto"/>
        </w:rPr>
      </w:pPr>
    </w:p>
    <w:p>
      <w:pPr>
        <w:ind w:right="100" w:firstLine="220"/>
        <w:spacing w:after="0" w:line="294"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4" w:lineRule="exact"/>
        <w:rPr>
          <w:sz w:val="20"/>
          <w:szCs w:val="20"/>
          <w:color w:val="auto"/>
        </w:rPr>
      </w:pPr>
    </w:p>
    <w:p>
      <w:pPr>
        <w:ind w:left="660" w:hanging="43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40" w:firstLine="210"/>
        <w:spacing w:after="0" w:line="268"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20"/>
        <w:spacing w:after="0" w:line="268" w:lineRule="auto"/>
        <w:rPr>
          <w:sz w:val="20"/>
          <w:szCs w:val="20"/>
          <w:color w:val="auto"/>
        </w:rPr>
      </w:pPr>
      <w:r>
        <w:rPr>
          <w:rFonts w:ascii="Arial" w:cs="Arial" w:eastAsia="Arial" w:hAnsi="Arial"/>
          <w:sz w:val="18"/>
          <w:szCs w:val="18"/>
          <w:color w:val="auto"/>
        </w:rPr>
        <w:t>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942" w:right="2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Recycle America Alliance,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3980" w:space="720"/>
            <w:col w:w="6680"/>
          </w:cols>
          <w:pgMar w:left="240" w:top="942" w:right="279" w:bottom="1440" w:gutter="0" w:footer="0" w:header="0"/>
          <w:type w:val="continuous"/>
        </w:sectPr>
      </w:pPr>
    </w:p>
    <w:p>
      <w:pPr>
        <w:spacing w:after="0" w:line="42"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Copy to WMI:</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Attention: Corporate Secretary</w:t>
      </w:r>
    </w:p>
    <w:p>
      <w:pPr>
        <w:spacing w:after="0" w:line="200" w:lineRule="exact"/>
        <w:rPr>
          <w:sz w:val="20"/>
          <w:szCs w:val="20"/>
          <w:color w:val="auto"/>
        </w:rPr>
      </w:pPr>
    </w:p>
    <w:p>
      <w:pPr>
        <w:sectPr>
          <w:pgSz w:w="11900" w:h="16838" w:orient="portrait"/>
          <w:cols w:equalWidth="0" w:num="2">
            <w:col w:w="3980" w:space="720"/>
            <w:col w:w="6680"/>
          </w:cols>
          <w:pgMar w:left="240" w:top="942" w:right="279" w:bottom="1440" w:gutter="0" w:footer="0" w:header="0"/>
          <w:type w:val="continuous"/>
        </w:sectPr>
      </w:pPr>
    </w:p>
    <w:p>
      <w:pPr>
        <w:spacing w:after="0" w:line="53"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At the address for Executive set forth below.</w:t>
      </w:r>
    </w:p>
    <w:p>
      <w:pPr>
        <w:spacing w:after="0" w:line="211" w:lineRule="exact"/>
        <w:rPr>
          <w:sz w:val="20"/>
          <w:szCs w:val="20"/>
          <w:color w:val="auto"/>
        </w:rPr>
      </w:pPr>
    </w:p>
    <w:p>
      <w:pPr>
        <w:sectPr>
          <w:pgSz w:w="11900" w:h="16838" w:orient="portrait"/>
          <w:cols w:equalWidth="0" w:num="2">
            <w:col w:w="3980" w:space="720"/>
            <w:col w:w="6680"/>
          </w:cols>
          <w:pgMar w:left="240" w:top="942" w:right="279" w:bottom="1440" w:gutter="0" w:footer="0" w:header="0"/>
          <w:type w:val="continuous"/>
        </w:sectPr>
      </w:pPr>
    </w:p>
    <w:p>
      <w:pPr>
        <w:spacing w:after="0" w:line="42" w:lineRule="exact"/>
        <w:rPr>
          <w:sz w:val="20"/>
          <w:szCs w:val="20"/>
          <w:color w:val="auto"/>
        </w:rPr>
      </w:pPr>
    </w:p>
    <w:p>
      <w:pPr>
        <w:ind w:left="660" w:hanging="43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40" w:firstLine="228"/>
        <w:spacing w:after="0" w:line="275" w:lineRule="auto"/>
        <w:tabs>
          <w:tab w:leader="none" w:pos="51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173" w:lineRule="exact"/>
        <w:rPr>
          <w:rFonts w:ascii="Arial" w:cs="Arial" w:eastAsia="Arial" w:hAnsi="Arial"/>
          <w:sz w:val="18"/>
          <w:szCs w:val="18"/>
          <w:b w:val="1"/>
          <w:bCs w:val="1"/>
          <w:color w:val="auto"/>
        </w:rPr>
      </w:pPr>
    </w:p>
    <w:p>
      <w:pPr>
        <w:ind w:left="520" w:hanging="292"/>
        <w:spacing w:after="0"/>
        <w:tabs>
          <w:tab w:leader="none" w:pos="5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w:t>
      </w:r>
      <w:r>
        <w:rPr>
          <w:rFonts w:ascii="Arial" w:cs="Arial" w:eastAsia="Arial" w:hAnsi="Arial"/>
          <w:sz w:val="16"/>
          <w:szCs w:val="16"/>
          <w:color w:val="auto"/>
        </w:rPr>
        <w:t>Subject to Section 9 hereof, if any term or provision of this Agreement is declared illegal or unenforceable by any court of competent</w:t>
      </w:r>
    </w:p>
    <w:p>
      <w:pPr>
        <w:spacing w:after="0" w:line="44" w:lineRule="exact"/>
        <w:rPr>
          <w:rFonts w:ascii="Arial" w:cs="Arial" w:eastAsia="Arial" w:hAnsi="Arial"/>
          <w:sz w:val="16"/>
          <w:szCs w:val="16"/>
          <w:b w:val="1"/>
          <w:bCs w:val="1"/>
          <w:color w:val="auto"/>
        </w:rPr>
      </w:pPr>
    </w:p>
    <w:p>
      <w:pPr>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185" w:lineRule="exact"/>
        <w:rPr>
          <w:rFonts w:ascii="Arial" w:cs="Arial" w:eastAsia="Arial" w:hAnsi="Arial"/>
          <w:sz w:val="16"/>
          <w:szCs w:val="16"/>
          <w:b w:val="1"/>
          <w:bCs w:val="1"/>
          <w:color w:val="auto"/>
        </w:rPr>
      </w:pPr>
    </w:p>
    <w:p>
      <w:pPr>
        <w:ind w:left="520" w:hanging="292"/>
        <w:spacing w:after="0"/>
        <w:tabs>
          <w:tab w:leader="none" w:pos="5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248" w:lineRule="exact"/>
        <w:rPr>
          <w:rFonts w:ascii="Arial" w:cs="Arial" w:eastAsia="Arial" w:hAnsi="Arial"/>
          <w:sz w:val="16"/>
          <w:szCs w:val="16"/>
          <w:b w:val="1"/>
          <w:bCs w:val="1"/>
          <w:color w:val="auto"/>
        </w:rPr>
      </w:pPr>
    </w:p>
    <w:p>
      <w:pPr>
        <w:ind w:left="520" w:hanging="292"/>
        <w:spacing w:after="0"/>
        <w:tabs>
          <w:tab w:leader="none" w:pos="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225" w:lineRule="exact"/>
        <w:rPr>
          <w:rFonts w:ascii="Arial" w:cs="Arial" w:eastAsia="Arial" w:hAnsi="Arial"/>
          <w:sz w:val="18"/>
          <w:szCs w:val="18"/>
          <w:b w:val="1"/>
          <w:bCs w:val="1"/>
          <w:color w:val="auto"/>
        </w:rPr>
      </w:pPr>
    </w:p>
    <w:p>
      <w:pPr>
        <w:ind w:right="240" w:firstLine="228"/>
        <w:spacing w:after="0" w:line="275" w:lineRule="auto"/>
        <w:tabs>
          <w:tab w:leader="none" w:pos="50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IN WITNESS WHEREOF, this Agreement is EXECUTED and EFFECTIVE as of the day set forth above.</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STEVE RAGIEL</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Steve Ragiel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80010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Steve Ragiel</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1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2740 Centenary St</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4"/>
              </w:rPr>
              <w:t>(address)</w:t>
            </w:r>
          </w:p>
        </w:tc>
      </w:tr>
      <w:tr>
        <w:trPr>
          <w:trHeight w:val="110"/>
        </w:trPr>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1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Houston, Texas 77005</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25"/>
        </w:trPr>
        <w:tc>
          <w:tcPr>
            <w:tcW w:w="1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RECYCLE AMERICA ALLIANCE, L.L.C.</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(The “Company”)</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1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By: /s/ A. Maurice Myers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4"/>
        </w:trPr>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30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Maurice Myers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On Behalf of the Board of Managers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w w:val="79"/>
              </w:rPr>
              <w:t>20</w:t>
            </w: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460" w:top="942"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107315</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$105,000,000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TEN YEAR LETTER OF CREDIT AND TERM LOAN AGREEMENT</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30, 2003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90" w:lineRule="exact"/>
        <w:rPr>
          <w:sz w:val="20"/>
          <w:szCs w:val="20"/>
          <w:color w:val="auto"/>
        </w:rPr>
      </w:pPr>
    </w:p>
    <w:p>
      <w:pPr>
        <w:ind w:left="1520"/>
        <w:spacing w:after="0"/>
        <w:rPr>
          <w:sz w:val="20"/>
          <w:szCs w:val="20"/>
          <w:color w:val="auto"/>
        </w:rPr>
      </w:pPr>
      <w:r>
        <w:rPr>
          <w:rFonts w:ascii="Arial" w:cs="Arial" w:eastAsia="Arial" w:hAnsi="Arial"/>
          <w:sz w:val="43"/>
          <w:szCs w:val="43"/>
          <w:b w:val="1"/>
          <w:bCs w:val="1"/>
          <w:color w:val="auto"/>
        </w:rPr>
        <w:t>WASTE MANAGEMENT, INC.</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HOLDINGS,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Letter of Credit Issuer</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1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1223010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564515</wp:posOffset>
            </wp:positionV>
            <wp:extent cx="2332355" cy="523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32355" cy="52324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TABLE OF CONTENT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ARTICLE I</w:t>
            </w: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DEFINITIONS AND ACCOUNTING TERMS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1.01</w:t>
            </w:r>
          </w:p>
        </w:tc>
        <w:tc>
          <w:tcPr>
            <w:tcW w:w="1140" w:type="dxa"/>
            <w:vAlign w:val="bottom"/>
          </w:tcPr>
          <w:p>
            <w:pPr>
              <w:ind w:left="20"/>
              <w:spacing w:after="0"/>
              <w:rPr>
                <w:sz w:val="20"/>
                <w:szCs w:val="20"/>
                <w:color w:val="auto"/>
              </w:rPr>
            </w:pPr>
            <w:r>
              <w:rPr>
                <w:rFonts w:ascii="Arial" w:cs="Arial" w:eastAsia="Arial" w:hAnsi="Arial"/>
                <w:sz w:val="18"/>
                <w:szCs w:val="18"/>
                <w:color w:val="auto"/>
                <w:w w:val="93"/>
              </w:rPr>
              <w:t>Defined Terms</w:t>
            </w:r>
          </w:p>
        </w:tc>
        <w:tc>
          <w:tcPr>
            <w:tcW w:w="7080" w:type="dxa"/>
            <w:vAlign w:val="bottom"/>
          </w:tcPr>
          <w:p>
            <w:pPr>
              <w:spacing w:after="0"/>
              <w:rPr>
                <w:sz w:val="18"/>
                <w:szCs w:val="18"/>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1.02</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Other Interpretive Provisions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1.03</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Accounting Terms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1.04</w:t>
            </w:r>
          </w:p>
        </w:tc>
        <w:tc>
          <w:tcPr>
            <w:tcW w:w="1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Rounding</w:t>
            </w:r>
          </w:p>
        </w:tc>
        <w:tc>
          <w:tcPr>
            <w:tcW w:w="7080" w:type="dxa"/>
            <w:vAlign w:val="bottom"/>
            <w:shd w:val="clear" w:color="auto" w:fill="EEEEEE"/>
          </w:tcPr>
          <w:p>
            <w:pPr>
              <w:spacing w:after="0"/>
              <w:rPr>
                <w:sz w:val="18"/>
                <w:szCs w:val="18"/>
                <w:color w:val="auto"/>
              </w:rPr>
            </w:pP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1.05</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References to Agreements and Laws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1.06</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Credit Amounts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7080" w:type="dxa"/>
            <w:vAlign w:val="bottom"/>
          </w:tcPr>
          <w:p>
            <w:pPr>
              <w:ind w:left="60"/>
              <w:spacing w:after="0"/>
              <w:rPr>
                <w:sz w:val="20"/>
                <w:szCs w:val="20"/>
                <w:color w:val="auto"/>
              </w:rPr>
            </w:pPr>
            <w:r>
              <w:rPr>
                <w:rFonts w:ascii="Arial" w:cs="Arial" w:eastAsia="Arial" w:hAnsi="Arial"/>
                <w:sz w:val="18"/>
                <w:szCs w:val="18"/>
                <w:color w:val="auto"/>
              </w:rPr>
              <w:t>THE CREDIT-LINKED DEPOSITS AND CREDIT EXTENSIONS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2.01</w:t>
            </w:r>
          </w:p>
        </w:tc>
        <w:tc>
          <w:tcPr>
            <w:tcW w:w="1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Credits</w:t>
            </w:r>
          </w:p>
        </w:tc>
        <w:tc>
          <w:tcPr>
            <w:tcW w:w="7080" w:type="dxa"/>
            <w:vAlign w:val="bottom"/>
            <w:shd w:val="clear" w:color="auto" w:fill="EEEEEE"/>
          </w:tcPr>
          <w:p>
            <w:pPr>
              <w:spacing w:after="0"/>
              <w:rPr>
                <w:sz w:val="18"/>
                <w:szCs w:val="18"/>
                <w:color w:val="auto"/>
              </w:rPr>
            </w:pP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2.02</w:t>
            </w:r>
          </w:p>
        </w:tc>
        <w:tc>
          <w:tcPr>
            <w:tcW w:w="1140" w:type="dxa"/>
            <w:vAlign w:val="bottom"/>
          </w:tcPr>
          <w:p>
            <w:pPr>
              <w:ind w:left="20"/>
              <w:spacing w:after="0"/>
              <w:rPr>
                <w:sz w:val="20"/>
                <w:szCs w:val="20"/>
                <w:color w:val="auto"/>
              </w:rPr>
            </w:pPr>
            <w:r>
              <w:rPr>
                <w:rFonts w:ascii="Arial" w:cs="Arial" w:eastAsia="Arial" w:hAnsi="Arial"/>
                <w:sz w:val="18"/>
                <w:szCs w:val="18"/>
                <w:color w:val="auto"/>
                <w:w w:val="89"/>
              </w:rPr>
              <w:t>Cash Collateral</w:t>
            </w:r>
          </w:p>
        </w:tc>
        <w:tc>
          <w:tcPr>
            <w:tcW w:w="7080" w:type="dxa"/>
            <w:vAlign w:val="bottom"/>
          </w:tcPr>
          <w:p>
            <w:pPr>
              <w:spacing w:after="0"/>
              <w:rPr>
                <w:sz w:val="18"/>
                <w:szCs w:val="18"/>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2.03</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Reduction of Total Credit-Linked Deposits; Conversion to Funded Term Loans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2.04</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Interest on Borrowings Other Than Term Loans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2.05</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Fees and Other Charges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2.06</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Computation of Interest and Fees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2.07</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Evidence of Debt</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2.08</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Generally</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2.09</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Sharing of Payments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1800" w:type="dxa"/>
            <w:vAlign w:val="bottom"/>
            <w:gridSpan w:val="2"/>
          </w:tcPr>
          <w:p>
            <w:pPr>
              <w:jc w:val="center"/>
              <w:ind w:right="752"/>
              <w:spacing w:after="0"/>
              <w:rPr>
                <w:sz w:val="20"/>
                <w:szCs w:val="20"/>
                <w:color w:val="auto"/>
              </w:rPr>
            </w:pPr>
            <w:r>
              <w:rPr>
                <w:rFonts w:ascii="Arial" w:cs="Arial" w:eastAsia="Arial" w:hAnsi="Arial"/>
                <w:sz w:val="18"/>
                <w:szCs w:val="18"/>
                <w:color w:val="auto"/>
                <w:w w:val="99"/>
              </w:rPr>
              <w:t>ARTICLE III</w:t>
            </w:r>
          </w:p>
        </w:tc>
        <w:tc>
          <w:tcPr>
            <w:tcW w:w="7080" w:type="dxa"/>
            <w:vAlign w:val="bottom"/>
          </w:tcPr>
          <w:p>
            <w:pPr>
              <w:ind w:left="120"/>
              <w:spacing w:after="0"/>
              <w:rPr>
                <w:sz w:val="20"/>
                <w:szCs w:val="20"/>
                <w:color w:val="auto"/>
              </w:rPr>
            </w:pPr>
            <w:r>
              <w:rPr>
                <w:rFonts w:ascii="Arial" w:cs="Arial" w:eastAsia="Arial" w:hAnsi="Arial"/>
                <w:sz w:val="18"/>
                <w:szCs w:val="18"/>
                <w:color w:val="auto"/>
              </w:rPr>
              <w:t>TAXES AND YIELD PROTECTION</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3.01</w:t>
            </w:r>
          </w:p>
        </w:tc>
        <w:tc>
          <w:tcPr>
            <w:tcW w:w="1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Taxes</w:t>
            </w:r>
          </w:p>
        </w:tc>
        <w:tc>
          <w:tcPr>
            <w:tcW w:w="7080" w:type="dxa"/>
            <w:vAlign w:val="bottom"/>
            <w:shd w:val="clear" w:color="auto" w:fill="EEEEEE"/>
          </w:tcPr>
          <w:p>
            <w:pPr>
              <w:spacing w:after="0"/>
              <w:rPr>
                <w:sz w:val="18"/>
                <w:szCs w:val="18"/>
                <w:color w:val="auto"/>
              </w:rPr>
            </w:pP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3.02</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Increased Cost and Reduced Return; Capital Adequacy or Risk-Based Capital</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3.03</w:t>
            </w:r>
          </w:p>
        </w:tc>
        <w:tc>
          <w:tcPr>
            <w:tcW w:w="1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Illegality</w:t>
            </w:r>
          </w:p>
        </w:tc>
        <w:tc>
          <w:tcPr>
            <w:tcW w:w="7080" w:type="dxa"/>
            <w:vAlign w:val="bottom"/>
            <w:shd w:val="clear" w:color="auto" w:fill="EEEEEE"/>
          </w:tcPr>
          <w:p>
            <w:pPr>
              <w:spacing w:after="0"/>
              <w:rPr>
                <w:sz w:val="18"/>
                <w:szCs w:val="18"/>
                <w:color w:val="auto"/>
              </w:rPr>
            </w:pP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3.04</w:t>
            </w:r>
          </w:p>
        </w:tc>
        <w:tc>
          <w:tcPr>
            <w:tcW w:w="1140" w:type="dxa"/>
            <w:vAlign w:val="bottom"/>
          </w:tcPr>
          <w:p>
            <w:pPr>
              <w:ind w:left="20"/>
              <w:spacing w:after="0"/>
              <w:rPr>
                <w:sz w:val="20"/>
                <w:szCs w:val="20"/>
                <w:color w:val="auto"/>
              </w:rPr>
            </w:pPr>
            <w:r>
              <w:rPr>
                <w:rFonts w:ascii="Arial" w:cs="Arial" w:eastAsia="Arial" w:hAnsi="Arial"/>
                <w:sz w:val="18"/>
                <w:szCs w:val="18"/>
                <w:color w:val="auto"/>
                <w:w w:val="86"/>
              </w:rPr>
              <w:t>Funding Losses</w:t>
            </w:r>
          </w:p>
        </w:tc>
        <w:tc>
          <w:tcPr>
            <w:tcW w:w="7080" w:type="dxa"/>
            <w:vAlign w:val="bottom"/>
          </w:tcPr>
          <w:p>
            <w:pPr>
              <w:spacing w:after="0"/>
              <w:rPr>
                <w:sz w:val="18"/>
                <w:szCs w:val="18"/>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3.05</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Matters Applicable to All Requests for Compensation</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3.06</w:t>
            </w:r>
          </w:p>
        </w:tc>
        <w:tc>
          <w:tcPr>
            <w:tcW w:w="1140" w:type="dxa"/>
            <w:vAlign w:val="bottom"/>
          </w:tcPr>
          <w:p>
            <w:pPr>
              <w:ind w:left="20"/>
              <w:spacing w:after="0"/>
              <w:rPr>
                <w:sz w:val="20"/>
                <w:szCs w:val="20"/>
                <w:color w:val="auto"/>
              </w:rPr>
            </w:pPr>
            <w:r>
              <w:rPr>
                <w:rFonts w:ascii="Arial" w:cs="Arial" w:eastAsia="Arial" w:hAnsi="Arial"/>
                <w:sz w:val="18"/>
                <w:szCs w:val="18"/>
                <w:color w:val="auto"/>
              </w:rPr>
              <w:t>Survival</w:t>
            </w:r>
          </w:p>
        </w:tc>
        <w:tc>
          <w:tcPr>
            <w:tcW w:w="7080" w:type="dxa"/>
            <w:vAlign w:val="bottom"/>
          </w:tcPr>
          <w:p>
            <w:pPr>
              <w:spacing w:after="0"/>
              <w:rPr>
                <w:sz w:val="18"/>
                <w:szCs w:val="18"/>
                <w:color w:val="auto"/>
              </w:rPr>
            </w:pP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3.07</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Replacement of Lenders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800" w:type="dxa"/>
            <w:vAlign w:val="bottom"/>
            <w:gridSpan w:val="2"/>
          </w:tcPr>
          <w:p>
            <w:pPr>
              <w:jc w:val="center"/>
              <w:ind w:right="752"/>
              <w:spacing w:after="0"/>
              <w:rPr>
                <w:sz w:val="20"/>
                <w:szCs w:val="20"/>
                <w:color w:val="auto"/>
              </w:rPr>
            </w:pPr>
            <w:r>
              <w:rPr>
                <w:rFonts w:ascii="Arial" w:cs="Arial" w:eastAsia="Arial" w:hAnsi="Arial"/>
                <w:sz w:val="18"/>
                <w:szCs w:val="18"/>
                <w:color w:val="auto"/>
                <w:w w:val="97"/>
              </w:rPr>
              <w:t>ARTICLE IV</w:t>
            </w:r>
          </w:p>
        </w:tc>
        <w:tc>
          <w:tcPr>
            <w:tcW w:w="7080" w:type="dxa"/>
            <w:vAlign w:val="bottom"/>
          </w:tcPr>
          <w:p>
            <w:pPr>
              <w:ind w:left="140"/>
              <w:spacing w:after="0"/>
              <w:rPr>
                <w:sz w:val="20"/>
                <w:szCs w:val="20"/>
                <w:color w:val="auto"/>
              </w:rPr>
            </w:pPr>
            <w:r>
              <w:rPr>
                <w:rFonts w:ascii="Arial" w:cs="Arial" w:eastAsia="Arial" w:hAnsi="Arial"/>
                <w:sz w:val="18"/>
                <w:szCs w:val="18"/>
                <w:color w:val="auto"/>
              </w:rPr>
              <w:t>CONDITIONS PRECEDENT TO CREDIT EXTENSIONS</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4.01</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Conditions of Credit-Linked Deposits and Initial Credit Extension</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660" w:type="dxa"/>
            <w:vAlign w:val="bottom"/>
          </w:tcPr>
          <w:p>
            <w:pPr>
              <w:jc w:val="center"/>
              <w:ind w:left="232"/>
              <w:spacing w:after="0"/>
              <w:rPr>
                <w:sz w:val="20"/>
                <w:szCs w:val="20"/>
                <w:color w:val="auto"/>
              </w:rPr>
            </w:pPr>
            <w:r>
              <w:rPr>
                <w:rFonts w:ascii="Arial" w:cs="Arial" w:eastAsia="Arial" w:hAnsi="Arial"/>
                <w:sz w:val="18"/>
                <w:szCs w:val="18"/>
                <w:color w:val="auto"/>
                <w:w w:val="85"/>
              </w:rPr>
              <w:t>4.02</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Conditions to all Credit Extensions by the Issuer</w:t>
            </w:r>
          </w:p>
        </w:tc>
        <w:tc>
          <w:tcPr>
            <w:tcW w:w="254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5"/>
              </w:rPr>
              <w:t>4.03</w:t>
            </w:r>
          </w:p>
        </w:tc>
        <w:tc>
          <w:tcPr>
            <w:tcW w:w="82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Conditions to Term Loans</w:t>
            </w:r>
          </w:p>
        </w:tc>
        <w:tc>
          <w:tcPr>
            <w:tcW w:w="25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41</w:t>
            </w: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TABLE OF CONTENT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40" w:type="dxa"/>
            <w:vAlign w:val="bottom"/>
          </w:tcPr>
          <w:p>
            <w:pPr>
              <w:jc w:val="center"/>
              <w:ind w:left="2753"/>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1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ARTICLE V</w:t>
            </w:r>
          </w:p>
        </w:tc>
        <w:tc>
          <w:tcPr>
            <w:tcW w:w="6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REPRESENTATIONS AND WARRANTIES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41</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5.01</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Organization; Power and Authority</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41</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5.02</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Authorization, etc.</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42</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5.03</w:t>
            </w:r>
          </w:p>
        </w:tc>
        <w:tc>
          <w:tcPr>
            <w:tcW w:w="1000" w:type="dxa"/>
            <w:vAlign w:val="bottom"/>
          </w:tcPr>
          <w:p>
            <w:pPr>
              <w:ind w:left="20"/>
              <w:spacing w:after="0"/>
              <w:rPr>
                <w:sz w:val="20"/>
                <w:szCs w:val="20"/>
                <w:color w:val="auto"/>
              </w:rPr>
            </w:pPr>
            <w:r>
              <w:rPr>
                <w:rFonts w:ascii="Arial" w:cs="Arial" w:eastAsia="Arial" w:hAnsi="Arial"/>
                <w:sz w:val="18"/>
                <w:szCs w:val="18"/>
                <w:color w:val="auto"/>
              </w:rPr>
              <w:t>Disclosure</w:t>
            </w:r>
          </w:p>
        </w:tc>
        <w:tc>
          <w:tcPr>
            <w:tcW w:w="6520" w:type="dxa"/>
            <w:vAlign w:val="bottom"/>
          </w:tcPr>
          <w:p>
            <w:pPr>
              <w:spacing w:after="0"/>
              <w:rPr>
                <w:sz w:val="18"/>
                <w:szCs w:val="18"/>
                <w:color w:val="auto"/>
              </w:rPr>
            </w:pP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42</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5.04</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Organization and Ownership of Shares of Subsidiaries; Affiliates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43</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5.05</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Financial Statements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43</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5.06</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Compliance with Laws, Other Instruments, etc.</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5.07</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Governmental Authorizations, etc.</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44</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5.08</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Litigation; Observance of Agreements, Statutes and Orders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5.09</w:t>
            </w:r>
          </w:p>
        </w:tc>
        <w:tc>
          <w:tcPr>
            <w:tcW w:w="1000" w:type="dxa"/>
            <w:vAlign w:val="bottom"/>
          </w:tcPr>
          <w:p>
            <w:pPr>
              <w:ind w:left="20"/>
              <w:spacing w:after="0"/>
              <w:rPr>
                <w:sz w:val="20"/>
                <w:szCs w:val="20"/>
                <w:color w:val="auto"/>
              </w:rPr>
            </w:pPr>
            <w:r>
              <w:rPr>
                <w:rFonts w:ascii="Arial" w:cs="Arial" w:eastAsia="Arial" w:hAnsi="Arial"/>
                <w:sz w:val="18"/>
                <w:szCs w:val="18"/>
                <w:color w:val="auto"/>
              </w:rPr>
              <w:t>Taxes</w:t>
            </w:r>
          </w:p>
        </w:tc>
        <w:tc>
          <w:tcPr>
            <w:tcW w:w="6520" w:type="dxa"/>
            <w:vAlign w:val="bottom"/>
          </w:tcPr>
          <w:p>
            <w:pPr>
              <w:spacing w:after="0"/>
              <w:rPr>
                <w:sz w:val="18"/>
                <w:szCs w:val="18"/>
                <w:color w:val="auto"/>
              </w:rPr>
            </w:pP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45</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5.10</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Title to Property; Leases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45</w:t>
            </w:r>
          </w:p>
        </w:tc>
      </w:tr>
      <w:tr>
        <w:trPr>
          <w:trHeight w:val="216"/>
        </w:trPr>
        <w:tc>
          <w:tcPr>
            <w:tcW w:w="8180" w:type="dxa"/>
            <w:vAlign w:val="bottom"/>
            <w:gridSpan w:val="3"/>
          </w:tcPr>
          <w:p>
            <w:pPr>
              <w:ind w:left="340"/>
              <w:spacing w:after="0"/>
              <w:rPr>
                <w:sz w:val="20"/>
                <w:szCs w:val="20"/>
                <w:color w:val="auto"/>
              </w:rPr>
            </w:pPr>
            <w:r>
              <w:rPr>
                <w:rFonts w:ascii="Arial" w:cs="Arial" w:eastAsia="Arial" w:hAnsi="Arial"/>
                <w:sz w:val="18"/>
                <w:szCs w:val="18"/>
                <w:color w:val="auto"/>
              </w:rPr>
              <w:t>5.11 Licenses, Permits, etc.</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45</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5.12</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Compliance with ERISA</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46</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5.13</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Private Offering by Company</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46</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5.14</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Use of Proceeds; Margin Regulations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47</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5.15</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Existing Indebtedness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47</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5.16</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Foreign Assets Control Regulations, etc.</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47</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5.17</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Status under Certain Statutes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48</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5.18</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Environmental Matters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48</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5.19</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Compliance With Issuance Limits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48</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5.20</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Tax Shelter Regulations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48</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ARTICLE VI</w:t>
            </w:r>
          </w:p>
        </w:tc>
        <w:tc>
          <w:tcPr>
            <w:tcW w:w="6520" w:type="dxa"/>
            <w:vAlign w:val="bottom"/>
          </w:tcPr>
          <w:p>
            <w:pPr>
              <w:ind w:left="280"/>
              <w:spacing w:after="0"/>
              <w:rPr>
                <w:sz w:val="20"/>
                <w:szCs w:val="20"/>
                <w:color w:val="auto"/>
              </w:rPr>
            </w:pPr>
            <w:r>
              <w:rPr>
                <w:rFonts w:ascii="Arial" w:cs="Arial" w:eastAsia="Arial" w:hAnsi="Arial"/>
                <w:sz w:val="18"/>
                <w:szCs w:val="18"/>
                <w:color w:val="auto"/>
              </w:rPr>
              <w:t>AFFIRMATIVE COVENANTS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49</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6.01</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Financial and Business Information</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49</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6.02</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Officer’s Certificate</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51</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6.03</w:t>
            </w:r>
          </w:p>
        </w:tc>
        <w:tc>
          <w:tcPr>
            <w:tcW w:w="1000" w:type="dxa"/>
            <w:vAlign w:val="bottom"/>
            <w:shd w:val="clear" w:color="auto" w:fill="EEEEEE"/>
          </w:tcPr>
          <w:p>
            <w:pPr>
              <w:ind w:left="20"/>
              <w:spacing w:after="0"/>
              <w:rPr>
                <w:sz w:val="20"/>
                <w:szCs w:val="20"/>
                <w:color w:val="auto"/>
              </w:rPr>
            </w:pPr>
            <w:r>
              <w:rPr>
                <w:rFonts w:ascii="Arial" w:cs="Arial" w:eastAsia="Arial" w:hAnsi="Arial"/>
                <w:sz w:val="18"/>
                <w:szCs w:val="18"/>
                <w:color w:val="auto"/>
              </w:rPr>
              <w:t>Inspection</w:t>
            </w:r>
          </w:p>
        </w:tc>
        <w:tc>
          <w:tcPr>
            <w:tcW w:w="6520" w:type="dxa"/>
            <w:vAlign w:val="bottom"/>
            <w:shd w:val="clear" w:color="auto" w:fill="EEEEEE"/>
          </w:tcPr>
          <w:p>
            <w:pPr>
              <w:spacing w:after="0"/>
              <w:rPr>
                <w:sz w:val="18"/>
                <w:szCs w:val="18"/>
                <w:color w:val="auto"/>
              </w:rPr>
            </w:pP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52</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6.04</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Compliance with Laws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52</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6.05</w:t>
            </w:r>
          </w:p>
        </w:tc>
        <w:tc>
          <w:tcPr>
            <w:tcW w:w="1000" w:type="dxa"/>
            <w:vAlign w:val="bottom"/>
            <w:shd w:val="clear" w:color="auto" w:fill="EEEEEE"/>
          </w:tcPr>
          <w:p>
            <w:pPr>
              <w:ind w:left="20"/>
              <w:spacing w:after="0"/>
              <w:rPr>
                <w:sz w:val="20"/>
                <w:szCs w:val="20"/>
                <w:color w:val="auto"/>
              </w:rPr>
            </w:pPr>
            <w:r>
              <w:rPr>
                <w:rFonts w:ascii="Arial" w:cs="Arial" w:eastAsia="Arial" w:hAnsi="Arial"/>
                <w:sz w:val="18"/>
                <w:szCs w:val="18"/>
                <w:color w:val="auto"/>
              </w:rPr>
              <w:t>Insurance</w:t>
            </w:r>
          </w:p>
        </w:tc>
        <w:tc>
          <w:tcPr>
            <w:tcW w:w="6520" w:type="dxa"/>
            <w:vAlign w:val="bottom"/>
            <w:shd w:val="clear" w:color="auto" w:fill="EEEEEE"/>
          </w:tcPr>
          <w:p>
            <w:pPr>
              <w:spacing w:after="0"/>
              <w:rPr>
                <w:sz w:val="18"/>
                <w:szCs w:val="18"/>
                <w:color w:val="auto"/>
              </w:rPr>
            </w:pP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52</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6.06</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Maintenance of Properties</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52</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6.07</w:t>
            </w:r>
          </w:p>
        </w:tc>
        <w:tc>
          <w:tcPr>
            <w:tcW w:w="75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Payment of Taxes and Claims</w:t>
            </w:r>
          </w:p>
        </w:tc>
        <w:tc>
          <w:tcPr>
            <w:tcW w:w="3240" w:type="dxa"/>
            <w:vAlign w:val="bottom"/>
            <w:shd w:val="clear" w:color="auto" w:fill="EEEEEE"/>
          </w:tcPr>
          <w:p>
            <w:pPr>
              <w:jc w:val="center"/>
              <w:ind w:left="2773"/>
              <w:spacing w:after="0"/>
              <w:rPr>
                <w:sz w:val="20"/>
                <w:szCs w:val="20"/>
                <w:color w:val="auto"/>
              </w:rPr>
            </w:pPr>
            <w:r>
              <w:rPr>
                <w:rFonts w:ascii="Arial" w:cs="Arial" w:eastAsia="Arial" w:hAnsi="Arial"/>
                <w:sz w:val="18"/>
                <w:szCs w:val="18"/>
                <w:color w:val="auto"/>
                <w:w w:val="89"/>
              </w:rPr>
              <w:t>52</w:t>
            </w:r>
          </w:p>
        </w:tc>
      </w:tr>
      <w:tr>
        <w:trPr>
          <w:trHeight w:val="222"/>
        </w:trPr>
        <w:tc>
          <w:tcPr>
            <w:tcW w:w="660" w:type="dxa"/>
            <w:vAlign w:val="bottom"/>
          </w:tcPr>
          <w:p>
            <w:pPr>
              <w:ind w:left="340"/>
              <w:spacing w:after="0"/>
              <w:rPr>
                <w:sz w:val="20"/>
                <w:szCs w:val="20"/>
                <w:color w:val="auto"/>
              </w:rPr>
            </w:pPr>
            <w:r>
              <w:rPr>
                <w:rFonts w:ascii="Arial" w:cs="Arial" w:eastAsia="Arial" w:hAnsi="Arial"/>
                <w:sz w:val="18"/>
                <w:szCs w:val="18"/>
                <w:color w:val="auto"/>
                <w:w w:val="85"/>
              </w:rPr>
              <w:t>6.08</w:t>
            </w: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Corporate Existence, Etc.</w:t>
            </w:r>
          </w:p>
        </w:tc>
        <w:tc>
          <w:tcPr>
            <w:tcW w:w="3240" w:type="dxa"/>
            <w:vAlign w:val="bottom"/>
          </w:tcPr>
          <w:p>
            <w:pPr>
              <w:jc w:val="center"/>
              <w:ind w:left="2773"/>
              <w:spacing w:after="0"/>
              <w:rPr>
                <w:sz w:val="20"/>
                <w:szCs w:val="20"/>
                <w:color w:val="auto"/>
              </w:rPr>
            </w:pPr>
            <w:r>
              <w:rPr>
                <w:rFonts w:ascii="Arial" w:cs="Arial" w:eastAsia="Arial" w:hAnsi="Arial"/>
                <w:sz w:val="18"/>
                <w:szCs w:val="18"/>
                <w:color w:val="auto"/>
                <w:w w:val="89"/>
              </w:rPr>
              <w:t>53</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80" w:type="dxa"/>
            <w:vAlign w:val="bottom"/>
          </w:tcPr>
          <w:p>
            <w:pPr>
              <w:jc w:val="center"/>
              <w:ind w:left="732"/>
              <w:spacing w:after="0"/>
              <w:rPr>
                <w:sz w:val="20"/>
                <w:szCs w:val="20"/>
                <w:color w:val="auto"/>
              </w:rPr>
            </w:pPr>
            <w:r>
              <w:rPr>
                <w:rFonts w:ascii="Arial" w:cs="Arial" w:eastAsia="Arial" w:hAnsi="Arial"/>
                <w:sz w:val="18"/>
                <w:szCs w:val="18"/>
                <w:b w:val="1"/>
                <w:bCs w:val="1"/>
                <w:color w:val="auto"/>
                <w:w w:val="97"/>
              </w:rPr>
              <w:t>TABLE OF CONTENT</w:t>
            </w:r>
          </w:p>
        </w:tc>
        <w:tc>
          <w:tcPr>
            <w:tcW w:w="2580" w:type="dxa"/>
            <w:vAlign w:val="bottom"/>
          </w:tcPr>
          <w:p>
            <w:pPr>
              <w:spacing w:after="0"/>
              <w:rPr>
                <w:sz w:val="19"/>
                <w:szCs w:val="19"/>
                <w:color w:val="auto"/>
              </w:rPr>
            </w:pPr>
          </w:p>
        </w:tc>
      </w:tr>
      <w:tr>
        <w:trPr>
          <w:trHeight w:val="222"/>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80" w:type="dxa"/>
            <w:vAlign w:val="bottom"/>
          </w:tcPr>
          <w:p>
            <w:pPr>
              <w:jc w:val="center"/>
              <w:ind w:left="732"/>
              <w:spacing w:after="0"/>
              <w:rPr>
                <w:sz w:val="20"/>
                <w:szCs w:val="20"/>
                <w:color w:val="auto"/>
              </w:rPr>
            </w:pPr>
            <w:r>
              <w:rPr>
                <w:rFonts w:ascii="Arial" w:cs="Arial" w:eastAsia="Arial" w:hAnsi="Arial"/>
                <w:sz w:val="18"/>
                <w:szCs w:val="18"/>
                <w:color w:val="auto"/>
                <w:w w:val="91"/>
              </w:rPr>
              <w:t>(continued)</w:t>
            </w:r>
          </w:p>
        </w:tc>
        <w:tc>
          <w:tcPr>
            <w:tcW w:w="2580" w:type="dxa"/>
            <w:vAlign w:val="bottom"/>
          </w:tcPr>
          <w:p>
            <w:pPr>
              <w:spacing w:after="0"/>
              <w:rPr>
                <w:sz w:val="19"/>
                <w:szCs w:val="19"/>
                <w:color w:val="auto"/>
              </w:rPr>
            </w:pPr>
          </w:p>
        </w:tc>
      </w:tr>
      <w:tr>
        <w:trPr>
          <w:trHeight w:val="610"/>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580" w:type="dxa"/>
            <w:vAlign w:val="bottom"/>
          </w:tcPr>
          <w:p>
            <w:pPr>
              <w:jc w:val="center"/>
              <w:ind w:left="2093"/>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6.09</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Books and Records</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53</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6.10</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Purpose of Credits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53</w:t>
            </w:r>
          </w:p>
        </w:tc>
      </w:tr>
      <w:tr>
        <w:trPr>
          <w:trHeight w:val="216"/>
        </w:trPr>
        <w:tc>
          <w:tcPr>
            <w:tcW w:w="1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ARTICLE VII</w:t>
            </w:r>
          </w:p>
        </w:tc>
        <w:tc>
          <w:tcPr>
            <w:tcW w:w="7080" w:type="dxa"/>
            <w:vAlign w:val="bottom"/>
            <w:shd w:val="clear" w:color="auto" w:fill="EEEEEE"/>
          </w:tcPr>
          <w:p>
            <w:pPr>
              <w:jc w:val="center"/>
              <w:ind w:right="4552"/>
              <w:spacing w:after="0"/>
              <w:rPr>
                <w:sz w:val="20"/>
                <w:szCs w:val="20"/>
                <w:color w:val="auto"/>
              </w:rPr>
            </w:pPr>
            <w:r>
              <w:rPr>
                <w:rFonts w:ascii="Arial" w:cs="Arial" w:eastAsia="Arial" w:hAnsi="Arial"/>
                <w:sz w:val="18"/>
                <w:szCs w:val="18"/>
                <w:color w:val="auto"/>
                <w:w w:val="94"/>
              </w:rPr>
              <w:t>NEGATIVE COVENANTS</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53</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7.01</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Transactions with Affiliates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53</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7.02</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Merger, Consolidation, Sale of Assets, etc.</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7.03</w:t>
            </w:r>
          </w:p>
        </w:tc>
        <w:tc>
          <w:tcPr>
            <w:tcW w:w="1100" w:type="dxa"/>
            <w:vAlign w:val="bottom"/>
          </w:tcPr>
          <w:p>
            <w:pPr>
              <w:ind w:left="20"/>
              <w:spacing w:after="0"/>
              <w:rPr>
                <w:sz w:val="20"/>
                <w:szCs w:val="20"/>
                <w:color w:val="auto"/>
              </w:rPr>
            </w:pPr>
            <w:r>
              <w:rPr>
                <w:rFonts w:ascii="Arial" w:cs="Arial" w:eastAsia="Arial" w:hAnsi="Arial"/>
                <w:sz w:val="18"/>
                <w:szCs w:val="18"/>
                <w:color w:val="auto"/>
              </w:rPr>
              <w:t>Liens</w:t>
            </w:r>
          </w:p>
        </w:tc>
        <w:tc>
          <w:tcPr>
            <w:tcW w:w="7080" w:type="dxa"/>
            <w:vAlign w:val="bottom"/>
          </w:tcPr>
          <w:p>
            <w:pPr>
              <w:spacing w:after="0"/>
              <w:rPr>
                <w:sz w:val="18"/>
                <w:szCs w:val="18"/>
                <w:color w:val="auto"/>
              </w:rPr>
            </w:pP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56</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7.04</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Limitation on Consolidated Debt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58</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7.05</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Limitation on Priority Debt</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58</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7.06</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Nature of Business</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58</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7.07</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Designation of Unrestricted Subsidiaries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58</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7.08</w:t>
            </w:r>
          </w:p>
        </w:tc>
        <w:tc>
          <w:tcPr>
            <w:tcW w:w="1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Margin Stock</w:t>
            </w:r>
          </w:p>
        </w:tc>
        <w:tc>
          <w:tcPr>
            <w:tcW w:w="7080" w:type="dxa"/>
            <w:vAlign w:val="bottom"/>
            <w:shd w:val="clear" w:color="auto" w:fill="EEEEEE"/>
          </w:tcPr>
          <w:p>
            <w:pPr>
              <w:spacing w:after="0"/>
              <w:rPr>
                <w:sz w:val="18"/>
                <w:szCs w:val="18"/>
                <w:color w:val="auto"/>
              </w:rPr>
            </w:pP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59</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ARTICLE VIII</w:t>
            </w:r>
          </w:p>
        </w:tc>
        <w:tc>
          <w:tcPr>
            <w:tcW w:w="7080" w:type="dxa"/>
            <w:vAlign w:val="bottom"/>
          </w:tcPr>
          <w:p>
            <w:pPr>
              <w:ind w:left="200"/>
              <w:spacing w:after="0"/>
              <w:rPr>
                <w:sz w:val="20"/>
                <w:szCs w:val="20"/>
                <w:color w:val="auto"/>
              </w:rPr>
            </w:pPr>
            <w:r>
              <w:rPr>
                <w:rFonts w:ascii="Arial" w:cs="Arial" w:eastAsia="Arial" w:hAnsi="Arial"/>
                <w:sz w:val="18"/>
                <w:szCs w:val="18"/>
                <w:color w:val="auto"/>
              </w:rPr>
              <w:t>EVENTS OF DEFAULT AND REMEDIES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59</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8.01</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Events of Default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59</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8.02</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Remedies Upon Event of Default</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61</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8.03</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Application of Funds</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62</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ARTICLE IX</w:t>
            </w:r>
          </w:p>
        </w:tc>
        <w:tc>
          <w:tcPr>
            <w:tcW w:w="7080" w:type="dxa"/>
            <w:vAlign w:val="bottom"/>
          </w:tcPr>
          <w:p>
            <w:pPr>
              <w:jc w:val="center"/>
              <w:ind w:right="4512"/>
              <w:spacing w:after="0"/>
              <w:rPr>
                <w:sz w:val="20"/>
                <w:szCs w:val="20"/>
                <w:color w:val="auto"/>
              </w:rPr>
            </w:pPr>
            <w:r>
              <w:rPr>
                <w:rFonts w:ascii="Arial" w:cs="Arial" w:eastAsia="Arial" w:hAnsi="Arial"/>
                <w:sz w:val="18"/>
                <w:szCs w:val="18"/>
                <w:color w:val="auto"/>
                <w:w w:val="97"/>
              </w:rPr>
              <w:t>ADMINISTRATIVE AGENT</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63</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9.01</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Appointment and Authorization of Administrative Agent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63</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9.02</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Delegation of Duties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63</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9.03</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Liability of Administrative Agent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9.04</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Reliance by Administrative Agent</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64</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9.05</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Notice of Default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64</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9.06</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Credit Decision; Disclosure of Information by Administrative Agent</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65</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9.07</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Indemnification of Administrative Agent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65</w:t>
            </w:r>
          </w:p>
        </w:tc>
      </w:tr>
      <w:tr>
        <w:trPr>
          <w:trHeight w:val="216"/>
        </w:trPr>
        <w:tc>
          <w:tcPr>
            <w:tcW w:w="660" w:type="dxa"/>
            <w:vAlign w:val="bottom"/>
          </w:tcPr>
          <w:p>
            <w:pPr>
              <w:ind w:left="340"/>
              <w:spacing w:after="0"/>
              <w:rPr>
                <w:sz w:val="20"/>
                <w:szCs w:val="20"/>
                <w:color w:val="auto"/>
              </w:rPr>
            </w:pPr>
            <w:r>
              <w:rPr>
                <w:rFonts w:ascii="Arial" w:cs="Arial" w:eastAsia="Arial" w:hAnsi="Arial"/>
                <w:sz w:val="18"/>
                <w:szCs w:val="18"/>
                <w:color w:val="auto"/>
                <w:w w:val="85"/>
              </w:rPr>
              <w:t>9.08</w:t>
            </w: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Administrative Agent in its Individual Capacity</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67</w:t>
            </w:r>
          </w:p>
        </w:tc>
      </w:tr>
      <w:tr>
        <w:trPr>
          <w:trHeight w:val="216"/>
        </w:trPr>
        <w:tc>
          <w:tcPr>
            <w:tcW w:w="660" w:type="dxa"/>
            <w:vAlign w:val="bottom"/>
            <w:shd w:val="clear" w:color="auto" w:fill="EEEEEE"/>
          </w:tcPr>
          <w:p>
            <w:pPr>
              <w:ind w:left="340"/>
              <w:spacing w:after="0"/>
              <w:rPr>
                <w:sz w:val="20"/>
                <w:szCs w:val="20"/>
                <w:color w:val="auto"/>
              </w:rPr>
            </w:pPr>
            <w:r>
              <w:rPr>
                <w:rFonts w:ascii="Arial" w:cs="Arial" w:eastAsia="Arial" w:hAnsi="Arial"/>
                <w:sz w:val="18"/>
                <w:szCs w:val="18"/>
                <w:color w:val="auto"/>
                <w:w w:val="85"/>
              </w:rPr>
              <w:t>9.09</w:t>
            </w:r>
          </w:p>
        </w:tc>
        <w:tc>
          <w:tcPr>
            <w:tcW w:w="81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Successor Administrative Agent</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67</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ARTICLE X</w:t>
            </w:r>
          </w:p>
        </w:tc>
        <w:tc>
          <w:tcPr>
            <w:tcW w:w="70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67</w:t>
            </w:r>
          </w:p>
        </w:tc>
      </w:tr>
      <w:tr>
        <w:trPr>
          <w:trHeight w:val="216"/>
        </w:trPr>
        <w:tc>
          <w:tcPr>
            <w:tcW w:w="8840" w:type="dxa"/>
            <w:vAlign w:val="bottom"/>
            <w:gridSpan w:val="3"/>
            <w:shd w:val="clear" w:color="auto" w:fill="EEEEEE"/>
          </w:tcPr>
          <w:p>
            <w:pPr>
              <w:ind w:left="340"/>
              <w:spacing w:after="0"/>
              <w:rPr>
                <w:sz w:val="20"/>
                <w:szCs w:val="20"/>
                <w:color w:val="auto"/>
              </w:rPr>
            </w:pPr>
            <w:r>
              <w:rPr>
                <w:rFonts w:ascii="Arial" w:cs="Arial" w:eastAsia="Arial" w:hAnsi="Arial"/>
                <w:sz w:val="18"/>
                <w:szCs w:val="18"/>
                <w:color w:val="auto"/>
              </w:rPr>
              <w:t>10.01 Amendments, Etc.</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67</w:t>
            </w:r>
          </w:p>
        </w:tc>
      </w:tr>
      <w:tr>
        <w:trPr>
          <w:trHeight w:val="216"/>
        </w:trPr>
        <w:tc>
          <w:tcPr>
            <w:tcW w:w="8840" w:type="dxa"/>
            <w:vAlign w:val="bottom"/>
            <w:gridSpan w:val="3"/>
          </w:tcPr>
          <w:p>
            <w:pPr>
              <w:ind w:left="340"/>
              <w:spacing w:after="0"/>
              <w:rPr>
                <w:sz w:val="20"/>
                <w:szCs w:val="20"/>
                <w:color w:val="auto"/>
              </w:rPr>
            </w:pPr>
            <w:r>
              <w:rPr>
                <w:rFonts w:ascii="Arial" w:cs="Arial" w:eastAsia="Arial" w:hAnsi="Arial"/>
                <w:sz w:val="18"/>
                <w:szCs w:val="18"/>
                <w:color w:val="auto"/>
              </w:rPr>
              <w:t>10.02 Notices and Other Communications; Facsimile Copies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69</w:t>
            </w:r>
          </w:p>
        </w:tc>
      </w:tr>
      <w:tr>
        <w:trPr>
          <w:trHeight w:val="216"/>
        </w:trPr>
        <w:tc>
          <w:tcPr>
            <w:tcW w:w="8840" w:type="dxa"/>
            <w:vAlign w:val="bottom"/>
            <w:gridSpan w:val="3"/>
            <w:shd w:val="clear" w:color="auto" w:fill="EEEEEE"/>
          </w:tcPr>
          <w:p>
            <w:pPr>
              <w:ind w:left="340"/>
              <w:spacing w:after="0"/>
              <w:rPr>
                <w:sz w:val="20"/>
                <w:szCs w:val="20"/>
                <w:color w:val="auto"/>
              </w:rPr>
            </w:pPr>
            <w:r>
              <w:rPr>
                <w:rFonts w:ascii="Arial" w:cs="Arial" w:eastAsia="Arial" w:hAnsi="Arial"/>
                <w:sz w:val="18"/>
                <w:szCs w:val="18"/>
                <w:color w:val="auto"/>
              </w:rPr>
              <w:t>10.03 No Waiver; Cumulative Remedies</w:t>
            </w:r>
          </w:p>
        </w:tc>
        <w:tc>
          <w:tcPr>
            <w:tcW w:w="2580" w:type="dxa"/>
            <w:vAlign w:val="bottom"/>
            <w:shd w:val="clear" w:color="auto" w:fill="EEEEEE"/>
          </w:tcPr>
          <w:p>
            <w:pPr>
              <w:jc w:val="center"/>
              <w:ind w:left="2113"/>
              <w:spacing w:after="0"/>
              <w:rPr>
                <w:sz w:val="20"/>
                <w:szCs w:val="20"/>
                <w:color w:val="auto"/>
              </w:rPr>
            </w:pPr>
            <w:r>
              <w:rPr>
                <w:rFonts w:ascii="Arial" w:cs="Arial" w:eastAsia="Arial" w:hAnsi="Arial"/>
                <w:sz w:val="18"/>
                <w:szCs w:val="18"/>
                <w:color w:val="auto"/>
                <w:w w:val="89"/>
              </w:rPr>
              <w:t>70</w:t>
            </w:r>
          </w:p>
        </w:tc>
      </w:tr>
      <w:tr>
        <w:trPr>
          <w:trHeight w:val="222"/>
        </w:trPr>
        <w:tc>
          <w:tcPr>
            <w:tcW w:w="8840" w:type="dxa"/>
            <w:vAlign w:val="bottom"/>
            <w:gridSpan w:val="3"/>
          </w:tcPr>
          <w:p>
            <w:pPr>
              <w:ind w:left="340"/>
              <w:spacing w:after="0"/>
              <w:rPr>
                <w:sz w:val="20"/>
                <w:szCs w:val="20"/>
                <w:color w:val="auto"/>
              </w:rPr>
            </w:pPr>
            <w:r>
              <w:rPr>
                <w:rFonts w:ascii="Arial" w:cs="Arial" w:eastAsia="Arial" w:hAnsi="Arial"/>
                <w:sz w:val="18"/>
                <w:szCs w:val="18"/>
                <w:color w:val="auto"/>
              </w:rPr>
              <w:t>10.04 Attorney Costs, Expenses and Taxes</w:t>
            </w:r>
          </w:p>
        </w:tc>
        <w:tc>
          <w:tcPr>
            <w:tcW w:w="2580" w:type="dxa"/>
            <w:vAlign w:val="bottom"/>
          </w:tcPr>
          <w:p>
            <w:pPr>
              <w:jc w:val="center"/>
              <w:ind w:left="2113"/>
              <w:spacing w:after="0"/>
              <w:rPr>
                <w:sz w:val="20"/>
                <w:szCs w:val="20"/>
                <w:color w:val="auto"/>
              </w:rPr>
            </w:pPr>
            <w:r>
              <w:rPr>
                <w:rFonts w:ascii="Arial" w:cs="Arial" w:eastAsia="Arial" w:hAnsi="Arial"/>
                <w:sz w:val="18"/>
                <w:szCs w:val="18"/>
                <w:color w:val="auto"/>
                <w:w w:val="89"/>
              </w:rPr>
              <w:t>70</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980" w:type="dxa"/>
            <w:vAlign w:val="bottom"/>
          </w:tcPr>
          <w:p>
            <w:pPr>
              <w:jc w:val="center"/>
              <w:ind w:left="672"/>
              <w:spacing w:after="0"/>
              <w:rPr>
                <w:sz w:val="20"/>
                <w:szCs w:val="20"/>
                <w:color w:val="auto"/>
              </w:rPr>
            </w:pPr>
            <w:r>
              <w:rPr>
                <w:rFonts w:ascii="Arial" w:cs="Arial" w:eastAsia="Arial" w:hAnsi="Arial"/>
                <w:sz w:val="18"/>
                <w:szCs w:val="18"/>
                <w:b w:val="1"/>
                <w:bCs w:val="1"/>
                <w:color w:val="auto"/>
                <w:w w:val="97"/>
              </w:rPr>
              <w:t>TABLE OF CONTENT</w:t>
            </w:r>
          </w:p>
        </w:tc>
        <w:tc>
          <w:tcPr>
            <w:tcW w:w="2600" w:type="dxa"/>
            <w:vAlign w:val="bottom"/>
          </w:tcPr>
          <w:p>
            <w:pPr>
              <w:spacing w:after="0"/>
              <w:rPr>
                <w:sz w:val="19"/>
                <w:szCs w:val="19"/>
                <w:color w:val="auto"/>
              </w:rPr>
            </w:pPr>
          </w:p>
        </w:tc>
      </w:tr>
      <w:tr>
        <w:trPr>
          <w:trHeight w:val="222"/>
        </w:trPr>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980" w:type="dxa"/>
            <w:vAlign w:val="bottom"/>
          </w:tcPr>
          <w:p>
            <w:pPr>
              <w:jc w:val="center"/>
              <w:ind w:left="672"/>
              <w:spacing w:after="0"/>
              <w:rPr>
                <w:sz w:val="20"/>
                <w:szCs w:val="20"/>
                <w:color w:val="auto"/>
              </w:rPr>
            </w:pPr>
            <w:r>
              <w:rPr>
                <w:rFonts w:ascii="Arial" w:cs="Arial" w:eastAsia="Arial" w:hAnsi="Arial"/>
                <w:sz w:val="18"/>
                <w:szCs w:val="18"/>
                <w:color w:val="auto"/>
                <w:w w:val="91"/>
              </w:rPr>
              <w:t>(continued)</w:t>
            </w:r>
          </w:p>
        </w:tc>
        <w:tc>
          <w:tcPr>
            <w:tcW w:w="2600" w:type="dxa"/>
            <w:vAlign w:val="bottom"/>
          </w:tcPr>
          <w:p>
            <w:pPr>
              <w:spacing w:after="0"/>
              <w:rPr>
                <w:sz w:val="19"/>
                <w:szCs w:val="19"/>
                <w:color w:val="auto"/>
              </w:rPr>
            </w:pPr>
          </w:p>
        </w:tc>
      </w:tr>
      <w:tr>
        <w:trPr>
          <w:trHeight w:val="610"/>
        </w:trPr>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6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10.05</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Indemnification by the Company</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10.06</w:t>
            </w:r>
          </w:p>
        </w:tc>
        <w:tc>
          <w:tcPr>
            <w:tcW w:w="8080" w:type="dxa"/>
            <w:vAlign w:val="bottom"/>
            <w:gridSpan w:val="2"/>
          </w:tcPr>
          <w:p>
            <w:pPr>
              <w:ind w:left="40"/>
              <w:spacing w:after="0"/>
              <w:rPr>
                <w:sz w:val="20"/>
                <w:szCs w:val="20"/>
                <w:color w:val="auto"/>
              </w:rPr>
            </w:pPr>
            <w:r>
              <w:rPr>
                <w:rFonts w:ascii="Arial" w:cs="Arial" w:eastAsia="Arial" w:hAnsi="Arial"/>
                <w:sz w:val="18"/>
                <w:szCs w:val="18"/>
                <w:color w:val="auto"/>
              </w:rPr>
              <w:t>Payments Set Aside</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10.07</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Successors and Assigns</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72</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10.08</w:t>
            </w:r>
          </w:p>
        </w:tc>
        <w:tc>
          <w:tcPr>
            <w:tcW w:w="1100" w:type="dxa"/>
            <w:vAlign w:val="bottom"/>
          </w:tcPr>
          <w:p>
            <w:pPr>
              <w:ind w:left="40"/>
              <w:spacing w:after="0"/>
              <w:rPr>
                <w:sz w:val="20"/>
                <w:szCs w:val="20"/>
                <w:color w:val="auto"/>
              </w:rPr>
            </w:pPr>
            <w:r>
              <w:rPr>
                <w:rFonts w:ascii="Arial" w:cs="Arial" w:eastAsia="Arial" w:hAnsi="Arial"/>
                <w:sz w:val="18"/>
                <w:szCs w:val="18"/>
                <w:color w:val="auto"/>
                <w:w w:val="91"/>
              </w:rPr>
              <w:t>Confidentiality</w:t>
            </w:r>
          </w:p>
        </w:tc>
        <w:tc>
          <w:tcPr>
            <w:tcW w:w="6980" w:type="dxa"/>
            <w:vAlign w:val="bottom"/>
          </w:tcPr>
          <w:p>
            <w:pPr>
              <w:spacing w:after="0"/>
              <w:rPr>
                <w:sz w:val="18"/>
                <w:szCs w:val="18"/>
                <w:color w:val="auto"/>
              </w:rPr>
            </w:pP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10.09</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[Intentionally Omitted]</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10.10</w:t>
            </w:r>
          </w:p>
        </w:tc>
        <w:tc>
          <w:tcPr>
            <w:tcW w:w="8080" w:type="dxa"/>
            <w:vAlign w:val="bottom"/>
            <w:gridSpan w:val="2"/>
          </w:tcPr>
          <w:p>
            <w:pPr>
              <w:ind w:left="40"/>
              <w:spacing w:after="0"/>
              <w:rPr>
                <w:sz w:val="20"/>
                <w:szCs w:val="20"/>
                <w:color w:val="auto"/>
              </w:rPr>
            </w:pPr>
            <w:r>
              <w:rPr>
                <w:rFonts w:ascii="Arial" w:cs="Arial" w:eastAsia="Arial" w:hAnsi="Arial"/>
                <w:sz w:val="18"/>
                <w:szCs w:val="18"/>
                <w:color w:val="auto"/>
              </w:rPr>
              <w:t>Representations and Warranties of Each Lender</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10.11</w:t>
            </w:r>
          </w:p>
        </w:tc>
        <w:tc>
          <w:tcPr>
            <w:tcW w:w="1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Counterparts</w:t>
            </w:r>
          </w:p>
        </w:tc>
        <w:tc>
          <w:tcPr>
            <w:tcW w:w="698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10.12</w:t>
            </w:r>
          </w:p>
        </w:tc>
        <w:tc>
          <w:tcPr>
            <w:tcW w:w="1100" w:type="dxa"/>
            <w:vAlign w:val="bottom"/>
          </w:tcPr>
          <w:p>
            <w:pPr>
              <w:ind w:left="40"/>
              <w:spacing w:after="0"/>
              <w:rPr>
                <w:sz w:val="20"/>
                <w:szCs w:val="20"/>
                <w:color w:val="auto"/>
              </w:rPr>
            </w:pPr>
            <w:r>
              <w:rPr>
                <w:rFonts w:ascii="Arial" w:cs="Arial" w:eastAsia="Arial" w:hAnsi="Arial"/>
                <w:sz w:val="18"/>
                <w:szCs w:val="18"/>
                <w:color w:val="auto"/>
              </w:rPr>
              <w:t>Integration</w:t>
            </w:r>
          </w:p>
        </w:tc>
        <w:tc>
          <w:tcPr>
            <w:tcW w:w="6980" w:type="dxa"/>
            <w:vAlign w:val="bottom"/>
          </w:tcPr>
          <w:p>
            <w:pPr>
              <w:spacing w:after="0"/>
              <w:rPr>
                <w:sz w:val="18"/>
                <w:szCs w:val="18"/>
                <w:color w:val="auto"/>
              </w:rPr>
            </w:pP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10.13</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Survival of Representations and Warranties</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10.14</w:t>
            </w:r>
          </w:p>
        </w:tc>
        <w:tc>
          <w:tcPr>
            <w:tcW w:w="11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980" w:type="dxa"/>
            <w:vAlign w:val="bottom"/>
          </w:tcPr>
          <w:p>
            <w:pPr>
              <w:spacing w:after="0"/>
              <w:rPr>
                <w:sz w:val="18"/>
                <w:szCs w:val="18"/>
                <w:color w:val="auto"/>
              </w:rPr>
            </w:pP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10.15</w:t>
            </w:r>
          </w:p>
        </w:tc>
        <w:tc>
          <w:tcPr>
            <w:tcW w:w="1100" w:type="dxa"/>
            <w:vAlign w:val="bottom"/>
            <w:shd w:val="clear" w:color="auto" w:fill="EEEEEE"/>
          </w:tcPr>
          <w:p>
            <w:pPr>
              <w:ind w:left="40"/>
              <w:spacing w:after="0"/>
              <w:rPr>
                <w:sz w:val="20"/>
                <w:szCs w:val="20"/>
                <w:color w:val="auto"/>
              </w:rPr>
            </w:pPr>
            <w:r>
              <w:rPr>
                <w:rFonts w:ascii="Arial" w:cs="Arial" w:eastAsia="Arial" w:hAnsi="Arial"/>
                <w:sz w:val="18"/>
                <w:szCs w:val="18"/>
                <w:color w:val="auto"/>
              </w:rPr>
              <w:t>Tax Forms</w:t>
            </w:r>
          </w:p>
        </w:tc>
        <w:tc>
          <w:tcPr>
            <w:tcW w:w="698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10.16</w:t>
            </w:r>
          </w:p>
        </w:tc>
        <w:tc>
          <w:tcPr>
            <w:tcW w:w="8080" w:type="dxa"/>
            <w:vAlign w:val="bottom"/>
            <w:gridSpan w:val="2"/>
          </w:tcPr>
          <w:p>
            <w:pPr>
              <w:ind w:left="40"/>
              <w:spacing w:after="0"/>
              <w:rPr>
                <w:sz w:val="20"/>
                <w:szCs w:val="20"/>
                <w:color w:val="auto"/>
              </w:rPr>
            </w:pPr>
            <w:r>
              <w:rPr>
                <w:rFonts w:ascii="Arial" w:cs="Arial" w:eastAsia="Arial" w:hAnsi="Arial"/>
                <w:sz w:val="18"/>
                <w:szCs w:val="18"/>
                <w:color w:val="auto"/>
              </w:rPr>
              <w:t>Governing Law</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10.17</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Waiver of Right to Trial by Jury</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10.18</w:t>
            </w:r>
          </w:p>
        </w:tc>
        <w:tc>
          <w:tcPr>
            <w:tcW w:w="8080" w:type="dxa"/>
            <w:vAlign w:val="bottom"/>
            <w:gridSpan w:val="2"/>
          </w:tcPr>
          <w:p>
            <w:pPr>
              <w:ind w:left="40"/>
              <w:spacing w:after="0"/>
              <w:rPr>
                <w:sz w:val="20"/>
                <w:szCs w:val="20"/>
                <w:color w:val="auto"/>
              </w:rPr>
            </w:pPr>
            <w:r>
              <w:rPr>
                <w:rFonts w:ascii="Arial" w:cs="Arial" w:eastAsia="Arial" w:hAnsi="Arial"/>
                <w:sz w:val="18"/>
                <w:szCs w:val="18"/>
                <w:color w:val="auto"/>
              </w:rPr>
              <w:t>Time of the Essence</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10.19</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Credit Rating Downgrade Event or Deposit Account Interest Non-Payment Event</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ARTICLE XI</w:t>
            </w:r>
          </w:p>
        </w:tc>
        <w:tc>
          <w:tcPr>
            <w:tcW w:w="6980" w:type="dxa"/>
            <w:vAlign w:val="bottom"/>
          </w:tcPr>
          <w:p>
            <w:pPr>
              <w:spacing w:after="0"/>
              <w:rPr>
                <w:sz w:val="20"/>
                <w:szCs w:val="20"/>
                <w:color w:val="auto"/>
              </w:rPr>
            </w:pPr>
            <w:r>
              <w:rPr>
                <w:rFonts w:ascii="Arial" w:cs="Arial" w:eastAsia="Arial" w:hAnsi="Arial"/>
                <w:sz w:val="18"/>
                <w:szCs w:val="18"/>
                <w:color w:val="auto"/>
              </w:rPr>
              <w:t>HOLDINGS GUARANTY</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11.01</w:t>
            </w:r>
          </w:p>
        </w:tc>
        <w:tc>
          <w:tcPr>
            <w:tcW w:w="1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Guaranty</w:t>
            </w:r>
          </w:p>
        </w:tc>
        <w:tc>
          <w:tcPr>
            <w:tcW w:w="698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11.02</w:t>
            </w: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Guaranty Absolute</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11.03</w:t>
            </w:r>
          </w:p>
        </w:tc>
        <w:tc>
          <w:tcPr>
            <w:tcW w:w="80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Effectiveness; Enforcement</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11.04</w:t>
            </w:r>
          </w:p>
        </w:tc>
        <w:tc>
          <w:tcPr>
            <w:tcW w:w="1100" w:type="dxa"/>
            <w:vAlign w:val="bottom"/>
          </w:tcPr>
          <w:p>
            <w:pPr>
              <w:ind w:left="20"/>
              <w:spacing w:after="0"/>
              <w:rPr>
                <w:sz w:val="20"/>
                <w:szCs w:val="20"/>
                <w:color w:val="auto"/>
              </w:rPr>
            </w:pPr>
            <w:r>
              <w:rPr>
                <w:rFonts w:ascii="Arial" w:cs="Arial" w:eastAsia="Arial" w:hAnsi="Arial"/>
                <w:sz w:val="18"/>
                <w:szCs w:val="18"/>
                <w:color w:val="auto"/>
              </w:rPr>
              <w:t>Waiver</w:t>
            </w:r>
          </w:p>
        </w:tc>
        <w:tc>
          <w:tcPr>
            <w:tcW w:w="6980" w:type="dxa"/>
            <w:vAlign w:val="bottom"/>
          </w:tcPr>
          <w:p>
            <w:pPr>
              <w:spacing w:after="0"/>
              <w:rPr>
                <w:sz w:val="18"/>
                <w:szCs w:val="18"/>
                <w:color w:val="auto"/>
              </w:rPr>
            </w:pP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11.05</w:t>
            </w:r>
          </w:p>
        </w:tc>
        <w:tc>
          <w:tcPr>
            <w:tcW w:w="1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Expenses</w:t>
            </w:r>
          </w:p>
        </w:tc>
        <w:tc>
          <w:tcPr>
            <w:tcW w:w="698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11.06</w:t>
            </w: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Concerning Joint and Several Liability of Holdings</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11.07</w:t>
            </w:r>
          </w:p>
        </w:tc>
        <w:tc>
          <w:tcPr>
            <w:tcW w:w="1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Waiver</w:t>
            </w:r>
          </w:p>
        </w:tc>
        <w:tc>
          <w:tcPr>
            <w:tcW w:w="698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740" w:type="dxa"/>
            <w:vAlign w:val="bottom"/>
          </w:tcPr>
          <w:p>
            <w:pPr>
              <w:jc w:val="center"/>
              <w:ind w:left="232"/>
              <w:spacing w:after="0"/>
              <w:rPr>
                <w:sz w:val="20"/>
                <w:szCs w:val="20"/>
                <w:color w:val="auto"/>
              </w:rPr>
            </w:pPr>
            <w:r>
              <w:rPr>
                <w:rFonts w:ascii="Arial" w:cs="Arial" w:eastAsia="Arial" w:hAnsi="Arial"/>
                <w:sz w:val="18"/>
                <w:szCs w:val="18"/>
                <w:color w:val="auto"/>
                <w:w w:val="84"/>
              </w:rPr>
              <w:t>11.08</w:t>
            </w: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Subrogation; Subordination</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11.09</w:t>
            </w:r>
          </w:p>
        </w:tc>
        <w:tc>
          <w:tcPr>
            <w:tcW w:w="80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Release of Guaranty</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840" w:type="dxa"/>
            <w:vAlign w:val="bottom"/>
            <w:gridSpan w:val="2"/>
          </w:tcPr>
          <w:p>
            <w:pPr>
              <w:jc w:val="center"/>
              <w:ind w:right="732"/>
              <w:spacing w:after="0"/>
              <w:rPr>
                <w:sz w:val="20"/>
                <w:szCs w:val="20"/>
                <w:color w:val="auto"/>
              </w:rPr>
            </w:pPr>
            <w:r>
              <w:rPr>
                <w:rFonts w:ascii="Arial" w:cs="Arial" w:eastAsia="Arial" w:hAnsi="Arial"/>
                <w:sz w:val="18"/>
                <w:szCs w:val="18"/>
                <w:color w:val="auto"/>
                <w:w w:val="98"/>
              </w:rPr>
              <w:t>ARTICLE XII</w:t>
            </w:r>
          </w:p>
        </w:tc>
        <w:tc>
          <w:tcPr>
            <w:tcW w:w="69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740" w:type="dxa"/>
            <w:vAlign w:val="bottom"/>
            <w:shd w:val="clear" w:color="auto" w:fill="EEEEEE"/>
          </w:tcPr>
          <w:p>
            <w:pPr>
              <w:jc w:val="center"/>
              <w:ind w:left="232"/>
              <w:spacing w:after="0"/>
              <w:rPr>
                <w:sz w:val="20"/>
                <w:szCs w:val="20"/>
                <w:color w:val="auto"/>
              </w:rPr>
            </w:pPr>
            <w:r>
              <w:rPr>
                <w:rFonts w:ascii="Arial" w:cs="Arial" w:eastAsia="Arial" w:hAnsi="Arial"/>
                <w:sz w:val="18"/>
                <w:szCs w:val="18"/>
                <w:color w:val="auto"/>
                <w:w w:val="84"/>
              </w:rPr>
              <w:t>12.01</w:t>
            </w:r>
          </w:p>
        </w:tc>
        <w:tc>
          <w:tcPr>
            <w:tcW w:w="80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Entire Agreement</w:t>
            </w:r>
          </w:p>
        </w:tc>
        <w:tc>
          <w:tcPr>
            <w:tcW w:w="26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88</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980" w:type="dxa"/>
            <w:vAlign w:val="bottom"/>
          </w:tcPr>
          <w:p>
            <w:pPr>
              <w:spacing w:after="0"/>
              <w:rPr>
                <w:sz w:val="19"/>
                <w:szCs w:val="19"/>
                <w:color w:val="auto"/>
              </w:rPr>
            </w:pPr>
          </w:p>
        </w:tc>
        <w:tc>
          <w:tcPr>
            <w:tcW w:w="2600" w:type="dxa"/>
            <w:vAlign w:val="bottom"/>
          </w:tcPr>
          <w:p>
            <w:pPr>
              <w:jc w:val="right"/>
              <w:ind w:right="13"/>
              <w:spacing w:after="0"/>
              <w:rPr>
                <w:sz w:val="20"/>
                <w:szCs w:val="20"/>
                <w:color w:val="auto"/>
              </w:rPr>
            </w:pPr>
            <w:r>
              <w:rPr>
                <w:rFonts w:ascii="Arial" w:cs="Arial" w:eastAsia="Arial" w:hAnsi="Arial"/>
                <w:sz w:val="18"/>
                <w:szCs w:val="18"/>
                <w:color w:val="auto"/>
              </w:rPr>
              <w:t>S-1</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SCHEDULES</w:t>
      </w:r>
    </w:p>
    <w:p>
      <w:pPr>
        <w:spacing w:after="0" w:line="200" w:lineRule="exact"/>
        <w:rPr>
          <w:sz w:val="20"/>
          <w:szCs w:val="20"/>
          <w:color w:val="auto"/>
        </w:rPr>
      </w:pPr>
    </w:p>
    <w:p>
      <w:pPr>
        <w:spacing w:after="0" w:line="274" w:lineRule="exact"/>
        <w:rPr>
          <w:sz w:val="20"/>
          <w:szCs w:val="20"/>
          <w:color w:val="auto"/>
        </w:rPr>
      </w:pPr>
    </w:p>
    <w:p>
      <w:pPr>
        <w:ind w:left="1660" w:hanging="1024"/>
        <w:spacing w:after="0"/>
        <w:tabs>
          <w:tab w:leader="none" w:pos="1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Applicable Rates; Interest on Credit-Linked Deposits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4700" w:type="dxa"/>
            <w:vAlign w:val="bottom"/>
          </w:tcPr>
          <w:p>
            <w:pPr>
              <w:ind w:left="320"/>
              <w:spacing w:after="0"/>
              <w:rPr>
                <w:sz w:val="20"/>
                <w:szCs w:val="20"/>
                <w:color w:val="auto"/>
              </w:rPr>
            </w:pPr>
            <w:r>
              <w:rPr>
                <w:rFonts w:ascii="Arial" w:cs="Arial" w:eastAsia="Arial" w:hAnsi="Arial"/>
                <w:sz w:val="18"/>
                <w:szCs w:val="18"/>
                <w:color w:val="auto"/>
              </w:rPr>
              <w:t>Existing Credits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2.01</w:t>
            </w:r>
          </w:p>
        </w:tc>
        <w:tc>
          <w:tcPr>
            <w:tcW w:w="4700" w:type="dxa"/>
            <w:vAlign w:val="bottom"/>
          </w:tcPr>
          <w:p>
            <w:pPr>
              <w:ind w:left="320"/>
              <w:spacing w:after="0"/>
              <w:rPr>
                <w:sz w:val="20"/>
                <w:szCs w:val="20"/>
                <w:color w:val="auto"/>
              </w:rPr>
            </w:pPr>
            <w:r>
              <w:rPr>
                <w:rFonts w:ascii="Arial" w:cs="Arial" w:eastAsia="Arial" w:hAnsi="Arial"/>
                <w:sz w:val="18"/>
                <w:szCs w:val="18"/>
                <w:color w:val="auto"/>
              </w:rPr>
              <w:t>Credit-Linked Deposits and Pro Rata Shares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5.04</w:t>
            </w:r>
          </w:p>
        </w:tc>
        <w:tc>
          <w:tcPr>
            <w:tcW w:w="4700" w:type="dxa"/>
            <w:vAlign w:val="bottom"/>
          </w:tcPr>
          <w:p>
            <w:pPr>
              <w:ind w:left="320"/>
              <w:spacing w:after="0"/>
              <w:rPr>
                <w:sz w:val="20"/>
                <w:szCs w:val="20"/>
                <w:color w:val="auto"/>
              </w:rPr>
            </w:pPr>
            <w:r>
              <w:rPr>
                <w:rFonts w:ascii="Arial" w:cs="Arial" w:eastAsia="Arial" w:hAnsi="Arial"/>
                <w:sz w:val="18"/>
                <w:szCs w:val="18"/>
                <w:color w:val="auto"/>
                <w:w w:val="88"/>
              </w:rPr>
              <w:t>Organization and Ownership Shares of Subsidiaries; Affiliates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5.05</w:t>
            </w:r>
          </w:p>
        </w:tc>
        <w:tc>
          <w:tcPr>
            <w:tcW w:w="4700" w:type="dxa"/>
            <w:vAlign w:val="bottom"/>
          </w:tcPr>
          <w:p>
            <w:pPr>
              <w:ind w:left="320"/>
              <w:spacing w:after="0"/>
              <w:rPr>
                <w:sz w:val="20"/>
                <w:szCs w:val="20"/>
                <w:color w:val="auto"/>
              </w:rPr>
            </w:pPr>
            <w:r>
              <w:rPr>
                <w:rFonts w:ascii="Arial" w:cs="Arial" w:eastAsia="Arial" w:hAnsi="Arial"/>
                <w:sz w:val="18"/>
                <w:szCs w:val="18"/>
                <w:color w:val="auto"/>
              </w:rPr>
              <w:t>Financial Statements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5.08</w:t>
            </w:r>
          </w:p>
        </w:tc>
        <w:tc>
          <w:tcPr>
            <w:tcW w:w="4700" w:type="dxa"/>
            <w:vAlign w:val="bottom"/>
          </w:tcPr>
          <w:p>
            <w:pPr>
              <w:ind w:left="320"/>
              <w:spacing w:after="0"/>
              <w:rPr>
                <w:sz w:val="20"/>
                <w:szCs w:val="20"/>
                <w:color w:val="auto"/>
              </w:rPr>
            </w:pPr>
            <w:r>
              <w:rPr>
                <w:rFonts w:ascii="Arial" w:cs="Arial" w:eastAsia="Arial" w:hAnsi="Arial"/>
                <w:sz w:val="18"/>
                <w:szCs w:val="18"/>
                <w:color w:val="auto"/>
                <w:w w:val="92"/>
              </w:rPr>
              <w:t>Litigation; Observance of Agreements, Statutes and Orders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5.11</w:t>
            </w:r>
          </w:p>
        </w:tc>
        <w:tc>
          <w:tcPr>
            <w:tcW w:w="4700" w:type="dxa"/>
            <w:vAlign w:val="bottom"/>
          </w:tcPr>
          <w:p>
            <w:pPr>
              <w:ind w:left="320"/>
              <w:spacing w:after="0"/>
              <w:rPr>
                <w:sz w:val="20"/>
                <w:szCs w:val="20"/>
                <w:color w:val="auto"/>
              </w:rPr>
            </w:pPr>
            <w:r>
              <w:rPr>
                <w:rFonts w:ascii="Arial" w:cs="Arial" w:eastAsia="Arial" w:hAnsi="Arial"/>
                <w:sz w:val="18"/>
                <w:szCs w:val="18"/>
                <w:color w:val="auto"/>
              </w:rPr>
              <w:t>Licenses, Permits, etc.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5.15</w:t>
            </w:r>
          </w:p>
        </w:tc>
        <w:tc>
          <w:tcPr>
            <w:tcW w:w="4700" w:type="dxa"/>
            <w:vAlign w:val="bottom"/>
          </w:tcPr>
          <w:p>
            <w:pPr>
              <w:ind w:left="320"/>
              <w:spacing w:after="0"/>
              <w:rPr>
                <w:sz w:val="20"/>
                <w:szCs w:val="20"/>
                <w:color w:val="auto"/>
              </w:rPr>
            </w:pPr>
            <w:r>
              <w:rPr>
                <w:rFonts w:ascii="Arial" w:cs="Arial" w:eastAsia="Arial" w:hAnsi="Arial"/>
                <w:sz w:val="18"/>
                <w:szCs w:val="18"/>
                <w:color w:val="auto"/>
              </w:rPr>
              <w:t>Existing Indebtedness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5.17</w:t>
            </w:r>
          </w:p>
        </w:tc>
        <w:tc>
          <w:tcPr>
            <w:tcW w:w="4700" w:type="dxa"/>
            <w:vAlign w:val="bottom"/>
          </w:tcPr>
          <w:p>
            <w:pPr>
              <w:ind w:left="320"/>
              <w:spacing w:after="0"/>
              <w:rPr>
                <w:sz w:val="20"/>
                <w:szCs w:val="20"/>
                <w:color w:val="auto"/>
              </w:rPr>
            </w:pPr>
            <w:r>
              <w:rPr>
                <w:rFonts w:ascii="Arial" w:cs="Arial" w:eastAsia="Arial" w:hAnsi="Arial"/>
                <w:sz w:val="18"/>
                <w:szCs w:val="18"/>
                <w:color w:val="auto"/>
              </w:rPr>
              <w:t>Status under Certain Statutes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7.03</w:t>
            </w:r>
          </w:p>
        </w:tc>
        <w:tc>
          <w:tcPr>
            <w:tcW w:w="4700" w:type="dxa"/>
            <w:vAlign w:val="bottom"/>
          </w:tcPr>
          <w:p>
            <w:pPr>
              <w:ind w:left="320"/>
              <w:spacing w:after="0"/>
              <w:rPr>
                <w:sz w:val="20"/>
                <w:szCs w:val="20"/>
                <w:color w:val="auto"/>
              </w:rPr>
            </w:pPr>
            <w:r>
              <w:rPr>
                <w:rFonts w:ascii="Arial" w:cs="Arial" w:eastAsia="Arial" w:hAnsi="Arial"/>
                <w:sz w:val="18"/>
                <w:szCs w:val="18"/>
                <w:color w:val="auto"/>
              </w:rPr>
              <w:t>Liens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10.02</w:t>
            </w:r>
          </w:p>
        </w:tc>
        <w:tc>
          <w:tcPr>
            <w:tcW w:w="4700" w:type="dxa"/>
            <w:vAlign w:val="bottom"/>
          </w:tcPr>
          <w:p>
            <w:pPr>
              <w:ind w:left="320"/>
              <w:spacing w:after="0"/>
              <w:rPr>
                <w:sz w:val="20"/>
                <w:szCs w:val="20"/>
                <w:color w:val="auto"/>
              </w:rPr>
            </w:pPr>
            <w:r>
              <w:rPr>
                <w:rFonts w:ascii="Arial" w:cs="Arial" w:eastAsia="Arial" w:hAnsi="Arial"/>
                <w:sz w:val="18"/>
                <w:szCs w:val="18"/>
                <w:color w:val="auto"/>
                <w:w w:val="90"/>
              </w:rPr>
              <w:t>Administrative Agent’s Office; Certain Addresses for Notices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7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640" w:hanging="977"/>
        <w:spacing w:after="0"/>
        <w:tabs>
          <w:tab w:leader="none" w:pos="1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Request for Credit Extension</w:t>
      </w:r>
    </w:p>
    <w:p>
      <w:pPr>
        <w:spacing w:after="0" w:line="225" w:lineRule="exact"/>
        <w:rPr>
          <w:sz w:val="20"/>
          <w:szCs w:val="20"/>
          <w:color w:val="auto"/>
        </w:rPr>
      </w:pPr>
    </w:p>
    <w:p>
      <w:pPr>
        <w:ind w:left="1640" w:hanging="977"/>
        <w:spacing w:after="0"/>
        <w:tabs>
          <w:tab w:leader="none" w:pos="1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C-1</w:t>
            </w:r>
          </w:p>
        </w:tc>
        <w:tc>
          <w:tcPr>
            <w:tcW w:w="9560" w:type="dxa"/>
            <w:vAlign w:val="bottom"/>
          </w:tcPr>
          <w:p>
            <w:pPr>
              <w:ind w:left="360"/>
              <w:spacing w:after="0"/>
              <w:rPr>
                <w:sz w:val="20"/>
                <w:szCs w:val="20"/>
                <w:color w:val="auto"/>
              </w:rPr>
            </w:pPr>
            <w:r>
              <w:rPr>
                <w:rFonts w:ascii="Arial" w:cs="Arial" w:eastAsia="Arial" w:hAnsi="Arial"/>
                <w:sz w:val="18"/>
                <w:szCs w:val="18"/>
                <w:color w:val="auto"/>
              </w:rPr>
              <w:t>Opinion of Internal Counsel to the Company and Holdings</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C-2</w:t>
            </w:r>
          </w:p>
        </w:tc>
        <w:tc>
          <w:tcPr>
            <w:tcW w:w="9560" w:type="dxa"/>
            <w:vAlign w:val="bottom"/>
          </w:tcPr>
          <w:p>
            <w:pPr>
              <w:ind w:left="360"/>
              <w:spacing w:after="0"/>
              <w:rPr>
                <w:sz w:val="20"/>
                <w:szCs w:val="20"/>
                <w:color w:val="auto"/>
              </w:rPr>
            </w:pPr>
            <w:r>
              <w:rPr>
                <w:rFonts w:ascii="Arial" w:cs="Arial" w:eastAsia="Arial" w:hAnsi="Arial"/>
                <w:sz w:val="18"/>
                <w:szCs w:val="18"/>
                <w:color w:val="auto"/>
              </w:rPr>
              <w:t>Opinion of Morrison &amp; Foerster LLP, counsel to the Administrative Agent and the Issuer</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C-3</w:t>
            </w:r>
          </w:p>
        </w:tc>
        <w:tc>
          <w:tcPr>
            <w:tcW w:w="9560" w:type="dxa"/>
            <w:vAlign w:val="bottom"/>
          </w:tcPr>
          <w:p>
            <w:pPr>
              <w:ind w:left="360"/>
              <w:spacing w:after="0"/>
              <w:rPr>
                <w:sz w:val="20"/>
                <w:szCs w:val="20"/>
                <w:color w:val="auto"/>
              </w:rPr>
            </w:pPr>
            <w:r>
              <w:rPr>
                <w:rFonts w:ascii="Arial" w:cs="Arial" w:eastAsia="Arial" w:hAnsi="Arial"/>
                <w:sz w:val="18"/>
                <w:szCs w:val="18"/>
                <w:color w:val="auto"/>
                <w:w w:val="89"/>
              </w:rPr>
              <w:t>Opinion of Assistant General Counsel of Bank of America Legal Department, internal counsel to the Administrative Agent and the</w:t>
            </w:r>
          </w:p>
        </w:tc>
      </w:tr>
      <w:tr>
        <w:trPr>
          <w:trHeight w:val="222"/>
        </w:trPr>
        <w:tc>
          <w:tcPr>
            <w:tcW w:w="62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8"/>
                <w:szCs w:val="18"/>
                <w:color w:val="auto"/>
              </w:rPr>
              <w:t>Issuer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C-4</w:t>
            </w:r>
          </w:p>
        </w:tc>
        <w:tc>
          <w:tcPr>
            <w:tcW w:w="9560" w:type="dxa"/>
            <w:vAlign w:val="bottom"/>
          </w:tcPr>
          <w:p>
            <w:pPr>
              <w:ind w:left="360"/>
              <w:spacing w:after="0"/>
              <w:rPr>
                <w:sz w:val="20"/>
                <w:szCs w:val="20"/>
                <w:color w:val="auto"/>
              </w:rPr>
            </w:pPr>
            <w:r>
              <w:rPr>
                <w:rFonts w:ascii="Arial" w:cs="Arial" w:eastAsia="Arial" w:hAnsi="Arial"/>
                <w:sz w:val="18"/>
                <w:szCs w:val="18"/>
                <w:color w:val="auto"/>
              </w:rPr>
              <w:t>Opinion of Special Counsel to the Lenders</w:t>
            </w:r>
          </w:p>
        </w:tc>
      </w:tr>
    </w:tbl>
    <w:p>
      <w:pPr>
        <w:spacing w:after="0" w:line="210" w:lineRule="exact"/>
        <w:rPr>
          <w:sz w:val="20"/>
          <w:szCs w:val="20"/>
          <w:color w:val="auto"/>
        </w:rPr>
      </w:pPr>
    </w:p>
    <w:p>
      <w:pPr>
        <w:ind w:left="1640" w:hanging="977"/>
        <w:spacing w:after="0"/>
        <w:tabs>
          <w:tab w:leader="none" w:pos="1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Letter of Credit Linked Note</w:t>
      </w:r>
    </w:p>
    <w:p>
      <w:pPr>
        <w:spacing w:after="0" w:line="225" w:lineRule="exact"/>
        <w:rPr>
          <w:sz w:val="20"/>
          <w:szCs w:val="20"/>
          <w:color w:val="auto"/>
        </w:rPr>
      </w:pPr>
    </w:p>
    <w:p>
      <w:pPr>
        <w:ind w:left="1640" w:hanging="977"/>
        <w:spacing w:after="0"/>
        <w:tabs>
          <w:tab w:leader="none" w:pos="1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Request for Term Loans</w:t>
      </w:r>
    </w:p>
    <w:p>
      <w:pPr>
        <w:spacing w:after="0" w:line="225" w:lineRule="exact"/>
        <w:rPr>
          <w:sz w:val="20"/>
          <w:szCs w:val="20"/>
          <w:color w:val="auto"/>
        </w:rPr>
      </w:pPr>
    </w:p>
    <w:p>
      <w:pPr>
        <w:ind w:left="1640" w:hanging="977"/>
        <w:spacing w:after="0"/>
        <w:tabs>
          <w:tab w:leader="none" w:pos="1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Term Note</w:t>
      </w:r>
    </w:p>
    <w:p>
      <w:pPr>
        <w:spacing w:after="0" w:line="225" w:lineRule="exact"/>
        <w:rPr>
          <w:sz w:val="20"/>
          <w:szCs w:val="20"/>
          <w:color w:val="auto"/>
        </w:rPr>
      </w:pPr>
    </w:p>
    <w:p>
      <w:pPr>
        <w:ind w:left="1640" w:hanging="977"/>
        <w:spacing w:after="0"/>
        <w:tabs>
          <w:tab w:leader="none" w:pos="1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Money Market Account Agreement</w:t>
      </w:r>
    </w:p>
    <w:p>
      <w:pPr>
        <w:spacing w:after="0" w:line="225" w:lineRule="exact"/>
        <w:rPr>
          <w:sz w:val="20"/>
          <w:szCs w:val="20"/>
          <w:color w:val="auto"/>
        </w:rPr>
      </w:pPr>
    </w:p>
    <w:p>
      <w:pPr>
        <w:ind w:left="1640" w:hanging="977"/>
        <w:spacing w:after="0"/>
        <w:tabs>
          <w:tab w:leader="none" w:pos="1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Term Note Opinion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TEN YEAR LETTER OF CREDIT AND TERM LOAN AGREEMENT</w:t>
      </w:r>
    </w:p>
    <w:p>
      <w:pPr>
        <w:spacing w:after="0" w:line="231" w:lineRule="exact"/>
        <w:rPr>
          <w:sz w:val="20"/>
          <w:szCs w:val="20"/>
          <w:color w:val="auto"/>
        </w:rPr>
      </w:pPr>
    </w:p>
    <w:p>
      <w:pPr>
        <w:ind w:right="80" w:firstLine="216"/>
        <w:spacing w:after="0" w:line="294" w:lineRule="auto"/>
        <w:rPr>
          <w:sz w:val="20"/>
          <w:szCs w:val="20"/>
          <w:color w:val="auto"/>
        </w:rPr>
      </w:pPr>
      <w:r>
        <w:rPr>
          <w:rFonts w:ascii="Arial" w:cs="Arial" w:eastAsia="Arial" w:hAnsi="Arial"/>
          <w:sz w:val="16"/>
          <w:szCs w:val="16"/>
          <w:color w:val="auto"/>
        </w:rPr>
        <w:t>This TEN YEAR LETTER OF CREDIT AND TERM LOAN AGREEMENT (“Agreement”) is entered into as of June 30, 2003, among WASTE MANAGEMENT, INC., a Delaware corporation (the “Company”), WASTE MANAGEMENT HOLDINGS, INC., a Delaware corporation and wholly-owned Subsidiary of the Company (“Holdings”) (executing this Agreement for the limited purposes set forth in Article XI hereof), BANK OF AMERICA, N.A., as issuer of letters of credit (the “Issuer”), the financial institutions having a Credit-Linked Deposit set forth opposite their names on Schedule 2.01 hereto under the heading “Credit-Linked Deposit” (collectively, the “Lenders” and individually, a “Lender”), and BANK OF AMERICA, N.A., as Administrative Agent.</w:t>
      </w:r>
    </w:p>
    <w:p>
      <w:pPr>
        <w:spacing w:after="0" w:line="170" w:lineRule="exact"/>
        <w:rPr>
          <w:sz w:val="20"/>
          <w:szCs w:val="20"/>
          <w:color w:val="auto"/>
        </w:rPr>
      </w:pPr>
    </w:p>
    <w:p>
      <w:pPr>
        <w:ind w:right="200" w:firstLine="216"/>
        <w:spacing w:after="0" w:line="268" w:lineRule="auto"/>
        <w:rPr>
          <w:sz w:val="20"/>
          <w:szCs w:val="20"/>
          <w:color w:val="auto"/>
        </w:rPr>
      </w:pPr>
      <w:r>
        <w:rPr>
          <w:rFonts w:ascii="Arial" w:cs="Arial" w:eastAsia="Arial" w:hAnsi="Arial"/>
          <w:sz w:val="18"/>
          <w:szCs w:val="18"/>
          <w:color w:val="auto"/>
        </w:rPr>
        <w:t>The Company has requested that the Issuer and the Lenders provide a letter of credit facility, and the Issuer and the Lenders are willing to do so on the terms and conditions set forth herein.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Consolidated EBITDA” means for any period, the total of the following calculated without duplication on a consolidated basis for such period:</w:t>
      </w:r>
    </w:p>
    <w:p>
      <w:pPr>
        <w:spacing w:after="0" w:line="38" w:lineRule="exact"/>
        <w:rPr>
          <w:sz w:val="20"/>
          <w:szCs w:val="20"/>
          <w:color w:val="auto"/>
        </w:rPr>
      </w:pPr>
    </w:p>
    <w:p>
      <w:pPr>
        <w:ind w:right="80" w:firstLine="8"/>
        <w:spacing w:after="0" w:line="287" w:lineRule="auto"/>
        <w:tabs>
          <w:tab w:leader="none" w:pos="21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Consolidated EBITDA, plus (ii) on a pro forma basis, the EBITDA of each Person acquired, or, as applicable, the EBITDA attributable to the assets acquired from any Person, by the Company or any Restricted Subsidiary in the subject period, for any portion of such subject period occurring prior to the date of the acquisition by the Company or any Restricted Subsidiary of such Person or related assets; provided, further, that any calculation pursuant to clause (ii) above of pro forma EBITDA for any subject period which gives effect to asset acquisitions and/or stock purchases during the subject period on a pro forma basis as provided above shall in any event be determined by the Company in accordance with sound financial practice in accordance with GAAP and on the basis, to the extent available, of appropriate financial statements and tax returns for the applicable period, and shall be set forth in a certificate of a Senior Financial Officer of the Company accompanied by calculations in reasonable detail showing the manner of determination thereof, which certificate shall be furnished to the Administrative Agent, the Issuer and each Lender not later than the certificate required to be furnished by the Company in respect of the fiscal period in which such date of determination occurs pursuant to Section 6.02 of this Agreement.</w:t>
      </w:r>
    </w:p>
    <w:p>
      <w:pPr>
        <w:spacing w:after="0" w:line="174"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“Administrative Agent” means Bank of America in its capacity as administrative agent under any of the Credit Documents, or any successor administrative agent.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right="160" w:firstLine="220"/>
        <w:spacing w:after="0" w:line="332" w:lineRule="auto"/>
        <w:rPr>
          <w:sz w:val="20"/>
          <w:szCs w:val="20"/>
          <w:color w:val="auto"/>
        </w:rPr>
      </w:pPr>
      <w:r>
        <w:rPr>
          <w:rFonts w:ascii="Arial" w:cs="Arial" w:eastAsia="Arial" w:hAnsi="Arial"/>
          <w:sz w:val="16"/>
          <w:szCs w:val="16"/>
          <w:color w:val="auto"/>
        </w:rPr>
        <w:t>“Administrative Agent’s Office” means the Administrative Agent’s address and, as appropriate, account as set forth on Schedule 10.02, or such other address or account as the Administrative Agent may from time to time specify by notice to the Company, the Issuer and the Lenders.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Questionnaire” means an Administrative Questionnaire in a form supplied by the Administrative Agent.</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“Advance” means, with respect to each Lender, such Lender’s funding of its participation in any Borrowing (other than Term Loans) in accordance with its Pro Rata Share.</w:t>
      </w:r>
    </w:p>
    <w:p>
      <w:pPr>
        <w:spacing w:after="0" w:line="186" w:lineRule="exact"/>
        <w:rPr>
          <w:sz w:val="20"/>
          <w:szCs w:val="20"/>
          <w:color w:val="auto"/>
        </w:rPr>
      </w:pPr>
    </w:p>
    <w:p>
      <w:pPr>
        <w:ind w:right="80" w:firstLine="220"/>
        <w:spacing w:after="0" w:line="288" w:lineRule="auto"/>
        <w:rPr>
          <w:sz w:val="20"/>
          <w:szCs w:val="20"/>
          <w:color w:val="auto"/>
        </w:rPr>
      </w:pPr>
      <w:r>
        <w:rPr>
          <w:rFonts w:ascii="Arial" w:cs="Arial" w:eastAsia="Arial" w:hAnsi="Arial"/>
          <w:sz w:val="16"/>
          <w:szCs w:val="16"/>
          <w:color w:val="auto"/>
        </w:rPr>
        <w:t>“Affiliate” means, at any time, (a) with respect to the Company and each of its Restricted Subsidiaries, any Person (other than the Company and each of its Restricted Subsidiaries) that at such time directly or indirectly through one or more intermediaries Controls, or is Controlled by, or is under common Control with, the Company, (b) with respect to any Person (other than the Company and each of its Restricted Subsidiaries), any other Person that at such time directly or indirectly through one or more intermediaries Controls, or is Controlled by, or is under common Control with, such first Person, and (c) any Person beneficially owning or holding, directly or indirectly, 10% or more of any class of voting or equity interests of the Company or any Subsidiary of the Company or any corporation of which the Company and its Subsidiaries beneficially own or hold, in the aggregate, directly or indirectly, 10%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Indemnified Liabilities” has the meaning specified in Section 9.07.</w:t>
      </w:r>
    </w:p>
    <w:p>
      <w:pPr>
        <w:spacing w:after="0" w:line="225"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“Agent-Related Persons” means the Administrative Agent or the Issuer, together with its Affiliates (including, in the case of Bank of America in its capacity as the Administrative Agent, BAS), and the officers, directors, employees, agents and attorneys-in-fact of such Persons and Affiliates.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“Agreement” means this Ten Year Letter of Credit and Term Loan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Rate” has the meaning set forth on Schedule A annexed hereto.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“Arranger” means BAS, in its capacity as sole lead arranger and sole book manager.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“Assignment and Assumption” means an Assignment and Assumption substantially in the form of Exhibit 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“Attorney Costs” means and includes all fees, expenses and disbursements of any law firm or other external counsel.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4" w:name="page85"/>
    <w:bookmarkEnd w:id="84"/>
    <w:p>
      <w:pPr>
        <w:ind w:right="380" w:firstLine="220"/>
        <w:spacing w:after="0" w:line="259" w:lineRule="auto"/>
        <w:rPr>
          <w:sz w:val="20"/>
          <w:szCs w:val="20"/>
          <w:color w:val="auto"/>
        </w:rPr>
      </w:pPr>
      <w:r>
        <w:rPr>
          <w:rFonts w:ascii="Arial" w:cs="Arial" w:eastAsia="Arial" w:hAnsi="Arial"/>
          <w:sz w:val="18"/>
          <w:szCs w:val="18"/>
          <w:color w:val="auto"/>
        </w:rPr>
        <w:t>“Audited Financial Statements” means the audited consolidated balance sheet of the Company and its Subsidiaries for the fiscal year ended December 31, 2002, and the related consolidated statements of income or operations, shareholders’ equity and cash flows for such fiscal year of the Company and its Subsidiaries, including the notes thereto.</w:t>
      </w:r>
    </w:p>
    <w:p>
      <w:pPr>
        <w:spacing w:after="0" w:line="194"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“Authorized Representative” means any employee of a Credit Party involved principally in the financial administration, controllership or treasury function of such Credit Party who is authorized or designated as an Authorized Representative, as evidenced by the certificate delivered pursuant to Section 4.01(a)(iv) or from time to time by a certificate delivered by a Senior Financial Officer of such Credit Party to the Administrative Agent in form and substance satisfactory to it. Any document delivered hereunder that is signed by an Authorized Representative of a Credit Party shall be conclusively presumed to have been authorized by all necessary corporate action on the part of such Credit Party and such Authorized Representative shall be conclusively presumed to have acted on behalf of such Credit Party.</w:t>
      </w:r>
    </w:p>
    <w:p>
      <w:pPr>
        <w:spacing w:after="0" w:line="198"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“Auto-Reinstating Credit” means any Credit containing any provisions providing for automatic reinstatement of the stated amount after any drawing thereunder.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“Auto-Renewal Credit” has the meaning specified in Section 2.01(b)(iii).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“Bank of America” means Bank of America, N.A. and its successors.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 means Banc of America Securities LLC.</w:t>
      </w:r>
    </w:p>
    <w:p>
      <w:pPr>
        <w:spacing w:after="0" w:line="225" w:lineRule="exact"/>
        <w:rPr>
          <w:sz w:val="20"/>
          <w:szCs w:val="20"/>
          <w:color w:val="auto"/>
        </w:rPr>
      </w:pPr>
    </w:p>
    <w:p>
      <w:pPr>
        <w:ind w:right="180" w:firstLine="220"/>
        <w:spacing w:after="0" w:line="294" w:lineRule="auto"/>
        <w:rPr>
          <w:sz w:val="20"/>
          <w:szCs w:val="20"/>
          <w:color w:val="auto"/>
        </w:rPr>
      </w:pPr>
      <w:r>
        <w:rPr>
          <w:rFonts w:ascii="Arial" w:cs="Arial" w:eastAsia="Arial" w:hAnsi="Arial"/>
          <w:sz w:val="16"/>
          <w:szCs w:val="16"/>
          <w:color w:val="auto"/>
        </w:rPr>
        <w:t>“Base Rate” means for any day a fluctuating rate per annum equal to the higher of (a) the Federal Funds Rate plus 1/2 of 1% and (b) the rate of interest in effect for such day as publicly announced from time to time by Bank of America as its “prime rate.” Such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“Beneficial Ownership” has the meaning set forth in Rule 13d-3 promulgated by the SEC under the Securities Exchange Act.</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“Borrowing” means, without duplication, an extension of credit resulting from a drawing under any Credit which has not been reimbursed on the applicable Reimbursement Date, including the making of Advances, or the making of a Term Loan, as the context may require.</w:t>
      </w:r>
    </w:p>
    <w:p>
      <w:pPr>
        <w:spacing w:after="0" w:line="186"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“Business Day” means any day other than a Saturday, Sunday or other day on which commercial banks are authorized to close under the Laws of, or are in fact closed in, New York or Dallas, or (if the Administrative Agent’s Office is not located in New York or Dallas) the state where the Administrative Agent’s Office is located, and, if such day relates to the Credit-Linked Deposit Account or any LIBO Rate Term Loan or LIBO Rate Advance, means any such day on which dealings in Dollar deposits are conducted by and between banks in the London interbank eurodollar market.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5" w:name="page86"/>
    <w:bookmarkEnd w:id="85"/>
    <w:p>
      <w:pPr>
        <w:ind w:right="180" w:firstLine="220"/>
        <w:spacing w:after="0" w:line="332" w:lineRule="auto"/>
        <w:rPr>
          <w:sz w:val="20"/>
          <w:szCs w:val="20"/>
          <w:color w:val="auto"/>
        </w:rPr>
      </w:pPr>
      <w:r>
        <w:rPr>
          <w:rFonts w:ascii="Arial" w:cs="Arial" w:eastAsia="Arial" w:hAnsi="Arial"/>
          <w:sz w:val="16"/>
          <w:szCs w:val="16"/>
          <w:color w:val="auto"/>
        </w:rPr>
        <w:t>“Capital Leases” or “Capitalized Leases” means leases under which the Company or any of its Restricted Subsidiaries is the lessee or obligor, the discounted future rental payments under which are required to be capitalized on the balance sheet of the lessee or obligor in accordance with GAAP.</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 has the meaning specified in Section 2.02.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Collateralize” has the meaning specified in Section 2.02.</w:t>
      </w:r>
    </w:p>
    <w:p>
      <w:pPr>
        <w:spacing w:after="0" w:line="225"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“Closing Date” means the first date all the conditions precedent in Section 4.01 are satisfied or waived in accordance with Section 4.01 (or, in the case of Section 4.01(b), waived by the Person entitled to receive the applicable payment).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“Code” means the Internal Revenue Code of 1986, as amended from time to time, and the rules and regulations promulgated thereunder from time to time.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“Company” has the meaning specified in the introductory paragraph hereto.</w:t>
      </w:r>
    </w:p>
    <w:p>
      <w:pPr>
        <w:spacing w:after="0" w:line="225"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color w:val="auto"/>
        </w:rPr>
        <w:t>“Consolidated Debt” means, as of any date of determination, the total of all Indebtedness of the Company and its Restricted Subsidiaries determined on a consolidated basis in accordance with GAAP.</w:t>
      </w:r>
    </w:p>
    <w:p>
      <w:pPr>
        <w:spacing w:after="0" w:line="186" w:lineRule="exact"/>
        <w:rPr>
          <w:sz w:val="20"/>
          <w:szCs w:val="20"/>
          <w:color w:val="auto"/>
        </w:rPr>
      </w:pPr>
    </w:p>
    <w:p>
      <w:pPr>
        <w:ind w:right="180" w:firstLine="220"/>
        <w:spacing w:after="0" w:line="256" w:lineRule="auto"/>
        <w:rPr>
          <w:sz w:val="20"/>
          <w:szCs w:val="20"/>
          <w:color w:val="auto"/>
        </w:rPr>
      </w:pPr>
      <w:r>
        <w:rPr>
          <w:rFonts w:ascii="Arial" w:cs="Arial" w:eastAsia="Arial" w:hAnsi="Arial"/>
          <w:sz w:val="18"/>
          <w:szCs w:val="18"/>
          <w:color w:val="auto"/>
        </w:rPr>
        <w:t>“Consolidated EBITDA” means, for any period, Consolidated Net Income or Consolidated Net Loss, as the case may be, for such period, plus the sum of (a) interest expense; (b) income tax expense; (c) depletion and depreciation expense; and (d) amortization expense; in each case, which were deductible in determining Consolidated Net Income or Consolidated Net Loss for such period, determined on a consolidated basis for the Company and its Restricted Subsidiaries in accordance with GAAP.</w:t>
      </w:r>
    </w:p>
    <w:p>
      <w:pPr>
        <w:spacing w:after="0" w:line="197"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“Consolidated Net Income or Consolidated Net Loss” means, respectively, for any period, the net income or loss for such period determined on a consolidated basis for the Company and its Restricted Subsidiaries in accordance with GAAP.</w:t>
      </w:r>
    </w:p>
    <w:p>
      <w:pPr>
        <w:spacing w:after="0" w:line="186" w:lineRule="exact"/>
        <w:rPr>
          <w:sz w:val="20"/>
          <w:szCs w:val="20"/>
          <w:color w:val="auto"/>
        </w:rPr>
      </w:pPr>
    </w:p>
    <w:p>
      <w:pPr>
        <w:ind w:right="520" w:firstLine="220"/>
        <w:spacing w:after="0" w:line="268" w:lineRule="auto"/>
        <w:rPr>
          <w:sz w:val="20"/>
          <w:szCs w:val="20"/>
          <w:color w:val="auto"/>
        </w:rPr>
      </w:pPr>
      <w:r>
        <w:rPr>
          <w:rFonts w:ascii="Arial" w:cs="Arial" w:eastAsia="Arial" w:hAnsi="Arial"/>
          <w:sz w:val="18"/>
          <w:szCs w:val="18"/>
          <w:color w:val="auto"/>
        </w:rPr>
        <w:t>“Consolidated Net Worth” means, as of any date of determination, the consolidated stockholders’ equity of the Company and its Restricted Subsidiaries (excluding any amounts attributable to mandatorily redeemable Preferred Stock) determined as of such date.</w:t>
      </w:r>
    </w:p>
    <w:p>
      <w:pPr>
        <w:spacing w:after="0" w:line="186" w:lineRule="exact"/>
        <w:rPr>
          <w:sz w:val="20"/>
          <w:szCs w:val="20"/>
          <w:color w:val="auto"/>
        </w:rPr>
      </w:pPr>
    </w:p>
    <w:p>
      <w:pPr>
        <w:ind w:right="300" w:firstLine="220"/>
        <w:spacing w:after="0" w:line="332" w:lineRule="auto"/>
        <w:rPr>
          <w:sz w:val="20"/>
          <w:szCs w:val="20"/>
          <w:color w:val="auto"/>
        </w:rPr>
      </w:pPr>
      <w:r>
        <w:rPr>
          <w:rFonts w:ascii="Arial" w:cs="Arial" w:eastAsia="Arial" w:hAnsi="Arial"/>
          <w:sz w:val="16"/>
          <w:szCs w:val="16"/>
          <w:color w:val="auto"/>
        </w:rPr>
        <w:t>“Consolidated Tangible Assets” means, as of any date of determination, Consolidated Total Assets less the sum of (i) Intangible Assets and (ii) all amounts representing write-up in the book value of any assets of the Company and its Restricted Subsidiaries resulting from a revaluation thereof.</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“Consolidated Total Assets” means all assets of the Company and its Restricted Subsidiaries determined on a consolidated basis in accordance with GAAP.</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6" w:name="page87"/>
    <w:bookmarkEnd w:id="86"/>
    <w:p>
      <w:pPr>
        <w:ind w:right="440" w:firstLine="220"/>
        <w:spacing w:after="0" w:line="268" w:lineRule="auto"/>
        <w:rPr>
          <w:sz w:val="20"/>
          <w:szCs w:val="20"/>
          <w:color w:val="auto"/>
        </w:rPr>
      </w:pPr>
      <w:r>
        <w:rPr>
          <w:rFonts w:ascii="Arial" w:cs="Arial" w:eastAsia="Arial" w:hAnsi="Arial"/>
          <w:sz w:val="18"/>
          <w:szCs w:val="18"/>
          <w:color w:val="auto"/>
        </w:rPr>
        <w:t>“Credit” means any standby letter of credit issued or outstanding hereunder (including a so-called “direct pay” standby letter of credit) that is a Permitted Credit and shall include the Existing Credits.</w:t>
      </w:r>
    </w:p>
    <w:p>
      <w:pPr>
        <w:spacing w:after="0" w:line="186" w:lineRule="exact"/>
        <w:rPr>
          <w:sz w:val="20"/>
          <w:szCs w:val="20"/>
          <w:color w:val="auto"/>
        </w:rPr>
      </w:pPr>
    </w:p>
    <w:p>
      <w:pPr>
        <w:ind w:right="280" w:firstLine="220"/>
        <w:spacing w:after="0" w:line="256" w:lineRule="auto"/>
        <w:rPr>
          <w:sz w:val="20"/>
          <w:szCs w:val="20"/>
          <w:color w:val="auto"/>
        </w:rPr>
      </w:pPr>
      <w:r>
        <w:rPr>
          <w:rFonts w:ascii="Arial" w:cs="Arial" w:eastAsia="Arial" w:hAnsi="Arial"/>
          <w:sz w:val="18"/>
          <w:szCs w:val="18"/>
          <w:color w:val="auto"/>
        </w:rPr>
        <w:t>“Credit Documents” means this Agreement, the Fee Letter, each Request for Credit Extension, each Issuer Document, each Request for Term Loan, each Letter of Credit Linked Note and each Term Note and each other document, instrument or agreement from time to time executed by the Company or any of its Subsidiaries, Holdings, or any secretary, assistant secretary, Responsible Officer or Authorized Representative thereof and delivered in connection with this Agreement.</w:t>
      </w:r>
    </w:p>
    <w:p>
      <w:pPr>
        <w:spacing w:after="0" w:line="197"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“Credit Expiration Date” means the day that is seven (7) Business Days prior to the Maturity Date (or, if such day is not a Business Day, the next preceding Business Day).</w:t>
      </w:r>
    </w:p>
    <w:p>
      <w:pPr>
        <w:spacing w:after="0" w:line="186"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“Credit Extension” means, (a) with respect to any Credit, the issuance thereof or extension of the expiry date thereof, or the renewal, reinstatement or increase of the amount thereof and (b) the making of any Term Loans.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“Credit-Linked Deposit” shall have the meaning specified in Section 2.01(c)(ii).</w:t>
      </w:r>
    </w:p>
    <w:p>
      <w:pPr>
        <w:spacing w:after="0" w:line="225"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“Credit-Linked Deposit Account” shall mean the deposit account established by the Administrative Agent in its name and under its sole and exclusive control maintained at the office of Bank of America at its principal office in Chicago, Illinois, designated as the “Bank of America N.A. as Administrative Agent Waste Management Inc Ten Year LOC Facility Lender Credit Linked Notes Dep Acct Treasury” that shall be used solely for the purposes set forth in Sections 2.01(c)(ii) and (iii) and in Section 2.03(b)(iii), or such successor account established pursuant to Section 10.19 of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“Credit-Linked Lenders” means the Lenders under this Agreement and the lenders under the Seven Year Agreement and the Five Year Agreement.</w:t>
      </w:r>
    </w:p>
    <w:p>
      <w:pPr>
        <w:spacing w:after="0" w:line="248"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“Credit Obligations” means, without duplication, as at any date of determination, the aggregate undrawn face amount of all outstanding Credits plus the aggregate amount of all Unreimbursed Amounts in respect of any Credits, and, without duplication, all outstanding Borrowings arising from any Credits, plus the aggregate amount of the Term Loans. For all purposes of this Agreement, if on any date of determination a Credit has expired by its terms but any amount may still be drawn thereunder by reason of the operation of Rule 3.14 of the ISP, such Credit shall be deemed to be “outstanding” in the amount so remaining available to be drawn.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Parties” means, collectively, the Company and Holdings.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Rating Downgrade Event” has the meaning specified in Section 10.19(a)(i).</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United States or other applicable jurisdictions from time to time in effect and affecting the rights of creditors generally.</w:t>
      </w:r>
    </w:p>
    <w:p>
      <w:pPr>
        <w:spacing w:after="0" w:line="225"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“Default” means an event or condition the occurrence or existence of which would, with the lapse of time or the giving of notice or both, become an Event of Default.</w:t>
      </w:r>
    </w:p>
    <w:p>
      <w:pPr>
        <w:spacing w:after="0" w:line="186" w:lineRule="exact"/>
        <w:rPr>
          <w:sz w:val="20"/>
          <w:szCs w:val="20"/>
          <w:color w:val="auto"/>
        </w:rPr>
      </w:pPr>
    </w:p>
    <w:p>
      <w:pPr>
        <w:ind w:right="500" w:firstLine="220"/>
        <w:spacing w:after="0" w:line="332" w:lineRule="auto"/>
        <w:rPr>
          <w:sz w:val="20"/>
          <w:szCs w:val="20"/>
          <w:color w:val="auto"/>
        </w:rPr>
      </w:pPr>
      <w:r>
        <w:rPr>
          <w:rFonts w:ascii="Arial" w:cs="Arial" w:eastAsia="Arial" w:hAnsi="Arial"/>
          <w:sz w:val="16"/>
          <w:szCs w:val="16"/>
          <w:color w:val="auto"/>
        </w:rPr>
        <w:t>“Default Rate” means (a) with respect to obligations other than Advances and Term Loans, the Base Rate plus 2.00% per annum, and (b) with respect to Advances and Term Loans, the LIBO Rate plus 3.00% per annum, in each case to the fullest extent permitted by applicable Laws.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“Deposit Account Interest Non-Payment Event” has the meaning specified in Section 10.19(a)(ii).</w:t>
      </w:r>
    </w:p>
    <w:p>
      <w:pPr>
        <w:spacing w:after="0" w:line="225" w:lineRule="exact"/>
        <w:rPr>
          <w:sz w:val="20"/>
          <w:szCs w:val="20"/>
          <w:color w:val="auto"/>
        </w:rPr>
      </w:pPr>
    </w:p>
    <w:p>
      <w:pPr>
        <w:ind w:right="240" w:firstLine="220"/>
        <w:spacing w:after="0" w:line="332" w:lineRule="auto"/>
        <w:rPr>
          <w:sz w:val="20"/>
          <w:szCs w:val="20"/>
          <w:color w:val="auto"/>
        </w:rPr>
      </w:pPr>
      <w:r>
        <w:rPr>
          <w:rFonts w:ascii="Arial" w:cs="Arial" w:eastAsia="Arial" w:hAnsi="Arial"/>
          <w:sz w:val="16"/>
          <w:szCs w:val="16"/>
          <w:color w:val="auto"/>
        </w:rPr>
        <w:t>“Disclosure Documents” means the Company’s financial statements referred to in Section 5.05 and filings made by the Company or Holdings with the SEC that were publicly available prior to the date of this Agreement and which were provided to the Issuer and the Lenders.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“Dollar” and “$” means lawful money of the United States.</w:t>
      </w:r>
    </w:p>
    <w:p>
      <w:pPr>
        <w:spacing w:after="0" w:line="225"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“EBITDA” means, (without duplication) with respect to any Person, division or business and with respect to any period, the sum of (i) (a) net income for such period from continuing operations after extraordinary items (excluding gains or losses from disposition of assets); (b) consolidated interest charges for such period; (c) the amount of taxes, based on or measured by income, used or included in the determination of such net income; (d) the amount of depreciation and amortization expense deducted in determining such net income; and (e) any extraordinary losses or non-recurring expenses not requiring the expenditure of cash decreasing net income for such period, minus (ii) any extraordinary gains or non-recurring items increasing net income for such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“Eligible Assignee” means any Institutional Investor.</w:t>
      </w:r>
    </w:p>
    <w:p>
      <w:pPr>
        <w:spacing w:after="0" w:line="225"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97"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“ERISA” means the Employee Retirement Income Security Act of 1974, as amended from time to time, and the rules and regulations promulgated thereunder from time to time in effect.</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“ERISA Affiliate” means any trade or business (whether or not incorporated) that is treated as a single employer together with the Company under Section 414 of the Code.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88" w:name="page89"/>
    <w:bookmarkEnd w:id="88"/>
    <w:p>
      <w:pPr>
        <w:ind w:left="220"/>
        <w:spacing w:after="0"/>
        <w:rPr>
          <w:sz w:val="20"/>
          <w:szCs w:val="20"/>
          <w:color w:val="auto"/>
        </w:rPr>
      </w:pPr>
      <w:r>
        <w:rPr>
          <w:rFonts w:ascii="Arial" w:cs="Arial" w:eastAsia="Arial" w:hAnsi="Arial"/>
          <w:sz w:val="18"/>
          <w:szCs w:val="18"/>
          <w:color w:val="auto"/>
        </w:rPr>
        <w:t>“Escalating Credit” means a Credit which provides for a face amount that increases from time to time in accordance with its terms.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“Event of Default” has the meaning specified in Section 8.01.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“Existing Credits” means the standby letters of credit listed on Schedule 1.01.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“Facility Fee” has the meaning specified in Section 2.05(a).</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“Federal Funds Rate”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“Fee Letter” has the meaning specified in Section 2.05(b).</w:t>
      </w:r>
    </w:p>
    <w:p>
      <w:pPr>
        <w:spacing w:after="0" w:line="225"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“Five Year Agreement” means the Five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Five Year Agreement) are paid in full and the Five Year Agreement is terminated, then this definition of “Five Year Agreement” shall no longer be applicable to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 Lender” has the meaning specified in Section 10.15(a).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“FRB” means the Board of Governors of the Federal Reserve System of the United States.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“Fronting Fee” has the meaning specified in Section 2.05(b).</w:t>
      </w:r>
    </w:p>
    <w:p>
      <w:pPr>
        <w:spacing w:after="0" w:line="225" w:lineRule="exact"/>
        <w:rPr>
          <w:sz w:val="20"/>
          <w:szCs w:val="20"/>
          <w:color w:val="auto"/>
        </w:rPr>
      </w:pPr>
    </w:p>
    <w:p>
      <w:pPr>
        <w:jc w:val="both"/>
        <w:ind w:right="440" w:firstLine="220"/>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as of the date of determination, consistently applied.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“Governmental Authority” means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the government of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9" w:name="page90"/>
    <w:bookmarkEnd w:id="89"/>
    <w:p>
      <w:pPr>
        <w:ind w:left="1120" w:hanging="204"/>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225" w:lineRule="exact"/>
        <w:rPr>
          <w:rFonts w:ascii="Arial" w:cs="Arial" w:eastAsia="Arial" w:hAnsi="Arial"/>
          <w:sz w:val="18"/>
          <w:szCs w:val="18"/>
          <w:color w:val="auto"/>
        </w:rPr>
      </w:pPr>
    </w:p>
    <w:p>
      <w:pPr>
        <w:ind w:left="700" w:right="40" w:firstLine="216"/>
        <w:spacing w:after="0" w:line="268" w:lineRule="auto"/>
        <w:tabs>
          <w:tab w:leader="none" w:pos="11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jurisdiction in which the Company or any Subsidiary conducts all or any part of its business, or which asserts jurisdiction over any properties of the Company or any Subsidiary, or</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any entity exercising executive, legislative, judicial, regulatory or administrative functions of, or pertaining to, any such government.</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“Guarantee” by any Person means any obligation, contingent or otherwise, of such Person directly or indirectly guaranteeing any Indebtedness of any other Person and, without limiting the generality of the foregoing, any obligation, direct or indirect, contingent or otherwise, of such Person (a) to purchase or pay (or advance or supply funds for the purchase or payment of) such Indebtedness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“Guaranteed Obligations” has the meaning specified in Section 11.01.</w:t>
      </w:r>
    </w:p>
    <w:p>
      <w:pPr>
        <w:spacing w:after="0" w:line="225"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“Hazardous Material” means any hazardous waste as defined by 42 U.S.C. §6903(5), any hazardous substance as defined by 42. U.S.C. §9601(14), any pollutant or contaminant as defined by 42 U.S.C. §9601(33) or any toxic substances, oil or other chemicals or substances regulated by the Environmental Laws, excluding household hazardous waste.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means Waste Management Holdings, Inc., a Delaware corporation and wholly-owned Subsidiary of the Company.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Guaranty” means the meaning specified in Section 11.01.</w:t>
      </w:r>
    </w:p>
    <w:p>
      <w:pPr>
        <w:spacing w:after="0" w:line="225" w:lineRule="exact"/>
        <w:rPr>
          <w:sz w:val="20"/>
          <w:szCs w:val="20"/>
          <w:color w:val="auto"/>
        </w:rPr>
      </w:pPr>
    </w:p>
    <w:p>
      <w:pPr>
        <w:ind w:right="20" w:firstLine="220"/>
        <w:spacing w:after="0" w:line="283" w:lineRule="auto"/>
        <w:rPr>
          <w:sz w:val="20"/>
          <w:szCs w:val="20"/>
          <w:color w:val="auto"/>
        </w:rPr>
      </w:pPr>
      <w:r>
        <w:rPr>
          <w:rFonts w:ascii="Arial" w:cs="Arial" w:eastAsia="Arial" w:hAnsi="Arial"/>
          <w:sz w:val="16"/>
          <w:szCs w:val="16"/>
          <w:color w:val="auto"/>
        </w:rPr>
        <w:t>“Indebtedness” means,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under drawn surety or performance bonds, or any other drawn bonding arrangement,</w:t>
      </w:r>
    </w:p>
    <w:p>
      <w:pPr>
        <w:spacing w:after="0"/>
        <w:rPr>
          <w:sz w:val="20"/>
          <w:szCs w:val="20"/>
          <w:color w:val="auto"/>
        </w:rPr>
      </w:pPr>
      <w:r>
        <w:rPr>
          <w:rFonts w:ascii="Arial" w:cs="Arial" w:eastAsia="Arial" w:hAnsi="Arial"/>
          <w:sz w:val="18"/>
          <w:szCs w:val="18"/>
          <w:color w:val="auto"/>
        </w:rPr>
        <w:t>(g) Guarantees with respect to all Indebtedness of others referred to in clauses (a) through (f) above, and (h) all</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0" w:name="page91"/>
    <w:bookmarkEnd w:id="90"/>
    <w:p>
      <w:pPr>
        <w:ind w:right="340"/>
        <w:spacing w:after="0" w:line="318" w:lineRule="auto"/>
        <w:rPr>
          <w:sz w:val="20"/>
          <w:szCs w:val="20"/>
          <w:color w:val="auto"/>
        </w:rPr>
      </w:pPr>
      <w:r>
        <w:rPr>
          <w:rFonts w:ascii="Arial" w:cs="Arial" w:eastAsia="Arial" w:hAnsi="Arial"/>
          <w:sz w:val="15"/>
          <w:szCs w:val="15"/>
          <w:color w:val="auto"/>
        </w:rPr>
        <w:t>Indebtedness of others referred to in clauses (a) through (f) above secured or supported by (or for which the 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GAAP, Indebtedness shall also include the additional Indebtedness, determined on a consolidated basis, which would have been outstanding had such Permitted Receivables Transaction been accounted for as a borrowing.</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“Indemnified Liabilities” has the meaning specified in Section 10.05.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“Indemnitees” has the meaning specified in Section 10.05.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“INHAM Exemption” has the meaning specified in Section 10.10(b)(v).</w:t>
      </w:r>
    </w:p>
    <w:p>
      <w:pPr>
        <w:spacing w:after="0" w:line="225"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“Institutional Investor” means (a) any original Lender or any Affiliate of a Lender, (b) any Lender holding more than $5,000,000 of the Credit-Linked Deposits and/or Credit Obligations then outstanding, and (c) any bank, trust company, savings and loans association or other financial institution, any pension plan, any investment company, any insurance company, any broker or dealer, any Person (other than a natural Person) engaged in making, purchasing, holding or otherwise investing in commercial loans in the ordinary course of its business, or any other similar financial institution or entity, regardless of legal form.</w:t>
      </w:r>
    </w:p>
    <w:p>
      <w:pPr>
        <w:spacing w:after="0" w:line="167"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“Intangible Assets” means goodwill, the purchase price of acquired assets in excess of the fair value thereof, trademarks, trade names, service marks, customer lists, brand names, copyrights, patents and licenses, and rights with respect to the foregoing.</w:t>
      </w:r>
    </w:p>
    <w:p>
      <w:pPr>
        <w:spacing w:after="0" w:line="186"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color w:val="auto"/>
        </w:rPr>
        <w:t>“Interest Period” means, (a) as to the Credit-Linked Deposits, the period commencing on the date such Credit-Linked Deposit is made and ending on the date three months thereafter; (b) as to Advances and Term Loans, the period commencing on the date any such Advance or Term Loan is disbursed (except that in respect of Term Loans made from the proceeds of the Credit-Linked Deposits pursuant to Sections 2.03(b)(i)(A) or (B), the Interest Period shall be deemed to commence on the same day as the Interest Period commencement date for the Credit-Linked Deposits, and in respect of Term Loans made through the conversion of Advances pursuant to Section 2.03(b)(i)(C), the Interest Period shall be deemed to commence on the same day as the Interest Period commencement date for the Credit-Linked Deposits, if any, on the date of such conversion) and ending on the earlier of (x) the date three months thereafter and (y) the last day of the Interest Period with respect to the Credit-Linked Deposits; and (c) after the initial Interest Periods described in (a) and (b) above, as to the Credit-Linked Deposits, Advances and Term Loans, the period commencing on the last day of the immediately preceding Interest Period and ending on the date three months thereafter; provided that:</w:t>
      </w:r>
    </w:p>
    <w:p>
      <w:pPr>
        <w:spacing w:after="0" w:line="174" w:lineRule="exact"/>
        <w:rPr>
          <w:sz w:val="20"/>
          <w:szCs w:val="20"/>
          <w:color w:val="auto"/>
        </w:rPr>
      </w:pPr>
    </w:p>
    <w:p>
      <w:pPr>
        <w:ind w:right="400" w:firstLine="447"/>
        <w:spacing w:after="0" w:line="332"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1" w:name="page92"/>
    <w:bookmarkEnd w:id="91"/>
    <w:p>
      <w:pPr>
        <w:ind w:right="320" w:firstLine="447"/>
        <w:spacing w:after="0" w:line="332" w:lineRule="auto"/>
        <w:tabs>
          <w:tab w:leader="none" w:pos="6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9" w:lineRule="exact"/>
        <w:rPr>
          <w:rFonts w:ascii="Arial" w:cs="Arial" w:eastAsia="Arial" w:hAnsi="Arial"/>
          <w:sz w:val="16"/>
          <w:szCs w:val="16"/>
          <w:color w:val="auto"/>
        </w:rPr>
      </w:pPr>
    </w:p>
    <w:p>
      <w:pPr>
        <w:ind w:left="760" w:hanging="313"/>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provided further that after the occurrence and during the continuance of an Event of Default the Required Lenders, acting through the Administrative Agent, may designate one or more Interest Periods for the Advances and/or the Term Loans which are shorter than that set forth above, such designation to be effective after the last day of the applicable existing Interest Period.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right="300" w:firstLine="220"/>
        <w:spacing w:after="0" w:line="268" w:lineRule="auto"/>
        <w:rPr>
          <w:sz w:val="20"/>
          <w:szCs w:val="20"/>
          <w:color w:val="auto"/>
        </w:rPr>
      </w:pPr>
      <w:r>
        <w:rPr>
          <w:rFonts w:ascii="Arial" w:cs="Arial" w:eastAsia="Arial" w:hAnsi="Arial"/>
          <w:sz w:val="18"/>
          <w:szCs w:val="18"/>
          <w:color w:val="auto"/>
        </w:rPr>
        <w:t>“ISP” means, with respect to any Credit, the “International Standby Practices 1998” published by the Institute of International Banking Law &amp; Practice (or such later version thereof as may be in effect at the time of issuance).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Limits” has the meaning specified in Section 2.01(a)(i).</w:t>
      </w:r>
    </w:p>
    <w:p>
      <w:pPr>
        <w:spacing w:after="0" w:line="225"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“Issuer” means Bank of America in its capacity as issuer of Credits hereunder, or any successors, and shall include any branch of the Issuer through which the Issuer may cause Credits to be issued hereunder.</w:t>
      </w:r>
    </w:p>
    <w:p>
      <w:pPr>
        <w:spacing w:after="0" w:line="186" w:lineRule="exact"/>
        <w:rPr>
          <w:sz w:val="20"/>
          <w:szCs w:val="20"/>
          <w:color w:val="auto"/>
        </w:rPr>
      </w:pPr>
    </w:p>
    <w:p>
      <w:pPr>
        <w:ind w:right="160" w:firstLine="220"/>
        <w:spacing w:after="0" w:line="306" w:lineRule="auto"/>
        <w:rPr>
          <w:sz w:val="20"/>
          <w:szCs w:val="20"/>
          <w:color w:val="auto"/>
        </w:rPr>
      </w:pPr>
      <w:r>
        <w:rPr>
          <w:rFonts w:ascii="Arial" w:cs="Arial" w:eastAsia="Arial" w:hAnsi="Arial"/>
          <w:sz w:val="16"/>
          <w:szCs w:val="16"/>
          <w:color w:val="auto"/>
        </w:rPr>
        <w:t>“Issuer Documents” means with respect to any Credit issued by the Issuer, such Credit, any applications for issuance or amendment of such Credit, and any other document, agreement and instrument entered into by the Issuer and the Company or in favor of the Issuer and relating to any such Credit, including any of the Issuer’s standard form documents for issuances and amendments of letters of credit and guarantees or other similar undertakings.</w:t>
      </w:r>
    </w:p>
    <w:p>
      <w:pPr>
        <w:spacing w:after="0" w:line="16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“Issuer-Related Persons” means as to the Issuer, together with its Affiliates, and the officers, directors, employees, agents and attorneys-in-fact of the Issuer and its Affiliates.</w:t>
      </w:r>
    </w:p>
    <w:p>
      <w:pPr>
        <w:spacing w:after="0" w:line="186" w:lineRule="exact"/>
        <w:rPr>
          <w:sz w:val="20"/>
          <w:szCs w:val="20"/>
          <w:color w:val="auto"/>
        </w:rPr>
      </w:pPr>
    </w:p>
    <w:p>
      <w:pPr>
        <w:ind w:right="240" w:firstLine="220"/>
        <w:spacing w:after="0" w:line="298" w:lineRule="auto"/>
        <w:rPr>
          <w:sz w:val="20"/>
          <w:szCs w:val="20"/>
          <w:color w:val="auto"/>
        </w:rPr>
      </w:pPr>
      <w:r>
        <w:rPr>
          <w:rFonts w:ascii="Arial" w:cs="Arial" w:eastAsia="Arial" w:hAnsi="Arial"/>
          <w:sz w:val="16"/>
          <w:szCs w:val="16"/>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“Lender” has the meaning specified in the introductory paragraph hereto.</w:t>
      </w:r>
    </w:p>
    <w:p>
      <w:pPr>
        <w:spacing w:after="0" w:line="225"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in such Lender’s Administrative Questionnaire, or such other office or offices as a Lender may from time to time notify the Company and the Administrative Agent.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2" w:name="page93"/>
    <w:bookmarkEnd w:id="92"/>
    <w:p>
      <w:pPr>
        <w:ind w:left="220"/>
        <w:spacing w:after="0"/>
        <w:rPr>
          <w:sz w:val="20"/>
          <w:szCs w:val="20"/>
          <w:color w:val="auto"/>
        </w:rPr>
      </w:pPr>
      <w:r>
        <w:rPr>
          <w:rFonts w:ascii="Arial" w:cs="Arial" w:eastAsia="Arial" w:hAnsi="Arial"/>
          <w:sz w:val="18"/>
          <w:szCs w:val="18"/>
          <w:color w:val="auto"/>
        </w:rPr>
        <w:t>“Letter of Credit Linked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means for any Interest Period:</w:t>
      </w:r>
    </w:p>
    <w:p>
      <w:pPr>
        <w:spacing w:after="0" w:line="225" w:lineRule="exact"/>
        <w:rPr>
          <w:sz w:val="20"/>
          <w:szCs w:val="20"/>
          <w:color w:val="auto"/>
        </w:rPr>
      </w:pPr>
    </w:p>
    <w:p>
      <w:pPr>
        <w:ind w:right="100" w:firstLine="228"/>
        <w:spacing w:after="0" w:line="256" w:lineRule="auto"/>
        <w:tabs>
          <w:tab w:leader="none" w:pos="50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Administrative Agent to be the offered rate that appears on the page of the Telerate screen (or any successor thereto)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97" w:lineRule="exact"/>
        <w:rPr>
          <w:rFonts w:ascii="Arial" w:cs="Arial" w:eastAsia="Arial" w:hAnsi="Arial"/>
          <w:sz w:val="18"/>
          <w:szCs w:val="18"/>
          <w:color w:val="auto"/>
        </w:rPr>
      </w:pPr>
    </w:p>
    <w:p>
      <w:pPr>
        <w:ind w:right="120" w:firstLine="228"/>
        <w:spacing w:after="0" w:line="298" w:lineRule="auto"/>
        <w:tabs>
          <w:tab w:leader="none" w:pos="512"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rate referenced in the preceding clause (a) does not appear on such page or service or such page or service shall not be available, the rate per annum equal to the rate determined by the Administrative Agent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66" w:lineRule="exact"/>
        <w:rPr>
          <w:rFonts w:ascii="Arial" w:cs="Arial" w:eastAsia="Arial" w:hAnsi="Arial"/>
          <w:sz w:val="16"/>
          <w:szCs w:val="16"/>
          <w:color w:val="auto"/>
        </w:rPr>
      </w:pPr>
    </w:p>
    <w:p>
      <w:pPr>
        <w:ind w:right="160" w:firstLine="228"/>
        <w:spacing w:after="0" w:line="294" w:lineRule="auto"/>
        <w:tabs>
          <w:tab w:leader="none" w:pos="5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rates referenced in the preceding clauses (a) and (b) are not available, the rate per annum determined by the Administrative Agent as the rate of interest at which deposits in Dollars for delivery on the first day of such Interest Period in same day funds in the approximate amount of the Total Credit-Linked Deposit or the average amount of the Advances of the Lenders or LIBO Rate Term Loans, as applicable, being made or continued and with a term equivalent to such Interest Period would be offered by Bank of America’s London Branch to major banks in the London interbank eurodollar market at their request at approximately 4:00 p.m. (London time) two Business Days prior to the first day of such Interest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Term Loans” means Term Loans bearing interest based on the LIBO Rate.</w:t>
      </w:r>
    </w:p>
    <w:p>
      <w:pPr>
        <w:spacing w:after="0" w:line="225"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has the meaning specified in Section 10.19(a).</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“Material” or “Materially” means material or materially, as applicable, in relation to the business, operations, affairs, financial condition, assets, properties, or prospects of the Company and its Restricted Subsidiaries taken as a whole.</w:t>
      </w:r>
    </w:p>
    <w:p>
      <w:pPr>
        <w:spacing w:after="0" w:line="186" w:lineRule="exact"/>
        <w:rPr>
          <w:sz w:val="20"/>
          <w:szCs w:val="20"/>
          <w:color w:val="auto"/>
        </w:rPr>
      </w:pPr>
    </w:p>
    <w:p>
      <w:pPr>
        <w:jc w:val="both"/>
        <w:ind w:right="300" w:firstLine="220"/>
        <w:spacing w:after="0" w:line="259" w:lineRule="auto"/>
        <w:rPr>
          <w:sz w:val="20"/>
          <w:szCs w:val="20"/>
          <w:color w:val="auto"/>
        </w:rPr>
      </w:pPr>
      <w:r>
        <w:rPr>
          <w:rFonts w:ascii="Arial" w:cs="Arial" w:eastAsia="Arial" w:hAnsi="Arial"/>
          <w:sz w:val="18"/>
          <w:szCs w:val="18"/>
          <w:color w:val="auto"/>
        </w:rPr>
        <w:t>“Material Adverse Effect” means a material adverse effect on (a) the business, operations, affairs, financial condition, prospects, assets or properties of the Company and its Restricted Subsidiaries taken as a whole, (b) the ability of the Company to perform its obligations under this Agreement, the Letter of Credit Linked Notes or the Term Notes, or (c) the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validity or enforceability of this Agreement, the Letter of Credit Linked Notes or the Term Notes.</w:t>
      </w:r>
    </w:p>
    <w:p>
      <w:pPr>
        <w:spacing w:after="0" w:line="225" w:lineRule="exact"/>
        <w:rPr>
          <w:sz w:val="20"/>
          <w:szCs w:val="20"/>
          <w:color w:val="auto"/>
        </w:rPr>
      </w:pPr>
    </w:p>
    <w:p>
      <w:pPr>
        <w:ind w:right="40" w:firstLine="220"/>
        <w:spacing w:after="0" w:line="332" w:lineRule="auto"/>
        <w:rPr>
          <w:sz w:val="20"/>
          <w:szCs w:val="20"/>
          <w:color w:val="auto"/>
        </w:rPr>
      </w:pPr>
      <w:r>
        <w:rPr>
          <w:rFonts w:ascii="Arial" w:cs="Arial" w:eastAsia="Arial" w:hAnsi="Arial"/>
          <w:sz w:val="16"/>
          <w:szCs w:val="16"/>
          <w:color w:val="auto"/>
        </w:rPr>
        <w:t>“Material Debt” means any Indebtedness (other than any Indebtedness of the Company or Holdings in respect of the Credit Obligations) of any one or more of the Company, its Restricted Subsidiaries and Holdings in an aggregate principal amount for all such Persons exceeding $50,000,000.</w:t>
      </w:r>
    </w:p>
    <w:p>
      <w:pPr>
        <w:spacing w:after="0" w:line="139"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“Maturity Date” means (a) June 30, 2013, or (b) such earlier date upon which the obligations of the Issuer and the Lenders to make Credit Extensions may be terminated in accordance with the terms hereof.</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“Memorandum” has the meaning specified in Section 5.03.</w:t>
      </w:r>
    </w:p>
    <w:p>
      <w:pPr>
        <w:spacing w:after="0" w:line="225"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“Money Market Account Agreement” means the Money Market Account Agreement between the Administrative Agent and Bank of America, as depository, substantially in the form of Exhibit G attached hereto, concerning the Credit-Linked Deposit Account.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“Moody’s” means Moody’s Investors Service, Inc., or any successor thereto that is a nationally-recognized rating agency.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“Multiemployer Plan” means any Plan that is a “multiemployer plan” (as such term is defined in Section 4001(a)(3) of ERISA).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Account”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Depository Bank”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“Nonrenewal Notice Date” has the meaning specified in Section 2.01(b)(iii).</w:t>
      </w:r>
    </w:p>
    <w:p>
      <w:pPr>
        <w:spacing w:after="0" w:line="225"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“Officer’s Certificate” means a certificate of a Senior Financial Officer or of any other officer of the Company whose responsibilities extend to the subject matter of such certificate.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Taxes” has the meaning specified in Section 3.01(b).</w:t>
      </w:r>
    </w:p>
    <w:p>
      <w:pPr>
        <w:spacing w:after="0" w:line="225"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“Outstanding Amount” means, with respect to any Credit Obligations on any date, the amount of such Credit Obligations on such date after giving effect to any Credit Extension occurring on such date and any other changes in the aggregate amount of the Credit Obligations as of such date, including as a result of any reimbursements of outstanding unpaid drawings under any Credits or any reductions in the maximum amount available for drawing under Credits taking effect on such date. Without limiting the provisions of Section 1.07, for avoidance of doubt, the portion of the Credit Obligations in respect of the undrawn face amount of any Escalating Credits shall be deemed to be the maximum aggregate amount available to be drawn under such Escalating Credits (after giving effect to all increases).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“Participant” has the meaning specified in Section 10.07(d).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“Participation” has the meaning specified in Section 2.01(c)(ii).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4" w:name="page95"/>
    <w:bookmarkEnd w:id="94"/>
    <w:p>
      <w:pPr>
        <w:ind w:left="220"/>
        <w:spacing w:after="0"/>
        <w:rPr>
          <w:sz w:val="20"/>
          <w:szCs w:val="20"/>
          <w:color w:val="auto"/>
        </w:rPr>
      </w:pPr>
      <w:r>
        <w:rPr>
          <w:rFonts w:ascii="Arial" w:cs="Arial" w:eastAsia="Arial" w:hAnsi="Arial"/>
          <w:sz w:val="18"/>
          <w:szCs w:val="18"/>
          <w:color w:val="auto"/>
        </w:rPr>
        <w:t>“PBGC” means the Pension Benefit Guaranty Corporation referred to and defined in ERISA or any successor thereto.</w:t>
      </w:r>
    </w:p>
    <w:p>
      <w:pPr>
        <w:spacing w:after="0" w:line="225" w:lineRule="exact"/>
        <w:rPr>
          <w:sz w:val="20"/>
          <w:szCs w:val="20"/>
          <w:color w:val="auto"/>
        </w:rPr>
      </w:pPr>
    </w:p>
    <w:p>
      <w:pPr>
        <w:ind w:right="180" w:firstLine="220"/>
        <w:spacing w:after="0" w:line="298" w:lineRule="auto"/>
        <w:rPr>
          <w:sz w:val="20"/>
          <w:szCs w:val="20"/>
          <w:color w:val="auto"/>
        </w:rPr>
      </w:pPr>
      <w:r>
        <w:rPr>
          <w:rFonts w:ascii="Arial" w:cs="Arial" w:eastAsia="Arial" w:hAnsi="Arial"/>
          <w:sz w:val="16"/>
          <w:szCs w:val="16"/>
          <w:color w:val="auto"/>
        </w:rPr>
        <w:t>“Permitted Credit” means a Credit used directly or indirectly to cover (a) a default in the performance of any non-financial or commercial 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 or (b) the payment of any financial contractual obligation of the Company or any Subsidiary.</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Liens” has the meaning specified in Section 7.03.</w:t>
      </w:r>
    </w:p>
    <w:p>
      <w:pPr>
        <w:spacing w:after="0" w:line="225"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“Permitted Receivables Transaction” means any sale or sales of, and/or securitization of, any accounts receivable of the Company and/or any of its Restricted Subsidiaries (the “Receivables”) pursuant to which (a) the Company and its Restricted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97" w:lineRule="exact"/>
        <w:rPr>
          <w:sz w:val="20"/>
          <w:szCs w:val="20"/>
          <w:color w:val="auto"/>
        </w:rPr>
      </w:pPr>
    </w:p>
    <w:p>
      <w:pPr>
        <w:ind w:right="900" w:firstLine="220"/>
        <w:spacing w:after="0" w:line="332" w:lineRule="auto"/>
        <w:rPr>
          <w:sz w:val="20"/>
          <w:szCs w:val="20"/>
          <w:color w:val="auto"/>
        </w:rPr>
      </w:pPr>
      <w:r>
        <w:rPr>
          <w:rFonts w:ascii="Arial" w:cs="Arial" w:eastAsia="Arial" w:hAnsi="Arial"/>
          <w:sz w:val="16"/>
          <w:szCs w:val="16"/>
          <w:color w:val="auto"/>
        </w:rPr>
        <w:t>“Person” means any individual, trustee, corporation, general partnership, limited partnership, limited liability company, joint stock company, trust, unincorporated organization, bank, business association, firm, joint venture, Governmental Authority or other legal entity.</w:t>
      </w:r>
    </w:p>
    <w:p>
      <w:pPr>
        <w:spacing w:after="0" w:line="139"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94" w:lineRule="exact"/>
        <w:rPr>
          <w:sz w:val="20"/>
          <w:szCs w:val="20"/>
          <w:color w:val="auto"/>
        </w:rPr>
      </w:pPr>
    </w:p>
    <w:p>
      <w:pPr>
        <w:jc w:val="both"/>
        <w:ind w:right="80" w:firstLine="220"/>
        <w:spacing w:after="0" w:line="268" w:lineRule="auto"/>
        <w:rPr>
          <w:sz w:val="20"/>
          <w:szCs w:val="20"/>
          <w:color w:val="auto"/>
        </w:rPr>
      </w:pPr>
      <w:r>
        <w:rPr>
          <w:rFonts w:ascii="Arial" w:cs="Arial" w:eastAsia="Arial" w:hAnsi="Arial"/>
          <w:sz w:val="18"/>
          <w:szCs w:val="18"/>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86" w:lineRule="exact"/>
        <w:rPr>
          <w:sz w:val="20"/>
          <w:szCs w:val="20"/>
          <w:color w:val="auto"/>
        </w:rPr>
      </w:pPr>
    </w:p>
    <w:p>
      <w:pPr>
        <w:ind w:right="140" w:firstLine="220"/>
        <w:spacing w:after="0" w:line="294" w:lineRule="auto"/>
        <w:rPr>
          <w:sz w:val="20"/>
          <w:szCs w:val="20"/>
          <w:color w:val="auto"/>
        </w:rPr>
      </w:pPr>
      <w:r>
        <w:rPr>
          <w:rFonts w:ascii="Arial" w:cs="Arial" w:eastAsia="Arial" w:hAnsi="Arial"/>
          <w:sz w:val="16"/>
          <w:szCs w:val="16"/>
          <w:color w:val="auto"/>
        </w:rPr>
        <w:t>“Prepayment Premium” shall mean in connection with any prepayment of Advances, Term Loans or reduction of the available amount of the Total Credit-Linked Deposit an amount equal to the applicable percentage of the principal amount of the Advances, Term Loans or Total Credit-Linked Deposit so prepaid or reduced as follows: (i) on or after the second anniversary of the Closing Date and prior to the third anniversary of the Closing Date, a premium of 3%, (ii) on or after the third anniversary of the Closing Date and prior to the fourth anniversary of the Closing Date, a premium of 2%, and (iii) on or after the fourth anniversary of the Closing Date and prior to the fifth anniversary of the Closing Date, a premium of 1%.</w:t>
      </w:r>
    </w:p>
    <w:p>
      <w:pPr>
        <w:spacing w:after="0" w:line="170"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“Priority Debt” means (without duplication) the sum of (a) unsecured Indebtedness of the Company’s Restricted Subsidiaries other than (i) Indebtedness of the Company’s Restricted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95" w:name="page96"/>
    <w:bookmarkEnd w:id="95"/>
    <w:p>
      <w:pPr>
        <w:ind w:right="40"/>
        <w:spacing w:after="0" w:line="290" w:lineRule="auto"/>
        <w:rPr>
          <w:sz w:val="20"/>
          <w:szCs w:val="20"/>
          <w:color w:val="auto"/>
        </w:rPr>
      </w:pPr>
      <w:r>
        <w:rPr>
          <w:rFonts w:ascii="Arial" w:cs="Arial" w:eastAsia="Arial" w:hAnsi="Arial"/>
          <w:sz w:val="16"/>
          <w:szCs w:val="16"/>
          <w:color w:val="auto"/>
        </w:rPr>
        <w:t>Subsidiaries, including Holdings, listed on Schedule 5.15 and any extension, renewal or refinancing by such parties of such Indebtedness, provided that the terms of any such extension, renewal or refinancing are substantially the same as the terms and conditions in effect on the Closing Date, or more favorable to such parties, and the principal amount of such Indebtedness is not increased, (ii) Indebtedness owing to the Company or any other Restricted Subsidiary and (iii) any unsecured Indebtedness of Holdings consisting of Guarantees of the Company’s Indebtedness existing as of the Closing Date and, so long as the Holdings Guaranty remains in full force and effect, Indebtedness consisting of Guarantees of the Company’s Indebtedness incurred thereafter, plus (b) Indebtedness with respect to drawn landfill closure bonds, plus (c) Indebtedness with respect to Permitted Receivables Transactions, plus (d) Indebtedness of the Company or any of its Restricted Subsidiaries secured by a Lien not permitted by clauses (a) through (l) of Section 7.03.</w:t>
      </w:r>
    </w:p>
    <w:p>
      <w:pPr>
        <w:spacing w:after="0" w:line="172"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“Pro Rata Share” means, with respect to each Lender at any time, a fraction (expressed as a percentage, carried out to the ninth decimal place), the numerator of which is the amount of the Credit-Linked Deposit of such Lender at such time and the denominator of which is the amount of the Total Credit-Linked Deposit; provided that if the obligations of the Issuer to make Credit Extensions have been terminated pursuant to Section 8.02(a), the numerator of such fraction shall be such Lender’s Outstanding Amount of all Credit Obligations at such time, and the denominator shall be the Outstanding Amount of all Credit Obligations of all Lenders at such time (with the aggregate amount of any Lender’s risk participation and funded participation in Credit Obligations being deemed “held” by such Lender for purposes of this definition). The initial Pro Rata Share of each Lender is set forth opposite the name of such Lender on Schedule 2.01 or in the Assignment and Assumption pursuant to which such Lender becomes a party hereto, as applicable.</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“property” or “properties” means, unless otherwise specifically limited, real or personal property of any kind, tangible or intangible, existing or inchoate.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“PTE” has the meaning specified in Section 10.10(b)(i).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“QPAM Exemption” has the meaning specified in Section 10.10(b)(iv).</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“Register” has the meaning specified in Section 10.07(c).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“Reimbursement Date” has the meaning specified in Section 2.01(c)(i).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“Replacement Lender” has the meaning specified in Section 3.07.</w:t>
      </w:r>
    </w:p>
    <w:p>
      <w:pPr>
        <w:spacing w:after="0" w:line="225" w:lineRule="exact"/>
        <w:rPr>
          <w:sz w:val="20"/>
          <w:szCs w:val="20"/>
          <w:color w:val="auto"/>
        </w:rPr>
      </w:pPr>
    </w:p>
    <w:p>
      <w:pPr>
        <w:ind w:right="860" w:firstLine="220"/>
        <w:spacing w:after="0" w:line="332" w:lineRule="auto"/>
        <w:rPr>
          <w:sz w:val="20"/>
          <w:szCs w:val="20"/>
          <w:color w:val="auto"/>
        </w:rPr>
      </w:pPr>
      <w:r>
        <w:rPr>
          <w:rFonts w:ascii="Arial" w:cs="Arial" w:eastAsia="Arial" w:hAnsi="Arial"/>
          <w:sz w:val="16"/>
          <w:szCs w:val="16"/>
          <w:color w:val="auto"/>
        </w:rPr>
        <w:t>“Request for Credit Extension” means a request for the issuance or amendment of a Credit by the Issuer pursuant to a Request for Credit Extension substantially in the form of Exhibit A, with such changes thereto as the Administrative Agent or the Issuer may from time to time approve.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“Request for Term Loans” means a request for the making of Term Loans from the proceeds of Credit-Linked Deposits, substantially in the form of Exhibit 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6" w:name="page97"/>
    <w:bookmarkEnd w:id="96"/>
    <w:p>
      <w:pPr>
        <w:ind w:right="60" w:firstLine="220"/>
        <w:spacing w:after="0" w:line="285" w:lineRule="auto"/>
        <w:rPr>
          <w:sz w:val="20"/>
          <w:szCs w:val="20"/>
          <w:color w:val="auto"/>
        </w:rPr>
      </w:pPr>
      <w:r>
        <w:rPr>
          <w:rFonts w:ascii="Arial" w:cs="Arial" w:eastAsia="Arial" w:hAnsi="Arial"/>
          <w:sz w:val="16"/>
          <w:szCs w:val="16"/>
          <w:color w:val="auto"/>
        </w:rPr>
        <w:t>“Required Credit-Linked Lenders” means, Credit-Linked Lenders (other than the Company and its Affiliates) having Combined Pro Rata Shares aggregating more than 50%. For purposes hereof, the “Combined Pro Rata Share” of a Credit-Linked Lender means, with respect to such Credit-Linked Lender at any time, a fraction (expressed as a percentage, carried out to the ninth decimal place), the numerator of which is the amount of the sum of (A) the Credit-Linked Deposit plus the Outstanding Amount of all Credit Obligations of such Credit-Linked Lender under this Agreement at such time plus (B) the sum of the Credit-Linked Deposit plus the Outstanding Amount of all Credit Obligations of such Credit-Linked Lender under the Seven Year Agreement at such time (as such terms are defined in the Seven Year Agreement), plus (C) the sum of the Credit-Linked Deposit plus the Outstanding Amount of all Credit Obligations of such Credit-Linked Lender under the Five Year Agreement at such time (as such terms are defined in the Five Year Agreement), and the denominator of which is the amount of the sum of (X) the Total Credit-Linked Deposit plus the Outstanding Amount of all Credit Obligations of all Credit-Linked Lenders under this Agreement at such time (with the aggregate amount of any Credit-Linked Lender’s risk participation and funded participation in Credit Obligations being deemed “held” by such Credit-Linked Lender for purposes of this definition) plus (Y) the Total Credit-Linked Deposit plus the Outstanding Amount of all Credit Obligations of all Credit-Linked Lenders under the Seven Year Agreement at such time (as such terms are defined in the Seven Year Agreement) (with the aggregate amount of any Credit-Linked Lender’s risk participation and funded participation in Credit Obligations being deemed “held” by such Credit-Linked Lender for purposes of this definition) plus (Z) the Total Credit-Linked Deposit plus the Outstanding Amount of all Credit Obligations of all Credit-Linked Lenders under the Five Year Agreement at such time (as such terms are defined in the Five Year Agreement) (with the aggregate amount of any Credit-Linked Lender’s risk participation and funded participation in Credit Obligations being deemed “held” by such Credit-Linked Lender for purposes of this definition).</w:t>
      </w:r>
    </w:p>
    <w:p>
      <w:pPr>
        <w:spacing w:after="0" w:line="180"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“Required Lenders” means, as of any date of determination, Lenders (other than the Company and its Affiliates) having Pro Rata Shares aggregating more than 50%.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“Required Notice” has the meaning specified in Section 10.19(b).</w:t>
      </w:r>
    </w:p>
    <w:p>
      <w:pPr>
        <w:spacing w:after="0" w:line="225"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“Responsible Officer” means any Senior Financial Officer and any other officer of a Credit Party with responsibility for the administration of the relevant portion of this Agreement. Any document delivered hereunder that is signed by a Responsible Officer of a Credit Party shall be conclusively presumed to have been authorized by all necessary corporate action on the part of such Credit Party and such Responsible Officer shall be conclusively presumed to have acted on behalf of such Credit Party.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“Restricted Subsidiary” means any Subsidiary of the Company which is not designated as an Unrestricted Subsidiary in accordance with Section 7.07.</w:t>
      </w:r>
    </w:p>
    <w:p>
      <w:pPr>
        <w:spacing w:after="0" w:line="248"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“S&amp;P” means Standard &amp; Poor’s Rating Group, a division of The McGraw-Hill Companies, or any successor thereto that is a nationally-recognized rating agency.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means the Securities and Exchange Commission, or any Governmental Authority succeeding to any of its principal functions.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7" w:name="page98"/>
    <w:bookmarkEnd w:id="97"/>
    <w:p>
      <w:pPr>
        <w:ind w:left="220"/>
        <w:spacing w:after="0"/>
        <w:rPr>
          <w:sz w:val="20"/>
          <w:szCs w:val="20"/>
          <w:color w:val="auto"/>
        </w:rPr>
      </w:pPr>
      <w:r>
        <w:rPr>
          <w:rFonts w:ascii="Arial" w:cs="Arial" w:eastAsia="Arial" w:hAnsi="Arial"/>
          <w:sz w:val="18"/>
          <w:szCs w:val="18"/>
          <w:color w:val="auto"/>
        </w:rPr>
        <w:t>“Securities Account”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Act” means the Securities Act of 1933.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Exchange Act” means Securities Exchange Act of 1934.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Intermediary”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“Security” has the meaning specified in Section 2(l) of the Securities Act.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controller of a Credit Party.</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“Senior Responsible Officer” means any Senior Financial Officer, or any of the President, any Executive Vice President, any Senior Vice President or any Principal Vice President of a Credit Party.</w:t>
      </w:r>
    </w:p>
    <w:p>
      <w:pPr>
        <w:spacing w:after="0" w:line="186" w:lineRule="exact"/>
        <w:rPr>
          <w:sz w:val="20"/>
          <w:szCs w:val="20"/>
          <w:color w:val="auto"/>
        </w:rPr>
      </w:pPr>
    </w:p>
    <w:p>
      <w:pPr>
        <w:ind w:right="240" w:firstLine="220"/>
        <w:spacing w:after="0" w:line="298" w:lineRule="auto"/>
        <w:rPr>
          <w:sz w:val="20"/>
          <w:szCs w:val="20"/>
          <w:color w:val="auto"/>
        </w:rPr>
      </w:pPr>
      <w:r>
        <w:rPr>
          <w:rFonts w:ascii="Arial" w:cs="Arial" w:eastAsia="Arial" w:hAnsi="Arial"/>
          <w:sz w:val="16"/>
          <w:szCs w:val="16"/>
          <w:color w:val="auto"/>
        </w:rPr>
        <w:t>“Seven Year Agreement” means the Seven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Seven Year Agreement) are paid in full and the Seven Year Agreement is terminated, then this definition of “Seven Year Agreement” shall no longer be applicable to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“Source” has the meaning specified in Section 10.10(b).</w:t>
      </w:r>
    </w:p>
    <w:p>
      <w:pPr>
        <w:spacing w:after="0" w:line="225"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“Taxes” has the meaning specified in Section 3.01(a).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 Issuance Date” has the meaning specified in Section 2.03(b)(iii).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Loans” has the meaning specified in Section 2.03(b)(i).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Credit-Linked Deposit” shall mean, at any time, the sum of all Lenders’ Credit-Linked Deposits, as the same may be reduced from time to time.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8" w:name="page99"/>
    <w:bookmarkEnd w:id="98"/>
    <w:p>
      <w:pPr>
        <w:ind w:left="220"/>
        <w:spacing w:after="0"/>
        <w:rPr>
          <w:sz w:val="20"/>
          <w:szCs w:val="20"/>
          <w:color w:val="auto"/>
        </w:rPr>
      </w:pPr>
      <w:r>
        <w:rPr>
          <w:rFonts w:ascii="Arial" w:cs="Arial" w:eastAsia="Arial" w:hAnsi="Arial"/>
          <w:sz w:val="18"/>
          <w:szCs w:val="18"/>
          <w:color w:val="auto"/>
        </w:rPr>
        <w:t>“Trust”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“United States” and “U.S.” each means the United States of America.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“Unreimbursed Amount” has the meaning specified in Section 2.01(c)(i).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“Unrestricted Subsidiary” means any Subsidiary which is designated as such in writing by the Company to each Lender pursuant to Section 7.07.</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“Unused Amount” has the meaning specified in Section 2.03(b)(i).</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1.02 Other Interpretive Provisions</w:t>
      </w:r>
      <w:r>
        <w:rPr>
          <w:rFonts w:ascii="Arial" w:cs="Arial" w:eastAsia="Arial" w:hAnsi="Arial"/>
          <w:sz w:val="16"/>
          <w:szCs w:val="16"/>
          <w:color w:val="auto"/>
        </w:rPr>
        <w:t>. With reference to this Agreement and each other Credit Document, unless otherwise specified herein or in such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Credit Document:</w:t>
      </w:r>
    </w:p>
    <w:p>
      <w:pPr>
        <w:spacing w:after="0" w:line="219" w:lineRule="exact"/>
        <w:rPr>
          <w:sz w:val="20"/>
          <w:szCs w:val="20"/>
          <w:color w:val="auto"/>
        </w:rPr>
      </w:pPr>
    </w:p>
    <w:p>
      <w:pPr>
        <w:ind w:left="520" w:hanging="292"/>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right="380" w:firstLine="228"/>
        <w:spacing w:after="0" w:line="268" w:lineRule="auto"/>
        <w:tabs>
          <w:tab w:leader="none" w:pos="5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The words “herein,” “hereto,” “hereof,” and “hereunder” and words of similar import when used in any Credit Document shall refer to such Credit Document as a whole and not to any particular provision thereof.</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Credit Document in which such references appear.</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right="160" w:firstLine="447"/>
        <w:spacing w:after="0" w:line="268" w:lineRule="auto"/>
        <w:tabs>
          <w:tab w:leader="none" w:pos="73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85" w:lineRule="exact"/>
        <w:rPr>
          <w:rFonts w:ascii="Arial" w:cs="Arial" w:eastAsia="Arial" w:hAnsi="Arial"/>
          <w:sz w:val="18"/>
          <w:szCs w:val="18"/>
          <w:color w:val="auto"/>
        </w:rPr>
      </w:pPr>
    </w:p>
    <w:p>
      <w:pPr>
        <w:ind w:right="400" w:firstLine="228"/>
        <w:spacing w:after="0" w:line="268" w:lineRule="auto"/>
        <w:tabs>
          <w:tab w:leader="none" w:pos="50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5" w:lineRule="exact"/>
        <w:rPr>
          <w:rFonts w:ascii="Arial" w:cs="Arial" w:eastAsia="Arial" w:hAnsi="Arial"/>
          <w:sz w:val="18"/>
          <w:szCs w:val="18"/>
          <w:color w:val="auto"/>
        </w:rPr>
      </w:pPr>
    </w:p>
    <w:p>
      <w:pPr>
        <w:ind w:right="320" w:firstLine="228"/>
        <w:spacing w:after="0" w:line="268" w:lineRule="auto"/>
        <w:tabs>
          <w:tab w:leader="none" w:pos="5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80"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1.03 Accounting Terms</w:t>
      </w:r>
      <w:r>
        <w:rPr>
          <w:rFonts w:ascii="Arial" w:cs="Arial" w:eastAsia="Arial" w:hAnsi="Arial"/>
          <w:sz w:val="18"/>
          <w:szCs w:val="18"/>
          <w:color w:val="auto"/>
        </w:rPr>
        <w:t>. (a) All accounting terms not specifically or completely defined herein shall be construed in conformity with, and all financial data</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96" w:lineRule="exact"/>
        <w:rPr>
          <w:sz w:val="20"/>
          <w:szCs w:val="20"/>
          <w:color w:val="auto"/>
        </w:rPr>
      </w:pPr>
    </w:p>
    <w:p>
      <w:pPr>
        <w:ind w:right="320" w:firstLine="228"/>
        <w:spacing w:after="0" w:line="332" w:lineRule="auto"/>
        <w:tabs>
          <w:tab w:leader="none" w:pos="5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at any time any change in GAAP would affect the computation of any financial ratio or requirement set forth in any Credit Document, and either the Company or the Required Credit-Linked Lenders shall so request, the Administrative Agent, the Lenders and the Company</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9" w:name="page100"/>
    <w:bookmarkEnd w:id="99"/>
    <w:p>
      <w:pPr>
        <w:ind w:right="60"/>
        <w:spacing w:after="0" w:line="255" w:lineRule="auto"/>
        <w:rPr>
          <w:sz w:val="20"/>
          <w:szCs w:val="20"/>
          <w:color w:val="auto"/>
        </w:rPr>
      </w:pPr>
      <w:r>
        <w:rPr>
          <w:rFonts w:ascii="Arial" w:cs="Arial" w:eastAsia="Arial" w:hAnsi="Arial"/>
          <w:sz w:val="18"/>
          <w:szCs w:val="18"/>
          <w:color w:val="auto"/>
        </w:rPr>
        <w:t>shall negotiate in good faith to amend such ratio or requirement to preserve the original intent thereof in light of such change in GAAP (subject to the approval of the Required Credit-Linked Lenders); provided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1" w:lineRule="exact"/>
        <w:rPr>
          <w:sz w:val="20"/>
          <w:szCs w:val="20"/>
          <w:color w:val="auto"/>
        </w:rPr>
      </w:pPr>
    </w:p>
    <w:p>
      <w:pPr>
        <w:jc w:val="both"/>
        <w:ind w:right="320" w:firstLine="220"/>
        <w:spacing w:after="0" w:line="262"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6" w:lineRule="exact"/>
        <w:rPr>
          <w:sz w:val="20"/>
          <w:szCs w:val="20"/>
          <w:color w:val="auto"/>
        </w:rPr>
      </w:pPr>
    </w:p>
    <w:p>
      <w:pPr>
        <w:jc w:val="both"/>
        <w:ind w:right="160" w:firstLine="220"/>
        <w:spacing w:after="0" w:line="306" w:lineRule="auto"/>
        <w:rPr>
          <w:sz w:val="20"/>
          <w:szCs w:val="20"/>
          <w:color w:val="auto"/>
        </w:rPr>
      </w:pPr>
      <w:r>
        <w:rPr>
          <w:rFonts w:ascii="Arial" w:cs="Arial" w:eastAsia="Arial" w:hAnsi="Arial"/>
          <w:sz w:val="15"/>
          <w:szCs w:val="15"/>
          <w:b w:val="1"/>
          <w:bCs w:val="1"/>
          <w:color w:val="auto"/>
        </w:rPr>
        <w:t>1.05 References to Agreements and Laws</w:t>
      </w:r>
      <w:r>
        <w:rPr>
          <w:rFonts w:ascii="Arial" w:cs="Arial" w:eastAsia="Arial" w:hAnsi="Arial"/>
          <w:sz w:val="15"/>
          <w:szCs w:val="15"/>
          <w:color w:val="auto"/>
        </w:rPr>
        <w:t>. Unless otherwise expressly provided herein, (a) references to agreements (including the Credit Documents)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Credit Document;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 references to any Law shall include all statutory and regulatory provisions consolidating, amending, replacing, supplementing or interpreting such Law.</w:t>
      </w:r>
    </w:p>
    <w:p>
      <w:pPr>
        <w:spacing w:after="0" w:line="236" w:lineRule="exact"/>
        <w:rPr>
          <w:sz w:val="20"/>
          <w:szCs w:val="20"/>
          <w:color w:val="auto"/>
        </w:rPr>
      </w:pPr>
    </w:p>
    <w:p>
      <w:pPr>
        <w:ind w:right="400" w:firstLine="220"/>
        <w:spacing w:after="0" w:line="262" w:lineRule="auto"/>
        <w:rPr>
          <w:sz w:val="20"/>
          <w:szCs w:val="20"/>
          <w:color w:val="auto"/>
        </w:rPr>
      </w:pPr>
      <w:r>
        <w:rPr>
          <w:rFonts w:ascii="Arial" w:cs="Arial" w:eastAsia="Arial" w:hAnsi="Arial"/>
          <w:sz w:val="18"/>
          <w:szCs w:val="18"/>
          <w:b w:val="1"/>
          <w:bCs w:val="1"/>
          <w:color w:val="auto"/>
        </w:rPr>
        <w:t>1.06 Credit Amounts</w:t>
      </w:r>
      <w:r>
        <w:rPr>
          <w:rFonts w:ascii="Arial" w:cs="Arial" w:eastAsia="Arial" w:hAnsi="Arial"/>
          <w:sz w:val="18"/>
          <w:szCs w:val="18"/>
          <w:color w:val="auto"/>
        </w:rPr>
        <w:t>. Unless otherwise specified, all references herein to the amount of a Credit at any time shall be deemed to mean the maximum face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such Credit after giving effect to all increases thereof contemplated by such Credit or the Issuer Documents related thereto, whether or not such maximum face amount is in effect at such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CREDIT-LINKED DEPOSITS AND CREDIT EXTENSIONS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 Credits</w:t>
      </w:r>
      <w:r>
        <w:rPr>
          <w:rFonts w:ascii="Arial" w:cs="Arial" w:eastAsia="Arial" w:hAnsi="Arial"/>
          <w:sz w:val="18"/>
          <w:szCs w:val="18"/>
          <w:color w:val="auto"/>
        </w:rPr>
        <w:t>.</w:t>
      </w:r>
    </w:p>
    <w:p>
      <w:pPr>
        <w:spacing w:after="0" w:line="231" w:lineRule="exact"/>
        <w:rPr>
          <w:sz w:val="20"/>
          <w:szCs w:val="20"/>
          <w:color w:val="auto"/>
        </w:rPr>
      </w:pPr>
    </w:p>
    <w:p>
      <w:pPr>
        <w:ind w:left="520" w:hanging="292"/>
        <w:spacing w:after="0"/>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Credits.</w:t>
      </w:r>
    </w:p>
    <w:p>
      <w:pPr>
        <w:spacing w:after="0" w:line="225" w:lineRule="exact"/>
        <w:rPr>
          <w:rFonts w:ascii="Arial" w:cs="Arial" w:eastAsia="Arial" w:hAnsi="Arial"/>
          <w:sz w:val="18"/>
          <w:szCs w:val="18"/>
          <w:color w:val="auto"/>
        </w:rPr>
      </w:pPr>
    </w:p>
    <w:p>
      <w:pPr>
        <w:ind w:right="20" w:firstLine="447"/>
        <w:spacing w:after="0" w:line="290" w:lineRule="auto"/>
        <w:tabs>
          <w:tab w:leader="none" w:pos="73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 the Issuer agrees, in reliance upon the agreements of the Lenders set forth in this Section 2.01, from time to time on any Business Day during the period from the Closing Date until the Credit Expiration Date, to issue Credits denominated in Dollars for the account of the Company or any Subsidiary, and (B) the Issuer agrees, in reliance upon the agreements of the Lenders set forth in this Section 2.01, (1) to amend, extend, reinstate or renew Credits previously issued by it, in accordance with subsection (b) below, and (2) to honor drawings under the Credits; and (C) the Lenders severally agree to participate in Credits issued or outstanding hereunder for the account of the Company or any Subsidiary as provided in Section 2.01(c), and all reimbursement obligations and rights hereunder in respect thereof and the Issuer Documents with respect thereto and the Issuer hereby grants to the Lenders such participation interests in such Credits and all reimbursement obligations and rights hereunder in respect thereof and such related Issuer</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0" w:name="page101"/>
    <w:bookmarkEnd w:id="100"/>
    <w:p>
      <w:pPr>
        <w:ind w:right="280"/>
        <w:spacing w:after="0" w:line="268" w:lineRule="auto"/>
        <w:rPr>
          <w:sz w:val="20"/>
          <w:szCs w:val="20"/>
          <w:color w:val="auto"/>
        </w:rPr>
      </w:pPr>
      <w:r>
        <w:rPr>
          <w:rFonts w:ascii="Arial" w:cs="Arial" w:eastAsia="Arial" w:hAnsi="Arial"/>
          <w:sz w:val="18"/>
          <w:szCs w:val="18"/>
          <w:color w:val="auto"/>
        </w:rPr>
        <w:t>Documents; provided that the Company shall not request the issuance of any Credit, the Issuer shall not make any Credit Extension with respect to any Credit, and no Lender shall participate in any Credit, to the extent that, as of the date of such Credit Extension:</w:t>
      </w:r>
    </w:p>
    <w:p>
      <w:pPr>
        <w:spacing w:after="0" w:line="186" w:lineRule="exact"/>
        <w:rPr>
          <w:sz w:val="20"/>
          <w:szCs w:val="20"/>
          <w:color w:val="auto"/>
        </w:rPr>
      </w:pPr>
    </w:p>
    <w:p>
      <w:pPr>
        <w:ind w:left="1160" w:right="60" w:firstLine="215"/>
        <w:spacing w:after="0" w:line="268" w:lineRule="auto"/>
        <w:tabs>
          <w:tab w:leader="none" w:pos="166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sum, without duplication, of the applicable Outstanding Amount of all (i) Credits and (ii) Unreimbursed Amounts for which Advances have not yet been made would exceed the Total Credit-Linked Deposit;</w:t>
      </w:r>
    </w:p>
    <w:p>
      <w:pPr>
        <w:spacing w:after="0" w:line="185" w:lineRule="exact"/>
        <w:rPr>
          <w:rFonts w:ascii="Arial" w:cs="Arial" w:eastAsia="Arial" w:hAnsi="Arial"/>
          <w:sz w:val="18"/>
          <w:szCs w:val="18"/>
          <w:color w:val="auto"/>
        </w:rPr>
      </w:pPr>
    </w:p>
    <w:p>
      <w:pPr>
        <w:ind w:left="1160" w:right="1000" w:firstLine="215"/>
        <w:spacing w:after="0" w:line="332" w:lineRule="auto"/>
        <w:tabs>
          <w:tab w:leader="none" w:pos="165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Lender’s Pro Rata Share of the sum, without duplication, of the applicable Outstanding Amount of all (i) Credits and (ii) Unreimbursed Amounts for which Advances have not yet been made would exceed such Lender’s Credit-Linked Deposit; or</w:t>
      </w:r>
    </w:p>
    <w:p>
      <w:pPr>
        <w:spacing w:after="0" w:line="139" w:lineRule="exact"/>
        <w:rPr>
          <w:rFonts w:ascii="Arial" w:cs="Arial" w:eastAsia="Arial" w:hAnsi="Arial"/>
          <w:sz w:val="16"/>
          <w:szCs w:val="16"/>
          <w:color w:val="auto"/>
        </w:rPr>
      </w:pPr>
    </w:p>
    <w:p>
      <w:pPr>
        <w:ind w:left="1160" w:right="160" w:firstLine="215"/>
        <w:spacing w:after="0" w:line="268" w:lineRule="auto"/>
        <w:tabs>
          <w:tab w:leader="none" w:pos="17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expiry date of any such requested Credit would occur after the Credit Expiration Date (or, in the case of an Auto-Renewal Credit, no Nonrenewal Notice Date would occur on or prior to the Credit Expiration Date);</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provided further that in determining the availability hereunder with respect to any Escalating Credits issued or outstanding hereunder, the Total Credit-Linked Deposit will be deemed to be utilized in respect of such Escalating Credits in the aggregate amount equal to the maximum aggregate amount available to be drawn under all such Escalating Credits (after giving effect to all increases).</w:t>
      </w:r>
    </w:p>
    <w:p>
      <w:pPr>
        <w:spacing w:after="0" w:line="194" w:lineRule="exact"/>
        <w:rPr>
          <w:sz w:val="20"/>
          <w:szCs w:val="20"/>
          <w:color w:val="auto"/>
        </w:rPr>
      </w:pPr>
    </w:p>
    <w:p>
      <w:pPr>
        <w:ind w:right="220" w:firstLine="216"/>
        <w:spacing w:after="0" w:line="290" w:lineRule="auto"/>
        <w:rPr>
          <w:sz w:val="20"/>
          <w:szCs w:val="20"/>
          <w:color w:val="auto"/>
        </w:rPr>
      </w:pPr>
      <w:r>
        <w:rPr>
          <w:rFonts w:ascii="Arial" w:cs="Arial" w:eastAsia="Arial" w:hAnsi="Arial"/>
          <w:sz w:val="16"/>
          <w:szCs w:val="16"/>
          <w:color w:val="auto"/>
        </w:rPr>
        <w:t>Within the foregoing limits (the “Issuance Limits”), and subject to the terms and conditions hereof, the Company’s ability to obtain Credits shall be fully revolving, and accordingly the Company may, during the foregoing period, obtain Credits to replace Credits that have expired, been terminated or cancelled, or that have been drawn upon and reimbursed. All Existing Credits up to the respective amounts specified in Schedule 1.01 shall be deemed to have been issued pursuant hereto, and from and after the Closing Date shall be subject to and governed by the terms and conditions hereof. Notwithstanding anything to the contrary set forth herein, if any portion of the Total Credit-Linked Deposit is utilized to reimburse the Issuer for any amounts drawn under any Credit (as contemplated by Section 2.01(c) hereof) or to make Term Loans (as contemplated by Section 2.03(b) hereof), the Total Credit-Linked Deposit shall be permanently reduced by the corresponding amount utilized to reimburse the Issuer or to make Term Loans and shall not be reinstated.</w:t>
      </w:r>
    </w:p>
    <w:p>
      <w:pPr>
        <w:spacing w:after="0" w:line="172" w:lineRule="exact"/>
        <w:rPr>
          <w:sz w:val="20"/>
          <w:szCs w:val="20"/>
          <w:color w:val="auto"/>
        </w:rPr>
      </w:pPr>
    </w:p>
    <w:p>
      <w:pPr>
        <w:ind w:left="740" w:hanging="293"/>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 shall not be under any obligation to issue any Credit if:</w:t>
      </w:r>
    </w:p>
    <w:p>
      <w:pPr>
        <w:spacing w:after="0" w:line="225" w:lineRule="exact"/>
        <w:rPr>
          <w:rFonts w:ascii="Arial" w:cs="Arial" w:eastAsia="Arial" w:hAnsi="Arial"/>
          <w:sz w:val="18"/>
          <w:szCs w:val="18"/>
          <w:color w:val="auto"/>
        </w:rPr>
      </w:pPr>
    </w:p>
    <w:p>
      <w:pPr>
        <w:ind w:left="1160" w:right="40" w:firstLine="215"/>
        <w:spacing w:after="0" w:line="294" w:lineRule="auto"/>
        <w:tabs>
          <w:tab w:leader="none" w:pos="166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Issuer from issuing such Credit, or any Law applicable to the Issuer or any request or directive (whether or not having the force of law) from any Governmental Authority with jurisdiction over the Issuer shall prohibit, or request that the Issuer refrain from, the issuance of letters of credit generally or such Credit in particular or shall impose upon the Issuer with respect to such Credit any restriction, reserve or capital requirement (in each case, for which the Issuer is not otherwise compensated hereunder) not in effect on the Closing Date, or shall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1" w:name="page102"/>
    <w:bookmarkEnd w:id="101"/>
    <w:p>
      <w:pPr>
        <w:ind w:left="700" w:right="120"/>
        <w:spacing w:after="0" w:line="268" w:lineRule="auto"/>
        <w:rPr>
          <w:sz w:val="20"/>
          <w:szCs w:val="20"/>
          <w:color w:val="auto"/>
        </w:rPr>
      </w:pPr>
      <w:r>
        <w:rPr>
          <w:rFonts w:ascii="Arial" w:cs="Arial" w:eastAsia="Arial" w:hAnsi="Arial"/>
          <w:sz w:val="18"/>
          <w:szCs w:val="18"/>
          <w:color w:val="auto"/>
        </w:rPr>
        <w:t>impose upon the Issuer any unreimbursed loss, cost or expense which was not applicable on the Closing Date and which the Issuer in good faith deems material to it;</w:t>
      </w:r>
    </w:p>
    <w:p>
      <w:pPr>
        <w:spacing w:after="0" w:line="186" w:lineRule="exact"/>
        <w:rPr>
          <w:sz w:val="20"/>
          <w:szCs w:val="20"/>
          <w:color w:val="auto"/>
        </w:rPr>
      </w:pPr>
    </w:p>
    <w:p>
      <w:pPr>
        <w:ind w:left="1200" w:hanging="284"/>
        <w:spacing w:after="0"/>
        <w:tabs>
          <w:tab w:leader="none" w:pos="12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Administrative Agent or the Issuer reasonably determines that such Credit is not a Permitted Credit;</w:t>
      </w:r>
    </w:p>
    <w:p>
      <w:pPr>
        <w:spacing w:after="0" w:line="225" w:lineRule="exact"/>
        <w:rPr>
          <w:rFonts w:ascii="Arial" w:cs="Arial" w:eastAsia="Arial" w:hAnsi="Arial"/>
          <w:sz w:val="18"/>
          <w:szCs w:val="18"/>
          <w:color w:val="auto"/>
        </w:rPr>
      </w:pPr>
    </w:p>
    <w:p>
      <w:pPr>
        <w:ind w:left="1200" w:hanging="284"/>
        <w:spacing w:after="0"/>
        <w:tabs>
          <w:tab w:leader="none" w:pos="12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issuance of such Credit would violate any Laws or any policies of the Issuer; or</w:t>
      </w:r>
    </w:p>
    <w:p>
      <w:pPr>
        <w:spacing w:after="0" w:line="225" w:lineRule="exact"/>
        <w:rPr>
          <w:rFonts w:ascii="Arial" w:cs="Arial" w:eastAsia="Arial" w:hAnsi="Arial"/>
          <w:sz w:val="18"/>
          <w:szCs w:val="18"/>
          <w:color w:val="auto"/>
        </w:rPr>
      </w:pPr>
    </w:p>
    <w:p>
      <w:pPr>
        <w:ind w:left="700" w:right="740" w:firstLine="216"/>
        <w:spacing w:after="0" w:line="268" w:lineRule="auto"/>
        <w:tabs>
          <w:tab w:leader="none" w:pos="120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Issuer, such Credit is in a face amount less than $1,000,000, or is to be denominated in a currency other than Dollars.</w:t>
      </w:r>
    </w:p>
    <w:p>
      <w:pPr>
        <w:spacing w:after="0" w:line="185" w:lineRule="exact"/>
        <w:rPr>
          <w:rFonts w:ascii="Arial" w:cs="Arial" w:eastAsia="Arial" w:hAnsi="Arial"/>
          <w:sz w:val="18"/>
          <w:szCs w:val="18"/>
          <w:color w:val="auto"/>
        </w:rPr>
      </w:pPr>
    </w:p>
    <w:p>
      <w:pPr>
        <w:ind w:right="400" w:firstLine="447"/>
        <w:spacing w:after="0" w:line="332" w:lineRule="auto"/>
        <w:tabs>
          <w:tab w:leader="none" w:pos="74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Issuer shall not be under any obligation to amend any Credit if (A) the Issuer would have no obligation at such time to issue such Credit in its amended form under the terms hereof, or (B) the beneficiary of such Credit does not accept the proposed amendment to such Credit.</w:t>
      </w:r>
    </w:p>
    <w:p>
      <w:pPr>
        <w:spacing w:after="0" w:line="139" w:lineRule="exact"/>
        <w:rPr>
          <w:rFonts w:ascii="Arial" w:cs="Arial" w:eastAsia="Arial" w:hAnsi="Arial"/>
          <w:sz w:val="16"/>
          <w:szCs w:val="16"/>
          <w:color w:val="auto"/>
        </w:rPr>
      </w:pPr>
    </w:p>
    <w:p>
      <w:pPr>
        <w:ind w:right="120" w:firstLine="447"/>
        <w:spacing w:after="0" w:line="259" w:lineRule="auto"/>
        <w:tabs>
          <w:tab w:leader="none" w:pos="73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Issuer shall not issue or amend any Credit if the Issuer has received written notice from any Lender, the Administrative Agent or any Credit Party, on or prior to the Business Day prior to the requested date of issuance or amendment of such Credit, that one or more applicable conditions contained in Article IV shall not then be satisfied.</w:t>
      </w:r>
    </w:p>
    <w:p>
      <w:pPr>
        <w:spacing w:after="0" w:line="194" w:lineRule="exact"/>
        <w:rPr>
          <w:rFonts w:ascii="Arial" w:cs="Arial" w:eastAsia="Arial" w:hAnsi="Arial"/>
          <w:sz w:val="18"/>
          <w:szCs w:val="18"/>
          <w:color w:val="auto"/>
        </w:rPr>
      </w:pPr>
    </w:p>
    <w:p>
      <w:pPr>
        <w:ind w:left="520" w:hanging="292"/>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Procedures for Issuance and Amendment of Credits; Auto-Renewal Credits.</w:t>
      </w:r>
    </w:p>
    <w:p>
      <w:pPr>
        <w:spacing w:after="0" w:line="225" w:lineRule="exact"/>
        <w:rPr>
          <w:rFonts w:ascii="Arial" w:cs="Arial" w:eastAsia="Arial" w:hAnsi="Arial"/>
          <w:sz w:val="18"/>
          <w:szCs w:val="18"/>
          <w:color w:val="auto"/>
        </w:rPr>
      </w:pPr>
    </w:p>
    <w:p>
      <w:pPr>
        <w:ind w:firstLine="447"/>
        <w:spacing w:after="0" w:line="286" w:lineRule="auto"/>
        <w:tabs>
          <w:tab w:leader="none" w:pos="649"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Credit shall be issued or amended, as the case may be, upon the request of the Company delivered to the Issuer (with a copy concurrently delivered to the Administrative Agent) in the form of a Request for Credit Extension, appropriately completed and signed by a Responsible Officer or Authorized Representative of the Company. Any such Request for Credit Extension must be received by the Issuer and the Administrative Agent not later than 1:00 p.m., Dallas time, at least five Business Days prior to the proposed issuance date or date of amendment, as the case may be; or such other date or time as the Issuer and the Administrative Agent may agree in a particular instance in their sole discretion. In the case of a request for an initial issuance of a Credit, such request shall be in the form of a Request for Credit Extension and shall specify in form and detail satisfactory to the Issuer and the Administrative Agent: (A) the proposed issuance date of the requested Credit (which shall be a Business Day); (B) the face amount thereof; (C) the expiry date thereof; (D) the purpose and nature of the Credit; (E) the Person whose obligations are supported thereby (in the case of a Credit supporting the obligations of a Subsidiary); (F) the name and address of the beneficiary thereof; (G) any required text to be contained in the Credit; (H) the delivery instructions with respect to the Credit; and (J) whether such Credit will be an Escalating Credit, and if so, the maximum face amount of such Credit after giving effect to all increases. In the case of a request for an amendment of any outstanding Credit, such request shall be in the form of a Request for Credit Extension and shall specify in form and detail satisfactory to the Issuer and the Administrative Agent: (1) the Credit to be amended; (2) the proposed date of amendment thereof (which shall be a Business Day); (3) the nature of the proposed amendment; and (4) delivery instructions with respect to the amendment. Additionally, the Company shall furnish to</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02" w:name="page103"/>
    <w:bookmarkEnd w:id="102"/>
    <w:p>
      <w:pPr>
        <w:ind w:right="40"/>
        <w:spacing w:after="0" w:line="294" w:lineRule="auto"/>
        <w:rPr>
          <w:sz w:val="20"/>
          <w:szCs w:val="20"/>
          <w:color w:val="auto"/>
        </w:rPr>
      </w:pPr>
      <w:r>
        <w:rPr>
          <w:rFonts w:ascii="Arial" w:cs="Arial" w:eastAsia="Arial" w:hAnsi="Arial"/>
          <w:sz w:val="16"/>
          <w:szCs w:val="16"/>
          <w:color w:val="auto"/>
        </w:rPr>
        <w:t>the Issuer and the Administrative Agent such other documents and information pertaining to such requested Credit issuance or amendment, including any Issuer Documents as the Issuer or the Administrative Agent may reasonably require. Without limiting the generality of the foregoing, the delivery of a Request for Credit Extension is additional to, and not in replacement or substitution of, any other Issuer Document that the Issuer may require. Upon the effectiveness of any issuance or amendment of a Credit that will constitute a Credit hereunder, the Administrative Agent and the Lenders shall be entitled to assume that the Issuer has obtained such Issuer Documents as it shall have requested, executed by the relevant parties thereto to the extent required hereby.</w:t>
      </w:r>
    </w:p>
    <w:p>
      <w:pPr>
        <w:spacing w:after="0" w:line="170" w:lineRule="exact"/>
        <w:rPr>
          <w:sz w:val="20"/>
          <w:szCs w:val="20"/>
          <w:color w:val="auto"/>
        </w:rPr>
      </w:pPr>
    </w:p>
    <w:p>
      <w:pPr>
        <w:ind w:right="20" w:firstLine="228"/>
        <w:spacing w:after="0" w:line="291" w:lineRule="auto"/>
        <w:tabs>
          <w:tab w:leader="none" w:pos="4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Promptly after receipt of any Request for Credit Extension by the Issuer, the Issuer will confirm with the Administrative Agent (by telephone or in writing) that the Administrative Agent has received a copy of such Request for Credit Extension from the Company and, if not, the Issuer will provide the Administrative Agent with a copy thereof. Upon receipt by the Issuer and the Company of confirmation from the Administrative Agent that the requested issuance or amendment is permitted in accordance with the terms hereof, then, subject to the terms and conditions hereof, the Issuer shall, on the requested date, issue a Credit for the account of the Company or the applicable Subsidiary, or enter into the applicable amendment, as the case may be, in each case in accordance with the Issuer’s usual and customary business practices.</w:t>
      </w:r>
    </w:p>
    <w:p>
      <w:pPr>
        <w:spacing w:after="0" w:line="174" w:lineRule="exact"/>
        <w:rPr>
          <w:rFonts w:ascii="Arial" w:cs="Arial" w:eastAsia="Arial" w:hAnsi="Arial"/>
          <w:sz w:val="16"/>
          <w:szCs w:val="16"/>
          <w:color w:val="auto"/>
        </w:rPr>
      </w:pPr>
    </w:p>
    <w:p>
      <w:pPr>
        <w:ind w:right="40" w:firstLine="228"/>
        <w:spacing w:after="0" w:line="285" w:lineRule="auto"/>
        <w:tabs>
          <w:tab w:leader="none" w:pos="52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Company so requests in any applicable Request for Credit Extension, the Issuer agrees, subject to the terms and conditions hereof, to issue a Credit that has automatic renewal provisions (each, an “Auto-Renewal Credit”); provided that any such Auto-Renewal Credit must permit the Issuer to prevent any such renewal at least once during the term thereof (commencing with the date of issuance of such Credit) by giving prior notice to the beneficiary thereof not later than a specified date to be agreed upon at the time such Credit is issued, which shall occur and be effective prior to the Credit Expiration Date (the “Nonrenewal Notice Date”). Unless otherwise directed by the Issuer, the Company shall not be required to make a specific request to the Issuer for any renewal of an Auto-Renewal Credit, but the Issuer shall be required to provide prior notice to the Administrative Agent of any pending renewal of an Auto-Renewal Credit at least ten Business Days before the applicable Nonrenewal Notice Date. Once an Auto-Renewal Credit has been issued (or is permitted to be outstanding hereunder in the case of an Existing Credit that is an Auto-Renewal Credit), the Lenders shall be deemed to have authorized (but may not require) the Issuer to permit the renewal of such Credit at any time to a date not later than the Credit Expiration Date; provided, however, that the Issuer shall not permit any renewal of an Auto-Renewal Credit if (A) the Issuer has determined that it would have no obligation at such time to issue such Credit in its renewed form under the terms hereof (by reason of the provisions of Section 2.01(a)(ii), Section 4.02 or otherwise), (B) after giving effect to any such renewal, the earlier of the (x) expiry date of such Auto-Renewal Credit and (y) next occurring Nonrenewal Notice Date of such Auto-Renewal Credit would occur after the Credit Expiration Date, or (C) it has received notice (which may be by telephone or in writing) on or before the day that is two Business Days before the Nonrenewal Notice Date from the Administrative Agent, any Lender or the Company that one or more of the applicable conditions specified in Section 2.01(a)(ii) or 4.02 is not then satisfied.</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3" w:name="page104"/>
    <w:bookmarkEnd w:id="103"/>
    <w:p>
      <w:pPr>
        <w:ind w:right="100" w:firstLine="447"/>
        <w:spacing w:after="0" w:line="289" w:lineRule="auto"/>
        <w:tabs>
          <w:tab w:leader="none" w:pos="73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the Issuer shall issue any Credit or amend any Credit (if the effect thereof is to increase the face amount), without obtaining prior consent from the Administrative Agent (as provided in clause (ii) above), or if the Issuer shall permit the extension or renewal of an Auto-Renewal Credit without giving timely prior notice to the Administrative Agent or when such extension or renewal is not permitted hereunder (as provided in clause (iii) above), or if the Issuer shall permit the reinstatement of an Auto-Reinstating Credit when such reinstatement is not permitted hereunder (as provided in clause (vi) below), such Credit (in the case of any such amendment, to the extent of the increased face amount thereof, and in the case of any reinstatement, to the extent of the reinstated amount thereof) (A) shall for all purposes be deemed to have been issued by the Issuer solely for its own account and risk, and (B) shall not be considered a Credit outstanding under this Agreement, and no Lender shall be deemed to have any participation therein, effective as of the date of such issuance, amendment, reinstatement, extension or renewal, as the case may be, unless the Required Lenders expressly consent thereto.</w:t>
      </w:r>
    </w:p>
    <w:p>
      <w:pPr>
        <w:spacing w:after="0" w:line="172" w:lineRule="exact"/>
        <w:rPr>
          <w:rFonts w:ascii="Arial" w:cs="Arial" w:eastAsia="Arial" w:hAnsi="Arial"/>
          <w:sz w:val="16"/>
          <w:szCs w:val="16"/>
          <w:color w:val="auto"/>
        </w:rPr>
      </w:pPr>
    </w:p>
    <w:p>
      <w:pPr>
        <w:ind w:right="160" w:firstLine="447"/>
        <w:spacing w:after="0" w:line="268" w:lineRule="auto"/>
        <w:tabs>
          <w:tab w:leader="none" w:pos="68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Promptly after its delivery of any Credit or any amendment to a Credit to an advising bank with respect thereto or to the beneficiary thereof, the Issuer will also deliver to the Company and the Administrative Agent a true and complete copy of such Credit or amendment.</w:t>
      </w:r>
    </w:p>
    <w:p>
      <w:pPr>
        <w:spacing w:after="0" w:line="185" w:lineRule="exact"/>
        <w:rPr>
          <w:rFonts w:ascii="Arial" w:cs="Arial" w:eastAsia="Arial" w:hAnsi="Arial"/>
          <w:sz w:val="18"/>
          <w:szCs w:val="18"/>
          <w:color w:val="auto"/>
        </w:rPr>
      </w:pPr>
    </w:p>
    <w:p>
      <w:pPr>
        <w:ind w:right="60" w:firstLine="447"/>
        <w:spacing w:after="0" w:line="255" w:lineRule="auto"/>
        <w:tabs>
          <w:tab w:leader="none" w:pos="7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any Credit contains provisions providing for automatic reinstatement of the stated amount after any drawing thereunder, the Administrative Agent and the Lenders hereby authorize and direct the Issuer to permit such automatic reinstatement, whether or not a Default or Event of Default then exists, unless the Issuer has received a notice (which may be by telephone or in writing) on or before the day that is two Business Days before the reinstatement date from the Administrative Agent or the Required Lenders that one or more applicable conditions specified in Sections 2.01(a)(ii) or 4.02 is not then satisfied and directing it to cease permitting such automatic reinstatements.</w:t>
      </w:r>
    </w:p>
    <w:p>
      <w:pPr>
        <w:spacing w:after="0" w:line="196" w:lineRule="exact"/>
        <w:rPr>
          <w:rFonts w:ascii="Arial" w:cs="Arial" w:eastAsia="Arial" w:hAnsi="Arial"/>
          <w:sz w:val="18"/>
          <w:szCs w:val="18"/>
          <w:color w:val="auto"/>
        </w:rPr>
      </w:pPr>
    </w:p>
    <w:p>
      <w:pPr>
        <w:ind w:left="520" w:hanging="292"/>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Drawings and Reimbursements; Credit-Linked Deposits.</w:t>
      </w:r>
    </w:p>
    <w:p>
      <w:pPr>
        <w:spacing w:after="0" w:line="225" w:lineRule="exact"/>
        <w:rPr>
          <w:rFonts w:ascii="Arial" w:cs="Arial" w:eastAsia="Arial" w:hAnsi="Arial"/>
          <w:sz w:val="18"/>
          <w:szCs w:val="18"/>
          <w:color w:val="auto"/>
        </w:rPr>
      </w:pPr>
    </w:p>
    <w:p>
      <w:pPr>
        <w:ind w:right="20" w:firstLine="447"/>
        <w:spacing w:after="0" w:line="287" w:lineRule="auto"/>
        <w:tabs>
          <w:tab w:leader="none" w:pos="64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Upon receipt from the beneficiary of any Credit of any notice of a drawing under such Credit, the Issuer of such Credit shall promptly notify the Company thereof. If the Company obtains written notice (confirmed by telephone) from the Issuer of a drawing under a Credit prior to 1:00 p.m., Dallas time, on any Business Day, the Company shall reimburse the Issuer on such Business Day. If the Company obtains written notice (confirmed by telephone) from the Issuer of a drawing under a Credit at or after 1:00 p.m., Dallas time, on any Business Day, the Company shall reimburse the Issuer on the Business Day immediately following the Business Day upon which such notice was received by the Company. Such reimbursement shall be made directly to the Issuer in an amount equal to the unreimbursed drawing (the “Unreimbursed Amount”). Without affecting the Company’s obligations to so reimburse the Issuer on any such Business Day, which shall be absolute and unconditional, if the Company fails to so reimburse the Issuer by such time referenced above on the applicable due date for reimbursement specified above (the “Reimbursement Date”), the Issuer shall so notify the Administrative Agent (with a copy to the Company), which notice shall be provided on a Business Day, and specify in such notice the amount of the Unreimbursed Amount. Immediately upon receipt of such notice from the Issuer, the Administrative Agent shall promptly notify each</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4" w:name="page105"/>
    <w:bookmarkEnd w:id="104"/>
    <w:p>
      <w:pPr>
        <w:ind w:right="40"/>
        <w:spacing w:after="0" w:line="306" w:lineRule="auto"/>
        <w:rPr>
          <w:sz w:val="20"/>
          <w:szCs w:val="20"/>
          <w:color w:val="auto"/>
        </w:rPr>
      </w:pPr>
      <w:r>
        <w:rPr>
          <w:rFonts w:ascii="Arial" w:cs="Arial" w:eastAsia="Arial" w:hAnsi="Arial"/>
          <w:sz w:val="16"/>
          <w:szCs w:val="16"/>
          <w:color w:val="auto"/>
        </w:rPr>
        <w:t>Lender of the Reimbursement Date, the Unreimbursed Amount, the amount of such Lender’s Pro Rata Share thereof, and shall state that Advances will be funded by application of such Lender’s Pro Rata Share of the Credit-Linked Deposits in the Credit-Linked Deposit Account on the sixth Business Day after such Reimbursement Date to the extent the Unreimbursed Amount (or any portion thereof) remains outstanding on such day.</w:t>
      </w:r>
    </w:p>
    <w:p>
      <w:pPr>
        <w:spacing w:after="0" w:line="161" w:lineRule="exact"/>
        <w:rPr>
          <w:sz w:val="20"/>
          <w:szCs w:val="20"/>
          <w:color w:val="auto"/>
        </w:rPr>
      </w:pPr>
    </w:p>
    <w:p>
      <w:pPr>
        <w:ind w:firstLine="447"/>
        <w:spacing w:after="0" w:line="284" w:lineRule="auto"/>
        <w:tabs>
          <w:tab w:leader="none" w:pos="69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Issuer hereby irrevocably grants to each Lender, and each Lender hereby irrevocably accepts and purchases from the Issuer on the terms and conditions hereinafter stated, for such Lender’s own account and risk an undivided interest equal to its Pro Rata Share in the Issuer’s obligations and rights with respect to the Credits issued pursuant to this Agreement (as to each Lender, its “Participation”), which purchase price when paid to the Administrative Agent shall not be a deposit obligation of the Administrative Agent or Bank of America. The consideration for the Participation of each Lender shall consist of the payment by such Lender to the Administrative Agent of an amount equal to the Dollar amount set forth opposite such Lender’s name in Schedule 2.01 under the heading “Credit-Linked Deposit” (as the same may be reduced from time to time in accordance with this Agreement, such Lender’s “Credit-Linked Deposit”), subject to the conditions precedent set forth in Section 4.01 hereof. Each Lender shall pay to the Administrative Agent its Credit-Linked Deposit in full on the Closing Date. The Credit-Linked Deposits of all Lenders shall be held by, and in the name of, the Administrative Agent in the Credit-Linked Deposit Account under the sole dominion and control of the Administrative Agent. Each Lender unconditionally and irrevocably agrees with the Administrative Agent and the Issuer that, if a drawing is paid under any Credit for which the Issuer is not reimbursed in full by the Company in cash within five Business Days after the applicable Reimbursement Date or converted into a Term Loan under Section 2.03(b), such Lender hereby authorizes the Administrative Agent to reimburse to the Issuer the Unreimbursed Amount (or the outstanding portion thereof) related to such drawing on or after the sixth Business Day after such Reimbursement Date, to the extent of such Lender’s Pro Rata Share of the Unreimbursed Amount, solely from such Lender’s Pro Rata Share of the Credit-Linked Deposits in the Credit-Linked Deposit Account, and each Lender hereby irrevocably authorizes the Administrative Agent to charge the Credit-Linked Deposit Account for such purpose, in satisfaction of such Lender’s reimbursement obligation arising with respect to such drawing hereunder. Without limiting the generality of Section 9.01, in charging the Credit-Linked Deposit Account or otherwise exercising any rights of set-off with respect thereto, the Administrative Agent acts as the agent of the Issuer. The amount of each Lender’s Pro Rata Share of such Unreimbursed Amount (or portion thereof) which is paid the Issuer as set forth above shall be deemed to be an Advance by such Lender to the Company hereunder. The outstanding principal amount of each Advance, together with interest thereon as provided in Section 2.04, shall be due and payable, in Dollars, on demand. Each Lender shall be subrogated to the rights and remedies of the Issuer against the Company and any Subsidiary liable under such Credit to the extent such Lender has reimbursed the Issuer as set forth in this Section 2.01(c)(ii). The Issuer shall reasonably cooperate in exercising and enforcing such rights and remedies as may be requested by the Required Lenders (and such cooperation shall be subject to any applicable indemnification set forth in Section 9.07 or Section 10.05 of this Agreement). The Issuer shall have no right to withdraw or set-off against monies on deposit in the Credit-Linked Deposit Account other than as set forth in this Section 2.01(c)(ii).</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5" w:name="page106"/>
    <w:bookmarkEnd w:id="105"/>
    <w:p>
      <w:pPr>
        <w:ind w:right="20" w:firstLine="447"/>
        <w:spacing w:after="0" w:line="256" w:lineRule="auto"/>
        <w:tabs>
          <w:tab w:leader="none" w:pos="74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Credit-Linked Deposits shall be held by the Administrative Agent in its name in the Credit-Linked Deposit Account and no Person other than the Administrative Agent shall have a right of withdrawal from the Credit-Linked Deposit Account nor any other right or power with respect to the Credit-Linked Deposits or the Credit-Linked Deposit Account. Notwithstanding anything in this Agreement to the contrary, the sole funding obligation of each Lender in respect of its Participation shall be satisfied upon funding of its Credit-Linked Deposit.</w:t>
      </w:r>
    </w:p>
    <w:p>
      <w:pPr>
        <w:spacing w:after="0" w:line="197" w:lineRule="exact"/>
        <w:rPr>
          <w:rFonts w:ascii="Arial" w:cs="Arial" w:eastAsia="Arial" w:hAnsi="Arial"/>
          <w:sz w:val="18"/>
          <w:szCs w:val="18"/>
          <w:color w:val="auto"/>
        </w:rPr>
      </w:pPr>
    </w:p>
    <w:p>
      <w:pPr>
        <w:ind w:right="120" w:firstLine="447"/>
        <w:spacing w:after="0" w:line="259" w:lineRule="auto"/>
        <w:tabs>
          <w:tab w:leader="none" w:pos="73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Until an Advance is funded pursuant to this Section 2.01(c) to reimburse the Issuer for the Unreimbursed Amount in respect of any Credit, or such Unreimbursed Amount is converted to a Term Loan pursuant to Section 2.03, interest in respect of each Lender’s Pro Rata Share of the Borrowing in the amount of such Unreimbursed Amount shall be solely for the account of the Issuer.</w:t>
      </w:r>
    </w:p>
    <w:p>
      <w:pPr>
        <w:spacing w:after="0" w:line="194" w:lineRule="exact"/>
        <w:rPr>
          <w:rFonts w:ascii="Arial" w:cs="Arial" w:eastAsia="Arial" w:hAnsi="Arial"/>
          <w:sz w:val="18"/>
          <w:szCs w:val="18"/>
          <w:color w:val="auto"/>
        </w:rPr>
      </w:pPr>
    </w:p>
    <w:p>
      <w:pPr>
        <w:ind w:right="120" w:firstLine="447"/>
        <w:spacing w:after="0" w:line="294" w:lineRule="auto"/>
        <w:tabs>
          <w:tab w:leader="none" w:pos="68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Except as expressly provided herein, each Lender’s agreement to fund Advances, by application of such Lender’s Pro Rata Share of the Credit-Linked Deposits, to reimburse the Issuer for amounts drawn under Credits issued by the Issuer, as contemplated by this Section 2.01(c), shall be absolute and unconditional and shall not be affected by any circumstance, including (A) any set-off, counterclaim, recoupment, defense or other right which such Lender may have against the Issuer, the Company, any Subsidiary or any other Person for any reason whatsoever, (B) the occurrence or continuance of a Default or Event of Default, or (C) any other occurrence, event or condition, whether or not similar to any of the foregoing.</w:t>
      </w:r>
    </w:p>
    <w:p>
      <w:pPr>
        <w:spacing w:after="0" w:line="169" w:lineRule="exact"/>
        <w:rPr>
          <w:rFonts w:ascii="Arial" w:cs="Arial" w:eastAsia="Arial" w:hAnsi="Arial"/>
          <w:sz w:val="16"/>
          <w:szCs w:val="16"/>
          <w:color w:val="auto"/>
        </w:rPr>
      </w:pPr>
    </w:p>
    <w:p>
      <w:pPr>
        <w:ind w:right="500" w:firstLine="447"/>
        <w:spacing w:after="0" w:line="268" w:lineRule="auto"/>
        <w:tabs>
          <w:tab w:leader="none" w:pos="73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Notwithstanding that a Credit issued or outstanding hereunder is in support of any obligations of a Subsidiary, the Company shall be obligated to reimburse the Issuer hereunder for the full amount of any and all drawings under such Credit.</w:t>
      </w:r>
    </w:p>
    <w:p>
      <w:pPr>
        <w:spacing w:after="0" w:line="185" w:lineRule="exact"/>
        <w:rPr>
          <w:rFonts w:ascii="Arial" w:cs="Arial" w:eastAsia="Arial" w:hAnsi="Arial"/>
          <w:sz w:val="18"/>
          <w:szCs w:val="18"/>
          <w:color w:val="auto"/>
        </w:rPr>
      </w:pPr>
    </w:p>
    <w:p>
      <w:pPr>
        <w:ind w:right="80" w:firstLine="447"/>
        <w:spacing w:after="0" w:line="298" w:lineRule="auto"/>
        <w:tabs>
          <w:tab w:leader="none" w:pos="78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 the event of any voluntary payment or prepayment (other than through the making of a Term Loan as provided for in Section 2.03(b)) of an Advance at any time prior to the second anniversary of the Closing Date, the Company shall pay on the date of such prepayment to the Administrative Agent, for the account of the Lenders in accordance with their Pro Rata Shares, a premium in an amount equal to three percent (3.00%) of the amount so prepaid and any prepayment of the Advances thereafter shall be accompanied by the Prepayment Premium, if any.</w:t>
      </w:r>
    </w:p>
    <w:p>
      <w:pPr>
        <w:spacing w:after="0" w:line="166" w:lineRule="exact"/>
        <w:rPr>
          <w:rFonts w:ascii="Arial" w:cs="Arial" w:eastAsia="Arial" w:hAnsi="Arial"/>
          <w:sz w:val="16"/>
          <w:szCs w:val="16"/>
          <w:color w:val="auto"/>
        </w:rPr>
      </w:pPr>
    </w:p>
    <w:p>
      <w:pPr>
        <w:ind w:left="520" w:hanging="292"/>
        <w:spacing w:after="0"/>
        <w:tabs>
          <w:tab w:leader="none" w:pos="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Repayment of Participations.</w:t>
      </w:r>
    </w:p>
    <w:p>
      <w:pPr>
        <w:spacing w:after="0" w:line="225" w:lineRule="exact"/>
        <w:rPr>
          <w:rFonts w:ascii="Arial" w:cs="Arial" w:eastAsia="Arial" w:hAnsi="Arial"/>
          <w:sz w:val="18"/>
          <w:szCs w:val="18"/>
          <w:color w:val="auto"/>
        </w:rPr>
      </w:pPr>
    </w:p>
    <w:p>
      <w:pPr>
        <w:ind w:right="120" w:firstLine="447"/>
        <w:spacing w:after="0" w:line="290" w:lineRule="auto"/>
        <w:tabs>
          <w:tab w:leader="none" w:pos="63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At any time after the Issuer has made a payment under any Credit and has received from the Credit-Linked Deposit the proceeds of Advances by the Lenders in respect of such payment in accordance with Section 2.01(c), if the Administrative Agent receives for the account of the Issuer any payment in respect of the related Unreimbursed Amount or interest thereon (whether directly from the Company or otherwise, including proceeds of Cash Collateral applied thereto by the Administrative Agent), the Administrative Agent will distribute to each Lender its Pro Rata Share thereof (appropriately adjusted, in the case of interest payments, to reflect the period of time during which such Lender’s Advance was outstanding) in Dollars and in the same funds as those received by the Administrative Agent. If a Borrowing has occurred hereunder, the Company shall repay the Unreimbursed Amount and interest thereon as provided in Sections 2.01(c) and 2.04 and shall pay any prepayment premium required to be paid pursuant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6" w:name="page107"/>
    <w:bookmarkEnd w:id="106"/>
    <w:p>
      <w:pPr>
        <w:ind w:right="100"/>
        <w:spacing w:after="0" w:line="259" w:lineRule="auto"/>
        <w:rPr>
          <w:sz w:val="20"/>
          <w:szCs w:val="20"/>
          <w:color w:val="auto"/>
        </w:rPr>
      </w:pPr>
      <w:r>
        <w:rPr>
          <w:rFonts w:ascii="Arial" w:cs="Arial" w:eastAsia="Arial" w:hAnsi="Arial"/>
          <w:sz w:val="18"/>
          <w:szCs w:val="18"/>
          <w:color w:val="auto"/>
        </w:rPr>
        <w:t>to Section 2.01(c)(vii). Notwithstanding the foregoing, if the Issuer shall have received from the Credit-Linked Deposit the proceeds of Advances by the Lenders and thereafter shall receive any direct payment from the Company in respect of a Borrowing, the Issuer shall immediately pay the amount received to the Administrative Agent for distribution to the Lenders in accordance with this Section 2.01(d).</w:t>
      </w:r>
    </w:p>
    <w:p>
      <w:pPr>
        <w:spacing w:after="0" w:line="194" w:lineRule="exact"/>
        <w:rPr>
          <w:sz w:val="20"/>
          <w:szCs w:val="20"/>
          <w:color w:val="auto"/>
        </w:rPr>
      </w:pPr>
    </w:p>
    <w:p>
      <w:pPr>
        <w:ind w:right="80" w:firstLine="447"/>
        <w:spacing w:after="0" w:line="298" w:lineRule="auto"/>
        <w:tabs>
          <w:tab w:leader="none" w:pos="69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If any payment received by the Administrative Agent for the account of the Issuer pursuant to Section 2.01(d)(i) and distributed to the Lenders by the Administrative Agent is required to be returned under any of the circumstances described in Section 10.06, each Lender shall pay to the Administrative Agent for the account of the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166" w:lineRule="exact"/>
        <w:rPr>
          <w:rFonts w:ascii="Arial" w:cs="Arial" w:eastAsia="Arial" w:hAnsi="Arial"/>
          <w:sz w:val="16"/>
          <w:szCs w:val="16"/>
          <w:color w:val="auto"/>
        </w:rPr>
      </w:pPr>
    </w:p>
    <w:p>
      <w:pPr>
        <w:ind w:right="240" w:firstLine="228"/>
        <w:spacing w:after="0" w:line="259" w:lineRule="auto"/>
        <w:tabs>
          <w:tab w:leader="none" w:pos="5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Obligations Absolute. The obligation of the Company to reimburse the Issuer for each drawing under each Credit and to repay each Borrowing, shall be absolute, unconditional and irrevocable, and shall be paid strictly in accordance with the terms of this Agreement under all circumstances, including the following:</w:t>
      </w:r>
    </w:p>
    <w:p>
      <w:pPr>
        <w:spacing w:after="0" w:line="194" w:lineRule="exact"/>
        <w:rPr>
          <w:rFonts w:ascii="Arial" w:cs="Arial" w:eastAsia="Arial" w:hAnsi="Arial"/>
          <w:sz w:val="18"/>
          <w:szCs w:val="18"/>
          <w:color w:val="auto"/>
        </w:rPr>
      </w:pPr>
    </w:p>
    <w:p>
      <w:pPr>
        <w:ind w:left="660" w:hanging="213"/>
        <w:spacing w:after="0"/>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lack of validity or enforceability of such Credit, this Agreement, or any other Credit Document;</w:t>
      </w:r>
    </w:p>
    <w:p>
      <w:pPr>
        <w:spacing w:after="0" w:line="225" w:lineRule="exact"/>
        <w:rPr>
          <w:sz w:val="20"/>
          <w:szCs w:val="20"/>
          <w:color w:val="auto"/>
        </w:rPr>
      </w:pPr>
    </w:p>
    <w:p>
      <w:pPr>
        <w:ind w:right="160" w:firstLine="447"/>
        <w:spacing w:after="0" w:line="256" w:lineRule="auto"/>
        <w:tabs>
          <w:tab w:leader="none" w:pos="69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Credit (or any Person for whom any such beneficiary or any such transferee may be acting), the Issuer or any other Person, whether in connection with this Agreement, the transactions contemplated hereby or by such Credit or any agreement or instrument relating thereto, or any unrelated transaction;</w:t>
      </w:r>
    </w:p>
    <w:p>
      <w:pPr>
        <w:spacing w:after="0" w:line="197" w:lineRule="exact"/>
        <w:rPr>
          <w:rFonts w:ascii="Arial" w:cs="Arial" w:eastAsia="Arial" w:hAnsi="Arial"/>
          <w:sz w:val="18"/>
          <w:szCs w:val="18"/>
          <w:color w:val="auto"/>
        </w:rPr>
      </w:pPr>
    </w:p>
    <w:p>
      <w:pPr>
        <w:ind w:right="80" w:firstLine="447"/>
        <w:spacing w:after="0" w:line="259" w:lineRule="auto"/>
        <w:tabs>
          <w:tab w:leader="none" w:pos="7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Credit proving to be forged, fraudulent, invalid or insufficient in any respect or any statement therein being untrue or inaccurate in any respect; or any loss or delay in the transmission or otherwise of any document required in order to make a drawing under such Credit;</w:t>
      </w:r>
    </w:p>
    <w:p>
      <w:pPr>
        <w:spacing w:after="0" w:line="194" w:lineRule="exact"/>
        <w:rPr>
          <w:rFonts w:ascii="Arial" w:cs="Arial" w:eastAsia="Arial" w:hAnsi="Arial"/>
          <w:sz w:val="18"/>
          <w:szCs w:val="18"/>
          <w:color w:val="auto"/>
        </w:rPr>
      </w:pPr>
    </w:p>
    <w:p>
      <w:pPr>
        <w:ind w:right="100" w:firstLine="447"/>
        <w:spacing w:after="0" w:line="256" w:lineRule="auto"/>
        <w:tabs>
          <w:tab w:leader="none" w:pos="7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payment by the Issuer under such Credit against presentation of a draft or certificate that does not strictly comply with the terms of such Credit; or any payment made by the Issuer under such Credit to any Person purporting to be a trustee in bankruptcy, debtor-in-possession, assignee for the benefit of creditors, liquidator, receiver or other representative of or successor to any beneficiary or any transferee of such Credit, including any arising in connection with any proceeding under any Debtor Relief Law; or</w:t>
      </w:r>
    </w:p>
    <w:p>
      <w:pPr>
        <w:spacing w:after="0" w:line="197" w:lineRule="exact"/>
        <w:rPr>
          <w:rFonts w:ascii="Arial" w:cs="Arial" w:eastAsia="Arial" w:hAnsi="Arial"/>
          <w:sz w:val="18"/>
          <w:szCs w:val="18"/>
          <w:color w:val="auto"/>
        </w:rPr>
      </w:pPr>
    </w:p>
    <w:p>
      <w:pPr>
        <w:ind w:right="80" w:firstLine="447"/>
        <w:spacing w:after="0" w:line="268" w:lineRule="auto"/>
        <w:tabs>
          <w:tab w:leader="none" w:pos="6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shall promptly examine a copy of each Credit and each amendment thereto that is delivered to it and, in the event of any claim of noncompliance with the Company’s instructions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07" w:name="page108"/>
    <w:bookmarkEnd w:id="107"/>
    <w:p>
      <w:pPr>
        <w:ind w:right="160"/>
        <w:spacing w:after="0" w:line="268" w:lineRule="auto"/>
        <w:rPr>
          <w:sz w:val="20"/>
          <w:szCs w:val="20"/>
          <w:color w:val="auto"/>
        </w:rPr>
      </w:pPr>
      <w:r>
        <w:rPr>
          <w:rFonts w:ascii="Arial" w:cs="Arial" w:eastAsia="Arial" w:hAnsi="Arial"/>
          <w:sz w:val="18"/>
          <w:szCs w:val="18"/>
          <w:color w:val="auto"/>
        </w:rPr>
        <w:t>or other irregularity, the Company will promptly notify the Issuer. The Company shall be conclusively deemed to have waived any such claim against the Issuer and its correspondents unless such notice is given as aforesaid.</w:t>
      </w:r>
    </w:p>
    <w:p>
      <w:pPr>
        <w:spacing w:after="0" w:line="186" w:lineRule="exact"/>
        <w:rPr>
          <w:sz w:val="20"/>
          <w:szCs w:val="20"/>
          <w:color w:val="auto"/>
        </w:rPr>
      </w:pPr>
    </w:p>
    <w:p>
      <w:pPr>
        <w:ind w:firstLine="228"/>
        <w:spacing w:after="0" w:line="285" w:lineRule="auto"/>
        <w:tabs>
          <w:tab w:leader="none" w:pos="4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Role of Issuer. Each Lender and the Company agree that, in paying any drawing under a Credit, the Issuer shall not have any responsibility to obtain any document (other than any sight draft, certificates and documents expressly required by the Credit) or to ascertain or inquire as to the validity or accuracy of any such document or the authority of the Person executing or delivering any such document. None of the Issuer, any Issuer-Related Person nor any of the respective correspondents, participants or assignees of the Issuer shall be liable to any Lender for (i) any action taken or omitted in connection herewith at the request or with the approval of the Required Lenders or the Required Credit-Linked Lenders, as applicable; (ii) any action taken or omitted in the absence of gross negligence or willful misconduct; or (iii) the due execution, effectiveness, validity or enforceability of any document or instrument related to any Credit or Request for Credit Extension. The Company hereby assumes all risks of the acts or omissions of any beneficiary or transferee with respect to its use of any Credit; provided, however, that this assumption is not intended to, and shall not, preclude the Company’s pursuing such rights and remedies as it may have against the beneficiary or transferee at law or under any other agreement. None of the Issuer, any Issuer-Related Person, nor any of the respective correspondents, participants or assignees of the Issuer, shall be liable or responsible for any of the matters described in clauses (i) through (v) of Section 2.01(e); provided, however, that anything in such clauses to the contrary notwithstanding, the Company may have a claim against the Issuer, and the Issuer may be liable to the Company, to the extent, but only to the extent, of any direct, as opposed to consequential or exemplary, damages suffered by the Company which the Company proves were caused by the Issuer’s willful misconduct or gross negligence or the Issuer’s willful failure to pay under any Credit after the presentation to it by the beneficiary of a sight draft and certificate(s) strictly complying with the terms and conditions of a Credit. In furtherance and not in limitation of the foregoing, the Issuer may accept documents that appear on their face to be in order, without responsibility for further investigation, regardless of any notice or information to the contrary, and the Issuer shall not be responsible for the validity or sufficiency of any instrument transferring or assigning or purporting to transfer or assign a Credit or the rights or benefits thereunder or proceeds thereof, in whole or in part, which may prove to be invalid or ineffective for any reason.</w:t>
      </w:r>
    </w:p>
    <w:p>
      <w:pPr>
        <w:spacing w:after="0" w:line="175" w:lineRule="exact"/>
        <w:rPr>
          <w:rFonts w:ascii="Arial" w:cs="Arial" w:eastAsia="Arial" w:hAnsi="Arial"/>
          <w:sz w:val="16"/>
          <w:szCs w:val="16"/>
          <w:color w:val="auto"/>
        </w:rPr>
      </w:pPr>
    </w:p>
    <w:p>
      <w:pPr>
        <w:ind w:right="700" w:firstLine="228"/>
        <w:spacing w:after="0" w:line="268" w:lineRule="auto"/>
        <w:tabs>
          <w:tab w:leader="none" w:pos="5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Applicability of ISP98. Unless otherwise expressly agreed by the Issuer and the Company when a Credit is issued (including any such agreement applicable to an Existing Credit), the rules of the ISP shall apply to each Credit.</w:t>
      </w:r>
    </w:p>
    <w:p>
      <w:pPr>
        <w:spacing w:after="0" w:line="185" w:lineRule="exact"/>
        <w:rPr>
          <w:rFonts w:ascii="Arial" w:cs="Arial" w:eastAsia="Arial" w:hAnsi="Arial"/>
          <w:sz w:val="18"/>
          <w:szCs w:val="18"/>
          <w:color w:val="auto"/>
        </w:rPr>
      </w:pPr>
    </w:p>
    <w:p>
      <w:pPr>
        <w:ind w:right="580" w:firstLine="228"/>
        <w:spacing w:after="0" w:line="268" w:lineRule="auto"/>
        <w:tabs>
          <w:tab w:leader="none" w:pos="5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Issuer Documents. In the event of any conflict between the terms hereof, the terms of any Request for Credit Extension and the terms of any Issuer Document (other than any Credit), the terms hereof shall control.</w:t>
      </w:r>
    </w:p>
    <w:p>
      <w:pPr>
        <w:spacing w:after="0" w:line="185" w:lineRule="exact"/>
        <w:rPr>
          <w:rFonts w:ascii="Arial" w:cs="Arial" w:eastAsia="Arial" w:hAnsi="Arial"/>
          <w:sz w:val="18"/>
          <w:szCs w:val="18"/>
          <w:color w:val="auto"/>
        </w:rPr>
      </w:pPr>
    </w:p>
    <w:p>
      <w:pPr>
        <w:ind w:left="480" w:hanging="252"/>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Existing Credits. The Company and the Issuer certify that Schedule 1.01 accurately and completely sets forth the Existing Credits.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8" w:name="page109"/>
    <w:bookmarkEnd w:id="108"/>
    <w:p>
      <w:pPr>
        <w:ind w:left="480" w:hanging="252"/>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Interest on Credit-Linked Deposit; Repayment of Credit-Linked Deposit.</w:t>
      </w:r>
    </w:p>
    <w:p>
      <w:pPr>
        <w:spacing w:after="0" w:line="225" w:lineRule="exact"/>
        <w:rPr>
          <w:rFonts w:ascii="Arial" w:cs="Arial" w:eastAsia="Arial" w:hAnsi="Arial"/>
          <w:sz w:val="18"/>
          <w:szCs w:val="18"/>
          <w:color w:val="auto"/>
        </w:rPr>
      </w:pPr>
    </w:p>
    <w:p>
      <w:pPr>
        <w:ind w:firstLine="447"/>
        <w:spacing w:after="0" w:line="291" w:lineRule="auto"/>
        <w:tabs>
          <w:tab w:leader="none" w:pos="64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Administrative Agent hereby agrees to cause Bank of America to pay interest to the Administrative Agent, as holder of the Credit-Linked Deposit Account, and the Administrative Agent, as holder of the Credit-Linked Deposit Account, agrees to distribute to each Lender, from such interest payments received from Bank of America, such Lender’s Pro Rata Share of interest on the outstanding amount of the Credit-Linked Deposits in the Credit-Linked Deposit Account at the rate per annum set forth on Schedule A annexed hereto. Such interest will be distributed to the Lenders by the Administrative Agent quarterly in arrears on the first Business Day following the end of each Interest Period relating to the Credit-Linked Deposits. The Administrative Agent shall compute all amounts due under this Section 2.01(j)(i) and shall notify the Company and such Lender of each such amount due.</w:t>
      </w:r>
    </w:p>
    <w:p>
      <w:pPr>
        <w:spacing w:after="0" w:line="174" w:lineRule="exact"/>
        <w:rPr>
          <w:rFonts w:ascii="Arial" w:cs="Arial" w:eastAsia="Arial" w:hAnsi="Arial"/>
          <w:sz w:val="16"/>
          <w:szCs w:val="16"/>
          <w:color w:val="auto"/>
        </w:rPr>
      </w:pPr>
    </w:p>
    <w:p>
      <w:pPr>
        <w:ind w:firstLine="447"/>
        <w:spacing w:after="0" w:line="294" w:lineRule="auto"/>
        <w:tabs>
          <w:tab w:leader="none" w:pos="69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Subject to, and to the extent of, the Company’s compliance with the cash-collateralization requirements set forth in Section 2.02, the Administrative Agent shall distribute the aggregate amount of any remaining Credit-Linked Deposits to the Lenders on the Maturity Date to the extent of the amount credited to the Credit-Linked Deposit Account. The Credit-Linked Deposit Account is a deposit account in the name of the Administrative Agent under its sole dominion and control, and held by it with Bank of America subject to the terms and conditions of this Agreement. No Lender, whether upon the receivership or liquidation of such Lender or otherwise, shall be entitled to its Credit-Linked Deposit other than as expressly provided in this Agreement.</w:t>
      </w:r>
    </w:p>
    <w:p>
      <w:pPr>
        <w:spacing w:after="0" w:line="169" w:lineRule="exact"/>
        <w:rPr>
          <w:rFonts w:ascii="Arial" w:cs="Arial" w:eastAsia="Arial" w:hAnsi="Arial"/>
          <w:sz w:val="16"/>
          <w:szCs w:val="16"/>
          <w:color w:val="auto"/>
        </w:rPr>
      </w:pPr>
    </w:p>
    <w:p>
      <w:pPr>
        <w:ind w:right="20" w:firstLine="447"/>
        <w:spacing w:after="0" w:line="294" w:lineRule="auto"/>
        <w:tabs>
          <w:tab w:leader="none" w:pos="74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Company shall have no right, title or interest in or to the Credit-Linked Deposits or the Credit-Linked Deposit Account and no obligations with respect thereto, it being acknowledged and agreed by the parties hereto that the making of the Credit-Linked Deposits by the Lenders, the deposit by the Administrative Agent of the Credit-Linked Deposits in the Credit-Linked Deposit Account, the provisions of this Section 2.01(j) and the application of the Credit-Linked Deposits in the manner contemplated by Section 2.01(c) constitute agreements among the Administrative Agent, the Issuer and each Lender in respect of the funding obligations of each Lender in respect of its Participation in Credits, and do not constitute any loan or extension of credit to the Company.</w:t>
      </w:r>
    </w:p>
    <w:p>
      <w:pPr>
        <w:spacing w:after="0" w:line="164"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color w:val="auto"/>
        </w:rPr>
        <w:t>Cash Collateral</w:t>
      </w:r>
    </w:p>
    <w:p>
      <w:pPr>
        <w:spacing w:after="0" w:line="231" w:lineRule="exact"/>
        <w:rPr>
          <w:sz w:val="20"/>
          <w:szCs w:val="20"/>
          <w:color w:val="auto"/>
        </w:rPr>
      </w:pPr>
    </w:p>
    <w:p>
      <w:pPr>
        <w:ind w:right="60" w:firstLine="228"/>
        <w:spacing w:after="0" w:line="290" w:lineRule="auto"/>
        <w:tabs>
          <w:tab w:leader="none" w:pos="50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request of the Administrative Agent, (i) if, as of the Credit Expiration Date, (A) any Credit for any reason remains outstanding and partially or wholly undrawn or (B) any amount remains available to be drawn under any Credit by reason of the operation of Rule 3.14 of the ISP, or (ii) upon the occurrence of the circumstances described in Section 8.02(c) requiring the Company to Cash Collateralize Credits, the Company shall within two Business Days after receipt of such request Cash Collateralize the then Outstanding Amount of all Credits (in an amount equal to the Outstanding Amount thereof). For purposes hereof, “Cash Collateralize” means to pledge and deposit with or deliver to the Administrative Agent, for the benefit of the Issuer and the Lenders, as collateral for the Credit Obligations, cash or deposit account balances (“Cash Collateral”) pursuant to documentation in form and substance reasonably satisfactory to the Administrative Agent (which documents are hereby consented to by the Lenders). Derivatives of such term have corresponding meanings.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9" w:name="page110"/>
    <w:bookmarkEnd w:id="109"/>
    <w:p>
      <w:pPr>
        <w:ind w:right="260" w:firstLine="228"/>
        <w:spacing w:after="0" w:line="256" w:lineRule="auto"/>
        <w:tabs>
          <w:tab w:leader="none" w:pos="5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hereby grants the Administrative Agent, for the benefit of the Issuer and the Lenders, a security interest in all such Cash Collateral. Cash Collateral shall be maintained in blocked, non-interest bearing deposit accounts at Bank of America and shall be subject to such Lien documentation as the Administrative Agent shall reasonably request. The Company hereby authorizes the filing by the Administrative Agent of any UCC-1 financing statements in connection therewith.</w:t>
      </w:r>
    </w:p>
    <w:p>
      <w:pPr>
        <w:spacing w:after="0" w:line="19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Reduction of Total Credit-Linked Deposits; Conversion to Funded Term Loans.</w:t>
      </w:r>
    </w:p>
    <w:p>
      <w:pPr>
        <w:spacing w:after="0" w:line="231" w:lineRule="exact"/>
        <w:rPr>
          <w:sz w:val="20"/>
          <w:szCs w:val="20"/>
          <w:color w:val="auto"/>
        </w:rPr>
      </w:pPr>
    </w:p>
    <w:p>
      <w:pPr>
        <w:ind w:right="20" w:firstLine="228"/>
        <w:spacing w:after="0" w:line="286" w:lineRule="auto"/>
        <w:tabs>
          <w:tab w:leader="none" w:pos="50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Reduction. The Company may, on or after the second anniversary of the Closing Date, upon notice from the Company to the Administrative Agent, permanently reduce the available amount of the Total Credit-Linked Deposit to an amount not less than the sum of the then Outstanding Amount of all Credit Obligations (other than Advances and Term Loans); provided that (i) any such notice shall be received by the Administrative Agent not later than 1:00 p.m., Dallas time, ten Business Days prior to the date of termination or reduction, (ii) any such partial reduction shall be in an aggregate amount of $10,000,000 or any whole multiple of $1,000,000 in excess thereof, or such lesser amount as would reduce the Total Credit-Linked Deposit to $0; and (iii) a Prepayment Premium, if any, shall be payable with respect to any amounts reduced. Such notice shall specify the proposed effective date of such reduction and the amount of the Prepayment Premium, if any. The Administrative Agent will promptly notify the Lenders of any such notice of reduction of the Total Credit-Linked Deposit. Once reduced in accordance with this Section, the Total Credit-Linked Deposit may not be increased. Any reduction of the Total Credit-Linked Deposit shall be applied to each Lender according to its Pro Rata Share. All Facility Fees and Fronting Fees shall accrue until the effective date of any reduction of the Total Credit-Linked Deposit and shall be paid on the effective date of such reduction if the Total Credit-Linked Deposit is $0 after giving effect to such reduction. Upon any such reduction, the Administrative Agent shall promptly remit to each Lender its Pro Rata Share of the amount of the reduction in the Total Credit-Linked Deposit and Prepayment Premium, if any.</w:t>
      </w:r>
    </w:p>
    <w:p>
      <w:pPr>
        <w:spacing w:after="0" w:line="178" w:lineRule="exact"/>
        <w:rPr>
          <w:rFonts w:ascii="Arial" w:cs="Arial" w:eastAsia="Arial" w:hAnsi="Arial"/>
          <w:sz w:val="16"/>
          <w:szCs w:val="16"/>
          <w:color w:val="auto"/>
        </w:rPr>
      </w:pPr>
    </w:p>
    <w:p>
      <w:pPr>
        <w:ind w:left="520" w:hanging="29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Conversion to Funded Term Loans.</w:t>
      </w:r>
    </w:p>
    <w:p>
      <w:pPr>
        <w:spacing w:after="0" w:line="225" w:lineRule="exact"/>
        <w:rPr>
          <w:rFonts w:ascii="Arial" w:cs="Arial" w:eastAsia="Arial" w:hAnsi="Arial"/>
          <w:sz w:val="18"/>
          <w:szCs w:val="18"/>
          <w:color w:val="auto"/>
        </w:rPr>
      </w:pPr>
    </w:p>
    <w:p>
      <w:pPr>
        <w:ind w:firstLine="447"/>
        <w:spacing w:after="0" w:line="312" w:lineRule="auto"/>
        <w:tabs>
          <w:tab w:leader="none" w:pos="649" w:val="left"/>
        </w:tabs>
        <w:numPr>
          <w:ilvl w:val="1"/>
          <w:numId w:val="121"/>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(including satisfaction of the applicable conditions specified in Sections 4.02 and 4.03), the Company may elect to (A) cause the Lenders to make, and each Lender agrees to make, funded loans (“Term Loans”) to the Company in an aggregate principal amount up to the excess of (x) the Total Credit-Linked Deposit over (y) the Outstanding Amount of all Credit Obligations (other than Advances and Term Loans) (the amount of such excess being the “Unused Amount”), or (B) cause the Lenders to make, and each Lender agrees to make, one or more funded Term Loans in an aggregate principal amount up to the amount of a forthcoming drawing on any Credit, or (C) cause the Lenders to make, and each Lender agrees to make, one or more funded Term Loans in the aggregate amount of any Advances then outstanding by converting such Advances to Term Loans; in each case in accordance with the procedures set forth in this Section 2.03(b). Any Term Loans made under this Section 2.03(b) and subsequently repaid or prepaid may not be reborrowed.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0" w:name="page111"/>
    <w:bookmarkEnd w:id="110"/>
    <w:p>
      <w:pPr>
        <w:ind w:firstLine="447"/>
        <w:spacing w:after="0" w:line="287" w:lineRule="auto"/>
        <w:tabs>
          <w:tab w:leader="none" w:pos="69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may irrevocably request the making of one or more Term Loans in an aggregate amount up to the Unused Amount or in an aggregate amount up to the anticipated drawing on a Credit from the proceeds of Credit-Linked Deposits, or in an aggregate amount up to the aggregate amount of Advances then outstanding by converting such Advances to Term Loans, as applicable, by delivering a Request for Term Loans therefor to the Administrative Agent, appropriately completed and signed by a Responsible Officer or Authorized Representative of the Company, not later than 10 Business Days prior to the proposed date of making of the Term Loans; provided that the Term Loans requested pursuant to Section 2.03(b)(i)(A) shall only be made on a day which is the last day of an Interest Period with respect to the Credit-Linked Deposits and the Company shall in any event pay the amounts, if any, payable under Section 3.04; and provided further that the minimum aggregate amount of Term Loans made on any date shall be (A) $25,000,000, in the case of Term Loans requested pursuant to Section 2.03(b)(i)(A), and (B) $10,000,000, in the case of Term Loans requested pursuant to Sections 2.03(b)(i)(B) and 2.03(b)(i)(C), or in each case of clauses (A) and (B) of this clause (ii), such lesser amount which, when added to the applicable Outstanding Amount of all (x) Credits and (y) the Unreimbursed Amounts for which Advances have not been made would equal the Total Credit-Linked Deposit.</w:t>
      </w:r>
    </w:p>
    <w:p>
      <w:pPr>
        <w:spacing w:after="0" w:line="176" w:lineRule="exact"/>
        <w:rPr>
          <w:rFonts w:ascii="Arial" w:cs="Arial" w:eastAsia="Arial" w:hAnsi="Arial"/>
          <w:sz w:val="16"/>
          <w:szCs w:val="16"/>
          <w:color w:val="auto"/>
        </w:rPr>
      </w:pPr>
    </w:p>
    <w:p>
      <w:pPr>
        <w:ind w:right="20" w:firstLine="447"/>
        <w:spacing w:after="0" w:line="286" w:lineRule="auto"/>
        <w:tabs>
          <w:tab w:leader="none" w:pos="7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Following receipt of a Request for Term Loans, the Administrative Agent shall promptly notify each Lender of its Pro Rata Share thereof. Upon satisfaction of the applicable conditions set forth in Sections 4.02 and 4.03, the Administrative Agent shall (A) in the case of Term Loans made pursuant to Section 2.03(b)(i)(A), debit the Credit-Linked Deposit Account in an amount equal to the aggregate amount of the proposed Term Loans (but not exceeding the Unused Amount) and shall make such funds available to the Company either by (i) crediting the account of the Company on the books of Bank of America with the amount of such funds or (ii) wire transferring such funds, in each case in accordance with instructions provided to (and reasonably acceptable to) the Administrative Agent by the Company, (B) in the case of Term Loans made pursuant to Section 2.03(b)(i)(B), debit the Credit-Linked Deposit Account in an amount equal to the aggregate amount of the proposed Term Loans and transfer such funds to the Issuer in reimbursement of the applicable drawing on a Credit, and (C) in the case of Term Loans made pursuant to Section 2.03(b)(i)(C), record in its books and records and on the Register the conversion of the applicable Advances into Term Loans, which credit or transfer or recordation, as applicable, shall be deemed to be the making of the Term Loans by the Lenders hereunder, and such date shall be the “Term Loan Issuance Date” (and the Administrative Agent shall forthwith deliver a notice to each Lender informing such Lender of the applicable Term Loan Issuance Date). Each Lender hereby irrevocably authorizes the Administrative Agent to charge the Credit-Linked Deposit Account for such purpose. No Lender shall have any obligation to make Term Loans to the Company other than from the proceeds of its Credit-Linked Deposits.</w:t>
      </w:r>
    </w:p>
    <w:p>
      <w:pPr>
        <w:spacing w:after="0" w:line="178" w:lineRule="exact"/>
        <w:rPr>
          <w:rFonts w:ascii="Arial" w:cs="Arial" w:eastAsia="Arial" w:hAnsi="Arial"/>
          <w:sz w:val="16"/>
          <w:szCs w:val="16"/>
          <w:color w:val="auto"/>
        </w:rPr>
      </w:pPr>
    </w:p>
    <w:p>
      <w:pPr>
        <w:ind w:left="740" w:hanging="293"/>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Interest Rate on Term Loans.</w:t>
      </w:r>
    </w:p>
    <w:p>
      <w:pPr>
        <w:spacing w:after="0" w:line="225" w:lineRule="exact"/>
        <w:rPr>
          <w:rFonts w:ascii="Arial" w:cs="Arial" w:eastAsia="Arial" w:hAnsi="Arial"/>
          <w:sz w:val="18"/>
          <w:szCs w:val="18"/>
          <w:color w:val="auto"/>
        </w:rPr>
      </w:pPr>
    </w:p>
    <w:p>
      <w:pPr>
        <w:ind w:left="700" w:right="520" w:firstLine="216"/>
        <w:spacing w:after="0" w:line="268" w:lineRule="auto"/>
        <w:tabs>
          <w:tab w:leader="none" w:pos="12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Subject to the provisions of subsection (B) below, each Term Loan shall bear interest on the outstanding principal amount thereof for each Interest Period at a rate per annum equal to the LIBO Rate for such Interest Period plus the Applicable Rate.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1" w:name="page112"/>
    <w:bookmarkEnd w:id="111"/>
    <w:p>
      <w:pPr>
        <w:ind w:left="700" w:right="180" w:firstLine="216"/>
        <w:spacing w:after="0" w:line="256" w:lineRule="auto"/>
        <w:tabs>
          <w:tab w:leader="none" w:pos="119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any amount of the Term Loans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 Accrued and unpaid interest on past due amounts (including interest on past due interest) shall be due and payable upon demand.</w:t>
      </w:r>
    </w:p>
    <w:p>
      <w:pPr>
        <w:spacing w:after="0" w:line="197" w:lineRule="exact"/>
        <w:rPr>
          <w:rFonts w:ascii="Arial" w:cs="Arial" w:eastAsia="Arial" w:hAnsi="Arial"/>
          <w:sz w:val="18"/>
          <w:szCs w:val="18"/>
          <w:color w:val="auto"/>
        </w:rPr>
      </w:pPr>
    </w:p>
    <w:p>
      <w:pPr>
        <w:ind w:left="700" w:right="240" w:firstLine="216"/>
        <w:spacing w:after="0" w:line="256" w:lineRule="auto"/>
        <w:tabs>
          <w:tab w:leader="none" w:pos="119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Interest on each Term Loan shall be due and payable in arrears on the first Business Day following the end of each Interest Period applicable thereto, at such other times as may be specified herein and on the Maturity Date. To the fullest extent permitted by applicable Law, interest hereunder shall be due and payable in accordance with the terms hereof before and after judgment, and before and after the commencement of any proceeding under any Debtor Relief Law.</w:t>
      </w:r>
    </w:p>
    <w:p>
      <w:pPr>
        <w:spacing w:after="0" w:line="197" w:lineRule="exact"/>
        <w:rPr>
          <w:rFonts w:ascii="Arial" w:cs="Arial" w:eastAsia="Arial" w:hAnsi="Arial"/>
          <w:sz w:val="18"/>
          <w:szCs w:val="18"/>
          <w:color w:val="auto"/>
        </w:rPr>
      </w:pPr>
    </w:p>
    <w:p>
      <w:pPr>
        <w:ind w:right="300" w:firstLine="447"/>
        <w:spacing w:after="0" w:line="268" w:lineRule="auto"/>
        <w:tabs>
          <w:tab w:leader="none" w:pos="6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Repayment of Term Loans. The Company shall repay to the Administrative Agent for the account of the Lenders on the Maturity Date the aggregate principal amount of the Term Loans outstanding on such date.</w:t>
      </w:r>
    </w:p>
    <w:p>
      <w:pPr>
        <w:spacing w:after="0" w:line="185" w:lineRule="exact"/>
        <w:rPr>
          <w:rFonts w:ascii="Arial" w:cs="Arial" w:eastAsia="Arial" w:hAnsi="Arial"/>
          <w:sz w:val="18"/>
          <w:szCs w:val="18"/>
          <w:color w:val="auto"/>
        </w:rPr>
      </w:pPr>
    </w:p>
    <w:p>
      <w:pPr>
        <w:ind w:right="100" w:firstLine="447"/>
        <w:spacing w:after="0" w:line="287" w:lineRule="auto"/>
        <w:tabs>
          <w:tab w:leader="none" w:pos="7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Optional Prepayment of Term Loans. The Company may, on or after the second anniversary of the Closing Date, at its option, upon notice to the Administrative Agent as provided below, prepay on any Business Day all, or from time to time any part of, the Term Loans (subject to the limitations sets forth below); provided that (i) any such notice shall be received by the Administrative Agent not later than 1:00 p.m., Dallas time, ten Business Days prior to the date of prepayment, (ii) any such partial prepayment shall be in an aggregate amount of $1,000,000 or any whole multiple of $1,000,000 in excess thereof, or such lesser amount as would reduce the Term Loans to $0; and (iii) a Prepayment Premium, if any, shall be payable with respect to any amounts prepaid. Such notice shall specify the proposed effective date of such prepayment, the aggregate principal amount of the Term Notes to be prepaid on such date, the interest to be paid on the prepayment date with respect to such principal amount being prepaid, which shall be the last day of the Interest Period therefor, and the amount of the Prepayment Premium, if any. The Administrative Agent will promptly notify the Lenders of any such notice of prepayment of the Term Loans. Once prepaid in accordance with this Section, such Term Loans may not be reborrowed. Upon any such prepayment, the Administrative Agent shall promptly remit to each Lender its Pro Rata Share of the amount of the prepayment of the Term Loans and Prepayment Premium, if any.</w:t>
      </w:r>
    </w:p>
    <w:p>
      <w:pPr>
        <w:spacing w:after="0" w:line="17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color w:val="auto"/>
        </w:rPr>
        <w:t>Interest on Borrowings Other Than Term Loans.</w:t>
      </w:r>
    </w:p>
    <w:p>
      <w:pPr>
        <w:spacing w:after="0" w:line="231" w:lineRule="exact"/>
        <w:rPr>
          <w:sz w:val="20"/>
          <w:szCs w:val="20"/>
          <w:color w:val="auto"/>
        </w:rPr>
      </w:pPr>
    </w:p>
    <w:p>
      <w:pPr>
        <w:ind w:right="40" w:firstLine="228"/>
        <w:spacing w:after="0" w:line="305" w:lineRule="auto"/>
        <w:tabs>
          <w:tab w:leader="none" w:pos="502"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Each Borrowing (other than the Term Loans) shall bear interest on the outstanding principal amount thereof (i) from and including the applicable Borrowing date to and excluding the date six Business Days thereafter at an interest rate per annum equal at all times to the Base Rate plus 1.00% per annum, and</w:t>
      </w:r>
    </w:p>
    <w:p>
      <w:pPr>
        <w:ind w:left="260" w:hanging="252"/>
        <w:spacing w:after="0"/>
        <w:tabs>
          <w:tab w:leader="none" w:pos="2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from and including the sixth Business Day after the applicable Borrowing date at an interest rate per annum equal at all times to the Default Rate.</w:t>
      </w:r>
    </w:p>
    <w:p>
      <w:pPr>
        <w:spacing w:after="0" w:line="241" w:lineRule="exact"/>
        <w:rPr>
          <w:rFonts w:ascii="Arial" w:cs="Arial" w:eastAsia="Arial" w:hAnsi="Arial"/>
          <w:sz w:val="16"/>
          <w:szCs w:val="16"/>
          <w:color w:val="auto"/>
        </w:rPr>
      </w:pPr>
    </w:p>
    <w:p>
      <w:pPr>
        <w:ind w:right="20" w:firstLine="228"/>
        <w:spacing w:after="0" w:line="268" w:lineRule="auto"/>
        <w:tabs>
          <w:tab w:leader="none" w:pos="51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any other amount payable by the Company under any Credit Document is not paid when due (without regard to any applicable grace periods) whether at stated maturity, by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2" w:name="page113"/>
    <w:bookmarkEnd w:id="112"/>
    <w:p>
      <w:pPr>
        <w:ind w:right="260"/>
        <w:spacing w:after="0" w:line="268" w:lineRule="auto"/>
        <w:rPr>
          <w:sz w:val="20"/>
          <w:szCs w:val="20"/>
          <w:color w:val="auto"/>
        </w:rPr>
      </w:pPr>
      <w:r>
        <w:rPr>
          <w:rFonts w:ascii="Arial" w:cs="Arial" w:eastAsia="Arial" w:hAnsi="Arial"/>
          <w:sz w:val="18"/>
          <w:szCs w:val="18"/>
          <w:color w:val="auto"/>
        </w:rPr>
        <w:t>acceleration or otherwise, each such amount shall thereafter bear interest at an interest rate per annum at all times equal to the Default Rate to the fullest extent permitted by applicable Law.</w:t>
      </w:r>
    </w:p>
    <w:p>
      <w:pPr>
        <w:spacing w:after="0" w:line="186" w:lineRule="exact"/>
        <w:rPr>
          <w:sz w:val="20"/>
          <w:szCs w:val="20"/>
          <w:color w:val="auto"/>
        </w:rPr>
      </w:pPr>
    </w:p>
    <w:p>
      <w:pPr>
        <w:ind w:left="520" w:hanging="292"/>
        <w:spacing w:after="0"/>
        <w:tabs>
          <w:tab w:leader="none" w:pos="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Accrued and unpaid interest on all such unpaid amounts (including interest on past due interest) shall be due and payable upon demand.</w:t>
      </w:r>
    </w:p>
    <w:p>
      <w:pPr>
        <w:spacing w:after="0" w:line="225" w:lineRule="exact"/>
        <w:rPr>
          <w:rFonts w:ascii="Arial" w:cs="Arial" w:eastAsia="Arial" w:hAnsi="Arial"/>
          <w:sz w:val="18"/>
          <w:szCs w:val="18"/>
          <w:color w:val="auto"/>
        </w:rPr>
      </w:pPr>
    </w:p>
    <w:p>
      <w:pPr>
        <w:ind w:right="40" w:firstLine="228"/>
        <w:spacing w:after="0" w:line="268" w:lineRule="auto"/>
        <w:tabs>
          <w:tab w:leader="none" w:pos="51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Fees and Other Charges.</w:t>
      </w:r>
    </w:p>
    <w:p>
      <w:pPr>
        <w:spacing w:after="0" w:line="231" w:lineRule="exact"/>
        <w:rPr>
          <w:sz w:val="20"/>
          <w:szCs w:val="20"/>
          <w:color w:val="auto"/>
        </w:rPr>
      </w:pPr>
    </w:p>
    <w:p>
      <w:pPr>
        <w:ind w:right="40" w:firstLine="228"/>
        <w:spacing w:after="0" w:line="287" w:lineRule="auto"/>
        <w:tabs>
          <w:tab w:leader="none" w:pos="5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Facility Fee. The Company shall pay to the Administrative Agent for the account of each Lender in accordance with its Pro Rata Share, a fee (the “Facility Fee”) equal to the Applicable Rate, expressed on a daily basis, times the actual daily amount of such Lender’s Credit-Linked Deposit. The Facility Fee shall accrue effective as of the Closing Date and shall be calculated quarterly in arrears by the Administrative Agent. If there is any change in the Applicable Rate during any quarter, the actual daily Credit-Linked Deposit amount shall be computed and multiplied by the Applicable Rate separately for each period during such quarter that such Applicable Rate was in effect. The Facility Fee shall be due and payable quarterly in arrears on the first Business Day following the end of each Interest Period relating to the Credit-Linked Deposits, commencing with the first such date to occur after the Closing Date, and on the Maturity Date; provided that, in connection with any reduction of the Total Credit-Linked Deposit under Section 2.03, the accrued Facility Fee calculated for the period ending on such date shall also be paid on the date of such reduction, and the following quarterly payment shall be calculated on the basis of the period from such reduction date to such quarterly payment date. The Facility Fee shall accrue at all times, including at any time during which one or more of the conditions in Article IV is not met.</w:t>
      </w:r>
    </w:p>
    <w:p>
      <w:pPr>
        <w:spacing w:after="0" w:line="176" w:lineRule="exact"/>
        <w:rPr>
          <w:rFonts w:ascii="Arial" w:cs="Arial" w:eastAsia="Arial" w:hAnsi="Arial"/>
          <w:sz w:val="16"/>
          <w:szCs w:val="16"/>
          <w:color w:val="auto"/>
        </w:rPr>
      </w:pPr>
    </w:p>
    <w:p>
      <w:pPr>
        <w:ind w:right="20" w:firstLine="228"/>
        <w:spacing w:after="0" w:line="289" w:lineRule="auto"/>
        <w:tabs>
          <w:tab w:leader="none" w:pos="5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Fronting Fee. The Company shall pay directly to the Issuer for its own account, a fee (the “Fronting Fee”) equal to the rate per annum set forth in the letter agreement dated May 8, 2003 (the “Fee Letter”), among the Company, BAS and the Administrative Agent, times the daily amount of the Total Credit-Linked Deposit, due and payable quarterly in arrears on the first Business Day immediately following the last Business Day of each March, June, September and December, commencing with the first such date to occur after the Closing Date, and on the Maturity Date; provided that, in connection with any reduction of the Total Credit-Linked Deposit under Section 2.03, the accrued Fronting Fee calculated for the period ending on such date shall also be paid on the date of such reduction, and the following quarterly payment shall be calculated on the basis of the period from such reduction date to such quarterly payment date. At any time that an Event of Default exists, the Fronting Fee shall be increased by adding 2% to the amount thereof determined as provided in the Fee Letter. The Fronting Fee shall accrue at all times, including at any time during which one or more of the conditions in Article IV is not met.</w:t>
      </w:r>
    </w:p>
    <w:p>
      <w:pPr>
        <w:spacing w:after="0" w:line="172" w:lineRule="exact"/>
        <w:rPr>
          <w:rFonts w:ascii="Arial" w:cs="Arial" w:eastAsia="Arial" w:hAnsi="Arial"/>
          <w:sz w:val="16"/>
          <w:szCs w:val="16"/>
          <w:color w:val="auto"/>
        </w:rPr>
      </w:pPr>
    </w:p>
    <w:p>
      <w:pPr>
        <w:ind w:right="400" w:firstLine="228"/>
        <w:spacing w:after="0" w:line="259" w:lineRule="auto"/>
        <w:tabs>
          <w:tab w:leader="none" w:pos="5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Documentary and Processing Charges Payable to Issuer. The Company shall pay directly to the Issuer for its own account the customary and standard issuance, commission, presentation, amendment and other processing fees, and other standard costs and charges (if any), of the Issuer or any Affiliate of the Issuer, relating to its Credits as from time to time in</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3" w:name="page114"/>
    <w:bookmarkEnd w:id="113"/>
    <w:p>
      <w:pPr>
        <w:ind w:right="620"/>
        <w:spacing w:after="0" w:line="268" w:lineRule="auto"/>
        <w:rPr>
          <w:sz w:val="20"/>
          <w:szCs w:val="20"/>
          <w:color w:val="auto"/>
        </w:rPr>
      </w:pPr>
      <w:r>
        <w:rPr>
          <w:rFonts w:ascii="Arial" w:cs="Arial" w:eastAsia="Arial" w:hAnsi="Arial"/>
          <w:sz w:val="18"/>
          <w:szCs w:val="18"/>
          <w:color w:val="auto"/>
        </w:rPr>
        <w:t>effect and agreed upon between the Company and the Issuer. Such customary fees and standard costs and charges are due and payable on demand and are nonrefundable.</w:t>
      </w:r>
    </w:p>
    <w:p>
      <w:pPr>
        <w:spacing w:after="0" w:line="186" w:lineRule="exact"/>
        <w:rPr>
          <w:sz w:val="20"/>
          <w:szCs w:val="20"/>
          <w:color w:val="auto"/>
        </w:rPr>
      </w:pPr>
    </w:p>
    <w:p>
      <w:pPr>
        <w:ind w:right="140" w:firstLine="228"/>
        <w:spacing w:after="0" w:line="306" w:lineRule="auto"/>
        <w:tabs>
          <w:tab w:leader="none" w:pos="51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Placement and Administrative Fees. The Company shall pay a placement fee to BAS, and shall pay an administrative fee to the Administrative Agent for the Administrative Agent’s own account, in the amounts and at the times specified in the Fee Letter, and if a successor Administrative Agent is appointed pursuant to Section 9.09 hereof, the Company shall pay the administrative fees of such successor Administrative Agent.</w:t>
      </w:r>
    </w:p>
    <w:p>
      <w:pPr>
        <w:spacing w:after="0" w:line="155"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5"/>
          <w:szCs w:val="15"/>
          <w:b w:val="1"/>
          <w:bCs w:val="1"/>
          <w:color w:val="auto"/>
        </w:rPr>
        <w:t>Computation of Interest and Fees.</w:t>
      </w:r>
    </w:p>
    <w:p>
      <w:pPr>
        <w:spacing w:after="0" w:line="231" w:lineRule="exact"/>
        <w:rPr>
          <w:sz w:val="20"/>
          <w:szCs w:val="20"/>
          <w:color w:val="auto"/>
        </w:rPr>
      </w:pPr>
    </w:p>
    <w:p>
      <w:pPr>
        <w:ind w:right="100" w:firstLine="228"/>
        <w:spacing w:after="0" w:line="305" w:lineRule="auto"/>
        <w:tabs>
          <w:tab w:leader="none" w:pos="50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All computations of interest when the Base Rate is determined by reference to Bank of America’s “prime rate” shall be made on the basis of a year of 365 or 366 days, as the case may be, and actual days elapsed. Computation of all other types of interest and all fees shall be calculated on the basis of a year of</w:t>
      </w:r>
    </w:p>
    <w:p>
      <w:pPr>
        <w:ind w:right="100"/>
        <w:spacing w:after="0" w:line="254" w:lineRule="auto"/>
        <w:rPr>
          <w:rFonts w:ascii="Arial" w:cs="Arial" w:eastAsia="Arial" w:hAnsi="Arial"/>
          <w:sz w:val="15"/>
          <w:szCs w:val="15"/>
          <w:color w:val="auto"/>
        </w:rPr>
      </w:pPr>
      <w:r>
        <w:rPr>
          <w:rFonts w:ascii="Arial" w:cs="Arial" w:eastAsia="Arial" w:hAnsi="Arial"/>
          <w:sz w:val="18"/>
          <w:szCs w:val="18"/>
          <w:color w:val="auto"/>
        </w:rPr>
        <w:t>360 days, and actual days elapsed (which results in more fees or interest, as applicable, being paid than if computed on the basis of a 365-day or 366-day year). Interest shall accrue on each Advance or Term Loan for the day on which the Advance or Term Loan is made, and shall not accrue on an Advance or Term Loan, or any portion thereof, for the day on which the Advance, such Term Loan or such portion is paid, provided that any Advance or Term Loan that is repaid on the same day on which it is made shall bear interest for one day.</w:t>
      </w:r>
    </w:p>
    <w:p>
      <w:pPr>
        <w:spacing w:after="0" w:line="197" w:lineRule="exact"/>
        <w:rPr>
          <w:rFonts w:ascii="Arial" w:cs="Arial" w:eastAsia="Arial" w:hAnsi="Arial"/>
          <w:sz w:val="15"/>
          <w:szCs w:val="15"/>
          <w:color w:val="auto"/>
        </w:rPr>
      </w:pPr>
    </w:p>
    <w:p>
      <w:pPr>
        <w:ind w:right="20" w:firstLine="228"/>
        <w:spacing w:after="0" w:line="298" w:lineRule="auto"/>
        <w:tabs>
          <w:tab w:leader="none" w:pos="51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Company and the Lenders of the LIBO Rate applicable to any Interest Period upon determination of such interest rate. The determination of LIBO Rate by the Administrative Agent shall be conclusive in the absence of manifest error. At any time that Advances or Term Loans accruing interest based on the Base Rate are outstanding, the Administrative Agent shall notify the Company and the Lenders of any change in Bank of America’s prime rate used in determining the Base Rate promptly following the public announcement of such change.</w:t>
      </w:r>
    </w:p>
    <w:p>
      <w:pPr>
        <w:spacing w:after="0" w:line="16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5"/>
          <w:szCs w:val="15"/>
          <w:b w:val="1"/>
          <w:bCs w:val="1"/>
          <w:color w:val="auto"/>
        </w:rPr>
        <w:t>Evidence of Debt.</w:t>
      </w:r>
    </w:p>
    <w:p>
      <w:pPr>
        <w:spacing w:after="0" w:line="231" w:lineRule="exact"/>
        <w:rPr>
          <w:sz w:val="20"/>
          <w:szCs w:val="20"/>
          <w:color w:val="auto"/>
        </w:rPr>
      </w:pPr>
    </w:p>
    <w:p>
      <w:pPr>
        <w:ind w:right="120" w:firstLine="228"/>
        <w:spacing w:after="0" w:line="289" w:lineRule="auto"/>
        <w:tabs>
          <w:tab w:leader="none" w:pos="50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Credit-Linked Deposits, the Credit Extensions made by the Issuer, the participations of each Lender therein and any Advances and Term Loans made by each Lender shall be evidenced by one or more accounts or records maintained by the Issuer, such Lender and by the Administrative Agent in the ordinary course of business. The accounts or records maintained by the Issuer, the Administrative Agent and each Lender shall be conclusive absent manifest error of the amount of the Credit-Linked Deposits, the Credit Extensions made by the Issuer and any Advances and Term Loans made by each Lender and the interest and payments thereon. Any failure to so record or any error in doing so shall not, however, limit or otherwise affect the obligation of the Company hereunder to pay any amount owing with respect to the Credit Obligations. In the event of any conflict between the accounts and records maintained by the Issuer or any Lender and the accounts and records of the Administrative Agent in respect of such matters, the accounts and records of the Administrative Agent shall control in the absence of manifest error.</w:t>
      </w:r>
    </w:p>
    <w:p>
      <w:pPr>
        <w:spacing w:after="0" w:line="172" w:lineRule="exact"/>
        <w:rPr>
          <w:rFonts w:ascii="Arial" w:cs="Arial" w:eastAsia="Arial" w:hAnsi="Arial"/>
          <w:sz w:val="16"/>
          <w:szCs w:val="16"/>
          <w:color w:val="auto"/>
        </w:rPr>
      </w:pPr>
    </w:p>
    <w:p>
      <w:pPr>
        <w:ind w:right="120" w:firstLine="228"/>
        <w:spacing w:after="0" w:line="268" w:lineRule="auto"/>
        <w:tabs>
          <w:tab w:leader="none" w:pos="51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(i) the Credit-Linked Deposit of, and the obligation of the Company to pay Advances to, each Lender shall be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4" w:name="page115"/>
    <w:bookmarkEnd w:id="114"/>
    <w:p>
      <w:pPr>
        <w:jc w:val="both"/>
        <w:ind w:right="160"/>
        <w:spacing w:after="0" w:line="259" w:lineRule="auto"/>
        <w:rPr>
          <w:sz w:val="20"/>
          <w:szCs w:val="20"/>
          <w:color w:val="auto"/>
        </w:rPr>
      </w:pPr>
      <w:r>
        <w:rPr>
          <w:rFonts w:ascii="Arial" w:cs="Arial" w:eastAsia="Arial" w:hAnsi="Arial"/>
          <w:sz w:val="18"/>
          <w:szCs w:val="18"/>
          <w:color w:val="auto"/>
        </w:rPr>
        <w:t>evidenced by a Letter of Credit Linked Note in the form of Exhibit D attached hereto (a “Letter of Credit Linked Note”), executed by the Administrative Agent and by the Company, and (ii) the Term Loans of a Lender shall be evidenced by a Term Note in the form of Exhibit F attached hereto (a “Term Note”), executed by the Company.</w:t>
      </w:r>
    </w:p>
    <w:p>
      <w:pPr>
        <w:spacing w:after="0" w:line="188"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5"/>
          <w:szCs w:val="15"/>
          <w:b w:val="1"/>
          <w:bCs w:val="1"/>
          <w:color w:val="auto"/>
        </w:rPr>
        <w:t>Payments Generally.</w:t>
      </w:r>
    </w:p>
    <w:p>
      <w:pPr>
        <w:spacing w:after="0" w:line="231" w:lineRule="exact"/>
        <w:rPr>
          <w:sz w:val="20"/>
          <w:szCs w:val="20"/>
          <w:color w:val="auto"/>
        </w:rPr>
      </w:pPr>
    </w:p>
    <w:p>
      <w:pPr>
        <w:ind w:right="60" w:firstLine="228"/>
        <w:spacing w:after="0" w:line="308" w:lineRule="auto"/>
        <w:tabs>
          <w:tab w:leader="none" w:pos="50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All payments to be made by the Company to any Lender, the Administrative Agent, the Issuer or any other Person hereunder shall be made without condition or deduction for any counterclaim, defense, recoupment or setoff. Except as otherwise expressly provided herein, all payments by the Company hereunder to be made directly to the Issuer shall be made to the Issuer in accordance with its payment instructions in Dollars and in immediately available funds not later than the times and on the dates specified herein. Except as otherwise expressly provided herein and except with respect to such payments to be made directly to the Issuer, all payments by the Company hereunder shall be made to the Administrative Agent, for the account of the respective Lenders or the Issuer to which such payment is owed, at the Administrative Agent’s Office in Dollars and in immediately available funds not later than 1:00 p.m., Dallas time, on the date specified herein. The Administrative Agent will promptly distribute to the Issuer its applicable share as provided herein, or to each Lender its Pro Rata Share (or other applicable share as provided herein), of such payment in like funds as received by wire transfer to the Issuer in accordance with its payment instructions or to such Lender at its Lending Office. All payments received by the Administrative Agent after 1:00 p.m., Dallas time, or by the Issuer after the time specified herein or in any Issuer Document, shall be deemed received on the next succeeding Business Day and any applicable interest or fee shall continue to accrue.</w:t>
      </w:r>
    </w:p>
    <w:p>
      <w:pPr>
        <w:spacing w:after="0" w:line="163" w:lineRule="exact"/>
        <w:rPr>
          <w:rFonts w:ascii="Arial" w:cs="Arial" w:eastAsia="Arial" w:hAnsi="Arial"/>
          <w:sz w:val="15"/>
          <w:szCs w:val="15"/>
          <w:color w:val="auto"/>
        </w:rPr>
      </w:pPr>
    </w:p>
    <w:p>
      <w:pPr>
        <w:ind w:right="120" w:firstLine="228"/>
        <w:spacing w:after="0" w:line="306" w:lineRule="auto"/>
        <w:tabs>
          <w:tab w:leader="none" w:pos="5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any payment to be made by the Company shall come due on a day other than a Business Day, or any other date specified hereunder would otherwise occur on a day other than a Business Day, then except as otherwise provided herein, such payment shall be made, or other date shall occur, on the next following Business Day, and such extension of time shall be reflected in computing interest or fees, as the case may be.</w:t>
      </w:r>
    </w:p>
    <w:p>
      <w:pPr>
        <w:spacing w:after="0" w:line="160" w:lineRule="exact"/>
        <w:rPr>
          <w:rFonts w:ascii="Arial" w:cs="Arial" w:eastAsia="Arial" w:hAnsi="Arial"/>
          <w:sz w:val="16"/>
          <w:szCs w:val="16"/>
          <w:color w:val="auto"/>
        </w:rPr>
      </w:pPr>
    </w:p>
    <w:p>
      <w:pPr>
        <w:jc w:val="both"/>
        <w:ind w:right="180" w:firstLine="228"/>
        <w:spacing w:after="0" w:line="259" w:lineRule="auto"/>
        <w:tabs>
          <w:tab w:leader="none" w:pos="50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obligations of the Lenders hereunder to fund Participations in Credits are several and not joint. The failure of any Lender to fund its Participation on the Closing Date with its Credit-Linked Deposit shall not relieve any other Lender of its corresponding obligation to do so on such date, and no Lender shall be responsible for the failure of any other Lender to so purchase its Participation.</w:t>
      </w:r>
    </w:p>
    <w:p>
      <w:pPr>
        <w:spacing w:after="0" w:line="194" w:lineRule="exact"/>
        <w:rPr>
          <w:rFonts w:ascii="Arial" w:cs="Arial" w:eastAsia="Arial" w:hAnsi="Arial"/>
          <w:sz w:val="18"/>
          <w:szCs w:val="18"/>
          <w:color w:val="auto"/>
        </w:rPr>
      </w:pPr>
    </w:p>
    <w:p>
      <w:pPr>
        <w:ind w:right="80" w:firstLine="228"/>
        <w:spacing w:after="0" w:line="332" w:lineRule="auto"/>
        <w:tabs>
          <w:tab w:leader="none" w:pos="5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the Credit-Linked Deposit in any particular place or manner or to constitute a representation by any Lender that it has obtained or will obtain the funds for the Credit-Linked Deposit in any particular place or manner.</w:t>
      </w:r>
    </w:p>
    <w:p>
      <w:pPr>
        <w:spacing w:after="0" w:line="133" w:lineRule="exact"/>
        <w:rPr>
          <w:sz w:val="20"/>
          <w:szCs w:val="20"/>
          <w:color w:val="auto"/>
        </w:rPr>
      </w:pPr>
    </w:p>
    <w:p>
      <w:pPr>
        <w:jc w:val="both"/>
        <w:ind w:right="120" w:firstLine="220"/>
        <w:spacing w:after="0" w:line="339" w:lineRule="auto"/>
        <w:rPr>
          <w:sz w:val="20"/>
          <w:szCs w:val="20"/>
          <w:color w:val="auto"/>
        </w:rPr>
      </w:pPr>
      <w:r>
        <w:rPr>
          <w:rFonts w:ascii="Arial" w:cs="Arial" w:eastAsia="Arial" w:hAnsi="Arial"/>
          <w:sz w:val="15"/>
          <w:szCs w:val="15"/>
          <w:b w:val="1"/>
          <w:bCs w:val="1"/>
          <w:color w:val="auto"/>
        </w:rPr>
        <w:t xml:space="preserve">2.09 Sharing of Payments. </w:t>
      </w:r>
      <w:r>
        <w:rPr>
          <w:rFonts w:ascii="Arial" w:cs="Arial" w:eastAsia="Arial" w:hAnsi="Arial"/>
          <w:sz w:val="15"/>
          <w:szCs w:val="15"/>
          <w:color w:val="auto"/>
        </w:rPr>
        <w:t>If, other than as expressly provided elsewhere herein, any Lender shall obtain on account of the Term Loans or Advances made</w:t>
      </w:r>
      <w:r>
        <w:rPr>
          <w:rFonts w:ascii="Arial" w:cs="Arial" w:eastAsia="Arial" w:hAnsi="Arial"/>
          <w:sz w:val="15"/>
          <w:szCs w:val="15"/>
          <w:b w:val="1"/>
          <w:bCs w:val="1"/>
          <w:color w:val="auto"/>
        </w:rPr>
        <w:t xml:space="preserve"> </w:t>
      </w:r>
      <w:r>
        <w:rPr>
          <w:rFonts w:ascii="Arial" w:cs="Arial" w:eastAsia="Arial" w:hAnsi="Arial"/>
          <w:sz w:val="15"/>
          <w:szCs w:val="15"/>
          <w:color w:val="auto"/>
        </w:rPr>
        <w:t>by it or participations in Credit Obligations held by it, any payment (whether voluntary, involuntary, through the exercise of any right of set-off, or otherwise) in excess of its Pro Rata Share (or other share contemplated hereunder) thereof, such Lender shall immediately (a) notify the Administrative Agent of such</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5" w:name="page116"/>
    <w:bookmarkEnd w:id="115"/>
    <w:p>
      <w:pPr>
        <w:ind w:right="20"/>
        <w:spacing w:after="0" w:line="306" w:lineRule="auto"/>
        <w:rPr>
          <w:sz w:val="20"/>
          <w:szCs w:val="20"/>
          <w:color w:val="auto"/>
        </w:rPr>
      </w:pPr>
      <w:r>
        <w:rPr>
          <w:rFonts w:ascii="Arial" w:cs="Arial" w:eastAsia="Arial" w:hAnsi="Arial"/>
          <w:sz w:val="15"/>
          <w:szCs w:val="15"/>
          <w:color w:val="auto"/>
        </w:rPr>
        <w:t xml:space="preserve">fact, and (b) purchase from the other Lenders such subparticipations in the Term Loans or Advances made by them or in the participations in Credit Obligations held by them as shall be necessary to cause such purchasing Lender to share the excess payment in respect thereof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with each of them; provided, however,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Company agrees that any Lender so purchasing a subparticipation from another Lender may, to the fullest extent permitted by law, exercise all its rights of payment (including the right of set-off) with respect to such subparticipation as fully as if such Lender were the direct creditor of the Company in the amount of such subparticipation. The Administrative Agent will keep records (which shall be conclusive and binding in the absence of manifest error) of subparticipations purchased under this Section and will in each case notify the Lenders following any such purchases or repayments. Each Lender that purchases a subparticipation pursuant to this Section shall from and after such purchase have the right to give all notices, requests, demands, directions and other communications under this Agreement with respect to the portion of the Credit Obligations purchased to the same extent as though the purchasing Lender were the original owner of the Credit Obligations purchased.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YIELD PROTECTION</w:t>
      </w:r>
    </w:p>
    <w:p>
      <w:pPr>
        <w:spacing w:after="0" w:line="213" w:lineRule="exact"/>
        <w:rPr>
          <w:sz w:val="20"/>
          <w:szCs w:val="20"/>
          <w:color w:val="auto"/>
        </w:rPr>
      </w:pPr>
    </w:p>
    <w:p>
      <w:pPr>
        <w:ind w:right="40" w:firstLine="220"/>
        <w:spacing w:after="0" w:line="287" w:lineRule="auto"/>
        <w:rPr>
          <w:sz w:val="20"/>
          <w:szCs w:val="20"/>
          <w:color w:val="auto"/>
        </w:rPr>
      </w:pPr>
      <w:r>
        <w:rPr>
          <w:rFonts w:ascii="Arial" w:cs="Arial" w:eastAsia="Arial" w:hAnsi="Arial"/>
          <w:sz w:val="16"/>
          <w:szCs w:val="16"/>
          <w:b w:val="1"/>
          <w:bCs w:val="1"/>
          <w:color w:val="auto"/>
        </w:rPr>
        <w:t xml:space="preserve">3.01 Taxes. </w:t>
      </w:r>
      <w:r>
        <w:rPr>
          <w:rFonts w:ascii="Arial" w:cs="Arial" w:eastAsia="Arial" w:hAnsi="Arial"/>
          <w:sz w:val="16"/>
          <w:szCs w:val="16"/>
          <w:color w:val="auto"/>
        </w:rPr>
        <w:t>(a) Subject to Section 10.15(a)(iii), any and all payments by the Company to or for the account of the Administrative Agent, the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under any Credit Document shall be made free and clear of and without deduction for any and all present or future taxes, duties, levies, imposts, deductions, assessments, fees, withholdings or similar charges, and all liabilities with respect thereto, excluding, in the case of the Administrative Agent, the Issuer and each Lender, taxes imposed on or measured by its overall net income, and franchise taxes imposed on it (in lieu of net income taxes), by the jurisdiction (or any political subdivision thereof) under the Laws of which the Administrative Agent, the Issuer or such Lender, as the case may be, is organized or maintains a lending office (all such non-excluded taxes, duties, levies, imposts, deductions, assessments, fees, withholdings or similar charges, and liabilities being hereinafter referred to as “Taxes”). If the Company shall be required by any Laws to deduct any Taxes from or in respect of any sum payable under any Credit Document to the Administrative Agent, the Issuer or any Lender, (i) the sum payable shall be increased as necessary so that after making all required deductions (including deductions applicable to additional sums payable under this Section), the Administrative Agent, the Issuer or such Lender receives an amount equal to the sum it would have received had no such deductions been made, (ii) the Company shall make such deductions, (iii) the Company shall pay the full amount deducted to the relevant taxation authority or other authority in accordance with applicable Laws, and (iv) within 30 days after the date of such payment, the Company shall furnish to the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6" w:name="page117"/>
    <w:bookmarkEnd w:id="116"/>
    <w:p>
      <w:pPr>
        <w:ind w:right="500"/>
        <w:spacing w:after="0" w:line="268" w:lineRule="auto"/>
        <w:rPr>
          <w:sz w:val="20"/>
          <w:szCs w:val="20"/>
          <w:color w:val="auto"/>
        </w:rPr>
      </w:pPr>
      <w:r>
        <w:rPr>
          <w:rFonts w:ascii="Arial" w:cs="Arial" w:eastAsia="Arial" w:hAnsi="Arial"/>
          <w:sz w:val="18"/>
          <w:szCs w:val="18"/>
          <w:color w:val="auto"/>
        </w:rPr>
        <w:t>Administrative Agent (which shall promptly forward the same to the Issuer or such Lender) the original or a certified copy of a receipt evidencing payment thereof.</w:t>
      </w:r>
    </w:p>
    <w:p>
      <w:pPr>
        <w:spacing w:after="0" w:line="186" w:lineRule="exact"/>
        <w:rPr>
          <w:sz w:val="20"/>
          <w:szCs w:val="20"/>
          <w:color w:val="auto"/>
        </w:rPr>
      </w:pPr>
    </w:p>
    <w:p>
      <w:pPr>
        <w:ind w:right="60" w:firstLine="228"/>
        <w:spacing w:after="0" w:line="259" w:lineRule="auto"/>
        <w:tabs>
          <w:tab w:leader="none" w:pos="51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addition, the Company agrees to pay any and all present or future stamp, court or documentary taxes and any other excise or property taxes or charges or similar levies which arise from any payment made under any Credit Document or from the execution, delivery, performance, enforcement or registration of, or otherwise with respect to, any Credit Document (hereinafter referred to as “Other Taxes”).</w:t>
      </w:r>
    </w:p>
    <w:p>
      <w:pPr>
        <w:spacing w:after="0" w:line="194" w:lineRule="exact"/>
        <w:rPr>
          <w:rFonts w:ascii="Arial" w:cs="Arial" w:eastAsia="Arial" w:hAnsi="Arial"/>
          <w:sz w:val="18"/>
          <w:szCs w:val="18"/>
          <w:color w:val="auto"/>
        </w:rPr>
      </w:pPr>
    </w:p>
    <w:p>
      <w:pPr>
        <w:ind w:firstLine="228"/>
        <w:spacing w:after="0" w:line="255" w:lineRule="auto"/>
        <w:tabs>
          <w:tab w:leader="none" w:pos="50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Company shall be required to deduct or pay any Taxes or Other Taxes from or in respect of any sum payable under any Credit Document to the Administrative Agent, the Issuer or any Lender, the Company shall also pay to the Administrative Agent or to such Lender, as the case may be, at the time interest is paid, such additional amount that the Administrative Agent, the Issuer or any Lender specifies as necessary to preserve the after-tax yield (after factoring in all taxes, including taxes imposed on or measured by net income) that the Administrative Agent, the Issuer or any Lender would have received if such Taxes or Other Taxes had not been imposed.</w:t>
      </w:r>
    </w:p>
    <w:p>
      <w:pPr>
        <w:spacing w:after="0" w:line="196" w:lineRule="exact"/>
        <w:rPr>
          <w:rFonts w:ascii="Arial" w:cs="Arial" w:eastAsia="Arial" w:hAnsi="Arial"/>
          <w:sz w:val="18"/>
          <w:szCs w:val="18"/>
          <w:color w:val="auto"/>
        </w:rPr>
      </w:pPr>
    </w:p>
    <w:p>
      <w:pPr>
        <w:ind w:right="200" w:firstLine="228"/>
        <w:spacing w:after="0" w:line="294" w:lineRule="auto"/>
        <w:tabs>
          <w:tab w:leader="none" w:pos="5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agrees to indemnify the Administrative Agent, the Issuer and each Lender for (i) the full amount of Taxes and Other Taxes (including any Taxes or Other Taxes imposed or asserted by any jurisdiction on amounts payable under this Section) paid by the Administrative Agent, the Issuer and such Lender, (ii) amounts payable under Section 3.01(c) and (iii) any liability (including additions to tax, penalties, interest and expenses) arising therefrom or with respect thereto, in each case whether or not such Taxes or Other Taxes were correctly or legally imposed or asserted by the relevant Governmental Authority. Payment under this subsection (d) shall be made within 30 days after the date the Issuer, such Lender or the Administrative Agent makes a demand therefor.</w:t>
      </w:r>
    </w:p>
    <w:p>
      <w:pPr>
        <w:spacing w:after="0" w:line="164" w:lineRule="exact"/>
        <w:rPr>
          <w:sz w:val="20"/>
          <w:szCs w:val="20"/>
          <w:color w:val="auto"/>
        </w:rPr>
      </w:pPr>
    </w:p>
    <w:p>
      <w:pPr>
        <w:ind w:firstLine="220"/>
        <w:spacing w:after="0" w:line="309" w:lineRule="auto"/>
        <w:rPr>
          <w:sz w:val="20"/>
          <w:szCs w:val="20"/>
          <w:color w:val="auto"/>
        </w:rPr>
      </w:pPr>
      <w:r>
        <w:rPr>
          <w:rFonts w:ascii="Arial" w:cs="Arial" w:eastAsia="Arial" w:hAnsi="Arial"/>
          <w:sz w:val="15"/>
          <w:szCs w:val="15"/>
          <w:b w:val="1"/>
          <w:bCs w:val="1"/>
          <w:color w:val="auto"/>
        </w:rPr>
        <w:t>3.02 Increased Cost and Reduced Return; Capital Adequacy or Risk-Based Capital</w:t>
      </w:r>
      <w:r>
        <w:rPr>
          <w:rFonts w:ascii="Arial" w:cs="Arial" w:eastAsia="Arial" w:hAnsi="Arial"/>
          <w:sz w:val="15"/>
          <w:szCs w:val="15"/>
          <w:color w:val="auto"/>
        </w:rPr>
        <w:t>. (a) If the Issuer or any Lender determines that as a result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introduction of or any change in or in the interpretation of any Law, or the Issuer’s or such Lender’s compliance therewith, there shall be any increase in the cost to the Issuer or such Lender of issuing or participating in Credits or the funding or maintaining Term Loans or Advances, or a reduction in the amount received or receivable by the Issuer or such Lender in connection with the foregoing (excluding for purposes of this subsection (a) any such increased costs or reduction in amount resulting from (i) Taxes or Other Taxes (as to which Section 3.01 shall govern), or (ii) changes in the basis of taxation of overall net income or overall gross income by the United States or any foreign jurisdiction or any political subdivision of either thereof under the Laws of which the Issuer or such Lender is organized or has its Lending Office), then from time to time upon demand of the Issuer or such Lender (with a copy of such demand to the Administrative Agent), the Company shall pay to the Issuer or such Lender such additional amounts as will compensate the Issuer or such Lender for such increased cost or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7" w:name="page118"/>
    <w:bookmarkEnd w:id="117"/>
    <w:p>
      <w:pPr>
        <w:ind w:right="40" w:firstLine="228"/>
        <w:spacing w:after="0" w:line="288" w:lineRule="auto"/>
        <w:tabs>
          <w:tab w:leader="none" w:pos="51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the Issuer or any Lender determines that the introduction of any Law regarding capital adequacy or risk-based capital or any change therein or in the interpretation thereof, or compliance by the Issuer or such Lender (or its Lending Office) therewith, has the effect of reducing the rate of return on the capital of the Issuer or such Lender or any corporation controlling the Issuer or such Lender as a consequence of the Issuer’s or such Lender’s obligations (for avoidance of doubt not including outstanding Term Loans and Advances) hereunder (taking into consideration its policies with respect to capital adequacy or risk-based capital and the Issuer’s or such Lender’s desired return on capital), then from time to time upon demand of the Issuer or such Lender (with a copy of such demand to the Administrative Agent), the Company shall pay to the Issuer or such Lender such additional amounts as will compensate the Issuer or such Lender for such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68" w:lineRule="exact"/>
        <w:rPr>
          <w:sz w:val="20"/>
          <w:szCs w:val="20"/>
          <w:color w:val="auto"/>
        </w:rPr>
      </w:pPr>
    </w:p>
    <w:p>
      <w:pPr>
        <w:ind w:right="200" w:firstLine="220"/>
        <w:spacing w:after="0" w:line="290" w:lineRule="auto"/>
        <w:rPr>
          <w:sz w:val="20"/>
          <w:szCs w:val="20"/>
          <w:color w:val="auto"/>
        </w:rPr>
      </w:pPr>
      <w:r>
        <w:rPr>
          <w:rFonts w:ascii="Arial" w:cs="Arial" w:eastAsia="Arial" w:hAnsi="Arial"/>
          <w:sz w:val="16"/>
          <w:szCs w:val="16"/>
          <w:b w:val="1"/>
          <w:bCs w:val="1"/>
          <w:color w:val="auto"/>
        </w:rPr>
        <w:t xml:space="preserve">3.03 Illegality. </w:t>
      </w:r>
      <w:r>
        <w:rPr>
          <w:rFonts w:ascii="Arial" w:cs="Arial" w:eastAsia="Arial" w:hAnsi="Arial"/>
          <w:sz w:val="16"/>
          <w:szCs w:val="16"/>
          <w:color w:val="auto"/>
        </w:rPr>
        <w:t>If any Lender determines that any Law has made it unlawful, or that any Governmental Authority has asserted that it is unlawful,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to make, maintain or fund LIBO Rate Term Loans, or to determine or charge interest rates based upon the LIBO Rate, then, on notice thereof by such Lender to the Company through the Administrative Agent, any obligation of such Lender to make or continue LIBO Rate Term Loans shall be suspended until such Lender notifies the Administrative Agent and the Company that the circumstances giving rise to such determination no longer exist. Upon receipt of such notice, the Company shall, upon demand from such Lender (with a copy to the Administrative Agent), prepay the Term Loans of such Lender, either on the last day of the Interest Period therefor, if such Lender may lawfully continue to maintain such LIBO Rate Term Loans to such day, or immediately, if such Lender may not lawfully continue to maintain such LIBO Rate Term Loans. Upon any such prepayment, the Company shall also pay accrued interest on the amount so prepaid.</w:t>
      </w:r>
    </w:p>
    <w:p>
      <w:pPr>
        <w:spacing w:after="0" w:line="166" w:lineRule="exact"/>
        <w:rPr>
          <w:sz w:val="20"/>
          <w:szCs w:val="20"/>
          <w:color w:val="auto"/>
        </w:rPr>
      </w:pPr>
    </w:p>
    <w:p>
      <w:pPr>
        <w:ind w:right="20" w:firstLine="220"/>
        <w:spacing w:after="0" w:line="262" w:lineRule="auto"/>
        <w:rPr>
          <w:sz w:val="20"/>
          <w:szCs w:val="20"/>
          <w:color w:val="auto"/>
        </w:rPr>
      </w:pPr>
      <w:r>
        <w:rPr>
          <w:rFonts w:ascii="Arial" w:cs="Arial" w:eastAsia="Arial" w:hAnsi="Arial"/>
          <w:sz w:val="18"/>
          <w:szCs w:val="18"/>
          <w:b w:val="1"/>
          <w:bCs w:val="1"/>
          <w:color w:val="auto"/>
        </w:rPr>
        <w:t xml:space="preserve">3.04 Funding Losses. </w:t>
      </w:r>
      <w:r>
        <w:rPr>
          <w:rFonts w:ascii="Arial" w:cs="Arial" w:eastAsia="Arial" w:hAnsi="Arial"/>
          <w:sz w:val="18"/>
          <w:szCs w:val="18"/>
          <w:color w:val="auto"/>
        </w:rPr>
        <w:t>Upon demand of any Lender (with a copy to the Administrative Agent), or demand of the Administrative Agent,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compensate such Lender or the Administrative Agent, as applicable, for and hold such Lender or the Administrative Agent harmless from any loss, cost or expense incurred by it as a result of:</w:t>
      </w:r>
    </w:p>
    <w:p>
      <w:pPr>
        <w:spacing w:after="0" w:line="192" w:lineRule="exact"/>
        <w:rPr>
          <w:sz w:val="20"/>
          <w:szCs w:val="20"/>
          <w:color w:val="auto"/>
        </w:rPr>
      </w:pPr>
    </w:p>
    <w:p>
      <w:pPr>
        <w:ind w:right="580" w:firstLine="228"/>
        <w:spacing w:after="0" w:line="268" w:lineRule="auto"/>
        <w:tabs>
          <w:tab w:leader="none" w:pos="50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payment or prepayment of any LIBO Rate Term Loan or Advance on a day other than the last day of the Interest Period for such Term Loan or Advance (whether voluntary, mandatory, automatic, by reason of acceleration, or otherwise);</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reduction of the Total Credit-Linked Deposits on a day other than the last day of an Interest Period therefor;</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failure by the Company to prepay or borrow any Term Loan on the date or in the amount notified by the Company; or</w:t>
      </w:r>
    </w:p>
    <w:p>
      <w:pPr>
        <w:spacing w:after="0" w:line="225" w:lineRule="exact"/>
        <w:rPr>
          <w:rFonts w:ascii="Arial" w:cs="Arial" w:eastAsia="Arial" w:hAnsi="Arial"/>
          <w:sz w:val="18"/>
          <w:szCs w:val="18"/>
          <w:color w:val="auto"/>
        </w:rPr>
      </w:pPr>
    </w:p>
    <w:p>
      <w:pPr>
        <w:ind w:right="40" w:firstLine="228"/>
        <w:spacing w:after="0" w:line="268" w:lineRule="auto"/>
        <w:tabs>
          <w:tab w:leader="none" w:pos="5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assignment of a LIBO Rate Term Loan on a day other than the last day of the Interest Period therefor as a result of a request by the Company pursuant to Section 3.07;</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8" w:name="page119"/>
    <w:bookmarkEnd w:id="118"/>
    <w:p>
      <w:pPr>
        <w:jc w:val="both"/>
        <w:ind w:right="80"/>
        <w:spacing w:after="0" w:line="259"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Term Loan or from fees payable to terminate the deposits from which such funds were obtained; provided, however, that such Lender shall use commercially reasonable efforts to mitigate any such loss, cost or expense.</w:t>
      </w:r>
    </w:p>
    <w:p>
      <w:pPr>
        <w:spacing w:after="0" w:line="194"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For purposes of calculating amounts payable by the Company to the Lenders under this Section 3.04, each Lender shall be deemed to have funded each LIBO Rate Term Loan made by it at the LIBO Rate used in determining the LIBO Rate for such Term Loan by a matching deposit or other borrowing in the London interbank LIBOR market for a comparable amount and for a comparable period, whether or not such LIBO Rate Term Loan was in fact so funded.</w:t>
      </w:r>
    </w:p>
    <w:p>
      <w:pPr>
        <w:spacing w:after="0" w:line="155" w:lineRule="exact"/>
        <w:rPr>
          <w:sz w:val="20"/>
          <w:szCs w:val="20"/>
          <w:color w:val="auto"/>
        </w:rPr>
      </w:pPr>
    </w:p>
    <w:p>
      <w:pPr>
        <w:ind w:right="240" w:firstLine="220"/>
        <w:spacing w:after="0" w:line="310" w:lineRule="auto"/>
        <w:rPr>
          <w:sz w:val="20"/>
          <w:szCs w:val="20"/>
          <w:color w:val="auto"/>
        </w:rPr>
      </w:pPr>
      <w:r>
        <w:rPr>
          <w:rFonts w:ascii="Arial" w:cs="Arial" w:eastAsia="Arial" w:hAnsi="Arial"/>
          <w:sz w:val="16"/>
          <w:szCs w:val="16"/>
          <w:b w:val="1"/>
          <w:bCs w:val="1"/>
          <w:color w:val="auto"/>
        </w:rPr>
        <w:t xml:space="preserve">3.05 Matters Applicable to All Requests for Compensation. </w:t>
      </w:r>
      <w:r>
        <w:rPr>
          <w:rFonts w:ascii="Arial" w:cs="Arial" w:eastAsia="Arial" w:hAnsi="Arial"/>
          <w:sz w:val="16"/>
          <w:szCs w:val="16"/>
          <w:color w:val="auto"/>
        </w:rPr>
        <w:t>A certificate of the Administrative Agent, the Issuer or any Lender claiming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Article III and setting forth the additional amount or amounts to be paid to it hereunder shall be conclusive in the absence of manifest error. In determining such amount, the Administrative Agent, the Issuer or any Lender may use any reasonable averaging and attribution methods.</w:t>
      </w:r>
    </w:p>
    <w:p>
      <w:pPr>
        <w:spacing w:after="0" w:line="151" w:lineRule="exact"/>
        <w:rPr>
          <w:sz w:val="20"/>
          <w:szCs w:val="20"/>
          <w:color w:val="auto"/>
        </w:rPr>
      </w:pPr>
    </w:p>
    <w:p>
      <w:pPr>
        <w:jc w:val="both"/>
        <w:ind w:right="180" w:firstLine="220"/>
        <w:spacing w:after="0" w:line="262" w:lineRule="auto"/>
        <w:rPr>
          <w:sz w:val="20"/>
          <w:szCs w:val="20"/>
          <w:color w:val="auto"/>
        </w:rPr>
      </w:pPr>
      <w:r>
        <w:rPr>
          <w:rFonts w:ascii="Arial" w:cs="Arial" w:eastAsia="Arial" w:hAnsi="Arial"/>
          <w:sz w:val="18"/>
          <w:szCs w:val="18"/>
          <w:b w:val="1"/>
          <w:bCs w:val="1"/>
          <w:color w:val="auto"/>
        </w:rPr>
        <w:t xml:space="preserve">3.06 Survival. </w:t>
      </w:r>
      <w:r>
        <w:rPr>
          <w:rFonts w:ascii="Arial" w:cs="Arial" w:eastAsia="Arial" w:hAnsi="Arial"/>
          <w:sz w:val="18"/>
          <w:szCs w:val="18"/>
          <w:color w:val="auto"/>
        </w:rPr>
        <w:t>All of the Company’s obligations under this Article III shall survive termination of the Credit-Linked Deposits and repayment of all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all other amounts due hereunder for a period of one (1) year; provided, however, any and all of the Company’s obligations under this Article III related to Taxes shall survive for a period of three (3) years.</w:t>
      </w:r>
    </w:p>
    <w:p>
      <w:pPr>
        <w:spacing w:after="0" w:line="186" w:lineRule="exact"/>
        <w:rPr>
          <w:sz w:val="20"/>
          <w:szCs w:val="20"/>
          <w:color w:val="auto"/>
        </w:rPr>
      </w:pPr>
    </w:p>
    <w:p>
      <w:pPr>
        <w:ind w:right="40" w:firstLine="220"/>
        <w:spacing w:after="0" w:line="302" w:lineRule="auto"/>
        <w:rPr>
          <w:sz w:val="20"/>
          <w:szCs w:val="20"/>
          <w:color w:val="auto"/>
        </w:rPr>
      </w:pPr>
      <w:r>
        <w:rPr>
          <w:rFonts w:ascii="Arial" w:cs="Arial" w:eastAsia="Arial" w:hAnsi="Arial"/>
          <w:sz w:val="15"/>
          <w:szCs w:val="15"/>
          <w:b w:val="1"/>
          <w:bCs w:val="1"/>
          <w:color w:val="auto"/>
        </w:rPr>
        <w:t xml:space="preserve">3.07 Replacement of Lenders. </w:t>
      </w:r>
      <w:r>
        <w:rPr>
          <w:rFonts w:ascii="Arial" w:cs="Arial" w:eastAsia="Arial" w:hAnsi="Arial"/>
          <w:sz w:val="15"/>
          <w:szCs w:val="15"/>
          <w:color w:val="auto"/>
        </w:rPr>
        <w:t>On each occasion that a Lender either makes a demand for compensation pursuant to Section 3.02 in an amount in excess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amount that the Company would have had to pay pursuant to such Section if such Lender’s Credit-Linked Deposit or Term Loan was held by a Lender with respect to which no such amounts would then be payable pursuant to such Section, the Company may, upon at least ten Business Days’ prior written notice to the Issuer, each such Lender and the Administrative Agent, in whole permanently replace the Credit-Linked Deposit or Term Loan of such Lender; provided that, the Company shall replace such Credit-Linked Deposit or Term Loan with the Credit-Linked Deposit or Term Loan of (a) any other Lender, or, if no other Lender shall agree to replace such Lender (within 30 days after being offered such option), (b) a substitute lending institution which is an Eligible Assignee (in each case, a “Replacement Lender”). Such Replacement Lender shall, upon the effective date of replacement, purchase the Credit-Linked Deposit or Term Loan of, and the Credit Obligations owed to, such replaced Lender for the aggregate amount thereof and shall thereupon for all purposes become a “Lender” hereunder. Such notice from the Company shall specify an effective date for the replacement of such Lender, which date shall not be earlier than the tenth day after the day such notice is given. On the effective date of any replacement of such Lender pursuant to this Section 3.07 and in accordance with the terms of Section 10.07, the Company shall pay to the Administrative Agent for the account of such Lender (i) any fees or other amounts due to such Lender to the date of such replacement,</w:t>
      </w:r>
    </w:p>
    <w:p>
      <w:pPr>
        <w:spacing w:after="0" w:line="2" w:lineRule="exact"/>
        <w:rPr>
          <w:sz w:val="20"/>
          <w:szCs w:val="20"/>
          <w:color w:val="auto"/>
        </w:rPr>
      </w:pPr>
    </w:p>
    <w:p>
      <w:pPr>
        <w:ind w:right="280" w:firstLine="8"/>
        <w:spacing w:after="0" w:line="255" w:lineRule="auto"/>
        <w:tabs>
          <w:tab w:leader="none" w:pos="2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accrued interest on the principal amount of outstanding Borrowings and the Credit-Linked Deposit or Term Loan held by such Lender to the date of such replacement and (iii) any other amount or amounts payable to such Lender pursuant to this Section 3.07. Upon the effective date of replacement of any Lender pursuant to this Section 3.07, such Lender shall cease to be a</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9" w:name="page120"/>
    <w:bookmarkEnd w:id="119"/>
    <w:p>
      <w:pPr>
        <w:ind w:right="160"/>
        <w:spacing w:after="0" w:line="256" w:lineRule="auto"/>
        <w:rPr>
          <w:sz w:val="20"/>
          <w:szCs w:val="20"/>
          <w:color w:val="auto"/>
        </w:rPr>
      </w:pPr>
      <w:r>
        <w:rPr>
          <w:rFonts w:ascii="Arial" w:cs="Arial" w:eastAsia="Arial" w:hAnsi="Arial"/>
          <w:sz w:val="18"/>
          <w:szCs w:val="18"/>
          <w:color w:val="auto"/>
        </w:rPr>
        <w:t>“Lender” hereunder, without any other or further act or deed on the part of any other Lender. No such replacement of any such Lender, the purchase of such Lender’s Borrowings, Credit-Linked Deposit or Term Loans pursuant to this Section 3.07 shall affect (x) any liability or obligation of the Company or any other Lender to such replaced Lender which accrued on or prior to the date of such termination or (y) such replaced Lender’s rights hereunder in respect of any such liability or obligation.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13" w:lineRule="exact"/>
        <w:rPr>
          <w:sz w:val="20"/>
          <w:szCs w:val="20"/>
          <w:color w:val="auto"/>
        </w:rPr>
      </w:pPr>
    </w:p>
    <w:p>
      <w:pPr>
        <w:ind w:right="600" w:firstLine="220"/>
        <w:spacing w:after="0" w:line="339" w:lineRule="auto"/>
        <w:rPr>
          <w:sz w:val="20"/>
          <w:szCs w:val="20"/>
          <w:color w:val="auto"/>
        </w:rPr>
      </w:pPr>
      <w:r>
        <w:rPr>
          <w:rFonts w:ascii="Arial" w:cs="Arial" w:eastAsia="Arial" w:hAnsi="Arial"/>
          <w:sz w:val="16"/>
          <w:szCs w:val="16"/>
          <w:b w:val="1"/>
          <w:bCs w:val="1"/>
          <w:color w:val="auto"/>
        </w:rPr>
        <w:t xml:space="preserve">4.01 Conditions of Credit-Linked Deposits and Initial Credit Extension. </w:t>
      </w:r>
      <w:r>
        <w:rPr>
          <w:rFonts w:ascii="Arial" w:cs="Arial" w:eastAsia="Arial" w:hAnsi="Arial"/>
          <w:sz w:val="16"/>
          <w:szCs w:val="16"/>
          <w:color w:val="auto"/>
        </w:rPr>
        <w:t>The obligation of each Lender to fund its Credit-Linked Deposit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the Issuer to make its initial Credit Extension hereunder are subject to satisfaction or waiver of the following conditions precedent:</w:t>
      </w:r>
    </w:p>
    <w:p>
      <w:pPr>
        <w:spacing w:after="0" w:line="134" w:lineRule="exact"/>
        <w:rPr>
          <w:sz w:val="20"/>
          <w:szCs w:val="20"/>
          <w:color w:val="auto"/>
        </w:rPr>
      </w:pPr>
    </w:p>
    <w:p>
      <w:pPr>
        <w:ind w:right="100" w:firstLine="228"/>
        <w:spacing w:after="0" w:line="298" w:lineRule="auto"/>
        <w:tabs>
          <w:tab w:leader="none" w:pos="50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Administrative Agent’s and Lenders’ special counsel’s receipt of the following, each of which shall be originals or facsimiles (followed promptly by originals) unless otherwise specified, each properly executed by a Responsible Officer or Secretary or assistant Secretary, as applicable of the signing Credit Party, each dated the Closing Date (or, in the case of certificates of governmental officials, a recent date before the Closing Date) and each in form and substance reasonably satisfactory to the Administrative Agent, the Issuer, the Lenders and their respective legal counsel:</w:t>
      </w:r>
    </w:p>
    <w:p>
      <w:pPr>
        <w:spacing w:after="0" w:line="166" w:lineRule="exact"/>
        <w:rPr>
          <w:rFonts w:ascii="Arial" w:cs="Arial" w:eastAsia="Arial" w:hAnsi="Arial"/>
          <w:sz w:val="16"/>
          <w:szCs w:val="16"/>
          <w:color w:val="auto"/>
        </w:rPr>
      </w:pPr>
    </w:p>
    <w:p>
      <w:pPr>
        <w:ind w:left="660" w:hanging="213"/>
        <w:spacing w:after="0"/>
        <w:tabs>
          <w:tab w:leader="none" w:pos="6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the Issuer, each Lender and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8" w:lineRule="exact"/>
        <w:rPr>
          <w:rFonts w:ascii="Arial" w:cs="Arial" w:eastAsia="Arial" w:hAnsi="Arial"/>
          <w:sz w:val="16"/>
          <w:szCs w:val="16"/>
          <w:color w:val="auto"/>
        </w:rPr>
      </w:pPr>
    </w:p>
    <w:p>
      <w:pPr>
        <w:ind w:right="20" w:firstLine="447"/>
        <w:spacing w:after="0" w:line="268" w:lineRule="auto"/>
        <w:tabs>
          <w:tab w:leader="none" w:pos="69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certified copies of the certificate or articles of incorporation (including all amendments thereto) of each Credit Party, certified as of a recent date prior to the Closing Date by the Secretary of State of the respective states of incorporation of such Credit Party;</w:t>
      </w:r>
    </w:p>
    <w:p>
      <w:pPr>
        <w:spacing w:after="0" w:line="185" w:lineRule="exact"/>
        <w:rPr>
          <w:rFonts w:ascii="Arial" w:cs="Arial" w:eastAsia="Arial" w:hAnsi="Arial"/>
          <w:sz w:val="18"/>
          <w:szCs w:val="18"/>
          <w:color w:val="auto"/>
        </w:rPr>
      </w:pPr>
    </w:p>
    <w:p>
      <w:pPr>
        <w:ind w:right="100" w:firstLine="447"/>
        <w:spacing w:after="0" w:line="268" w:lineRule="auto"/>
        <w:tabs>
          <w:tab w:leader="none" w:pos="74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copies of the bylaws (including all amendments thereto) of each Credit Party, certified as of the Closing Date by the Secretary or assistant Secretary of such Credit Party;</w:t>
      </w:r>
    </w:p>
    <w:p>
      <w:pPr>
        <w:spacing w:after="0" w:line="185" w:lineRule="exact"/>
        <w:rPr>
          <w:rFonts w:ascii="Arial" w:cs="Arial" w:eastAsia="Arial" w:hAnsi="Arial"/>
          <w:sz w:val="18"/>
          <w:szCs w:val="18"/>
          <w:color w:val="auto"/>
        </w:rPr>
      </w:pPr>
    </w:p>
    <w:p>
      <w:pPr>
        <w:jc w:val="both"/>
        <w:ind w:right="120" w:firstLine="447"/>
        <w:spacing w:after="0" w:line="259" w:lineRule="auto"/>
        <w:tabs>
          <w:tab w:leader="none" w:pos="73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incumbency certificates of the Secretary or assistant Secretary of each Credit Party evidencing the identity, authority and capacity of each Responsible Officer or Authorized Representative thereof authorized to act as a Responsible Officer or Authorized Representative in connection with this Agreement and the other Credit Documents to which such Credit Party is a party;</w:t>
      </w:r>
    </w:p>
    <w:p>
      <w:pPr>
        <w:spacing w:after="0" w:line="194" w:lineRule="exact"/>
        <w:rPr>
          <w:rFonts w:ascii="Arial" w:cs="Arial" w:eastAsia="Arial" w:hAnsi="Arial"/>
          <w:sz w:val="18"/>
          <w:szCs w:val="18"/>
          <w:color w:val="auto"/>
        </w:rPr>
      </w:pPr>
    </w:p>
    <w:p>
      <w:pPr>
        <w:ind w:right="80" w:firstLine="447"/>
        <w:spacing w:after="0" w:line="298" w:lineRule="auto"/>
        <w:tabs>
          <w:tab w:leader="none" w:pos="68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certificates of the Secretary of State or other appropriate official of the respective states of incorporation of each the Credit Party, certifying as of a recent date prior to the Closing Date that such Credit Party is duly organized or formed and validly existing and in good standing in the jurisdiction of its organization or formation as of such date, and certificates of the Secretary of State or other appropriate official of the State of Texas, certifying as of a recent date prior to the Closing Date that such Credit Party is in good standing and qualified to engage in business in the State of Texas;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0" w:name="page121"/>
    <w:bookmarkEnd w:id="120"/>
    <w:p>
      <w:pPr>
        <w:ind w:right="80" w:firstLine="447"/>
        <w:spacing w:after="0" w:line="255" w:lineRule="auto"/>
        <w:tabs>
          <w:tab w:leader="none" w:pos="73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true and correct copies of the resolutions adopted by the respective boards of directors of each Credit Party, duly certified as of the Closing Date by the Secretary or assistant Secretary of such Credit Party, (i) approving the transactions contemplated by (and the form of) this Agreement and the other Credit Documents and all other documents to be entered into in connection with this Agreement to be delivered by such Credit Party hereunder and (ii) authorizing the officers of such Credit Party, and each of them, acting individually or together, to execute and deliver each such document with such changes as such officer or officers shall approve;</w:t>
      </w:r>
    </w:p>
    <w:p>
      <w:pPr>
        <w:spacing w:after="0" w:line="196" w:lineRule="exact"/>
        <w:rPr>
          <w:rFonts w:ascii="Arial" w:cs="Arial" w:eastAsia="Arial" w:hAnsi="Arial"/>
          <w:sz w:val="18"/>
          <w:szCs w:val="18"/>
          <w:color w:val="auto"/>
        </w:rPr>
      </w:pPr>
    </w:p>
    <w:p>
      <w:pPr>
        <w:ind w:right="100" w:firstLine="447"/>
        <w:spacing w:after="0" w:line="256" w:lineRule="auto"/>
        <w:tabs>
          <w:tab w:leader="none" w:pos="78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Company certifying that (a) the representations and warranties contained in Article V, or any other Credit Document are true and correct, (b) no Default or Event of Default has occurred and is continuing, and (c) since the date of the Audited Financial Statements, no event or circumstance that either individually or in the aggregate has resulted in or could reasonably be expected to result in a Material Adverse Effect;</w:t>
      </w:r>
    </w:p>
    <w:p>
      <w:pPr>
        <w:spacing w:after="0" w:line="197" w:lineRule="exact"/>
        <w:rPr>
          <w:rFonts w:ascii="Arial" w:cs="Arial" w:eastAsia="Arial" w:hAnsi="Arial"/>
          <w:sz w:val="18"/>
          <w:szCs w:val="18"/>
          <w:color w:val="auto"/>
        </w:rPr>
      </w:pPr>
    </w:p>
    <w:p>
      <w:pPr>
        <w:ind w:right="120" w:firstLine="447"/>
        <w:spacing w:after="0" w:line="370" w:lineRule="auto"/>
        <w:tabs>
          <w:tab w:leader="none" w:pos="834" w:val="left"/>
        </w:tabs>
        <w:numPr>
          <w:ilvl w:val="1"/>
          <w:numId w:val="138"/>
        </w:numPr>
        <w:rPr>
          <w:rFonts w:ascii="Arial" w:cs="Arial" w:eastAsia="Arial" w:hAnsi="Arial"/>
          <w:sz w:val="15"/>
          <w:szCs w:val="15"/>
          <w:color w:val="auto"/>
        </w:rPr>
      </w:pPr>
      <w:r>
        <w:rPr>
          <w:rFonts w:ascii="Arial" w:cs="Arial" w:eastAsia="Arial" w:hAnsi="Arial"/>
          <w:sz w:val="15"/>
          <w:szCs w:val="15"/>
          <w:color w:val="auto"/>
        </w:rPr>
        <w:t>opinions of counsel to each Credit Party, addressed to the Administrative Agent, the Issuer and each Lender, as to the matters set forth in Exhibit C-1 and such other matters concerning the Credit Parties and the Credit Documents as the Issuer or the Required Credit-Linked Lenders may reasonably request;</w:t>
      </w:r>
    </w:p>
    <w:p>
      <w:pPr>
        <w:spacing w:after="0" w:line="116" w:lineRule="exact"/>
        <w:rPr>
          <w:rFonts w:ascii="Arial" w:cs="Arial" w:eastAsia="Arial" w:hAnsi="Arial"/>
          <w:sz w:val="15"/>
          <w:szCs w:val="15"/>
          <w:color w:val="auto"/>
        </w:rPr>
      </w:pPr>
    </w:p>
    <w:p>
      <w:pPr>
        <w:ind w:right="60" w:firstLine="447"/>
        <w:spacing w:after="0" w:line="332" w:lineRule="auto"/>
        <w:tabs>
          <w:tab w:leader="none" w:pos="73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opinions of counsel to the Administrative Agent and the Issuer, addressed to the Administrative Agent, the Issuer and each Lender, as to the matters set forth in Exhibit C-2 and Exhibit C-3 and such other matters as the Required Credit-Linked Lenders may reasonably request; and</w:t>
      </w:r>
    </w:p>
    <w:p>
      <w:pPr>
        <w:spacing w:after="0" w:line="139" w:lineRule="exact"/>
        <w:rPr>
          <w:rFonts w:ascii="Arial" w:cs="Arial" w:eastAsia="Arial" w:hAnsi="Arial"/>
          <w:sz w:val="16"/>
          <w:szCs w:val="16"/>
          <w:color w:val="auto"/>
        </w:rPr>
      </w:pPr>
    </w:p>
    <w:p>
      <w:pPr>
        <w:ind w:right="300" w:firstLine="447"/>
        <w:spacing w:after="0" w:line="268" w:lineRule="auto"/>
        <w:tabs>
          <w:tab w:leader="none" w:pos="6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opinion of special counsel to the Lenders, addressed to each Lender, as to the matters set forth in Exhibit C-4 and such other matters as the Required Credit-Linked Lenders may reasonably request.</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225" w:lineRule="exact"/>
        <w:rPr>
          <w:rFonts w:ascii="Arial" w:cs="Arial" w:eastAsia="Arial" w:hAnsi="Arial"/>
          <w:sz w:val="18"/>
          <w:szCs w:val="18"/>
          <w:color w:val="auto"/>
        </w:rPr>
      </w:pPr>
    </w:p>
    <w:p>
      <w:pPr>
        <w:ind w:right="80" w:firstLine="228"/>
        <w:spacing w:after="0" w:line="268" w:lineRule="auto"/>
        <w:tabs>
          <w:tab w:leader="none" w:pos="5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have paid all reasonable Attorney Costs of (i) the Administrative Agent, and (ii) the special counsel to the Lenders, in each case to the extent invoiced prior to or on the Closing Date.</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Closing Date shall have occurred on or prior to June 30, 2003.</w:t>
      </w:r>
    </w:p>
    <w:p>
      <w:pPr>
        <w:spacing w:after="0" w:line="225" w:lineRule="exact"/>
        <w:rPr>
          <w:rFonts w:ascii="Arial" w:cs="Arial" w:eastAsia="Arial" w:hAnsi="Arial"/>
          <w:sz w:val="18"/>
          <w:szCs w:val="18"/>
          <w:color w:val="auto"/>
        </w:rPr>
      </w:pPr>
    </w:p>
    <w:p>
      <w:pPr>
        <w:ind w:right="60" w:firstLine="228"/>
        <w:spacing w:after="0" w:line="254" w:lineRule="auto"/>
        <w:tabs>
          <w:tab w:leader="none" w:pos="5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the Closing Date, each Lender’s purchase of its Participation shall (i) be permitted by the laws and regulations of each jurisdiction to which such Lender is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such Lender to any tax, penalty or liability under or pursuant to any applicable law or regulation, which law or regulation was not in effect on the date hereof. If requested by each Lender, such Lender shall have received an Officer’s Certificate certifying as to such matters of</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1" w:name="page122"/>
    <w:bookmarkEnd w:id="121"/>
    <w:p>
      <w:pPr>
        <w:ind w:right="120"/>
        <w:spacing w:after="0" w:line="259" w:lineRule="auto"/>
        <w:rPr>
          <w:sz w:val="20"/>
          <w:szCs w:val="20"/>
          <w:color w:val="auto"/>
        </w:rPr>
      </w:pPr>
      <w:r>
        <w:rPr>
          <w:rFonts w:ascii="Arial" w:cs="Arial" w:eastAsia="Arial" w:hAnsi="Arial"/>
          <w:sz w:val="18"/>
          <w:szCs w:val="18"/>
          <w:color w:val="auto"/>
        </w:rPr>
        <w:t>fact as such Lender may reasonably specify to enable such Lender to determine whether such purchase is so permitted. The wire transfer of funds on the Closing Date by each Lender in the amount of its Credit-Linked Deposit to the Administrative Agent shall constitute its confirmation as to satisfaction of this condition with respect to such Lender.</w:t>
      </w:r>
    </w:p>
    <w:p>
      <w:pPr>
        <w:spacing w:after="0" w:line="194" w:lineRule="exact"/>
        <w:rPr>
          <w:sz w:val="20"/>
          <w:szCs w:val="20"/>
          <w:color w:val="auto"/>
        </w:rPr>
      </w:pPr>
    </w:p>
    <w:p>
      <w:pPr>
        <w:ind w:right="340" w:firstLine="228"/>
        <w:spacing w:after="0" w:line="306" w:lineRule="auto"/>
        <w:tabs>
          <w:tab w:leader="none" w:pos="4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Private Placement number issued by Standard &amp; Poor’s CUSIP Service Bureau (in cooperation with the Securities Valuation Office of the National Association of Insurance Commissioners) shall have been obtained for (i) the Letter of Credit Linked Notes and (ii) the Term Notes, which Private Placement number shall not be in the series of numbers issued to Bank of America Corporation and its affiliates, including but not limited to Bank of America.</w:t>
      </w:r>
    </w:p>
    <w:p>
      <w:pPr>
        <w:spacing w:after="0" w:line="160" w:lineRule="exact"/>
        <w:rPr>
          <w:rFonts w:ascii="Arial" w:cs="Arial" w:eastAsia="Arial" w:hAnsi="Arial"/>
          <w:sz w:val="16"/>
          <w:szCs w:val="16"/>
          <w:color w:val="auto"/>
        </w:rPr>
      </w:pPr>
    </w:p>
    <w:p>
      <w:pPr>
        <w:ind w:left="520" w:hanging="292"/>
        <w:spacing w:after="0"/>
        <w:tabs>
          <w:tab w:leader="none" w:pos="5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Issuer shall have received evidence satisfactory to it that each Lender, in respect of its Participation hereunder, has funded its Credit-Linked Deposit.</w:t>
      </w:r>
    </w:p>
    <w:p>
      <w:pPr>
        <w:spacing w:after="0" w:line="248" w:lineRule="exact"/>
        <w:rPr>
          <w:rFonts w:ascii="Arial" w:cs="Arial" w:eastAsia="Arial" w:hAnsi="Arial"/>
          <w:sz w:val="16"/>
          <w:szCs w:val="16"/>
          <w:color w:val="auto"/>
        </w:rPr>
      </w:pPr>
    </w:p>
    <w:p>
      <w:pPr>
        <w:ind w:left="520" w:hanging="292"/>
        <w:spacing w:after="0"/>
        <w:tabs>
          <w:tab w:leader="none" w:pos="5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and the Administrative Agent shall have executed and delivered to each Lender such Lender’s Letter of Credit Linked Note.</w:t>
      </w:r>
    </w:p>
    <w:p>
      <w:pPr>
        <w:spacing w:after="0" w:line="248" w:lineRule="exact"/>
        <w:rPr>
          <w:rFonts w:ascii="Arial" w:cs="Arial" w:eastAsia="Arial" w:hAnsi="Arial"/>
          <w:sz w:val="16"/>
          <w:szCs w:val="16"/>
          <w:color w:val="auto"/>
        </w:rPr>
      </w:pPr>
    </w:p>
    <w:p>
      <w:pPr>
        <w:ind w:right="20" w:firstLine="228"/>
        <w:spacing w:after="0" w:line="268" w:lineRule="auto"/>
        <w:tabs>
          <w:tab w:leader="none" w:pos="4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Administrative Agent and Bank of America in its capacity as depository shall have executed and delivered the Money Market Account Agreement and special counsel for the Lenders shall have received a copy thereof.</w:t>
      </w:r>
    </w:p>
    <w:p>
      <w:pPr>
        <w:spacing w:after="0" w:line="180" w:lineRule="exact"/>
        <w:rPr>
          <w:sz w:val="20"/>
          <w:szCs w:val="20"/>
          <w:color w:val="auto"/>
        </w:rPr>
      </w:pPr>
    </w:p>
    <w:p>
      <w:pPr>
        <w:ind w:right="660" w:firstLine="220"/>
        <w:spacing w:after="0" w:line="275" w:lineRule="auto"/>
        <w:rPr>
          <w:sz w:val="20"/>
          <w:szCs w:val="20"/>
          <w:color w:val="auto"/>
        </w:rPr>
      </w:pPr>
      <w:r>
        <w:rPr>
          <w:rFonts w:ascii="Arial" w:cs="Arial" w:eastAsia="Arial" w:hAnsi="Arial"/>
          <w:sz w:val="18"/>
          <w:szCs w:val="18"/>
          <w:b w:val="1"/>
          <w:bCs w:val="1"/>
          <w:color w:val="auto"/>
        </w:rPr>
        <w:t xml:space="preserve">4.02 Conditions to all Credit Extensions by the Issuer. </w:t>
      </w:r>
      <w:r>
        <w:rPr>
          <w:rFonts w:ascii="Arial" w:cs="Arial" w:eastAsia="Arial" w:hAnsi="Arial"/>
          <w:sz w:val="18"/>
          <w:szCs w:val="18"/>
          <w:color w:val="auto"/>
        </w:rPr>
        <w:t>The obligation of the Issuer to make any Credit Extension or honor any Request for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80" w:lineRule="exact"/>
        <w:rPr>
          <w:sz w:val="20"/>
          <w:szCs w:val="20"/>
          <w:color w:val="auto"/>
        </w:rPr>
      </w:pPr>
    </w:p>
    <w:p>
      <w:pPr>
        <w:ind w:right="20" w:firstLine="228"/>
        <w:spacing w:after="0" w:line="255" w:lineRule="auto"/>
        <w:tabs>
          <w:tab w:leader="none" w:pos="50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each other Credit Party contained in Article V, or any other Credit Document, or which are contained in any document furnished at any time under or in connection herewith or therewith, shall be true and correct on and as of the date of such Credit Extension, except to the extent that such representations and warranties relate expressly and solely to an earlier date, and except to the extent of changes resulting from transactions contemplated or permitted by the Credit Documents and changes occurring in the ordinary course of business which either individually or in the aggregate do not result in a Material Adverse Effect.</w:t>
      </w:r>
    </w:p>
    <w:p>
      <w:pPr>
        <w:spacing w:after="0" w:line="196" w:lineRule="exact"/>
        <w:rPr>
          <w:rFonts w:ascii="Arial" w:cs="Arial" w:eastAsia="Arial" w:hAnsi="Arial"/>
          <w:sz w:val="18"/>
          <w:szCs w:val="18"/>
          <w:color w:val="auto"/>
        </w:rPr>
      </w:pPr>
    </w:p>
    <w:p>
      <w:pPr>
        <w:ind w:left="520" w:hanging="292"/>
        <w:spacing w:after="0"/>
        <w:tabs>
          <w:tab w:leader="none" w:pos="5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Credit Extension.</w:t>
      </w:r>
    </w:p>
    <w:p>
      <w:pPr>
        <w:spacing w:after="0" w:line="225" w:lineRule="exact"/>
        <w:rPr>
          <w:rFonts w:ascii="Arial" w:cs="Arial" w:eastAsia="Arial" w:hAnsi="Arial"/>
          <w:sz w:val="18"/>
          <w:szCs w:val="18"/>
          <w:color w:val="auto"/>
        </w:rPr>
      </w:pPr>
    </w:p>
    <w:p>
      <w:pPr>
        <w:ind w:right="100" w:firstLine="228"/>
        <w:spacing w:after="0" w:line="268" w:lineRule="auto"/>
        <w:tabs>
          <w:tab w:leader="none" w:pos="50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has occurred since the date of the Audited Financial Statements, no event or circumstance that either individually or in the aggregate has resulted in or could reasonably be expected to result in a Material Adverse Effect.</w:t>
      </w:r>
    </w:p>
    <w:p>
      <w:pPr>
        <w:spacing w:after="0" w:line="185" w:lineRule="exact"/>
        <w:rPr>
          <w:rFonts w:ascii="Arial" w:cs="Arial" w:eastAsia="Arial" w:hAnsi="Arial"/>
          <w:sz w:val="18"/>
          <w:szCs w:val="18"/>
          <w:color w:val="auto"/>
        </w:rPr>
      </w:pPr>
    </w:p>
    <w:p>
      <w:pPr>
        <w:ind w:right="1020" w:firstLine="228"/>
        <w:spacing w:after="0" w:line="332" w:lineRule="auto"/>
        <w:tabs>
          <w:tab w:leader="none" w:pos="5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in the case of any automatic renewal of any Auto-Renewal Credit or any automatic reinstatement of any Auto-Reinstating Credit, the Administrative Agent and the Issuer shall have received a Request for Credit Extension in accordance with the requirements hereof.</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22" w:name="page123"/>
    <w:bookmarkEnd w:id="122"/>
    <w:p>
      <w:pPr>
        <w:ind w:right="20" w:firstLine="228"/>
        <w:spacing w:after="0" w:line="268" w:lineRule="auto"/>
        <w:tabs>
          <w:tab w:leader="none" w:pos="50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satisfactory to it, such other assurances, certificates, documents or consents related to the foregoing as the Administrative Agent, the Issuer or the Required Lenders reasonably may require.</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Each Request for Credit Extension submitted by the Company shall be deemed to be a representation and warranty that the conditions specified in Sections 4.02(a), (b) and (c) have been satisfied on and as of the date of the applicable Credit Extension.</w:t>
      </w:r>
    </w:p>
    <w:p>
      <w:pPr>
        <w:spacing w:after="0" w:line="180"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5"/>
          <w:szCs w:val="15"/>
          <w:b w:val="1"/>
          <w:bCs w:val="1"/>
          <w:color w:val="auto"/>
        </w:rPr>
        <w:t xml:space="preserve">Conditions to Term Loans. </w:t>
      </w:r>
      <w:r>
        <w:rPr>
          <w:rFonts w:ascii="Arial" w:cs="Arial" w:eastAsia="Arial" w:hAnsi="Arial"/>
          <w:sz w:val="15"/>
          <w:szCs w:val="15"/>
          <w:color w:val="auto"/>
        </w:rPr>
        <w:t>The obligation of the Lenders to make any Term Loans is subject to the following conditions precedent:</w:t>
      </w:r>
    </w:p>
    <w:p>
      <w:pPr>
        <w:spacing w:after="0" w:line="231" w:lineRule="exact"/>
        <w:rPr>
          <w:sz w:val="20"/>
          <w:szCs w:val="20"/>
          <w:color w:val="auto"/>
        </w:rPr>
      </w:pPr>
    </w:p>
    <w:p>
      <w:pPr>
        <w:ind w:left="520" w:hanging="292"/>
        <w:spacing w:after="0"/>
        <w:tabs>
          <w:tab w:leader="none" w:pos="5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Administrative Agent shall have received in accordance with the provisions of Section 2.03(b) hereof an originally executed Request for Term Loans.</w:t>
      </w:r>
    </w:p>
    <w:p>
      <w:pPr>
        <w:spacing w:after="0" w:line="248" w:lineRule="exact"/>
        <w:rPr>
          <w:rFonts w:ascii="Arial" w:cs="Arial" w:eastAsia="Arial" w:hAnsi="Arial"/>
          <w:sz w:val="16"/>
          <w:szCs w:val="16"/>
          <w:color w:val="auto"/>
        </w:rPr>
      </w:pPr>
    </w:p>
    <w:p>
      <w:pPr>
        <w:ind w:right="240" w:firstLine="228"/>
        <w:spacing w:after="0" w:line="259" w:lineRule="auto"/>
        <w:tabs>
          <w:tab w:leader="none" w:pos="51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by a duly authorized Senior Responsible Officer, shall have executed and delivered to the Administrative Agent on the applicable Term Loan Issuance Date, for delivery to the Lenders, Term Notes to evidence such Term Loans, dated as of the Term Loan Issuance Date, in the aggregate principal amount of the Term Loans and with other appropriate insertions.</w:t>
      </w:r>
    </w:p>
    <w:p>
      <w:pPr>
        <w:spacing w:after="0" w:line="194" w:lineRule="exact"/>
        <w:rPr>
          <w:rFonts w:ascii="Arial" w:cs="Arial" w:eastAsia="Arial" w:hAnsi="Arial"/>
          <w:sz w:val="18"/>
          <w:szCs w:val="18"/>
          <w:color w:val="auto"/>
        </w:rPr>
      </w:pPr>
    </w:p>
    <w:p>
      <w:pPr>
        <w:ind w:right="280" w:firstLine="228"/>
        <w:spacing w:after="0" w:line="268" w:lineRule="auto"/>
        <w:tabs>
          <w:tab w:leader="none" w:pos="50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Administrative Agent shall have received an opinion of in-house counsel of the Company, addressed to the Administrative Agent and each Lender, substantially in the form of Exhibit H attached hereto.</w:t>
      </w:r>
    </w:p>
    <w:p>
      <w:pPr>
        <w:spacing w:after="0" w:line="185" w:lineRule="exact"/>
        <w:rPr>
          <w:rFonts w:ascii="Arial" w:cs="Arial" w:eastAsia="Arial" w:hAnsi="Arial"/>
          <w:sz w:val="18"/>
          <w:szCs w:val="18"/>
          <w:color w:val="auto"/>
        </w:rPr>
      </w:pPr>
    </w:p>
    <w:p>
      <w:pPr>
        <w:ind w:right="320" w:firstLine="228"/>
        <w:spacing w:after="0" w:line="259" w:lineRule="auto"/>
        <w:tabs>
          <w:tab w:leader="none" w:pos="51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Conditions Satisfied. The Company shall have delivered to the Administrative Agent an Officer’s Certificate, dated as of the applicable Term Loan Issuance Date, in form and substance satisfactory to the Administrative Agent, certifying that all conditions precedent set forth in Sections 4.02(a) and (b) and 4.03 have been satisfied on and as of the applicable Term Loan Issuance Date.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Request for Term Loans submitted by the Company shall be deemed to be a representation and warranty that the conditions specified in Sections 4.02(a) and (b) have been satisfied on and as of the date of the applicable Term Loan Issuance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219"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Organization; Power and Authority.</w:t>
      </w:r>
    </w:p>
    <w:p>
      <w:pPr>
        <w:spacing w:after="0" w:line="231" w:lineRule="exact"/>
        <w:rPr>
          <w:sz w:val="20"/>
          <w:szCs w:val="20"/>
          <w:color w:val="auto"/>
        </w:rPr>
      </w:pPr>
    </w:p>
    <w:p>
      <w:pPr>
        <w:ind w:right="60" w:firstLine="228"/>
        <w:spacing w:after="0" w:line="256" w:lineRule="auto"/>
        <w:tabs>
          <w:tab w:leader="none" w:pos="50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3" w:name="page124"/>
    <w:bookmarkEnd w:id="123"/>
    <w:p>
      <w:pPr>
        <w:ind w:right="40"/>
        <w:spacing w:after="0" w:line="268" w:lineRule="auto"/>
        <w:rPr>
          <w:sz w:val="20"/>
          <w:szCs w:val="20"/>
          <w:color w:val="auto"/>
        </w:rPr>
      </w:pPr>
      <w:r>
        <w:rPr>
          <w:rFonts w:ascii="Arial" w:cs="Arial" w:eastAsia="Arial" w:hAnsi="Arial"/>
          <w:sz w:val="18"/>
          <w:szCs w:val="18"/>
          <w:color w:val="auto"/>
        </w:rPr>
        <w:t>purports to own or hold under lease, to transact the business it transacts and proposes to transact, to execute and deliver this Agreement and the Credit Documents to which it is a party and to perform the provisions hereof and thereof.</w:t>
      </w:r>
    </w:p>
    <w:p>
      <w:pPr>
        <w:spacing w:after="0" w:line="186" w:lineRule="exact"/>
        <w:rPr>
          <w:sz w:val="20"/>
          <w:szCs w:val="20"/>
          <w:color w:val="auto"/>
        </w:rPr>
      </w:pPr>
    </w:p>
    <w:p>
      <w:pPr>
        <w:ind w:right="20" w:firstLine="228"/>
        <w:spacing w:after="0" w:line="254" w:lineRule="auto"/>
        <w:tabs>
          <w:tab w:leader="none" w:pos="51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Holdings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on Holdings and its Subsidiaries, taken as a whole. Holdings has the corporate power and authority to own or hold under lease the properties it purports to own or hold under lease, to transact the business it transacts and proposes to transact, to execute and deliver this Agreement and the Credit Documents to which it is a party and to perform the provisions hereof and thereof.</w:t>
      </w:r>
    </w:p>
    <w:p>
      <w:pPr>
        <w:spacing w:after="0" w:line="192"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5"/>
          <w:szCs w:val="15"/>
          <w:b w:val="1"/>
          <w:bCs w:val="1"/>
          <w:color w:val="auto"/>
        </w:rPr>
        <w:t>Authorization, etc.</w:t>
      </w:r>
    </w:p>
    <w:p>
      <w:pPr>
        <w:spacing w:after="0" w:line="231" w:lineRule="exact"/>
        <w:rPr>
          <w:sz w:val="20"/>
          <w:szCs w:val="20"/>
          <w:color w:val="auto"/>
        </w:rPr>
      </w:pPr>
    </w:p>
    <w:p>
      <w:pPr>
        <w:ind w:right="140" w:firstLine="228"/>
        <w:spacing w:after="0" w:line="294" w:lineRule="auto"/>
        <w:tabs>
          <w:tab w:leader="none" w:pos="50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This Agreement and each other Credit Document have been duly authorized by all necessary corporate action on the part of the Company, and this Agreement constitutes, and each other Credit Document to which the Company is a party when executed and delivered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9" w:lineRule="exact"/>
        <w:rPr>
          <w:rFonts w:ascii="Arial" w:cs="Arial" w:eastAsia="Arial" w:hAnsi="Arial"/>
          <w:sz w:val="16"/>
          <w:szCs w:val="16"/>
          <w:color w:val="auto"/>
        </w:rPr>
      </w:pPr>
    </w:p>
    <w:p>
      <w:pPr>
        <w:ind w:right="80" w:firstLine="228"/>
        <w:spacing w:after="0" w:line="255" w:lineRule="auto"/>
        <w:tabs>
          <w:tab w:leader="none" w:pos="5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Agreement and each other Credit Document have been duly authorized by all necessary corporate action on the part of Holdings, and this Agreement constitutes, and each other Credit Document to which Holdings is a party when executed and delivered will constitute, a legal, valid and binding obligation of Holdings enforceable against Holdings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96" w:lineRule="exact"/>
        <w:rPr>
          <w:rFonts w:ascii="Arial" w:cs="Arial" w:eastAsia="Arial" w:hAnsi="Arial"/>
          <w:sz w:val="18"/>
          <w:szCs w:val="18"/>
          <w:color w:val="auto"/>
        </w:rPr>
      </w:pPr>
    </w:p>
    <w:p>
      <w:pPr>
        <w:ind w:right="460" w:firstLine="228"/>
        <w:spacing w:after="0" w:line="332" w:lineRule="auto"/>
        <w:tabs>
          <w:tab w:leader="none" w:pos="50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the extent Credits are being issued for the account of Subsidiaries, at the time of each such Credit Extension, such Credits do and will inure to the benefit of the Company, and the Company’s business derives and will derive substantial benefits from the businesses of such Subsidiaries.</w:t>
      </w:r>
    </w:p>
    <w:p>
      <w:pPr>
        <w:spacing w:after="0" w:line="133" w:lineRule="exact"/>
        <w:rPr>
          <w:sz w:val="20"/>
          <w:szCs w:val="20"/>
          <w:color w:val="auto"/>
        </w:rPr>
      </w:pPr>
    </w:p>
    <w:p>
      <w:pPr>
        <w:ind w:right="60" w:firstLine="220"/>
        <w:spacing w:after="0" w:line="296" w:lineRule="auto"/>
        <w:rPr>
          <w:sz w:val="20"/>
          <w:szCs w:val="20"/>
          <w:color w:val="auto"/>
        </w:rPr>
      </w:pPr>
      <w:r>
        <w:rPr>
          <w:rFonts w:ascii="Arial" w:cs="Arial" w:eastAsia="Arial" w:hAnsi="Arial"/>
          <w:sz w:val="16"/>
          <w:szCs w:val="16"/>
          <w:b w:val="1"/>
          <w:bCs w:val="1"/>
          <w:color w:val="auto"/>
        </w:rPr>
        <w:t xml:space="preserve">5.03 Disclosure. </w:t>
      </w:r>
      <w:r>
        <w:rPr>
          <w:rFonts w:ascii="Arial" w:cs="Arial" w:eastAsia="Arial" w:hAnsi="Arial"/>
          <w:sz w:val="16"/>
          <w:szCs w:val="16"/>
          <w:color w:val="auto"/>
        </w:rPr>
        <w:t>The Company, through its agent, BAS, has delivered to each Lender a copy of a Private Placement Memorandum, dated May 2003 (the</w:t>
      </w:r>
      <w:r>
        <w:rPr>
          <w:rFonts w:ascii="Arial" w:cs="Arial" w:eastAsia="Arial" w:hAnsi="Arial"/>
          <w:sz w:val="16"/>
          <w:szCs w:val="16"/>
          <w:b w:val="1"/>
          <w:bCs w:val="1"/>
          <w:color w:val="auto"/>
        </w:rPr>
        <w:t xml:space="preserve"> </w:t>
      </w:r>
      <w:r>
        <w:rPr>
          <w:rFonts w:ascii="Arial" w:cs="Arial" w:eastAsia="Arial" w:hAnsi="Arial"/>
          <w:sz w:val="16"/>
          <w:szCs w:val="16"/>
          <w:color w:val="auto"/>
        </w:rPr>
        <w:t>“Memorandum”), relating to the transactions contemplated hereby. As of its date, the Memorandum fairly describes, in all material respects, the general nature of the business and principal properties of the Company and its Subsidiaries. As of the Closing Date, this Agreement, the Memorandum, the documents, certificates or other writings delivered to the Lenders by or on behalf of the Company in connection with the transactions contemplated hereby and the financial statements listed in Schedule 5.05, taken as a whole, do not contain any untrue statement of a material fact or omit to</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4" w:name="page125"/>
    <w:bookmarkEnd w:id="124"/>
    <w:p>
      <w:pPr>
        <w:spacing w:after="0" w:line="318" w:lineRule="auto"/>
        <w:rPr>
          <w:sz w:val="20"/>
          <w:szCs w:val="20"/>
          <w:color w:val="auto"/>
        </w:rPr>
      </w:pPr>
      <w:r>
        <w:rPr>
          <w:rFonts w:ascii="Arial" w:cs="Arial" w:eastAsia="Arial" w:hAnsi="Arial"/>
          <w:sz w:val="15"/>
          <w:szCs w:val="15"/>
          <w:color w:val="auto"/>
        </w:rPr>
        <w:t>state any material fact necessary to make the statements therein not misleading in light of the circumstances under which they were made. Since December 31, 2002, there has been no change in the financial condition, operations, business or properties of the Company or any Subsidiary except changes that individually or in the aggregate could not reasonably be expected to have a Material Adverse Effect. There is no fact known to the Company that could reasonably be expected to have a Material Adverse Effect that has not been disclosed herein or in the Memorandum, in the Disclosure Documents, or in the other documents, certificates and other writings delivered to the Lenders by or on behalf of the Company specifically for use in connection with the transactions contemplated hereby.</w:t>
      </w:r>
    </w:p>
    <w:p>
      <w:pPr>
        <w:spacing w:after="0" w:line="148"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color w:val="auto"/>
        </w:rPr>
        <w:t>Organization and Ownership of Shares of Subsidiaries; Affiliates.</w:t>
      </w:r>
    </w:p>
    <w:p>
      <w:pPr>
        <w:spacing w:after="0" w:line="231" w:lineRule="exact"/>
        <w:rPr>
          <w:sz w:val="20"/>
          <w:szCs w:val="20"/>
          <w:color w:val="auto"/>
        </w:rPr>
      </w:pPr>
    </w:p>
    <w:p>
      <w:pPr>
        <w:ind w:right="300" w:firstLine="228"/>
        <w:spacing w:after="0" w:line="306" w:lineRule="auto"/>
        <w:tabs>
          <w:tab w:leader="none" w:pos="50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Schedule 5.04 contains (except as noted therein) complete and correct lists as of the Closing Date of (i) each of the Company’s Restricted Subsidiaries, showing, as to each Restricted Subsidiary, the correct name thereof and the jurisdiction of its organization, (ii) each of the Company’s Affiliates, and (iii) the Company’s directors and Senior Responsible Officers. As of the Closing Date, there are no Unrestricted Subsidiaries.</w:t>
      </w:r>
    </w:p>
    <w:p>
      <w:pPr>
        <w:spacing w:after="0" w:line="160" w:lineRule="exact"/>
        <w:rPr>
          <w:rFonts w:ascii="Arial" w:cs="Arial" w:eastAsia="Arial" w:hAnsi="Arial"/>
          <w:sz w:val="16"/>
          <w:szCs w:val="16"/>
          <w:color w:val="auto"/>
        </w:rPr>
      </w:pPr>
    </w:p>
    <w:p>
      <w:pPr>
        <w:ind w:right="160" w:firstLine="228"/>
        <w:spacing w:after="0" w:line="259" w:lineRule="auto"/>
        <w:tabs>
          <w:tab w:leader="none" w:pos="51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of the Closing Date, all of the outstanding shares of capital stock or similar equity interests of each Restricted Subsidiary owned by the Company and its Subsidiaries have been validly issued, are fully paid and nonassessable and are owned by the Company or another Subsidiary free and clear of any Lien (except for any Permitted Lien or as otherwise disclosed in Schedule 5.04).</w:t>
      </w:r>
    </w:p>
    <w:p>
      <w:pPr>
        <w:spacing w:after="0" w:line="194" w:lineRule="exact"/>
        <w:rPr>
          <w:rFonts w:ascii="Arial" w:cs="Arial" w:eastAsia="Arial" w:hAnsi="Arial"/>
          <w:sz w:val="18"/>
          <w:szCs w:val="18"/>
          <w:color w:val="auto"/>
        </w:rPr>
      </w:pPr>
    </w:p>
    <w:p>
      <w:pPr>
        <w:ind w:right="180" w:firstLine="228"/>
        <w:spacing w:after="0" w:line="294" w:lineRule="auto"/>
        <w:tabs>
          <w:tab w:leader="none" w:pos="50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Subsidiary identified on Schedule 5.04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69" w:lineRule="exact"/>
        <w:rPr>
          <w:rFonts w:ascii="Arial" w:cs="Arial" w:eastAsia="Arial" w:hAnsi="Arial"/>
          <w:sz w:val="16"/>
          <w:szCs w:val="16"/>
          <w:color w:val="auto"/>
        </w:rPr>
      </w:pPr>
    </w:p>
    <w:p>
      <w:pPr>
        <w:ind w:right="120" w:firstLine="228"/>
        <w:spacing w:after="0" w:line="256" w:lineRule="auto"/>
        <w:tabs>
          <w:tab w:leader="none" w:pos="51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of the Closing Date, no Subsidiary is a party to, or otherwise subject to any legal restriction or any agreement (other than the agreements listed on Schedule 5.04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9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5"/>
          <w:szCs w:val="15"/>
          <w:b w:val="1"/>
          <w:bCs w:val="1"/>
          <w:color w:val="auto"/>
        </w:rPr>
        <w:t>Financial Statements.</w:t>
      </w:r>
    </w:p>
    <w:p>
      <w:pPr>
        <w:spacing w:after="0" w:line="231" w:lineRule="exact"/>
        <w:rPr>
          <w:sz w:val="20"/>
          <w:szCs w:val="20"/>
          <w:color w:val="auto"/>
        </w:rPr>
      </w:pPr>
    </w:p>
    <w:p>
      <w:pPr>
        <w:ind w:right="320" w:firstLine="216"/>
        <w:spacing w:after="0" w:line="335" w:lineRule="auto"/>
        <w:rPr>
          <w:sz w:val="20"/>
          <w:szCs w:val="20"/>
          <w:color w:val="auto"/>
        </w:rPr>
      </w:pPr>
      <w:r>
        <w:rPr>
          <w:rFonts w:ascii="Arial" w:cs="Arial" w:eastAsia="Arial" w:hAnsi="Arial"/>
          <w:sz w:val="15"/>
          <w:szCs w:val="15"/>
          <w:color w:val="auto"/>
        </w:rPr>
        <w:t>The Company has delivered to the Issuer and each Lender the financial statements of the Company and its Subsidiaries listed on Schedule 5.05. All of said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5" w:name="page126"/>
    <w:bookmarkEnd w:id="125"/>
    <w:p>
      <w:pPr>
        <w:ind w:right="180"/>
        <w:spacing w:after="0" w:line="268" w:lineRule="auto"/>
        <w:rPr>
          <w:sz w:val="20"/>
          <w:szCs w:val="20"/>
          <w:color w:val="auto"/>
        </w:rPr>
      </w:pPr>
      <w:r>
        <w:rPr>
          <w:rFonts w:ascii="Arial" w:cs="Arial" w:eastAsia="Arial" w:hAnsi="Arial"/>
          <w:sz w:val="18"/>
          <w:szCs w:val="18"/>
          <w:color w:val="auto"/>
        </w:rPr>
        <w:t>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80"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5.06</w:t>
      </w:r>
      <w:r>
        <w:rPr>
          <w:sz w:val="20"/>
          <w:szCs w:val="20"/>
          <w:color w:val="auto"/>
        </w:rPr>
        <w:tab/>
      </w:r>
      <w:r>
        <w:rPr>
          <w:rFonts w:ascii="Arial" w:cs="Arial" w:eastAsia="Arial" w:hAnsi="Arial"/>
          <w:sz w:val="16"/>
          <w:szCs w:val="16"/>
          <w:b w:val="1"/>
          <w:bCs w:val="1"/>
          <w:color w:val="auto"/>
        </w:rPr>
        <w:t>Compliance with Laws, Other Instruments, etc.</w:t>
      </w:r>
    </w:p>
    <w:p>
      <w:pPr>
        <w:spacing w:after="0" w:line="231" w:lineRule="exact"/>
        <w:rPr>
          <w:sz w:val="20"/>
          <w:szCs w:val="20"/>
          <w:color w:val="auto"/>
        </w:rPr>
      </w:pPr>
    </w:p>
    <w:p>
      <w:pPr>
        <w:ind w:firstLine="228"/>
        <w:spacing w:after="0" w:line="283" w:lineRule="auto"/>
        <w:tabs>
          <w:tab w:leader="none" w:pos="50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the Letter of Credit Linked Notes and the Term Notes will not (i) contravene, result in any breach of, or constitute a default under, or result in the creation of any Lien in respect of any property of the Company or any Subsidiary under, any indenture, mortgage, deed of trust, loan, note purchase or credit agreement, or lease, its corporate charter or by-laws, or any other agreement or instrument to which the Company or any Subsidiary is bound or by which the Company or any Subsidiary or any of their respective properties may be bound or affected,</w:t>
      </w:r>
    </w:p>
    <w:p>
      <w:pPr>
        <w:spacing w:after="0" w:line="2" w:lineRule="exact"/>
        <w:rPr>
          <w:rFonts w:ascii="Arial" w:cs="Arial" w:eastAsia="Arial" w:hAnsi="Arial"/>
          <w:sz w:val="16"/>
          <w:szCs w:val="16"/>
          <w:color w:val="auto"/>
        </w:rPr>
      </w:pPr>
    </w:p>
    <w:p>
      <w:pPr>
        <w:ind w:right="60" w:firstLine="8"/>
        <w:spacing w:after="0" w:line="255" w:lineRule="auto"/>
        <w:tabs>
          <w:tab w:leader="none" w:pos="25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198" w:lineRule="exact"/>
        <w:rPr>
          <w:rFonts w:ascii="Arial" w:cs="Arial" w:eastAsia="Arial" w:hAnsi="Arial"/>
          <w:sz w:val="18"/>
          <w:szCs w:val="18"/>
          <w:color w:val="auto"/>
        </w:rPr>
      </w:pPr>
    </w:p>
    <w:p>
      <w:pPr>
        <w:ind w:right="100" w:firstLine="228"/>
        <w:spacing w:after="0" w:line="254" w:lineRule="auto"/>
        <w:tabs>
          <w:tab w:leader="none" w:pos="5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execution, delivery and performance by Holdings of this Agreement will not (i) contravene, result in any breach of, or constitute a default under, or result in the creation of any Lien in respect of any property of Holdings under, any indenture, mortgage, deed of trust, loan, note purchase or credit agreement, lease, corporate charter or by-laws, or any agreement or instrument to which Holdings is bound or by which Holdings or any of its properties may be bound or affected, (ii) conflict with or result in a breach of any of the terms, conditions or provisions of any order, judgment, decree, or ruling of any court, arbitrator or Governmental Authority applicable to Holdings, or (iii) violate any provision of any statute or other rule or regulation of any Governmental Authority applicable to Holdings.</w:t>
      </w:r>
    </w:p>
    <w:p>
      <w:pPr>
        <w:spacing w:after="0" w:line="192"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5"/>
          <w:szCs w:val="15"/>
          <w:b w:val="1"/>
          <w:bCs w:val="1"/>
          <w:color w:val="auto"/>
        </w:rPr>
        <w:t>Governmental Authorizations, etc.</w:t>
      </w:r>
    </w:p>
    <w:p>
      <w:pPr>
        <w:spacing w:after="0" w:line="231" w:lineRule="exact"/>
        <w:rPr>
          <w:sz w:val="20"/>
          <w:szCs w:val="20"/>
          <w:color w:val="auto"/>
        </w:rPr>
      </w:pPr>
    </w:p>
    <w:p>
      <w:pPr>
        <w:ind w:right="640" w:firstLine="228"/>
        <w:spacing w:after="0" w:line="332" w:lineRule="auto"/>
        <w:tabs>
          <w:tab w:leader="none" w:pos="50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 consent, approval or authorization of, or registration, filing or declaration with, any Governmental Authority is required in connection with the execution, delivery or performance by the Company of this Agreement, the Letter of Credit Linked Notes or the Term Notes.</w:t>
      </w:r>
    </w:p>
    <w:p>
      <w:pPr>
        <w:spacing w:after="0" w:line="139" w:lineRule="exact"/>
        <w:rPr>
          <w:rFonts w:ascii="Arial" w:cs="Arial" w:eastAsia="Arial" w:hAnsi="Arial"/>
          <w:sz w:val="16"/>
          <w:szCs w:val="16"/>
          <w:color w:val="auto"/>
        </w:rPr>
      </w:pPr>
    </w:p>
    <w:p>
      <w:pPr>
        <w:ind w:right="620" w:firstLine="228"/>
        <w:spacing w:after="0" w:line="268" w:lineRule="auto"/>
        <w:tabs>
          <w:tab w:leader="none" w:pos="51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consent, approval or authorization of, or registration, filing or declaration with, any Governmental Authority is required in connection with the execution, delivery or performance by Holdings of this Agreement.</w:t>
      </w:r>
    </w:p>
    <w:p>
      <w:pPr>
        <w:spacing w:after="0" w:line="180"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5"/>
          <w:szCs w:val="15"/>
          <w:b w:val="1"/>
          <w:bCs w:val="1"/>
          <w:color w:val="auto"/>
        </w:rPr>
        <w:t>Litigation; Observance of Agreements, Statutes and Orders.</w:t>
      </w:r>
    </w:p>
    <w:p>
      <w:pPr>
        <w:spacing w:after="0" w:line="231" w:lineRule="exact"/>
        <w:rPr>
          <w:sz w:val="20"/>
          <w:szCs w:val="20"/>
          <w:color w:val="auto"/>
        </w:rPr>
      </w:pPr>
    </w:p>
    <w:p>
      <w:pPr>
        <w:ind w:right="120" w:firstLine="228"/>
        <w:spacing w:after="0" w:line="256" w:lineRule="auto"/>
        <w:tabs>
          <w:tab w:leader="none" w:pos="50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disclosed in Schedule 5.08 or in the Disclosure Documents, there are no actions, suits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could reasonably be expected, after offset for claims against insurers, to have a Material Adverse Effect.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6" w:name="page127"/>
    <w:bookmarkEnd w:id="126"/>
    <w:p>
      <w:pPr>
        <w:ind w:right="60" w:firstLine="228"/>
        <w:spacing w:after="0" w:line="298" w:lineRule="auto"/>
        <w:tabs>
          <w:tab w:leader="none" w:pos="51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Except as disclosed in Schedule 5.08 or in the Disclosure Documents, neither the Company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6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b w:val="1"/>
          <w:bCs w:val="1"/>
          <w:color w:val="auto"/>
        </w:rPr>
        <w:t xml:space="preserve">5.09 Taxes. </w:t>
      </w:r>
      <w:r>
        <w:rPr>
          <w:rFonts w:ascii="Arial" w:cs="Arial" w:eastAsia="Arial" w:hAnsi="Arial"/>
          <w:sz w:val="16"/>
          <w:szCs w:val="16"/>
          <w:color w:val="auto"/>
        </w:rPr>
        <w:t>The Company and its Subsidiaries have filed all tax returns that are required to have been filed in any jurisdiction, and have paid all taxes shown</w:t>
      </w:r>
      <w:r>
        <w:rPr>
          <w:rFonts w:ascii="Arial" w:cs="Arial" w:eastAsia="Arial" w:hAnsi="Arial"/>
          <w:sz w:val="16"/>
          <w:szCs w:val="16"/>
          <w:b w:val="1"/>
          <w:bCs w:val="1"/>
          <w:color w:val="auto"/>
        </w:rPr>
        <w:t xml:space="preserve"> </w:t>
      </w:r>
      <w:r>
        <w:rPr>
          <w:rFonts w:ascii="Arial" w:cs="Arial" w:eastAsia="Arial" w:hAnsi="Arial"/>
          <w:sz w:val="16"/>
          <w:szCs w:val="16"/>
          <w:color w:val="auto"/>
        </w:rPr>
        <w:t>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reasonably be expected to have a Material Adverse Effect. The charges, accruals and reserves on the books of the Company and its Subsidiaries in respect of federal, state or other taxes for all fiscal periods are adequate in accordance with GAAP. The federal income tax liabilities of the Company and its Subsidiaries have been determined by the IRS and paid for all fiscal years up to and including the fiscal year ended December 31, 1987.</w:t>
      </w:r>
    </w:p>
    <w:p>
      <w:pPr>
        <w:spacing w:after="0" w:line="167" w:lineRule="exact"/>
        <w:rPr>
          <w:sz w:val="20"/>
          <w:szCs w:val="20"/>
          <w:color w:val="auto"/>
        </w:rPr>
      </w:pPr>
    </w:p>
    <w:p>
      <w:pPr>
        <w:ind w:right="140" w:firstLine="220"/>
        <w:spacing w:after="0" w:line="296" w:lineRule="auto"/>
        <w:rPr>
          <w:sz w:val="20"/>
          <w:szCs w:val="20"/>
          <w:color w:val="auto"/>
        </w:rPr>
      </w:pPr>
      <w:r>
        <w:rPr>
          <w:rFonts w:ascii="Arial" w:cs="Arial" w:eastAsia="Arial" w:hAnsi="Arial"/>
          <w:sz w:val="16"/>
          <w:szCs w:val="16"/>
          <w:b w:val="1"/>
          <w:bCs w:val="1"/>
          <w:color w:val="auto"/>
        </w:rPr>
        <w:t xml:space="preserve">5.10 Title to Property; Leases. </w:t>
      </w:r>
      <w:r>
        <w:rPr>
          <w:rFonts w:ascii="Arial" w:cs="Arial" w:eastAsia="Arial" w:hAnsi="Arial"/>
          <w:sz w:val="16"/>
          <w:szCs w:val="16"/>
          <w:color w:val="auto"/>
        </w:rPr>
        <w:t>The Company and its Restricted Subsidiaries have good and sufficient title to their respective properties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Subsidiaries own or purport to own that individually or in the aggregate are Material, including all such properties reflected in the most recent audited balance sheet referred to in Section 5.05 or purported to have been acquired by the Company or any Restricted Subsidiary after said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62"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 xml:space="preserve">Licenses, Permits, etc. </w:t>
      </w:r>
      <w:r>
        <w:rPr>
          <w:rFonts w:ascii="Arial" w:cs="Arial" w:eastAsia="Arial" w:hAnsi="Arial"/>
          <w:sz w:val="15"/>
          <w:szCs w:val="15"/>
          <w:color w:val="auto"/>
        </w:rPr>
        <w:t>Except as disclosed in Schedule 5.11,</w:t>
      </w:r>
    </w:p>
    <w:p>
      <w:pPr>
        <w:spacing w:after="0" w:line="231" w:lineRule="exact"/>
        <w:rPr>
          <w:sz w:val="20"/>
          <w:szCs w:val="20"/>
          <w:color w:val="auto"/>
        </w:rPr>
      </w:pPr>
    </w:p>
    <w:p>
      <w:pPr>
        <w:ind w:right="40" w:firstLine="228"/>
        <w:spacing w:after="0" w:line="332" w:lineRule="auto"/>
        <w:tabs>
          <w:tab w:leader="none" w:pos="50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and its Restricted Subsidiaries own or possess all licenses, permits, franchises, authorizations, patents, copyrights, service marks, trademarks and trade names, or rights thereto, that individually or in the aggregate are Material, without known material conflict with the rights of others;</w:t>
      </w:r>
    </w:p>
    <w:p>
      <w:pPr>
        <w:spacing w:after="0" w:line="139" w:lineRule="exact"/>
        <w:rPr>
          <w:rFonts w:ascii="Arial" w:cs="Arial" w:eastAsia="Arial" w:hAnsi="Arial"/>
          <w:sz w:val="16"/>
          <w:szCs w:val="16"/>
          <w:color w:val="auto"/>
        </w:rPr>
      </w:pPr>
    </w:p>
    <w:p>
      <w:pPr>
        <w:ind w:right="440" w:firstLine="228"/>
        <w:spacing w:after="0" w:line="332" w:lineRule="auto"/>
        <w:tabs>
          <w:tab w:leader="none" w:pos="51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the best knowledge of the Company, no product of the Company or any of its Restricted Subsidiaries infringes in any Material respect any license, permit, franchise, authorization, patent, copyright, service mark, trademark, trade name or other right owned by any other Person; and</w:t>
      </w:r>
    </w:p>
    <w:p>
      <w:pPr>
        <w:spacing w:after="0" w:line="139" w:lineRule="exact"/>
        <w:rPr>
          <w:rFonts w:ascii="Arial" w:cs="Arial" w:eastAsia="Arial" w:hAnsi="Arial"/>
          <w:sz w:val="16"/>
          <w:szCs w:val="16"/>
          <w:color w:val="auto"/>
        </w:rPr>
      </w:pPr>
    </w:p>
    <w:p>
      <w:pPr>
        <w:ind w:right="100" w:firstLine="228"/>
        <w:spacing w:after="0" w:line="268" w:lineRule="auto"/>
        <w:tabs>
          <w:tab w:leader="none" w:pos="50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best knowledge of the Company, there is no Material violation by any Person of any right of the Company or any of its Restricted Subsidiaries with respect to any patent,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copyright, service mark, trademark, trade name or other right owned or used by the Company or any of its Restricted Subsidiaries.</w:t>
      </w:r>
    </w:p>
    <w:p>
      <w:pPr>
        <w:spacing w:after="0" w:line="219"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Compliance with ERISA.</w:t>
      </w:r>
    </w:p>
    <w:p>
      <w:pPr>
        <w:spacing w:after="0" w:line="231" w:lineRule="exact"/>
        <w:rPr>
          <w:sz w:val="20"/>
          <w:szCs w:val="20"/>
          <w:color w:val="auto"/>
        </w:rPr>
      </w:pPr>
    </w:p>
    <w:p>
      <w:pPr>
        <w:ind w:right="40" w:firstLine="228"/>
        <w:spacing w:after="0" w:line="290" w:lineRule="auto"/>
        <w:tabs>
          <w:tab w:leader="none" w:pos="5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72" w:lineRule="exact"/>
        <w:rPr>
          <w:rFonts w:ascii="Arial" w:cs="Arial" w:eastAsia="Arial" w:hAnsi="Arial"/>
          <w:sz w:val="16"/>
          <w:szCs w:val="16"/>
          <w:color w:val="auto"/>
        </w:rPr>
      </w:pPr>
    </w:p>
    <w:p>
      <w:pPr>
        <w:ind w:right="20" w:firstLine="228"/>
        <w:spacing w:after="0" w:line="294" w:lineRule="auto"/>
        <w:tabs>
          <w:tab w:leader="none" w:pos="51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present value of the aggregate accrued benefits under each of the Plans that are subject to Title IV of ERISA (other than Multiemployer Plans), determined as of the valuation date for the most recently ended plan year on the basis of the actuarial assumptions specified for funding purposes in such Plan’s most recent actuarial valuation report, did not exceed the aggregate current value of the assets of such Plan allocable to such benefits (i) in the case of any single Plan, by an amount which, if said amount were immediately contributed to the Plan, could have a Material Adverse Effect, and (ii) in the case of all said Plans, by an amount which, if said amount were immediately contributed to the Plans, could have a Material Adverse Effect.</w:t>
      </w:r>
    </w:p>
    <w:p>
      <w:pPr>
        <w:spacing w:after="0" w:line="169" w:lineRule="exact"/>
        <w:rPr>
          <w:rFonts w:ascii="Arial" w:cs="Arial" w:eastAsia="Arial" w:hAnsi="Arial"/>
          <w:sz w:val="16"/>
          <w:szCs w:val="16"/>
          <w:color w:val="auto"/>
        </w:rPr>
      </w:pPr>
    </w:p>
    <w:p>
      <w:pPr>
        <w:ind w:left="520" w:hanging="292"/>
        <w:spacing w:after="0"/>
        <w:tabs>
          <w:tab w:leader="none" w:pos="5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its ERISA Affiliates have not incurred withdrawal liabilities (and are not subject to contingent withdrawal liabilities)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4201 or 4204 of ERISA in respect of Multiemployer Plans that individually or in the aggregate are Material.</w:t>
      </w:r>
    </w:p>
    <w:p>
      <w:pPr>
        <w:spacing w:after="0" w:line="219" w:lineRule="exact"/>
        <w:rPr>
          <w:sz w:val="20"/>
          <w:szCs w:val="20"/>
          <w:color w:val="auto"/>
        </w:rPr>
      </w:pPr>
    </w:p>
    <w:p>
      <w:pPr>
        <w:ind w:right="80" w:firstLine="228"/>
        <w:spacing w:after="0" w:line="306" w:lineRule="auto"/>
        <w:tabs>
          <w:tab w:leader="none" w:pos="51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expected obligation for postretirement benefits other than pensions (determined as of the last day of the Company’s most recently ended fiscal year in accordance with Financial Accounting Standards Board Statement No. 106, without regard to liabilities attributable to continuation coverage mandated by Section 4980B of the Code and after taking into account any governmental reimbursements) of the Company and its Subsidiaries is not Material.</w:t>
      </w:r>
    </w:p>
    <w:p>
      <w:pPr>
        <w:spacing w:after="0" w:line="160" w:lineRule="exact"/>
        <w:rPr>
          <w:rFonts w:ascii="Arial" w:cs="Arial" w:eastAsia="Arial" w:hAnsi="Arial"/>
          <w:sz w:val="16"/>
          <w:szCs w:val="16"/>
          <w:color w:val="auto"/>
        </w:rPr>
      </w:pPr>
    </w:p>
    <w:p>
      <w:pPr>
        <w:ind w:right="80" w:firstLine="228"/>
        <w:spacing w:after="0" w:line="298" w:lineRule="auto"/>
        <w:tabs>
          <w:tab w:leader="none" w:pos="50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issuance and sale of the Letter of Credit Linked Notes and the Term Notes will not involve any transaction that is subject to the prohibitions of Section 406 of ERISA or in connection with which a tax could be imposed pursuant to Section 4975(c)(1)(A)-(D) of the Code. The representations by the Company in the first sentence of this Section 5.12(e) are made in reliance upon and subject to the accuracy of each Lender’s representations in Section 10.10(b) as to the sources of the funds used to pay the purchase price of its Participation under this Agreement.</w:t>
      </w:r>
    </w:p>
    <w:p>
      <w:pPr>
        <w:spacing w:after="0" w:line="161" w:lineRule="exact"/>
        <w:rPr>
          <w:sz w:val="20"/>
          <w:szCs w:val="20"/>
          <w:color w:val="auto"/>
        </w:rPr>
      </w:pPr>
    </w:p>
    <w:p>
      <w:pPr>
        <w:ind w:right="200" w:firstLine="220"/>
        <w:spacing w:after="0" w:line="275" w:lineRule="auto"/>
        <w:rPr>
          <w:sz w:val="20"/>
          <w:szCs w:val="20"/>
          <w:color w:val="auto"/>
        </w:rPr>
      </w:pPr>
      <w:r>
        <w:rPr>
          <w:rFonts w:ascii="Arial" w:cs="Arial" w:eastAsia="Arial" w:hAnsi="Arial"/>
          <w:sz w:val="18"/>
          <w:szCs w:val="18"/>
          <w:b w:val="1"/>
          <w:bCs w:val="1"/>
          <w:color w:val="auto"/>
        </w:rPr>
        <w:t xml:space="preserve">5.13 Private Offering by Company. </w:t>
      </w:r>
      <w:r>
        <w:rPr>
          <w:rFonts w:ascii="Arial" w:cs="Arial" w:eastAsia="Arial" w:hAnsi="Arial"/>
          <w:sz w:val="18"/>
          <w:szCs w:val="18"/>
          <w:color w:val="auto"/>
        </w:rPr>
        <w:t>Neither the Company nor anyone acting on its behalf has offered the Letter of Credit Linked Notes or Term Notes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similar Securities for sale to, or solicited any offer to buy any of the same from, or otherwise approached or negotiated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8" w:name="page129"/>
    <w:bookmarkEnd w:id="128"/>
    <w:p>
      <w:pPr>
        <w:ind w:right="220"/>
        <w:spacing w:after="0" w:line="256" w:lineRule="auto"/>
        <w:rPr>
          <w:sz w:val="20"/>
          <w:szCs w:val="20"/>
          <w:color w:val="auto"/>
        </w:rPr>
      </w:pPr>
      <w:r>
        <w:rPr>
          <w:rFonts w:ascii="Arial" w:cs="Arial" w:eastAsia="Arial" w:hAnsi="Arial"/>
          <w:sz w:val="18"/>
          <w:szCs w:val="18"/>
          <w:color w:val="auto"/>
        </w:rPr>
        <w:t>in respect thereof with, any Person other than the Lenders and not more than seventeen (17) other Institutional Investors, each of which has been offered the Letter of Credit Linked Notes and Term Notes at a private sale for investment. Neither the Company nor anyone acting on its behalf has taken, or will take, any action that would subject the issuance or sale of the Letter of Credit Linked Notes or Term Notes to the registration requirements of Section 5 of the Securities Act.</w:t>
      </w:r>
    </w:p>
    <w:p>
      <w:pPr>
        <w:spacing w:after="0" w:line="191"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b w:val="1"/>
          <w:bCs w:val="1"/>
          <w:color w:val="auto"/>
        </w:rPr>
        <w:t xml:space="preserve">5.14 Use of Proceeds; Margin Regulations. </w:t>
      </w:r>
      <w:r>
        <w:rPr>
          <w:rFonts w:ascii="Arial" w:cs="Arial" w:eastAsia="Arial" w:hAnsi="Arial"/>
          <w:sz w:val="16"/>
          <w:szCs w:val="16"/>
          <w:color w:val="auto"/>
        </w:rPr>
        <w:t>The Company will apply the proceeds from the Advances and the Term Loans hereunder for general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Company and its Subsidiaries. No part of the proceeds from the Credit Extensions hereunder will be used, directly or indirectly, for the purpose of buying or carrying any margin stock within the meaning of Regulation U of the FRB (12 CFR 221), or for the purpose of buying or carrying or trading in any Securities under such circumstances as to involve the Company in a violation of Regulation X of said Board (12 CFR 224) or to involve any broker or dealer in a violation of Regulation T of the FRB (12 CFR 220). Margin stock does not constitute more than 5.0% of the value of the consolidated assets of the Company and its Subsidiaries and the Company does not have any present intention that margin stock will constitute more than 5.0% of the value of such assets. As used in this Section, the terms “margin stock” and “purpose of buying or carrying” shall have the meanings assigned to them in said Regulation U.</w:t>
      </w:r>
    </w:p>
    <w:p>
      <w:pPr>
        <w:spacing w:after="0" w:line="167" w:lineRule="exact"/>
        <w:rPr>
          <w:sz w:val="20"/>
          <w:szCs w:val="20"/>
          <w:color w:val="auto"/>
        </w:rPr>
      </w:pPr>
    </w:p>
    <w:p>
      <w:pPr>
        <w:ind w:right="120" w:firstLine="220"/>
        <w:spacing w:after="0" w:line="290" w:lineRule="auto"/>
        <w:rPr>
          <w:sz w:val="20"/>
          <w:szCs w:val="20"/>
          <w:color w:val="auto"/>
        </w:rPr>
      </w:pPr>
      <w:r>
        <w:rPr>
          <w:rFonts w:ascii="Arial" w:cs="Arial" w:eastAsia="Arial" w:hAnsi="Arial"/>
          <w:sz w:val="16"/>
          <w:szCs w:val="16"/>
          <w:b w:val="1"/>
          <w:bCs w:val="1"/>
          <w:color w:val="auto"/>
        </w:rPr>
        <w:t xml:space="preserve">5.15 Existing Indebtedness. </w:t>
      </w:r>
      <w:r>
        <w:rPr>
          <w:rFonts w:ascii="Arial" w:cs="Arial" w:eastAsia="Arial" w:hAnsi="Arial"/>
          <w:sz w:val="16"/>
          <w:szCs w:val="16"/>
          <w:color w:val="auto"/>
        </w:rPr>
        <w:t>Except as described therein, Schedule 5.15 sets forth a complete and correct list of all outstanding Indebtedness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Restricted Subsidiaries as of March 31, 2003, specifying whether such Indebtedness is secured or unsecured. From March 31, 2003 to the Closing Date, there has been no material change in the amounts, interest rates, sinking funds, installment payments or maturities of such Indebtedness of the Company or its Restricted Subsidiaries. As of the Closing Date, neither the Company nor any Restricted Subsidiary is in default and no waiver of default is currently in effect, in the payment of any principal or interest on any such Indebtedness of the Company or such Restricted Subsidiary, and no event or condition exists with respect to any such Indebtedness of the Company or any Restricted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66"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 xml:space="preserve">5.16 Foreign Assets Control Regulations, etc. </w:t>
      </w:r>
      <w:r>
        <w:rPr>
          <w:rFonts w:ascii="Arial" w:cs="Arial" w:eastAsia="Arial" w:hAnsi="Arial"/>
          <w:sz w:val="16"/>
          <w:szCs w:val="16"/>
          <w:color w:val="auto"/>
        </w:rPr>
        <w:t>Neither any Credit Extension to the Company hereunder nor its use of the proceeds thereof will violate the</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or its Affiliates (a) is or will become a Person whose property or interests in property are blocked pursuant to Section 1 of Executive Order 13224 of September 23, 2001 Blocking Property and Prohibiting Transactions With Persons Who Commit, Threaten to Commit, or Support Terrorism (66 Fed. Reg. 49079 (2001)) or (b) engages or will engage in any dealings or transactions, or be otherwise associated, with any such Person. The Company and its Subsidiaries and its Affiliates are in compliance, in all Material respects, with the Uniting And Strengthening America By Providing Appropriate Tools Required To Intercept And Obstruct Terrorism (USA Patriot Act of 2001). No part of the proceeds from any Credit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9" w:name="page130"/>
    <w:bookmarkEnd w:id="129"/>
    <w:p>
      <w:pPr>
        <w:ind w:right="280"/>
        <w:spacing w:after="0" w:line="259" w:lineRule="auto"/>
        <w:rPr>
          <w:sz w:val="20"/>
          <w:szCs w:val="20"/>
          <w:color w:val="auto"/>
        </w:rPr>
      </w:pPr>
      <w:r>
        <w:rPr>
          <w:rFonts w:ascii="Arial" w:cs="Arial" w:eastAsia="Arial" w:hAnsi="Arial"/>
          <w:sz w:val="18"/>
          <w:szCs w:val="18"/>
          <w:color w:val="auto"/>
        </w:rPr>
        <w:t>Extension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8"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5"/>
          <w:szCs w:val="15"/>
          <w:b w:val="1"/>
          <w:bCs w:val="1"/>
          <w:color w:val="auto"/>
        </w:rPr>
        <w:t xml:space="preserve">Status under Certain Statutes. </w:t>
      </w:r>
      <w:r>
        <w:rPr>
          <w:rFonts w:ascii="Arial" w:cs="Arial" w:eastAsia="Arial" w:hAnsi="Arial"/>
          <w:sz w:val="15"/>
          <w:szCs w:val="15"/>
          <w:color w:val="auto"/>
        </w:rPr>
        <w:t>Neither the Company nor any Restricted Subsidiary is subject to regulation under the Investment Company 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1940, as amended, the Public Utility Holding Company Act of 1935, as amended, or, except as disclosed in Schedule 5.17, the Federal Power Act, as amended.</w:t>
      </w:r>
    </w:p>
    <w:p>
      <w:pPr>
        <w:spacing w:after="0" w:line="236" w:lineRule="exact"/>
        <w:rPr>
          <w:sz w:val="20"/>
          <w:szCs w:val="20"/>
          <w:color w:val="auto"/>
        </w:rPr>
      </w:pPr>
    </w:p>
    <w:p>
      <w:pPr>
        <w:ind w:right="120" w:firstLine="220"/>
        <w:spacing w:after="0" w:line="296" w:lineRule="auto"/>
        <w:rPr>
          <w:sz w:val="20"/>
          <w:szCs w:val="20"/>
          <w:color w:val="auto"/>
        </w:rPr>
      </w:pPr>
      <w:r>
        <w:rPr>
          <w:rFonts w:ascii="Arial" w:cs="Arial" w:eastAsia="Arial" w:hAnsi="Arial"/>
          <w:sz w:val="16"/>
          <w:szCs w:val="16"/>
          <w:b w:val="1"/>
          <w:bCs w:val="1"/>
          <w:color w:val="auto"/>
        </w:rPr>
        <w:t xml:space="preserve">5.18 Environmental Matters. </w:t>
      </w:r>
      <w:r>
        <w:rPr>
          <w:rFonts w:ascii="Arial" w:cs="Arial" w:eastAsia="Arial" w:hAnsi="Arial"/>
          <w:sz w:val="16"/>
          <w:szCs w:val="16"/>
          <w:color w:val="auto"/>
        </w:rPr>
        <w:t>Except as disclosed in the Disclosure Documents, neither the Company nor any Restricted Subsidiary has knowledge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claim or has received any notice of any Material claim, and no proceeding has been instituted raising any Material claim against the Company or any of its Restricted Subsidiaries or any of their 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each Lender in writing,</w:t>
      </w:r>
    </w:p>
    <w:p>
      <w:pPr>
        <w:spacing w:after="0" w:line="168" w:lineRule="exact"/>
        <w:rPr>
          <w:sz w:val="20"/>
          <w:szCs w:val="20"/>
          <w:color w:val="auto"/>
        </w:rPr>
      </w:pPr>
    </w:p>
    <w:p>
      <w:pPr>
        <w:jc w:val="both"/>
        <w:ind w:right="480" w:firstLine="228"/>
        <w:spacing w:after="0" w:line="335" w:lineRule="auto"/>
        <w:tabs>
          <w:tab w:leader="none" w:pos="502"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the Company nor any Restricted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142" w:lineRule="exact"/>
        <w:rPr>
          <w:rFonts w:ascii="Arial" w:cs="Arial" w:eastAsia="Arial" w:hAnsi="Arial"/>
          <w:sz w:val="15"/>
          <w:szCs w:val="15"/>
          <w:color w:val="auto"/>
        </w:rPr>
      </w:pPr>
    </w:p>
    <w:p>
      <w:pPr>
        <w:ind w:right="540" w:firstLine="228"/>
        <w:spacing w:after="0" w:line="306" w:lineRule="auto"/>
        <w:tabs>
          <w:tab w:leader="none" w:pos="51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neither the Company nor any of its Restricted Subsidiaries has stored any Hazardous Materials on real properties now or formerly owned, leased or operated by any of them in a manner contrary to any Environmental Laws and has not disposed of any Hazardous Materials in a manner contrary to any Environmental Laws, in each case in any manner that could reasonably be expected to result in a Material Adverse Effect; and</w:t>
      </w:r>
    </w:p>
    <w:p>
      <w:pPr>
        <w:spacing w:after="0" w:line="160" w:lineRule="exact"/>
        <w:rPr>
          <w:rFonts w:ascii="Arial" w:cs="Arial" w:eastAsia="Arial" w:hAnsi="Arial"/>
          <w:sz w:val="16"/>
          <w:szCs w:val="16"/>
          <w:color w:val="auto"/>
        </w:rPr>
      </w:pPr>
    </w:p>
    <w:p>
      <w:pPr>
        <w:ind w:right="160" w:firstLine="228"/>
        <w:spacing w:after="0" w:line="332" w:lineRule="auto"/>
        <w:tabs>
          <w:tab w:leader="none" w:pos="50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buildings on all real properties now owned, leased or operated by the Company or any of its Restricted Subsidiaries are in compliance with applicable Environmental Laws, except where failure to comply could not reasonably be expected to result in a Material Adverse Effect.</w:t>
      </w:r>
    </w:p>
    <w:p>
      <w:pPr>
        <w:spacing w:after="0" w:line="133" w:lineRule="exact"/>
        <w:rPr>
          <w:sz w:val="20"/>
          <w:szCs w:val="20"/>
          <w:color w:val="auto"/>
        </w:rPr>
      </w:pPr>
    </w:p>
    <w:p>
      <w:pPr>
        <w:ind w:right="20" w:firstLine="220"/>
        <w:spacing w:after="0" w:line="275" w:lineRule="auto"/>
        <w:rPr>
          <w:sz w:val="20"/>
          <w:szCs w:val="20"/>
          <w:color w:val="auto"/>
        </w:rPr>
      </w:pPr>
      <w:r>
        <w:rPr>
          <w:rFonts w:ascii="Arial" w:cs="Arial" w:eastAsia="Arial" w:hAnsi="Arial"/>
          <w:sz w:val="18"/>
          <w:szCs w:val="18"/>
          <w:b w:val="1"/>
          <w:bCs w:val="1"/>
          <w:color w:val="auto"/>
        </w:rPr>
        <w:t xml:space="preserve">5.19 Compliance With Issuance Limits. </w:t>
      </w:r>
      <w:r>
        <w:rPr>
          <w:rFonts w:ascii="Arial" w:cs="Arial" w:eastAsia="Arial" w:hAnsi="Arial"/>
          <w:sz w:val="18"/>
          <w:szCs w:val="18"/>
          <w:color w:val="auto"/>
        </w:rPr>
        <w:t>Both before and after giving effect to any Credit Extension, all Credits issued and outstanding hereunder are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Issuance Limits.</w:t>
      </w:r>
    </w:p>
    <w:p>
      <w:pPr>
        <w:spacing w:after="0" w:line="174" w:lineRule="exact"/>
        <w:rPr>
          <w:sz w:val="20"/>
          <w:szCs w:val="20"/>
          <w:color w:val="auto"/>
        </w:rPr>
      </w:pPr>
    </w:p>
    <w:p>
      <w:pPr>
        <w:ind w:right="140" w:firstLine="220"/>
        <w:spacing w:after="0" w:line="275" w:lineRule="auto"/>
        <w:rPr>
          <w:sz w:val="20"/>
          <w:szCs w:val="20"/>
          <w:color w:val="auto"/>
        </w:rPr>
      </w:pPr>
      <w:r>
        <w:rPr>
          <w:rFonts w:ascii="Arial" w:cs="Arial" w:eastAsia="Arial" w:hAnsi="Arial"/>
          <w:sz w:val="18"/>
          <w:szCs w:val="18"/>
          <w:b w:val="1"/>
          <w:bCs w:val="1"/>
          <w:color w:val="auto"/>
        </w:rPr>
        <w:t xml:space="preserve">5.20 Tax Shelter Regulations. </w:t>
      </w:r>
      <w:r>
        <w:rPr>
          <w:rFonts w:ascii="Arial" w:cs="Arial" w:eastAsia="Arial" w:hAnsi="Arial"/>
          <w:sz w:val="18"/>
          <w:szCs w:val="18"/>
          <w:color w:val="auto"/>
        </w:rPr>
        <w:t>The Company does not intend to treat the Advances, Term Loans and Credits and related transactions as being a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(within the meaning of Treasury Regulation Section 1.6011-4).</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9" w:lineRule="exact"/>
        <w:rPr>
          <w:sz w:val="20"/>
          <w:szCs w:val="20"/>
          <w:color w:val="auto"/>
        </w:rPr>
      </w:pPr>
    </w:p>
    <w:p>
      <w:pPr>
        <w:ind w:right="480" w:firstLine="220"/>
        <w:spacing w:after="0" w:line="268" w:lineRule="auto"/>
        <w:rPr>
          <w:sz w:val="20"/>
          <w:szCs w:val="20"/>
          <w:color w:val="auto"/>
        </w:rPr>
      </w:pPr>
      <w:r>
        <w:rPr>
          <w:rFonts w:ascii="Arial" w:cs="Arial" w:eastAsia="Arial" w:hAnsi="Arial"/>
          <w:sz w:val="18"/>
          <w:szCs w:val="18"/>
          <w:color w:val="auto"/>
        </w:rPr>
        <w:t>So long as any Lender shall have any Credit-Linked Deposit, Letter of Credit Linked Note or Term Note hereunder or any Credit hereunder shall remain outstanding:</w:t>
      </w:r>
    </w:p>
    <w:p>
      <w:pPr>
        <w:spacing w:after="0" w:line="180" w:lineRule="exact"/>
        <w:rPr>
          <w:sz w:val="20"/>
          <w:szCs w:val="20"/>
          <w:color w:val="auto"/>
        </w:rPr>
      </w:pPr>
    </w:p>
    <w:p>
      <w:pPr>
        <w:ind w:right="40" w:firstLine="220"/>
        <w:spacing w:after="0" w:line="275" w:lineRule="auto"/>
        <w:rPr>
          <w:sz w:val="20"/>
          <w:szCs w:val="20"/>
          <w:color w:val="auto"/>
        </w:rPr>
      </w:pPr>
      <w:r>
        <w:rPr>
          <w:rFonts w:ascii="Arial" w:cs="Arial" w:eastAsia="Arial" w:hAnsi="Arial"/>
          <w:sz w:val="18"/>
          <w:szCs w:val="18"/>
          <w:b w:val="1"/>
          <w:bCs w:val="1"/>
          <w:color w:val="auto"/>
        </w:rPr>
        <w:t xml:space="preserve">6.01 Financial and Business Information. </w:t>
      </w:r>
      <w:r>
        <w:rPr>
          <w:rFonts w:ascii="Arial" w:cs="Arial" w:eastAsia="Arial" w:hAnsi="Arial"/>
          <w:sz w:val="18"/>
          <w:szCs w:val="18"/>
          <w:color w:val="auto"/>
        </w:rPr>
        <w:t>The Company shall deliver to the Administrative Agent, the Issuer and to each of the Lenders, in form and detail</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Administrative Agent, the Issuer and the Required Credit-Linked Lenders:</w:t>
      </w:r>
    </w:p>
    <w:p>
      <w:pPr>
        <w:spacing w:after="0" w:line="180" w:lineRule="exact"/>
        <w:rPr>
          <w:sz w:val="20"/>
          <w:szCs w:val="20"/>
          <w:color w:val="auto"/>
        </w:rPr>
      </w:pPr>
    </w:p>
    <w:p>
      <w:pPr>
        <w:ind w:right="100" w:firstLine="228"/>
        <w:spacing w:after="0" w:line="268" w:lineRule="auto"/>
        <w:tabs>
          <w:tab w:leader="none" w:pos="50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Quarterly Statements — within 60 days after the end of each quarterly fiscal period in each fiscal year of the Company (other than the last quarterly fiscal period of each such fiscal year), duplicate copies of,</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quarter, and</w:t>
      </w:r>
    </w:p>
    <w:p>
      <w:pPr>
        <w:spacing w:after="0" w:line="225" w:lineRule="exact"/>
        <w:rPr>
          <w:rFonts w:ascii="Arial" w:cs="Arial" w:eastAsia="Arial" w:hAnsi="Arial"/>
          <w:sz w:val="18"/>
          <w:szCs w:val="18"/>
          <w:color w:val="auto"/>
        </w:rPr>
      </w:pPr>
    </w:p>
    <w:p>
      <w:pPr>
        <w:ind w:right="320" w:firstLine="447"/>
        <w:spacing w:after="0" w:line="268" w:lineRule="auto"/>
        <w:tabs>
          <w:tab w:leader="none" w:pos="69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 if applicable, shall be deemed to satisfy the requirements of this Section 6.01(a) so long as such Quarterly Report on Form 10-Q includes the financial statements identified in clauses (i) and (ii) above;</w:t>
      </w:r>
    </w:p>
    <w:p>
      <w:pPr>
        <w:spacing w:after="0" w:line="174" w:lineRule="exact"/>
        <w:rPr>
          <w:sz w:val="20"/>
          <w:szCs w:val="20"/>
          <w:color w:val="auto"/>
        </w:rPr>
      </w:pPr>
    </w:p>
    <w:p>
      <w:pPr>
        <w:ind w:left="520" w:hanging="292"/>
        <w:spacing w:after="0"/>
        <w:tabs>
          <w:tab w:leader="none" w:pos="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Annual Statements — within 100 days after the end of each fiscal year of the Company, duplicate copies of,</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consolidated statements of income, shareholder’s equity and cash flows of the Company and its Subsidiaries, for such year,</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ind w:right="100"/>
        <w:spacing w:after="0" w:line="294" w:lineRule="auto"/>
        <w:rPr>
          <w:sz w:val="20"/>
          <w:szCs w:val="20"/>
          <w:color w:val="auto"/>
        </w:rPr>
      </w:pPr>
      <w:r>
        <w:rPr>
          <w:rFonts w:ascii="Arial" w:cs="Arial" w:eastAsia="Arial" w:hAnsi="Arial"/>
          <w:sz w:val="16"/>
          <w:szCs w:val="16"/>
          <w:color w:val="auto"/>
        </w:rPr>
        <w:t>with such financial statements has been made in accordance with generally accepted auditing standards, and that such audit provides a reasonable basis for such opinion in the circumstances; provided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 if applicable, shall be deemed to satisfy the requirements of this Section 6.01(b) so long as such Annual Report on Form 10-K includes the financial statements identified in clauses (i) and (ii) above;</w:t>
      </w:r>
    </w:p>
    <w:p>
      <w:pPr>
        <w:spacing w:after="0" w:line="170" w:lineRule="exact"/>
        <w:rPr>
          <w:sz w:val="20"/>
          <w:szCs w:val="20"/>
          <w:color w:val="auto"/>
        </w:rPr>
      </w:pPr>
    </w:p>
    <w:p>
      <w:pPr>
        <w:ind w:right="280" w:firstLine="228"/>
        <w:spacing w:after="0" w:line="268" w:lineRule="auto"/>
        <w:tabs>
          <w:tab w:leader="none" w:pos="50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 and Other Reports — promptly, following the filing or mailing thereof, copies of all material of a financial nature filed with the SEC or sent to the Company’s and its Subsidiaries’ stockholders generally;</w:t>
      </w:r>
    </w:p>
    <w:p>
      <w:pPr>
        <w:spacing w:after="0" w:line="185" w:lineRule="exact"/>
        <w:rPr>
          <w:rFonts w:ascii="Arial" w:cs="Arial" w:eastAsia="Arial" w:hAnsi="Arial"/>
          <w:sz w:val="18"/>
          <w:szCs w:val="18"/>
          <w:color w:val="auto"/>
        </w:rPr>
      </w:pPr>
    </w:p>
    <w:p>
      <w:pPr>
        <w:ind w:right="460" w:firstLine="228"/>
        <w:spacing w:after="0" w:line="268" w:lineRule="auto"/>
        <w:tabs>
          <w:tab w:leader="none" w:pos="51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Outstanding Credits – not later than five (5) Business Days after the end of each quarter, the information with respect to the outstanding Credits as is required under Section 2.01(j);</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400" w:firstLine="228"/>
        <w:spacing w:after="0" w:line="259" w:lineRule="auto"/>
        <w:tabs>
          <w:tab w:leader="none" w:pos="48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Notice of Default or Event of Default – promptly, and in any event within five (5) Business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94" w:lineRule="exact"/>
        <w:rPr>
          <w:rFonts w:ascii="Arial" w:cs="Arial" w:eastAsia="Arial" w:hAnsi="Arial"/>
          <w:sz w:val="18"/>
          <w:szCs w:val="18"/>
          <w:color w:val="auto"/>
        </w:rPr>
      </w:pPr>
    </w:p>
    <w:p>
      <w:pPr>
        <w:ind w:right="40" w:firstLine="228"/>
        <w:spacing w:after="0" w:line="332" w:lineRule="auto"/>
        <w:tabs>
          <w:tab w:leader="none" w:pos="51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ERISA Matters — promptly, and in any event within five (5) Business Days after a Responsible Officer becoming aware of any of the following, a written notice setting forth the nature thereof and the action, if any, that the Company or an ERISA Affiliate proposes to take with respect thereto:</w:t>
      </w:r>
    </w:p>
    <w:p>
      <w:pPr>
        <w:spacing w:after="0" w:line="139" w:lineRule="exact"/>
        <w:rPr>
          <w:rFonts w:ascii="Arial" w:cs="Arial" w:eastAsia="Arial" w:hAnsi="Arial"/>
          <w:sz w:val="16"/>
          <w:szCs w:val="16"/>
          <w:color w:val="auto"/>
        </w:rPr>
      </w:pPr>
    </w:p>
    <w:p>
      <w:pPr>
        <w:ind w:right="160" w:firstLine="447"/>
        <w:spacing w:after="0" w:line="268" w:lineRule="auto"/>
        <w:tabs>
          <w:tab w:leader="none" w:pos="64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85" w:lineRule="exact"/>
        <w:rPr>
          <w:rFonts w:ascii="Arial" w:cs="Arial" w:eastAsia="Arial" w:hAnsi="Arial"/>
          <w:sz w:val="18"/>
          <w:szCs w:val="18"/>
          <w:color w:val="auto"/>
        </w:rPr>
      </w:pPr>
    </w:p>
    <w:p>
      <w:pPr>
        <w:ind w:right="240" w:firstLine="447"/>
        <w:spacing w:after="0" w:line="259" w:lineRule="auto"/>
        <w:tabs>
          <w:tab w:leader="none" w:pos="69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94" w:lineRule="exact"/>
        <w:rPr>
          <w:rFonts w:ascii="Arial" w:cs="Arial" w:eastAsia="Arial" w:hAnsi="Arial"/>
          <w:sz w:val="18"/>
          <w:szCs w:val="18"/>
          <w:color w:val="auto"/>
        </w:rPr>
      </w:pPr>
    </w:p>
    <w:p>
      <w:pPr>
        <w:ind w:right="120" w:firstLine="447"/>
        <w:spacing w:after="0" w:line="29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event, transaction or condition that would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2" w:name="page133"/>
    <w:bookmarkEnd w:id="132"/>
    <w:p>
      <w:pPr>
        <w:ind w:right="40" w:firstLine="228"/>
        <w:spacing w:after="0" w:line="259" w:lineRule="auto"/>
        <w:tabs>
          <w:tab w:leader="none" w:pos="5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Notices from Governmental Authority — promptly, and in any event within 30 days of receipt thereof, copies of any notice to the Company or any Subsidiary from any federal or state Governmental Authority relating to any order, ruling, statute or other law or regulation that the Company reasonably believes could have a Material Adverse Effect;</w:t>
      </w:r>
    </w:p>
    <w:p>
      <w:pPr>
        <w:spacing w:after="0" w:line="194" w:lineRule="exact"/>
        <w:rPr>
          <w:rFonts w:ascii="Arial" w:cs="Arial" w:eastAsia="Arial" w:hAnsi="Arial"/>
          <w:sz w:val="18"/>
          <w:szCs w:val="18"/>
          <w:color w:val="auto"/>
        </w:rPr>
      </w:pPr>
    </w:p>
    <w:p>
      <w:pPr>
        <w:ind w:right="60" w:firstLine="228"/>
        <w:spacing w:after="0" w:line="254" w:lineRule="auto"/>
        <w:tabs>
          <w:tab w:leader="none" w:pos="47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Additional Reporting Requirement — in the event that Unrestricted Subsidiaries account for more than 10% of the Consolidated Total Assets of the Company and its Subsidiaries, or more than 10% of the consolidated revenue of the Company and its Subsidiaries, in each case as of the last day of the fiscal quarter or fiscal year for which the Company is delivering financial information pursuant to Sections 6.01(a) and (b), then each such set of financial information delivered pursuant to Sections 6.01(a) and (b) shall be accompanied by unaudited financial statements for all Unrestricted Subsidiaries of the Company taken as a group, together with consolidating statements reflecting eliminations or adjustments required to reconcile such group statements to the consolidated financial statements of the Company and its Subsidiaries;</w:t>
      </w:r>
    </w:p>
    <w:p>
      <w:pPr>
        <w:spacing w:after="0" w:line="198" w:lineRule="exact"/>
        <w:rPr>
          <w:rFonts w:ascii="Arial" w:cs="Arial" w:eastAsia="Arial" w:hAnsi="Arial"/>
          <w:sz w:val="18"/>
          <w:szCs w:val="18"/>
          <w:color w:val="auto"/>
        </w:rPr>
      </w:pPr>
    </w:p>
    <w:p>
      <w:pPr>
        <w:ind w:right="180" w:firstLine="228"/>
        <w:spacing w:after="0" w:line="294" w:lineRule="auto"/>
        <w:tabs>
          <w:tab w:leader="none" w:pos="47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Requested Information — with reasonable promptness, such other data and information relating to the business, operations, affairs, financial condition, assets or properties of the Company or any its Subsidiaries or relating to the ability of the Company to perform its obligations hereunder, under the Letter of Credit Linked Notes and under the Term Notes or the ability of Holdings to perform its obligations hereunder as from time to time may be reasonably requested by any Lender, including without limitation and subject to Section 10.07, such information as is required by SEC Rule 144A under the Securities Act to be delivered to a prospective transferee of the Letter of Credit Linked Notes or Term Notes.</w:t>
      </w:r>
    </w:p>
    <w:p>
      <w:pPr>
        <w:spacing w:after="0" w:line="164" w:lineRule="exact"/>
        <w:rPr>
          <w:sz w:val="20"/>
          <w:szCs w:val="20"/>
          <w:color w:val="auto"/>
        </w:rPr>
      </w:pPr>
    </w:p>
    <w:p>
      <w:pPr>
        <w:ind w:right="40" w:firstLine="220"/>
        <w:spacing w:after="0" w:line="275" w:lineRule="auto"/>
        <w:rPr>
          <w:sz w:val="20"/>
          <w:szCs w:val="20"/>
          <w:color w:val="auto"/>
        </w:rPr>
      </w:pPr>
      <w:r>
        <w:rPr>
          <w:rFonts w:ascii="Arial" w:cs="Arial" w:eastAsia="Arial" w:hAnsi="Arial"/>
          <w:sz w:val="18"/>
          <w:szCs w:val="18"/>
          <w:b w:val="1"/>
          <w:bCs w:val="1"/>
          <w:color w:val="auto"/>
        </w:rPr>
        <w:t xml:space="preserve">6.02 Officer’s Certificate. </w:t>
      </w:r>
      <w:r>
        <w:rPr>
          <w:rFonts w:ascii="Arial" w:cs="Arial" w:eastAsia="Arial" w:hAnsi="Arial"/>
          <w:sz w:val="18"/>
          <w:szCs w:val="18"/>
          <w:color w:val="auto"/>
        </w:rPr>
        <w:t>Each set of financial statements delivered to a Lender pursuant to Section 6.01(a) or Section 6.01(b) hereof shall be accompanied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certificate of a Senior Financial Officer setting forth:</w:t>
      </w:r>
    </w:p>
    <w:p>
      <w:pPr>
        <w:spacing w:after="0" w:line="180" w:lineRule="exact"/>
        <w:rPr>
          <w:sz w:val="20"/>
          <w:szCs w:val="20"/>
          <w:color w:val="auto"/>
        </w:rPr>
      </w:pPr>
    </w:p>
    <w:p>
      <w:pPr>
        <w:ind w:right="200" w:firstLine="228"/>
        <w:spacing w:after="0" w:line="298" w:lineRule="auto"/>
        <w:tabs>
          <w:tab w:leader="none" w:pos="50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Covenant Compliance — the information (including reasonably detailed calculations) required in order to establish whether the Company was in compliance with the requirements of Sections 7.02(c)(iv), 7.03(m), 7.04 and 7.05,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66" w:lineRule="exact"/>
        <w:rPr>
          <w:rFonts w:ascii="Arial" w:cs="Arial" w:eastAsia="Arial" w:hAnsi="Arial"/>
          <w:sz w:val="16"/>
          <w:szCs w:val="16"/>
          <w:color w:val="auto"/>
        </w:rPr>
      </w:pPr>
    </w:p>
    <w:p>
      <w:pPr>
        <w:ind w:right="20" w:firstLine="228"/>
        <w:spacing w:after="0" w:line="291" w:lineRule="auto"/>
        <w:tabs>
          <w:tab w:leader="none" w:pos="51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3" w:name="page134"/>
    <w:bookmarkEnd w:id="133"/>
    <w:p>
      <w:pPr>
        <w:ind w:left="220"/>
        <w:spacing w:after="0"/>
        <w:tabs>
          <w:tab w:leader="none" w:pos="70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5"/>
          <w:szCs w:val="15"/>
          <w:b w:val="1"/>
          <w:bCs w:val="1"/>
          <w:color w:val="auto"/>
        </w:rPr>
        <w:t xml:space="preserve">Inspection. </w:t>
      </w:r>
      <w:r>
        <w:rPr>
          <w:rFonts w:ascii="Arial" w:cs="Arial" w:eastAsia="Arial" w:hAnsi="Arial"/>
          <w:sz w:val="15"/>
          <w:szCs w:val="15"/>
          <w:color w:val="auto"/>
        </w:rPr>
        <w:t>The Company shall permit the representatives of each Lender:</w:t>
      </w:r>
    </w:p>
    <w:p>
      <w:pPr>
        <w:spacing w:after="0" w:line="231" w:lineRule="exact"/>
        <w:rPr>
          <w:sz w:val="20"/>
          <w:szCs w:val="20"/>
          <w:color w:val="auto"/>
        </w:rPr>
      </w:pPr>
    </w:p>
    <w:p>
      <w:pPr>
        <w:ind w:right="100" w:firstLine="228"/>
        <w:spacing w:after="0" w:line="259" w:lineRule="auto"/>
        <w:tabs>
          <w:tab w:leader="none" w:pos="50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Default — if no Default or Event of Default then exists, at the expense of such Lender, to visit the principal executive office of the Company and to discuss the affairs, finances and accounts of the Company and its Restricted Subsidiaries with the Company’s officers, all at such reasonable times during normal business hours and as often as may be reasonably requested in writing; and</w:t>
      </w:r>
    </w:p>
    <w:p>
      <w:pPr>
        <w:spacing w:after="0" w:line="194" w:lineRule="exact"/>
        <w:rPr>
          <w:rFonts w:ascii="Arial" w:cs="Arial" w:eastAsia="Arial" w:hAnsi="Arial"/>
          <w:sz w:val="18"/>
          <w:szCs w:val="18"/>
          <w:color w:val="auto"/>
        </w:rPr>
      </w:pPr>
    </w:p>
    <w:p>
      <w:pPr>
        <w:ind w:right="40" w:firstLine="228"/>
        <w:spacing w:after="0" w:line="291" w:lineRule="auto"/>
        <w:tabs>
          <w:tab w:leader="none" w:pos="51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Default — if a Default or Event of Default then exists, at the expense of the Company and upon reasonable prior notice, to visit the principal executive office of the Company, to examine all relevant books of account, records, reports and other papers relating to the Company’s and Holdings’ performance of their respective obligations under this Agreement, the Letter of Credit Linked Notes and the Term Notes and to make copies and abstracts therefrom, and to discuss the Company’s and its Restricted Subsidiaries’ affairs, finances and accounts with the Company’s officers and independent public accountants (and by this provision the Company authorizes said accountants to discuss the affairs, finances and accounts of the Company and its Restricted Subsidiaries), all at such reasonable times during normal business hours and as often as may be reasonably requested.</w:t>
      </w:r>
    </w:p>
    <w:p>
      <w:pPr>
        <w:spacing w:after="0" w:line="168" w:lineRule="exact"/>
        <w:rPr>
          <w:sz w:val="20"/>
          <w:szCs w:val="20"/>
          <w:color w:val="auto"/>
        </w:rPr>
      </w:pPr>
    </w:p>
    <w:p>
      <w:pPr>
        <w:ind w:right="220" w:firstLine="220"/>
        <w:spacing w:after="0" w:line="293" w:lineRule="auto"/>
        <w:rPr>
          <w:sz w:val="20"/>
          <w:szCs w:val="20"/>
          <w:color w:val="auto"/>
        </w:rPr>
      </w:pPr>
      <w:r>
        <w:rPr>
          <w:rFonts w:ascii="Arial" w:cs="Arial" w:eastAsia="Arial" w:hAnsi="Arial"/>
          <w:sz w:val="16"/>
          <w:szCs w:val="16"/>
          <w:b w:val="1"/>
          <w:bCs w:val="1"/>
          <w:color w:val="auto"/>
        </w:rPr>
        <w:t xml:space="preserve">6.04 Compliance with Laws. </w:t>
      </w:r>
      <w:r>
        <w:rPr>
          <w:rFonts w:ascii="Arial" w:cs="Arial" w:eastAsia="Arial" w:hAnsi="Arial"/>
          <w:sz w:val="16"/>
          <w:szCs w:val="16"/>
          <w:color w:val="auto"/>
        </w:rPr>
        <w:t>The Company will, and will cause each of its Subsidiaries to, comply with all laws, ordinances or governmental rules or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65" w:lineRule="exact"/>
        <w:rPr>
          <w:sz w:val="20"/>
          <w:szCs w:val="20"/>
          <w:color w:val="auto"/>
        </w:rPr>
      </w:pPr>
    </w:p>
    <w:p>
      <w:pPr>
        <w:ind w:right="140" w:firstLine="220"/>
        <w:spacing w:after="0" w:line="262" w:lineRule="auto"/>
        <w:rPr>
          <w:sz w:val="20"/>
          <w:szCs w:val="20"/>
          <w:color w:val="auto"/>
        </w:rPr>
      </w:pPr>
      <w:r>
        <w:rPr>
          <w:rFonts w:ascii="Arial" w:cs="Arial" w:eastAsia="Arial" w:hAnsi="Arial"/>
          <w:sz w:val="18"/>
          <w:szCs w:val="18"/>
          <w:b w:val="1"/>
          <w:bCs w:val="1"/>
          <w:color w:val="auto"/>
        </w:rPr>
        <w:t xml:space="preserve">6.05 Insurance. </w:t>
      </w:r>
      <w:r>
        <w:rPr>
          <w:rFonts w:ascii="Arial" w:cs="Arial" w:eastAsia="Arial" w:hAnsi="Arial"/>
          <w:sz w:val="18"/>
          <w:szCs w:val="18"/>
          <w:color w:val="auto"/>
        </w:rPr>
        <w:t>The Company will, and will cause each of its Restricted Subsidiaries to, maintain, with financially sound and reputable insurers,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their respective properties and businesses against such risks, of such types, on such terms and in such amounts as is customary in the case of entities of established reputations engaged in the same or a similar business and similarly situated.</w:t>
      </w:r>
    </w:p>
    <w:p>
      <w:pPr>
        <w:spacing w:after="0" w:line="186" w:lineRule="exact"/>
        <w:rPr>
          <w:sz w:val="20"/>
          <w:szCs w:val="20"/>
          <w:color w:val="auto"/>
        </w:rPr>
      </w:pPr>
    </w:p>
    <w:p>
      <w:pPr>
        <w:ind w:right="60" w:firstLine="220"/>
        <w:spacing w:after="0" w:line="296" w:lineRule="auto"/>
        <w:rPr>
          <w:sz w:val="20"/>
          <w:szCs w:val="20"/>
          <w:color w:val="auto"/>
        </w:rPr>
      </w:pPr>
      <w:r>
        <w:rPr>
          <w:rFonts w:ascii="Arial" w:cs="Arial" w:eastAsia="Arial" w:hAnsi="Arial"/>
          <w:sz w:val="16"/>
          <w:szCs w:val="16"/>
          <w:b w:val="1"/>
          <w:bCs w:val="1"/>
          <w:color w:val="auto"/>
        </w:rPr>
        <w:t xml:space="preserve">6.06 Maintenance of Properties. </w:t>
      </w:r>
      <w:r>
        <w:rPr>
          <w:rFonts w:ascii="Arial" w:cs="Arial" w:eastAsia="Arial" w:hAnsi="Arial"/>
          <w:sz w:val="16"/>
          <w:szCs w:val="16"/>
          <w:color w:val="auto"/>
        </w:rPr>
        <w:t>The Company will, and will cause each of its Restricted Subsidiaries to, maintain and keep, or cause to be maintained and</w:t>
      </w:r>
      <w:r>
        <w:rPr>
          <w:rFonts w:ascii="Arial" w:cs="Arial" w:eastAsia="Arial" w:hAnsi="Arial"/>
          <w:sz w:val="16"/>
          <w:szCs w:val="16"/>
          <w:b w:val="1"/>
          <w:bCs w:val="1"/>
          <w:color w:val="auto"/>
        </w:rPr>
        <w:t xml:space="preserve"> </w:t>
      </w:r>
      <w:r>
        <w:rPr>
          <w:rFonts w:ascii="Arial" w:cs="Arial" w:eastAsia="Arial" w:hAnsi="Arial"/>
          <w:sz w:val="16"/>
          <w:szCs w:val="16"/>
          <w:color w:val="auto"/>
        </w:rPr>
        <w:t>kept, their respective properties in good repair, working order and condition (other than ordinary wear and tear), so that the business carried on in connection therewith may be properly conducted at all times, provided that this Section shall not prevent the Company or any Restricted Subsidiary from discontinuing the operation and the maintenance of any of its properties or failing to carry on any such business if the Company has concluded that such discontinuance or failure could not, individually or in the aggregate, reasonably be expected to have a Material Adverse Effect.</w:t>
      </w:r>
    </w:p>
    <w:p>
      <w:pPr>
        <w:spacing w:after="0" w:line="162" w:lineRule="exact"/>
        <w:rPr>
          <w:sz w:val="20"/>
          <w:szCs w:val="20"/>
          <w:color w:val="auto"/>
        </w:rPr>
      </w:pPr>
    </w:p>
    <w:p>
      <w:pPr>
        <w:ind w:right="140" w:firstLine="220"/>
        <w:spacing w:after="0" w:line="339" w:lineRule="auto"/>
        <w:rPr>
          <w:sz w:val="20"/>
          <w:szCs w:val="20"/>
          <w:color w:val="auto"/>
        </w:rPr>
      </w:pPr>
      <w:r>
        <w:rPr>
          <w:rFonts w:ascii="Arial" w:cs="Arial" w:eastAsia="Arial" w:hAnsi="Arial"/>
          <w:sz w:val="16"/>
          <w:szCs w:val="16"/>
          <w:b w:val="1"/>
          <w:bCs w:val="1"/>
          <w:color w:val="auto"/>
        </w:rPr>
        <w:t xml:space="preserve">6.07 Payment of Taxes and Claims. </w:t>
      </w:r>
      <w:r>
        <w:rPr>
          <w:rFonts w:ascii="Arial" w:cs="Arial" w:eastAsia="Arial" w:hAnsi="Arial"/>
          <w:sz w:val="16"/>
          <w:szCs w:val="16"/>
          <w:color w:val="auto"/>
        </w:rPr>
        <w:t>The Company will, and will cause each of its Subsidiaries to, file all income tax and similar tax returns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filed in any jurisdiction and to pay and discharge all taxes shown to be due and payable on such returns and pay all other</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right="40"/>
        <w:spacing w:after="0" w:line="290" w:lineRule="auto"/>
        <w:rPr>
          <w:sz w:val="20"/>
          <w:szCs w:val="20"/>
          <w:color w:val="auto"/>
        </w:rPr>
      </w:pPr>
      <w:r>
        <w:rPr>
          <w:rFonts w:ascii="Arial" w:cs="Arial" w:eastAsia="Arial" w:hAnsi="Arial"/>
          <w:sz w:val="16"/>
          <w:szCs w:val="16"/>
          <w:color w:val="auto"/>
        </w:rPr>
        <w:t>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provided that neither the Company nor any Subsidiary need file any such returns or pay any such tax or assessment or claims (i) if the amount, applicability or validity thereof is contested by the Company or such Subsidiary on a timely basis in good faith and in appropriate proceedings, diligently conducted, and the Company or a Subsidiary has established adequate reserves therefor in accordance with GAAP on the books of the Company or such Subsidiary, or (ii) to the extent that the failure to file such returns and the nonpayment of all such taxes, assessments and claims, either individually or in the aggregate, could not reasonably be expected to have a Material Adverse Effect.</w:t>
      </w:r>
    </w:p>
    <w:p>
      <w:pPr>
        <w:spacing w:after="0" w:line="166"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b w:val="1"/>
          <w:bCs w:val="1"/>
          <w:color w:val="auto"/>
        </w:rPr>
        <w:t xml:space="preserve">6.08 Corporate Existence, Etc. </w:t>
      </w:r>
      <w:r>
        <w:rPr>
          <w:rFonts w:ascii="Arial" w:cs="Arial" w:eastAsia="Arial" w:hAnsi="Arial"/>
          <w:sz w:val="18"/>
          <w:szCs w:val="18"/>
          <w:color w:val="auto"/>
        </w:rPr>
        <w:t>Subject to Section 7.02, the Company will at all times preserve and keep in full force and effect its corporate existence,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at 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93" w:lineRule="exact"/>
        <w:rPr>
          <w:sz w:val="20"/>
          <w:szCs w:val="20"/>
          <w:color w:val="auto"/>
        </w:rPr>
      </w:pPr>
    </w:p>
    <w:p>
      <w:pPr>
        <w:ind w:right="100" w:firstLine="220"/>
        <w:spacing w:after="0" w:line="301" w:lineRule="auto"/>
        <w:rPr>
          <w:sz w:val="20"/>
          <w:szCs w:val="20"/>
          <w:color w:val="auto"/>
        </w:rPr>
      </w:pPr>
      <w:r>
        <w:rPr>
          <w:rFonts w:ascii="Arial" w:cs="Arial" w:eastAsia="Arial" w:hAnsi="Arial"/>
          <w:sz w:val="16"/>
          <w:szCs w:val="16"/>
          <w:b w:val="1"/>
          <w:bCs w:val="1"/>
          <w:color w:val="auto"/>
        </w:rPr>
        <w:t xml:space="preserve">6.09 Books and Records. </w:t>
      </w:r>
      <w:r>
        <w:rPr>
          <w:rFonts w:ascii="Arial" w:cs="Arial" w:eastAsia="Arial" w:hAnsi="Arial"/>
          <w:sz w:val="16"/>
          <w:szCs w:val="16"/>
          <w:color w:val="auto"/>
        </w:rPr>
        <w:t>The Company will, and will cause each Restricted Subsidiary to, (a) maintain proper books of record and account, in which full,</w:t>
      </w:r>
      <w:r>
        <w:rPr>
          <w:rFonts w:ascii="Arial" w:cs="Arial" w:eastAsia="Arial" w:hAnsi="Arial"/>
          <w:sz w:val="16"/>
          <w:szCs w:val="16"/>
          <w:b w:val="1"/>
          <w:bCs w:val="1"/>
          <w:color w:val="auto"/>
        </w:rPr>
        <w:t xml:space="preserve"> </w:t>
      </w:r>
      <w:r>
        <w:rPr>
          <w:rFonts w:ascii="Arial" w:cs="Arial" w:eastAsia="Arial" w:hAnsi="Arial"/>
          <w:sz w:val="16"/>
          <w:szCs w:val="16"/>
          <w:color w:val="auto"/>
        </w:rPr>
        <w:t>true and correct entries in conformity with GAAP consistently applied shall be made of all financial transactions and matters involving the assets and business of the Company or such Restricted Subsidiary, as the case may be; and (b) maintain such books of record and account in material conformity with all applicable requirements of any Governmental Authority having regulatory jurisdiction over the Company or such Restricted Subsidiary, as the case may be.</w:t>
      </w:r>
    </w:p>
    <w:p>
      <w:pPr>
        <w:spacing w:after="0" w:line="15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b w:val="1"/>
          <w:bCs w:val="1"/>
          <w:color w:val="auto"/>
        </w:rPr>
        <w:t xml:space="preserve">6.10 Purpose of Credits. </w:t>
      </w:r>
      <w:r>
        <w:rPr>
          <w:rFonts w:ascii="Arial" w:cs="Arial" w:eastAsia="Arial" w:hAnsi="Arial"/>
          <w:sz w:val="18"/>
          <w:szCs w:val="18"/>
          <w:color w:val="auto"/>
        </w:rPr>
        <w:t>Each Credit shall be used directly or indirectly to cover (a) a default in the performance of any non-financial or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contracts or the payment of any financial contractual obligation, or (b) the payment of any financial contractual obligation of the Company or any Subsidiary.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9" w:lineRule="exact"/>
        <w:rPr>
          <w:sz w:val="20"/>
          <w:szCs w:val="20"/>
          <w:color w:val="auto"/>
        </w:rPr>
      </w:pPr>
    </w:p>
    <w:p>
      <w:pPr>
        <w:ind w:right="640" w:firstLine="220"/>
        <w:spacing w:after="0" w:line="268" w:lineRule="auto"/>
        <w:rPr>
          <w:sz w:val="20"/>
          <w:szCs w:val="20"/>
          <w:color w:val="auto"/>
        </w:rPr>
      </w:pPr>
      <w:r>
        <w:rPr>
          <w:rFonts w:ascii="Arial" w:cs="Arial" w:eastAsia="Arial" w:hAnsi="Arial"/>
          <w:sz w:val="18"/>
          <w:szCs w:val="18"/>
          <w:color w:val="auto"/>
        </w:rPr>
        <w:t>So long as any Lender shall have any Credit-Linked Deposit, any Letter of Credit Linked Note or any Term Note hereunder or any Credit shall remain outstanding:</w:t>
      </w:r>
    </w:p>
    <w:p>
      <w:pPr>
        <w:spacing w:after="0" w:line="180" w:lineRule="exact"/>
        <w:rPr>
          <w:sz w:val="20"/>
          <w:szCs w:val="20"/>
          <w:color w:val="auto"/>
        </w:rPr>
      </w:pPr>
    </w:p>
    <w:p>
      <w:pPr>
        <w:ind w:right="340" w:firstLine="220"/>
        <w:spacing w:after="0" w:line="275" w:lineRule="auto"/>
        <w:rPr>
          <w:sz w:val="20"/>
          <w:szCs w:val="20"/>
          <w:color w:val="auto"/>
        </w:rPr>
      </w:pPr>
      <w:r>
        <w:rPr>
          <w:rFonts w:ascii="Arial" w:cs="Arial" w:eastAsia="Arial" w:hAnsi="Arial"/>
          <w:sz w:val="18"/>
          <w:szCs w:val="18"/>
          <w:b w:val="1"/>
          <w:bCs w:val="1"/>
          <w:color w:val="auto"/>
        </w:rPr>
        <w:t xml:space="preserve">7.01 Transactions with Affiliates. </w:t>
      </w:r>
      <w:r>
        <w:rPr>
          <w:rFonts w:ascii="Arial" w:cs="Arial" w:eastAsia="Arial" w:hAnsi="Arial"/>
          <w:sz w:val="18"/>
          <w:szCs w:val="18"/>
          <w:color w:val="auto"/>
        </w:rPr>
        <w:t>The Company will not, and will not permit any Restricted Subsidiary to, enter into directly or indirectly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Material</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5" w:name="page136"/>
    <w:bookmarkEnd w:id="135"/>
    <w:p>
      <w:pPr>
        <w:ind w:right="20"/>
        <w:spacing w:after="0" w:line="256" w:lineRule="auto"/>
        <w:rPr>
          <w:sz w:val="20"/>
          <w:szCs w:val="20"/>
          <w:color w:val="auto"/>
        </w:rPr>
      </w:pPr>
      <w:r>
        <w:rPr>
          <w:rFonts w:ascii="Arial" w:cs="Arial" w:eastAsia="Arial" w:hAnsi="Arial"/>
          <w:sz w:val="18"/>
          <w:szCs w:val="18"/>
          <w:color w:val="auto"/>
        </w:rPr>
        <w:t>group of related transactions (including without limitation the purchase, lease, sale or exchange of properties of any kind or the rendering of any service) with any Affiliate (other than the Company or another Restricted Subsidiary), except in the ordinary course and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191"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color w:val="auto"/>
        </w:rPr>
        <w:t>Merger, Consolidation, Sale of Assets, etc.</w:t>
      </w:r>
    </w:p>
    <w:p>
      <w:pPr>
        <w:spacing w:after="0" w:line="231" w:lineRule="exact"/>
        <w:rPr>
          <w:sz w:val="20"/>
          <w:szCs w:val="20"/>
          <w:color w:val="auto"/>
        </w:rPr>
      </w:pPr>
    </w:p>
    <w:p>
      <w:pPr>
        <w:ind w:right="120" w:firstLine="228"/>
        <w:spacing w:after="0" w:line="268" w:lineRule="auto"/>
        <w:tabs>
          <w:tab w:leader="none" w:pos="5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consolidate with or merge with any other Person unless immediately after giving effect to any consolidation or merger no Default or Event of Default would exist and:</w:t>
      </w:r>
    </w:p>
    <w:p>
      <w:pPr>
        <w:spacing w:after="0" w:line="185" w:lineRule="exact"/>
        <w:rPr>
          <w:rFonts w:ascii="Arial" w:cs="Arial" w:eastAsia="Arial" w:hAnsi="Arial"/>
          <w:sz w:val="18"/>
          <w:szCs w:val="18"/>
          <w:color w:val="auto"/>
        </w:rPr>
      </w:pPr>
    </w:p>
    <w:p>
      <w:pPr>
        <w:ind w:right="400" w:firstLine="447"/>
        <w:spacing w:after="0" w:line="259" w:lineRule="auto"/>
        <w:tabs>
          <w:tab w:leader="none" w:pos="64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 the case of a consolidation or merger of a Restricted Subsidiary, either (x) the surviving or continuing corporation is the Company or another Restricted Subsidiary or (y) such consolidation or merger, if considered as the sale of the assets of such Restricted Subsidiary to such other Person, would be permitted by Section 7.02(c); and</w:t>
      </w:r>
    </w:p>
    <w:p>
      <w:pPr>
        <w:spacing w:after="0" w:line="194" w:lineRule="exact"/>
        <w:rPr>
          <w:rFonts w:ascii="Arial" w:cs="Arial" w:eastAsia="Arial" w:hAnsi="Arial"/>
          <w:sz w:val="18"/>
          <w:szCs w:val="18"/>
          <w:color w:val="auto"/>
        </w:rPr>
      </w:pPr>
    </w:p>
    <w:p>
      <w:pPr>
        <w:ind w:right="60" w:firstLine="447"/>
        <w:spacing w:after="0" w:line="289" w:lineRule="auto"/>
        <w:tabs>
          <w:tab w:leader="none" w:pos="69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 the case of a consolidation or merger of the Company, the successor corporation which results from such consolidation or merger (the “surviving corporation”), if not the Company,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72" w:lineRule="exact"/>
        <w:rPr>
          <w:rFonts w:ascii="Arial" w:cs="Arial" w:eastAsia="Arial" w:hAnsi="Arial"/>
          <w:sz w:val="16"/>
          <w:szCs w:val="16"/>
          <w:color w:val="auto"/>
        </w:rPr>
      </w:pPr>
    </w:p>
    <w:p>
      <w:pPr>
        <w:ind w:right="160" w:firstLine="228"/>
        <w:spacing w:after="0" w:line="268" w:lineRule="auto"/>
        <w:tabs>
          <w:tab w:leader="none" w:pos="51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will not sell, lease (as lessor) or otherwise transfer all or substantially all of its assets in a single transaction or series of transactions to any Person unless:</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25" w:lineRule="exact"/>
        <w:rPr>
          <w:rFonts w:ascii="Arial" w:cs="Arial" w:eastAsia="Arial" w:hAnsi="Arial"/>
          <w:sz w:val="18"/>
          <w:szCs w:val="18"/>
          <w:color w:val="auto"/>
        </w:rPr>
      </w:pPr>
    </w:p>
    <w:p>
      <w:pPr>
        <w:ind w:right="60" w:firstLine="447"/>
        <w:spacing w:after="0" w:line="291" w:lineRule="auto"/>
        <w:tabs>
          <w:tab w:leader="none" w:pos="69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successor corporation to which all or substantially all of the Company’s assets have been sold, leased or transferred (the “successor corporation”)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6" w:name="page137"/>
    <w:bookmarkEnd w:id="136"/>
    <w:p>
      <w:pPr>
        <w:ind w:right="120"/>
        <w:spacing w:after="0" w:line="332" w:lineRule="auto"/>
        <w:rPr>
          <w:sz w:val="20"/>
          <w:szCs w:val="20"/>
          <w:color w:val="auto"/>
        </w:rPr>
      </w:pPr>
      <w:r>
        <w:rPr>
          <w:rFonts w:ascii="Arial" w:cs="Arial" w:eastAsia="Arial" w:hAnsi="Arial"/>
          <w:sz w:val="16"/>
          <w:szCs w:val="16"/>
          <w:color w:val="auto"/>
        </w:rPr>
        <w:t>agreement of the successor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39"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No such conveyance, transfer or lease of all or substantially all of the assets of the Company shall have the effect of releasing the Company or any successor corporation that shall theretofore have become such in the manner prescribed in this Section 7.02 from its liability under this Agreement or the Credit Documents.</w:t>
      </w:r>
    </w:p>
    <w:p>
      <w:pPr>
        <w:spacing w:after="0" w:line="139" w:lineRule="exact"/>
        <w:rPr>
          <w:sz w:val="20"/>
          <w:szCs w:val="20"/>
          <w:color w:val="auto"/>
        </w:rPr>
      </w:pPr>
    </w:p>
    <w:p>
      <w:pPr>
        <w:ind w:right="160" w:firstLine="228"/>
        <w:spacing w:after="0" w:line="259" w:lineRule="auto"/>
        <w:tabs>
          <w:tab w:leader="none" w:pos="50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sell, lease (as lessor), transfer, abandon or otherwise dispose of (collectively, a “Disposition”) any assets in one or a series of transactions (including, without limitation, in any sale-leaseback transaction), other than those assets consisting of accounts receivable sold through any Permitted Receivables Transaction, to any Person other than:</w:t>
      </w:r>
    </w:p>
    <w:p>
      <w:pPr>
        <w:spacing w:after="0" w:line="194" w:lineRule="exact"/>
        <w:rPr>
          <w:rFonts w:ascii="Arial" w:cs="Arial" w:eastAsia="Arial" w:hAnsi="Arial"/>
          <w:sz w:val="18"/>
          <w:szCs w:val="18"/>
          <w:color w:val="auto"/>
        </w:rPr>
      </w:pPr>
    </w:p>
    <w:p>
      <w:pPr>
        <w:ind w:right="380" w:firstLine="447"/>
        <w:spacing w:after="0" w:line="268" w:lineRule="auto"/>
        <w:tabs>
          <w:tab w:leader="none" w:pos="64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Dispositions in the ordinary course of business of inventory or of equipment, fixtures, supplies or materials no longer required in the business of the Company or any of its Restricted Subsidiaries or that is obsolete;</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Dispositions by the Company to a Restricted Subsidiary or by a Restricted Subsidiary to the Company or to another Restricted Subsidiary;</w:t>
      </w:r>
    </w:p>
    <w:p>
      <w:pPr>
        <w:spacing w:after="0" w:line="248" w:lineRule="exact"/>
        <w:rPr>
          <w:rFonts w:ascii="Arial" w:cs="Arial" w:eastAsia="Arial" w:hAnsi="Arial"/>
          <w:sz w:val="16"/>
          <w:szCs w:val="16"/>
          <w:color w:val="auto"/>
        </w:rPr>
      </w:pPr>
    </w:p>
    <w:p>
      <w:pPr>
        <w:ind w:left="760" w:hanging="313"/>
        <w:spacing w:after="0"/>
        <w:tabs>
          <w:tab w:leader="none" w:pos="7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of assets for cash or other property if all of the following conditions are met:</w:t>
      </w:r>
    </w:p>
    <w:p>
      <w:pPr>
        <w:spacing w:after="0" w:line="225" w:lineRule="exact"/>
        <w:rPr>
          <w:rFonts w:ascii="Arial" w:cs="Arial" w:eastAsia="Arial" w:hAnsi="Arial"/>
          <w:sz w:val="18"/>
          <w:szCs w:val="18"/>
          <w:color w:val="auto"/>
        </w:rPr>
      </w:pPr>
    </w:p>
    <w:p>
      <w:pPr>
        <w:ind w:left="1200" w:hanging="284"/>
        <w:spacing w:after="0"/>
        <w:tabs>
          <w:tab w:leader="none" w:pos="120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such assets (valued at book value) do not constitute a “substantial part” of the assets of the Company and its Restricted Subsidiaries;</w:t>
      </w:r>
    </w:p>
    <w:p>
      <w:pPr>
        <w:spacing w:after="0" w:line="248" w:lineRule="exact"/>
        <w:rPr>
          <w:rFonts w:ascii="Arial" w:cs="Arial" w:eastAsia="Arial" w:hAnsi="Arial"/>
          <w:sz w:val="16"/>
          <w:szCs w:val="16"/>
          <w:color w:val="auto"/>
        </w:rPr>
      </w:pPr>
    </w:p>
    <w:p>
      <w:pPr>
        <w:ind w:left="1200" w:hanging="284"/>
        <w:spacing w:after="0"/>
        <w:tabs>
          <w:tab w:leader="none" w:pos="12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in the opinion of a Responsible Officer of the Company, the sale is for fair value and is in the best interests of the Company; and</w:t>
      </w:r>
    </w:p>
    <w:p>
      <w:pPr>
        <w:spacing w:after="0" w:line="225" w:lineRule="exact"/>
        <w:rPr>
          <w:rFonts w:ascii="Arial" w:cs="Arial" w:eastAsia="Arial" w:hAnsi="Arial"/>
          <w:sz w:val="18"/>
          <w:szCs w:val="18"/>
          <w:color w:val="auto"/>
        </w:rPr>
      </w:pPr>
    </w:p>
    <w:p>
      <w:pPr>
        <w:ind w:left="1200" w:hanging="284"/>
        <w:spacing w:after="0"/>
        <w:tabs>
          <w:tab w:leader="none" w:pos="120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 and after giving effect thereto, no Default or Event of Default would exist; or</w:t>
      </w:r>
    </w:p>
    <w:p>
      <w:pPr>
        <w:spacing w:after="0" w:line="248" w:lineRule="exact"/>
        <w:rPr>
          <w:rFonts w:ascii="Arial" w:cs="Arial" w:eastAsia="Arial" w:hAnsi="Arial"/>
          <w:sz w:val="16"/>
          <w:szCs w:val="16"/>
          <w:color w:val="auto"/>
        </w:rPr>
      </w:pPr>
    </w:p>
    <w:p>
      <w:pPr>
        <w:ind w:right="80" w:firstLine="447"/>
        <w:spacing w:after="0" w:line="312" w:lineRule="auto"/>
        <w:tabs>
          <w:tab w:leader="none" w:pos="736"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sale of assets meeting the conditions set forth in clauses (B) and (C) of clause (iii) above, as long as the cash proceeds from such sale in excess of a substantial part of the assets of the Company and its Restricted Subsidiaries (net of expenses of sale and an amount reasonably estimated by the Company to represent incremental income taxes due as a result of such sale) are (i) applied within 365 days of the date of receipt to the acquisition of productive assets useful and intended to be used in the operation or expansion of the business of the Company or its Restricted Subsidiaries, and/or (ii) used to repay any Indebtedness of the Company or its Restricted Subsidiaries (other than (x) Indebtedness that is in any manner subordinated in right of payment in any respect to Indebtedness arising or incurred under this Agreement, (y) Indebtedness owing to the Company, any of its Subsidiaries or any Affiliate, and (z) Indebtedness in respect of any revolving credit or similar credit facility providing the Company or any of its Restricted Subsidiaries with the right to obtain loans or other extensions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37" w:name="page138"/>
    <w:bookmarkEnd w:id="137"/>
    <w:p>
      <w:pPr>
        <w:ind w:right="580"/>
        <w:spacing w:after="0" w:line="332" w:lineRule="auto"/>
        <w:rPr>
          <w:sz w:val="20"/>
          <w:szCs w:val="20"/>
          <w:color w:val="auto"/>
        </w:rPr>
      </w:pPr>
      <w:r>
        <w:rPr>
          <w:rFonts w:ascii="Arial" w:cs="Arial" w:eastAsia="Arial" w:hAnsi="Arial"/>
          <w:sz w:val="16"/>
          <w:szCs w:val="16"/>
          <w:color w:val="auto"/>
        </w:rPr>
        <w:t>of credit from time to time, except to the extent that in connection with such payment of Indebtedness the availability of credit under such credit facility is permanently reduced by an amount not less than the amount of such proceeds applied to the payment of such Indebtedness).</w:t>
      </w:r>
    </w:p>
    <w:p>
      <w:pPr>
        <w:spacing w:after="0" w:line="139" w:lineRule="exact"/>
        <w:rPr>
          <w:sz w:val="20"/>
          <w:szCs w:val="20"/>
          <w:color w:val="auto"/>
        </w:rPr>
      </w:pPr>
    </w:p>
    <w:p>
      <w:pPr>
        <w:ind w:right="60" w:firstLine="228"/>
        <w:spacing w:after="0" w:line="291" w:lineRule="auto"/>
        <w:tabs>
          <w:tab w:leader="none" w:pos="51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For purposes of Section 7.02(c), a sale of assets will be deemed to involve a “substantial part” of the assets of the Company and its Restricted Subsidiaries if the book value of such assets, together with all other assets sold, including mergers effected pursuant to Section 7.02(a)(i)(y) and the issuance, sale, transfer or disposition of stock or other Securities of Restricted Subsidiaries (except to the Company or another Restricted Subsidiary) effected pursuant to Section 7.02(e), during the same fiscal year (except (1) those assets sold pursuant to clauses (i) and (ii) of Section 7.02(c), and (2) those assets consisting of receivables sold through any Permitted Receivables Transaction permitted under Section 7.03(i)) equals at least 15.00% of the Consolidated Total Assets of the Company and its Restricted Subsidiaries determined as of the end of the immediately preceding fiscal year.</w:t>
      </w:r>
    </w:p>
    <w:p>
      <w:pPr>
        <w:spacing w:after="0" w:line="174" w:lineRule="exact"/>
        <w:rPr>
          <w:rFonts w:ascii="Arial" w:cs="Arial" w:eastAsia="Arial" w:hAnsi="Arial"/>
          <w:sz w:val="16"/>
          <w:szCs w:val="16"/>
          <w:color w:val="auto"/>
        </w:rPr>
      </w:pPr>
    </w:p>
    <w:p>
      <w:pPr>
        <w:ind w:right="20" w:firstLine="228"/>
        <w:spacing w:after="0" w:line="255" w:lineRule="auto"/>
        <w:tabs>
          <w:tab w:leader="none" w:pos="50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will not permit any Restricted Subsidiary to issue shares of stock or other Securities to any Person other than the Company or another Restricted Subsidiary. The Company will not, and will not permit any Restricted Subsidiary to, issue, sell, transfer or otherwise dispose of its interest in any stock or any other Securities (or any options or warrants to purchase stock or other Securities exchangeable for or convertible into stock or other Securities) of any Restricted Subsidiary (except to the Company or another Restricted Subsidiary) unless such issuance, sale, transfer or disposition (valued at book value) would be permitted under Section 7.02(c).</w:t>
      </w:r>
    </w:p>
    <w:p>
      <w:pPr>
        <w:spacing w:after="0" w:line="191" w:lineRule="exact"/>
        <w:rPr>
          <w:sz w:val="20"/>
          <w:szCs w:val="20"/>
          <w:color w:val="auto"/>
        </w:rPr>
      </w:pPr>
    </w:p>
    <w:p>
      <w:pPr>
        <w:ind w:right="380" w:firstLine="220"/>
        <w:spacing w:after="0" w:line="262" w:lineRule="auto"/>
        <w:rPr>
          <w:sz w:val="20"/>
          <w:szCs w:val="20"/>
          <w:color w:val="auto"/>
        </w:rPr>
      </w:pPr>
      <w:r>
        <w:rPr>
          <w:rFonts w:ascii="Arial" w:cs="Arial" w:eastAsia="Arial" w:hAnsi="Arial"/>
          <w:sz w:val="18"/>
          <w:szCs w:val="18"/>
          <w:b w:val="1"/>
          <w:bCs w:val="1"/>
          <w:color w:val="auto"/>
        </w:rPr>
        <w:t xml:space="preserve">7.03 Liens. </w:t>
      </w:r>
      <w:r>
        <w:rPr>
          <w:rFonts w:ascii="Arial" w:cs="Arial" w:eastAsia="Arial" w:hAnsi="Arial"/>
          <w:sz w:val="18"/>
          <w:szCs w:val="18"/>
          <w:color w:val="auto"/>
        </w:rPr>
        <w:t>The Company will not, and will not permit any of its Restricted Subsidiaries to, directly or indirectly create, incur, assume or permit to exist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happening of a contingency or otherwise) any Lien on or with respect to any of its properties or assets, whether now owned or hereafter acquired, except for the following (which are collectively referred to as “Permitted Liens”):</w:t>
      </w:r>
    </w:p>
    <w:p>
      <w:pPr>
        <w:spacing w:after="0" w:line="192" w:lineRule="exact"/>
        <w:rPr>
          <w:sz w:val="20"/>
          <w:szCs w:val="20"/>
          <w:color w:val="auto"/>
        </w:rPr>
      </w:pPr>
    </w:p>
    <w:p>
      <w:pPr>
        <w:ind w:right="640" w:firstLine="228"/>
        <w:spacing w:after="0" w:line="268" w:lineRule="auto"/>
        <w:tabs>
          <w:tab w:leader="none" w:pos="50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Mechanics’, materialmen’s, carriers’ or other like liens arising in the ordinary course of business (including construction of facilities) in respect of obligations that are not due or which are being contested in good faith;</w:t>
      </w:r>
    </w:p>
    <w:p>
      <w:pPr>
        <w:spacing w:after="0" w:line="185" w:lineRule="exact"/>
        <w:rPr>
          <w:rFonts w:ascii="Arial" w:cs="Arial" w:eastAsia="Arial" w:hAnsi="Arial"/>
          <w:sz w:val="18"/>
          <w:szCs w:val="18"/>
          <w:color w:val="auto"/>
        </w:rPr>
      </w:pPr>
    </w:p>
    <w:p>
      <w:pPr>
        <w:ind w:right="240" w:firstLine="228"/>
        <w:spacing w:after="0" w:line="298" w:lineRule="auto"/>
        <w:tabs>
          <w:tab w:leader="none" w:pos="51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Liens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Lien arising by reason of one or more letters of credit in connection with any international waste management contract to be performed by the Company or any of its Subsidiaries or their respective Affiliates);</w:t>
      </w:r>
    </w:p>
    <w:p>
      <w:pPr>
        <w:spacing w:after="0" w:line="166" w:lineRule="exact"/>
        <w:rPr>
          <w:rFonts w:ascii="Arial" w:cs="Arial" w:eastAsia="Arial" w:hAnsi="Arial"/>
          <w:sz w:val="16"/>
          <w:szCs w:val="16"/>
          <w:color w:val="auto"/>
        </w:rPr>
      </w:pPr>
    </w:p>
    <w:p>
      <w:pPr>
        <w:ind w:firstLine="228"/>
        <w:spacing w:after="0" w:line="268" w:lineRule="auto"/>
        <w:tabs>
          <w:tab w:leader="none" w:pos="50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not yet delinquent or Liens for taxes, assessments or governmental charges or levies already delinquent but the validity of which is being contested in good faith;</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8" w:name="page139"/>
    <w:bookmarkEnd w:id="138"/>
    <w:p>
      <w:pPr>
        <w:ind w:right="320" w:firstLine="228"/>
        <w:spacing w:after="0" w:line="268" w:lineRule="auto"/>
        <w:tabs>
          <w:tab w:leader="none" w:pos="5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(including judgment liens) arising in connection with legal proceedings so long as such proceedings are being contested in good faith and, in the case of judgment liens, execution thereon is stayed;</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Landlords’ liens on fixtures located on premises leased by the Company or any Restricted Subsidiary in the ordinary course of business;</w:t>
      </w:r>
    </w:p>
    <w:p>
      <w:pPr>
        <w:spacing w:after="0" w:line="225" w:lineRule="exact"/>
        <w:rPr>
          <w:rFonts w:ascii="Arial" w:cs="Arial" w:eastAsia="Arial" w:hAnsi="Arial"/>
          <w:sz w:val="18"/>
          <w:szCs w:val="18"/>
          <w:color w:val="auto"/>
        </w:rPr>
      </w:pPr>
    </w:p>
    <w:p>
      <w:pPr>
        <w:ind w:left="500" w:hanging="272"/>
        <w:spacing w:after="0"/>
        <w:tabs>
          <w:tab w:leader="none" w:pos="5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20" w:firstLine="228"/>
        <w:spacing w:after="0" w:line="268" w:lineRule="auto"/>
        <w:tabs>
          <w:tab w:leader="none" w:pos="5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arising by reason of deposits to qualify the Company or any Restricted Subsidiary to conduct business, to maintain self-insurance, or to obtain the benefit of, or comply with, Laws;</w:t>
      </w:r>
    </w:p>
    <w:p>
      <w:pPr>
        <w:spacing w:after="0" w:line="185" w:lineRule="exact"/>
        <w:rPr>
          <w:rFonts w:ascii="Arial" w:cs="Arial" w:eastAsia="Arial" w:hAnsi="Arial"/>
          <w:sz w:val="18"/>
          <w:szCs w:val="18"/>
          <w:color w:val="auto"/>
        </w:rPr>
      </w:pPr>
    </w:p>
    <w:p>
      <w:pPr>
        <w:ind w:right="180" w:firstLine="228"/>
        <w:spacing w:after="0" w:line="268" w:lineRule="auto"/>
        <w:tabs>
          <w:tab w:leader="none" w:pos="5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that secure any Indebtedness of a Restricted Subsidiary owing to the Company or another Restricted Subsidiary or by the Company to a Restricted Subsidiary;</w:t>
      </w:r>
    </w:p>
    <w:p>
      <w:pPr>
        <w:spacing w:after="0" w:line="185" w:lineRule="exact"/>
        <w:rPr>
          <w:rFonts w:ascii="Arial" w:cs="Arial" w:eastAsia="Arial" w:hAnsi="Arial"/>
          <w:sz w:val="18"/>
          <w:szCs w:val="18"/>
          <w:color w:val="auto"/>
        </w:rPr>
      </w:pPr>
    </w:p>
    <w:p>
      <w:pPr>
        <w:ind w:right="120" w:firstLine="228"/>
        <w:spacing w:after="0" w:line="291" w:lineRule="auto"/>
        <w:tabs>
          <w:tab w:leader="none" w:pos="47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Restricted Subsidiaries, as lessors or sublessors) from time to time purporting to secure the payment by the obligors describing the collateral securing such trade receivables (together with any financing statements signed by such obligors describing the collateral securing such trade receivables) pursuant to such Permitted Receivables Transactions;</w:t>
      </w:r>
    </w:p>
    <w:p>
      <w:pPr>
        <w:spacing w:after="0" w:line="174" w:lineRule="exact"/>
        <w:rPr>
          <w:rFonts w:ascii="Arial" w:cs="Arial" w:eastAsia="Arial" w:hAnsi="Arial"/>
          <w:sz w:val="16"/>
          <w:szCs w:val="16"/>
          <w:color w:val="auto"/>
        </w:rPr>
      </w:pPr>
    </w:p>
    <w:p>
      <w:pPr>
        <w:ind w:left="480" w:hanging="252"/>
        <w:spacing w:after="0"/>
        <w:tabs>
          <w:tab w:leader="none" w:pos="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existing at Closing and reflected on Schedule 7.03 hereto;</w:t>
      </w:r>
    </w:p>
    <w:p>
      <w:pPr>
        <w:spacing w:after="0" w:line="225" w:lineRule="exact"/>
        <w:rPr>
          <w:rFonts w:ascii="Arial" w:cs="Arial" w:eastAsia="Arial" w:hAnsi="Arial"/>
          <w:sz w:val="18"/>
          <w:szCs w:val="18"/>
          <w:color w:val="auto"/>
        </w:rPr>
      </w:pPr>
    </w:p>
    <w:p>
      <w:pPr>
        <w:ind w:right="60" w:firstLine="228"/>
        <w:spacing w:after="0" w:line="286" w:lineRule="auto"/>
        <w:tabs>
          <w:tab w:leader="none" w:pos="51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 Liens upon property or assets which are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Lien secures or provides for the payment, financing or refinancing, directly or indirectly, of all or any part of the acquisition cost of such property or assets or the cost of construction, development or improvement thereof; or (ii) any Lien upon property or assets existing at the time of the acquisition thereof, which Lien secures obligations assumed by the Company or any Restricted Subsidiary; or (iii) any conditional sales agreement or other title retention agreement with respect to any property or assets acquired by the Company or any Restricted Subsidiary; or (iv) any Lien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(v) any Lien existing on the property, assets or shares of stock of any successor which shall have become the Company in accordance with the provisions set forth in Section 7.02; provided, in each case, that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9" w:name="page140"/>
    <w:bookmarkEnd w:id="139"/>
    <w:p>
      <w:pPr>
        <w:ind w:right="80"/>
        <w:spacing w:after="0" w:line="286" w:lineRule="auto"/>
        <w:rPr>
          <w:sz w:val="20"/>
          <w:szCs w:val="20"/>
          <w:color w:val="auto"/>
        </w:rPr>
      </w:pPr>
      <w:r>
        <w:rPr>
          <w:rFonts w:ascii="Arial" w:cs="Arial" w:eastAsia="Arial" w:hAnsi="Arial"/>
          <w:sz w:val="16"/>
          <w:szCs w:val="16"/>
          <w:color w:val="auto"/>
        </w:rPr>
        <w:t>any such Lien described in the foregoing clauses (ii), (iii), (iv) or (v) does not attach to or affect property or assets owned by the Company or any Restricted Subsidiary prior to the event referred to in such clauses; provided further (for avoidance of doubt) that any such Lien described in the foregoing clauses (i), (ii) or</w:t>
      </w:r>
    </w:p>
    <w:p>
      <w:pPr>
        <w:ind w:left="320" w:hanging="312"/>
        <w:spacing w:after="0"/>
        <w:tabs>
          <w:tab w:leader="none" w:pos="3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may be created in favor of any Governmental Authority.</w:t>
      </w:r>
    </w:p>
    <w:p>
      <w:pPr>
        <w:spacing w:after="0" w:line="218" w:lineRule="exact"/>
        <w:rPr>
          <w:rFonts w:ascii="Arial" w:cs="Arial" w:eastAsia="Arial" w:hAnsi="Arial"/>
          <w:sz w:val="18"/>
          <w:szCs w:val="18"/>
          <w:color w:val="auto"/>
        </w:rPr>
      </w:pPr>
    </w:p>
    <w:p>
      <w:pPr>
        <w:ind w:left="480" w:hanging="252"/>
        <w:spacing w:after="0"/>
        <w:tabs>
          <w:tab w:leader="none" w:pos="48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Any extension, renewal or refunding (or successive extensions, renewals or refundings) in whole or in part of any Indebtedness secured by any Lien</w:t>
      </w:r>
    </w:p>
    <w:p>
      <w:pPr>
        <w:spacing w:after="0" w:line="38"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referred to in the foregoing clauses, inclusive, provided that the principal amount of the Indebtedness secured is not increased or the maturity thereof reduced and the Lien securing such Indebtedness shall be limited to the property or assets that, immediately prior to such extension, renewal or refunding, secured such Indebtedness and additions to such property or assets; and</w:t>
      </w:r>
    </w:p>
    <w:p>
      <w:pPr>
        <w:spacing w:after="0" w:line="198" w:lineRule="exact"/>
        <w:rPr>
          <w:rFonts w:ascii="Arial" w:cs="Arial" w:eastAsia="Arial" w:hAnsi="Arial"/>
          <w:sz w:val="16"/>
          <w:szCs w:val="16"/>
          <w:color w:val="auto"/>
        </w:rPr>
      </w:pPr>
    </w:p>
    <w:p>
      <w:pPr>
        <w:ind w:right="600" w:firstLine="228"/>
        <w:spacing w:after="0" w:line="332" w:lineRule="auto"/>
        <w:tabs>
          <w:tab w:leader="none" w:pos="56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Liens securing Priority Debt, provided that Priority Debt shall not at any time exceed 15.00% of Consolidated Tangible Assets as of the then most recently ended fiscal quarter or fiscal year of the Company for which financial information is reportable pursuant to Sections 6.01(a) and (b).</w:t>
      </w:r>
    </w:p>
    <w:p>
      <w:pPr>
        <w:spacing w:after="0" w:line="133" w:lineRule="exact"/>
        <w:rPr>
          <w:sz w:val="20"/>
          <w:szCs w:val="20"/>
          <w:color w:val="auto"/>
        </w:rPr>
      </w:pPr>
    </w:p>
    <w:p>
      <w:pPr>
        <w:ind w:right="80" w:firstLine="220"/>
        <w:spacing w:after="0" w:line="275" w:lineRule="auto"/>
        <w:rPr>
          <w:sz w:val="20"/>
          <w:szCs w:val="20"/>
          <w:color w:val="auto"/>
        </w:rPr>
      </w:pPr>
      <w:r>
        <w:rPr>
          <w:rFonts w:ascii="Arial" w:cs="Arial" w:eastAsia="Arial" w:hAnsi="Arial"/>
          <w:sz w:val="18"/>
          <w:szCs w:val="18"/>
          <w:b w:val="1"/>
          <w:bCs w:val="1"/>
          <w:color w:val="auto"/>
        </w:rPr>
        <w:t xml:space="preserve">7.04 Limitation on Consolidated Debt. </w:t>
      </w:r>
      <w:r>
        <w:rPr>
          <w:rFonts w:ascii="Arial" w:cs="Arial" w:eastAsia="Arial" w:hAnsi="Arial"/>
          <w:sz w:val="18"/>
          <w:szCs w:val="18"/>
          <w:color w:val="auto"/>
        </w:rPr>
        <w:t>The Company will not permit at any time the ratio of (a) Consolidated Debt to (b) Adjusted Consolidated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most recently ended period of four consecutive fiscal quarters of the Company to be greater than 3.75 to 1.00.</w:t>
      </w:r>
    </w:p>
    <w:p>
      <w:pPr>
        <w:spacing w:after="0" w:line="174" w:lineRule="exact"/>
        <w:rPr>
          <w:sz w:val="20"/>
          <w:szCs w:val="20"/>
          <w:color w:val="auto"/>
        </w:rPr>
      </w:pPr>
    </w:p>
    <w:p>
      <w:pPr>
        <w:ind w:right="120" w:firstLine="220"/>
        <w:spacing w:after="0" w:line="339" w:lineRule="auto"/>
        <w:rPr>
          <w:sz w:val="20"/>
          <w:szCs w:val="20"/>
          <w:color w:val="auto"/>
        </w:rPr>
      </w:pPr>
      <w:r>
        <w:rPr>
          <w:rFonts w:ascii="Arial" w:cs="Arial" w:eastAsia="Arial" w:hAnsi="Arial"/>
          <w:sz w:val="16"/>
          <w:szCs w:val="16"/>
          <w:b w:val="1"/>
          <w:bCs w:val="1"/>
          <w:color w:val="auto"/>
        </w:rPr>
        <w:t xml:space="preserve">7.05 Limitation on Priority Debt. </w:t>
      </w:r>
      <w:r>
        <w:rPr>
          <w:rFonts w:ascii="Arial" w:cs="Arial" w:eastAsia="Arial" w:hAnsi="Arial"/>
          <w:sz w:val="16"/>
          <w:szCs w:val="16"/>
          <w:color w:val="auto"/>
        </w:rPr>
        <w:t>The Company will not permit Priority Debt at any time to exceed 15.00% of Consolidated Tangible Assets as of the end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most recently ended fiscal quarter or fiscal year of the Company for which financial information is reportable pursuant to Sections 6.01(a) and (b).</w:t>
      </w:r>
    </w:p>
    <w:p>
      <w:pPr>
        <w:spacing w:after="0" w:line="128" w:lineRule="exact"/>
        <w:rPr>
          <w:sz w:val="20"/>
          <w:szCs w:val="20"/>
          <w:color w:val="auto"/>
        </w:rPr>
      </w:pPr>
    </w:p>
    <w:p>
      <w:pPr>
        <w:ind w:firstLine="220"/>
        <w:spacing w:after="0" w:line="339" w:lineRule="auto"/>
        <w:rPr>
          <w:sz w:val="20"/>
          <w:szCs w:val="20"/>
          <w:color w:val="auto"/>
        </w:rPr>
      </w:pPr>
      <w:r>
        <w:rPr>
          <w:rFonts w:ascii="Arial" w:cs="Arial" w:eastAsia="Arial" w:hAnsi="Arial"/>
          <w:sz w:val="15"/>
          <w:szCs w:val="15"/>
          <w:color w:val="auto"/>
        </w:rPr>
        <w:t>7</w:t>
      </w:r>
      <w:r>
        <w:rPr>
          <w:rFonts w:ascii="Arial" w:cs="Arial" w:eastAsia="Arial" w:hAnsi="Arial"/>
          <w:sz w:val="15"/>
          <w:szCs w:val="15"/>
          <w:b w:val="1"/>
          <w:bCs w:val="1"/>
          <w:color w:val="auto"/>
        </w:rPr>
        <w:t>.06 Nature of Business.</w:t>
      </w:r>
      <w:r>
        <w:rPr>
          <w:rFonts w:ascii="Arial" w:cs="Arial" w:eastAsia="Arial" w:hAnsi="Arial"/>
          <w:sz w:val="15"/>
          <w:szCs w:val="15"/>
          <w:color w:val="auto"/>
        </w:rPr>
        <w:t xml:space="preserve"> The Company will not, and will not permit any Restricted Subsidiary to, engage in any business if, as a result, the general nature of the business of the Company and its Restricted Subsidiaries, taken as a whole, which would then be engaged in by the Company and its Restricted Subsidiaries would be substantially changed from the nature of the business engaged in by the Company and its Restricted Subsidiaries, taken as a whole, on the Closing Date.</w:t>
      </w:r>
    </w:p>
    <w:p>
      <w:pPr>
        <w:spacing w:after="0" w:line="133" w:lineRule="exact"/>
        <w:rPr>
          <w:sz w:val="20"/>
          <w:szCs w:val="20"/>
          <w:color w:val="auto"/>
        </w:rPr>
      </w:pPr>
    </w:p>
    <w:p>
      <w:pPr>
        <w:ind w:right="40" w:firstLine="220"/>
        <w:spacing w:after="0" w:line="289" w:lineRule="auto"/>
        <w:rPr>
          <w:sz w:val="20"/>
          <w:szCs w:val="20"/>
          <w:color w:val="auto"/>
        </w:rPr>
      </w:pPr>
      <w:r>
        <w:rPr>
          <w:rFonts w:ascii="Arial" w:cs="Arial" w:eastAsia="Arial" w:hAnsi="Arial"/>
          <w:sz w:val="16"/>
          <w:szCs w:val="16"/>
          <w:b w:val="1"/>
          <w:bCs w:val="1"/>
          <w:color w:val="auto"/>
        </w:rPr>
        <w:t xml:space="preserve">7.07 Designation of Unrestricted Subsidiaries. </w:t>
      </w:r>
      <w:r>
        <w:rPr>
          <w:rFonts w:ascii="Arial" w:cs="Arial" w:eastAsia="Arial" w:hAnsi="Arial"/>
          <w:sz w:val="16"/>
          <w:szCs w:val="16"/>
          <w:color w:val="auto"/>
        </w:rPr>
        <w:t>The Company may designate any newly-formed or newly-acquired Subsidiary as a Restricted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an Unrestricted Subsidiary; provided that if the Company shall fail to so designate by the end of the fiscal quarter in which such Subsidiary is formed or acquired, such Subsidiary shall be deemed to be a Restricted Subsidiary. In addition, the Company may designate any Restricted Subsidiary as an Unrestricted Subsidiary and any Unrestricted Subsidiary as a Restricted Subsidiary; provided that, (a) if such Subsidiary initially is a Restricted Subsidiary, then such Restricted Subsidiary may be subsequently redesignated as an Unrestricted Subsidiary and such Unrestricted Subsidiary may be subsequently designated as a Restricted Subsidiary, but no further changes in designation may be made; (b) if such Subsidiary initially is an Unrestricted Subsidiary, then such Unrestricted Subsidiary may be subsequently designated as a Restricted Subsidiary and such Restricted Subsidiary may be subsequently redesignated as an Unrestricted Subsidiary, but no further changes in designation may be made; (c) immediately before and after designation of a Restricted Subsidiary as an Unrestricted Subsidiary or of an Unrestricted Subsidiary as a</w:t>
      </w:r>
    </w:p>
    <w:p>
      <w:pPr>
        <w:spacing w:after="0" w:line="173"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Ten Year Letter of Credit and Term Loan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Restricted Subsidiary there exists no Default or Event of Default; and (d) Holdings may not be designated as an Unrestricted Subsidiary.</w:t>
      </w:r>
    </w:p>
    <w:p>
      <w:pPr>
        <w:spacing w:after="0" w:line="219" w:lineRule="exact"/>
        <w:rPr>
          <w:sz w:val="20"/>
          <w:szCs w:val="20"/>
          <w:color w:val="auto"/>
        </w:rPr>
      </w:pPr>
    </w:p>
    <w:p>
      <w:pPr>
        <w:ind w:right="460" w:firstLine="220"/>
        <w:spacing w:after="0" w:line="275" w:lineRule="auto"/>
        <w:rPr>
          <w:sz w:val="20"/>
          <w:szCs w:val="20"/>
          <w:color w:val="auto"/>
        </w:rPr>
      </w:pPr>
      <w:r>
        <w:rPr>
          <w:rFonts w:ascii="Arial" w:cs="Arial" w:eastAsia="Arial" w:hAnsi="Arial"/>
          <w:sz w:val="18"/>
          <w:szCs w:val="18"/>
          <w:b w:val="1"/>
          <w:bCs w:val="1"/>
          <w:color w:val="auto"/>
        </w:rPr>
        <w:t xml:space="preserve">7.08 Margin Stock. </w:t>
      </w:r>
      <w:r>
        <w:rPr>
          <w:rFonts w:ascii="Arial" w:cs="Arial" w:eastAsia="Arial" w:hAnsi="Arial"/>
          <w:sz w:val="18"/>
          <w:szCs w:val="18"/>
          <w:color w:val="auto"/>
        </w:rPr>
        <w:t>The Company shall not use the Credits, the Advances or the Term Loans, whether directly or indirectly, and whether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incidentally or ultimately, to purchase or carry margin stock with in the meaning of Regulation U of the FRB.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13"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Any of the following shall constitute an Event of Default:</w:t>
      </w:r>
    </w:p>
    <w:p>
      <w:pPr>
        <w:spacing w:after="0" w:line="231" w:lineRule="exact"/>
        <w:rPr>
          <w:sz w:val="20"/>
          <w:szCs w:val="20"/>
          <w:color w:val="auto"/>
        </w:rPr>
      </w:pPr>
    </w:p>
    <w:p>
      <w:pPr>
        <w:ind w:right="20" w:firstLine="228"/>
        <w:spacing w:after="0" w:line="294" w:lineRule="auto"/>
        <w:tabs>
          <w:tab w:leader="none" w:pos="50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Non-Payment of Drawing or Principal Amount. The Company fails to pay when and as required to be paid herein or in any other Credit Document (i) within six Business Days after the applicable Reimbursement Date of any drawing under any Credit, the amount of such drawing (unless within such six Business Day period a Request for Term Loans has been received pursuant to Section 2.03(b), and such Term Loans are made in accordance with the terms and conditions of Sections 2.03, 4.02 and 4.03 within 15 Business Days of the receipt by the Administrative Agent of such Request for Term Loans), or (ii) on the Maturity Date, the aggregate principal amount of any Term Loan or Advances outstanding; or</w:t>
      </w:r>
    </w:p>
    <w:p>
      <w:pPr>
        <w:spacing w:after="0" w:line="169" w:lineRule="exact"/>
        <w:rPr>
          <w:rFonts w:ascii="Arial" w:cs="Arial" w:eastAsia="Arial" w:hAnsi="Arial"/>
          <w:sz w:val="16"/>
          <w:szCs w:val="16"/>
          <w:color w:val="auto"/>
        </w:rPr>
      </w:pPr>
    </w:p>
    <w:p>
      <w:pPr>
        <w:jc w:val="both"/>
        <w:ind w:firstLine="228"/>
        <w:spacing w:after="0" w:line="259" w:lineRule="auto"/>
        <w:tabs>
          <w:tab w:leader="none" w:pos="51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Non-Payment of Interest and Other Amounts. The Company defaults in the payment of any interest on any Letter of Credit Linked Note or Term Note, any Facility Fee or Fronting Fee due hereunder, or other amount payable hereunder or under any other Credit Document for more than five (5) Business Days after the same becomes due and payable; or</w:t>
      </w:r>
    </w:p>
    <w:p>
      <w:pPr>
        <w:spacing w:after="0" w:line="194" w:lineRule="exact"/>
        <w:rPr>
          <w:rFonts w:ascii="Arial" w:cs="Arial" w:eastAsia="Arial" w:hAnsi="Arial"/>
          <w:sz w:val="18"/>
          <w:szCs w:val="18"/>
          <w:color w:val="auto"/>
        </w:rPr>
      </w:pPr>
    </w:p>
    <w:p>
      <w:pPr>
        <w:ind w:right="500" w:firstLine="228"/>
        <w:spacing w:after="0" w:line="332" w:lineRule="auto"/>
        <w:tabs>
          <w:tab w:leader="none" w:pos="50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Specific Covenants. The Company defaults in the performance of or compliance with (i) Section 7.05, which default is not remedied within ten (10) Business Days after a Responsible Officer obtaining actual knowledge of such default, or (ii) Sections 7.02, 7.03, or 7.04; or</w:t>
      </w:r>
    </w:p>
    <w:p>
      <w:pPr>
        <w:spacing w:after="0" w:line="139" w:lineRule="exact"/>
        <w:rPr>
          <w:rFonts w:ascii="Arial" w:cs="Arial" w:eastAsia="Arial" w:hAnsi="Arial"/>
          <w:sz w:val="16"/>
          <w:szCs w:val="16"/>
          <w:color w:val="auto"/>
        </w:rPr>
      </w:pPr>
    </w:p>
    <w:p>
      <w:pPr>
        <w:ind w:left="520" w:hanging="292"/>
        <w:spacing w:after="0"/>
        <w:tabs>
          <w:tab w:leader="none" w:pos="5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Other Defaults. The Company defaults in the performance of or compliance with any term contained herein (other than those referred to in paragraphs (a),</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and (c) of this Section 8.01) and such default is not remedied within thirty (30) days after a Responsible Officer obtaining actual knowledge of such default; or</w:t>
      </w:r>
    </w:p>
    <w:p>
      <w:pPr>
        <w:spacing w:after="0" w:line="241" w:lineRule="exact"/>
        <w:rPr>
          <w:rFonts w:ascii="Arial" w:cs="Arial" w:eastAsia="Arial" w:hAnsi="Arial"/>
          <w:sz w:val="16"/>
          <w:szCs w:val="16"/>
          <w:color w:val="auto"/>
        </w:rPr>
      </w:pPr>
    </w:p>
    <w:p>
      <w:pPr>
        <w:ind w:right="420" w:firstLine="228"/>
        <w:spacing w:after="0" w:line="259" w:lineRule="auto"/>
        <w:tabs>
          <w:tab w:leader="none" w:pos="50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Representations and Warranties. Any representation or warranty made in writing by or on behalf of the Company or Holdings or by any officer of the Company or Holdings in this Agreement or in any writing furnished in connection with the transactions contemplated hereby proves to have been false or incorrect in any material respect on the date as of which made; or</w:t>
      </w:r>
    </w:p>
    <w:p>
      <w:pPr>
        <w:spacing w:after="0" w:line="194" w:lineRule="exact"/>
        <w:rPr>
          <w:rFonts w:ascii="Arial" w:cs="Arial" w:eastAsia="Arial" w:hAnsi="Arial"/>
          <w:sz w:val="18"/>
          <w:szCs w:val="18"/>
          <w:color w:val="auto"/>
        </w:rPr>
      </w:pPr>
    </w:p>
    <w:p>
      <w:pPr>
        <w:ind w:right="180" w:firstLine="228"/>
        <w:spacing w:after="0" w:line="255" w:lineRule="auto"/>
        <w:tabs>
          <w:tab w:leader="none" w:pos="48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Cross-Defaults. (i) A default in the payment of any principal of or premium or make-whole amount or interest on any Material Debt has occurred and continues beyond any period of grace provided with respect thereto, or (ii) any other default in the performance of or compliance with any term of any evidence of any Material Debt or of any mortgage, indenture or other agreement relating thereto exists, and as a consequence of such default such Material Debt has become, or has been declared (or one or more Persons are entitled to declare such Material Debt to be), due and payable before its stated maturity or before its regularly scheduled dates of</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1" w:name="page142"/>
    <w:bookmarkEnd w:id="141"/>
    <w:p>
      <w:pPr>
        <w:ind w:right="120"/>
        <w:spacing w:after="0" w:line="256" w:lineRule="auto"/>
        <w:rPr>
          <w:sz w:val="20"/>
          <w:szCs w:val="20"/>
          <w:color w:val="auto"/>
        </w:rPr>
      </w:pPr>
      <w:r>
        <w:rPr>
          <w:rFonts w:ascii="Arial" w:cs="Arial" w:eastAsia="Arial" w:hAnsi="Arial"/>
          <w:sz w:val="18"/>
          <w:szCs w:val="18"/>
          <w:color w:val="auto"/>
        </w:rPr>
        <w:t>payment, or (iii) as a consequence of the occurrence or continuation of any event, (x) the Company or any Restricted Subsidiary has become obligated to purchase or repay any Material Debt before its regular maturity or before its regularly scheduled dates of payment, or (y) one or more Persons have the right to require the Company or any Restricted Subsidiary so to purchase or repay any Material Debt, or (iv) an event or condition shall occur which results in an “Event of Default” under the Seven Year Agreement or the Five Year Agreement; or</w:t>
      </w:r>
    </w:p>
    <w:p>
      <w:pPr>
        <w:spacing w:after="0" w:line="197" w:lineRule="exact"/>
        <w:rPr>
          <w:sz w:val="20"/>
          <w:szCs w:val="20"/>
          <w:color w:val="auto"/>
        </w:rPr>
      </w:pPr>
    </w:p>
    <w:p>
      <w:pPr>
        <w:ind w:right="160" w:firstLine="228"/>
        <w:spacing w:after="0" w:line="291" w:lineRule="auto"/>
        <w:tabs>
          <w:tab w:leader="none" w:pos="5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Failure to Pay Debts; Voluntary Proceedings. The Company, any Restricted Subsidiary or Holdings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74" w:lineRule="exact"/>
        <w:rPr>
          <w:rFonts w:ascii="Arial" w:cs="Arial" w:eastAsia="Arial" w:hAnsi="Arial"/>
          <w:sz w:val="16"/>
          <w:szCs w:val="16"/>
          <w:color w:val="auto"/>
        </w:rPr>
      </w:pPr>
    </w:p>
    <w:p>
      <w:pPr>
        <w:ind w:right="120" w:firstLine="228"/>
        <w:spacing w:after="0" w:line="254" w:lineRule="auto"/>
        <w:tabs>
          <w:tab w:leader="none" w:pos="5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Involuntary Proceedings. A court or governmental authority of competent jurisdiction enters an order appointing, without consent by the Company, any Restricted Subsidiary or Holdings, as applicable,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any Restricted Subsidiary or Holdings, or any such petition shall be filed against the Company, any Restricted Subsidiary or Holdings and such petition shall not be dismissed within 60 days; or</w:t>
      </w:r>
    </w:p>
    <w:p>
      <w:pPr>
        <w:spacing w:after="0" w:line="198" w:lineRule="exact"/>
        <w:rPr>
          <w:rFonts w:ascii="Arial" w:cs="Arial" w:eastAsia="Arial" w:hAnsi="Arial"/>
          <w:sz w:val="18"/>
          <w:szCs w:val="18"/>
          <w:color w:val="auto"/>
        </w:rPr>
      </w:pPr>
    </w:p>
    <w:p>
      <w:pPr>
        <w:ind w:right="40" w:firstLine="228"/>
        <w:spacing w:after="0" w:line="259" w:lineRule="auto"/>
        <w:tabs>
          <w:tab w:leader="none" w:pos="4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Judgments. A final judgment or judgments for the payment of money aggregating in excess of 10.00% of Consolidated Net Worth are rendered against one or more of the Company, any Restricted Subsidiary or Holdings and which judgments are not, within 60 days after entry thereof, bonded, discharged or stayed pending appeal, or are not discharged within 60 days after the expiration of such stay; or</w:t>
      </w:r>
    </w:p>
    <w:p>
      <w:pPr>
        <w:spacing w:after="0" w:line="194" w:lineRule="exact"/>
        <w:rPr>
          <w:rFonts w:ascii="Arial" w:cs="Arial" w:eastAsia="Arial" w:hAnsi="Arial"/>
          <w:sz w:val="18"/>
          <w:szCs w:val="18"/>
          <w:color w:val="auto"/>
        </w:rPr>
      </w:pPr>
    </w:p>
    <w:p>
      <w:pPr>
        <w:ind w:right="120" w:firstLine="228"/>
        <w:spacing w:after="0" w:line="298" w:lineRule="auto"/>
        <w:tabs>
          <w:tab w:leader="none" w:pos="4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Invalidity of Holdings Guaranty. If for any reason (other than payment in full of all obligations under this Agreement, the Letter of Credit Linked Notes and the Term Notes) the Holdings Guaranty shall cease to be in full force and effect (other than as expressly provided in Section 11.09 of this Agreement), or the Company or Holdings (or any other Person on behalf of the Company or Holdings) shall contest the validity or enforceability of such Holdings Guaranty, deny that Holdings has any further liability hereunder, or seek to revoke such Holdings Guaranty; or</w:t>
      </w:r>
    </w:p>
    <w:p>
      <w:pPr>
        <w:spacing w:after="0" w:line="166" w:lineRule="exact"/>
        <w:rPr>
          <w:rFonts w:ascii="Arial" w:cs="Arial" w:eastAsia="Arial" w:hAnsi="Arial"/>
          <w:sz w:val="16"/>
          <w:szCs w:val="16"/>
          <w:color w:val="auto"/>
        </w:rPr>
      </w:pPr>
    </w:p>
    <w:p>
      <w:pPr>
        <w:ind w:right="120" w:firstLine="228"/>
        <w:spacing w:after="0" w:line="306" w:lineRule="auto"/>
        <w:tabs>
          <w:tab w:leader="none" w:pos="5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ERISA.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trustee to administer any Plan or the PBGC shall have notified the Company or any ERISA Affiliate that a Plan may become a subject of any such proceedings,</w:t>
      </w:r>
    </w:p>
    <w:p>
      <w:pPr>
        <w:spacing w:after="0" w:line="38" w:lineRule="exact"/>
        <w:rPr>
          <w:sz w:val="20"/>
          <w:szCs w:val="20"/>
          <w:color w:val="auto"/>
        </w:rPr>
      </w:pPr>
    </w:p>
    <w:p>
      <w:pPr>
        <w:ind w:right="60" w:firstLine="8"/>
        <w:spacing w:after="0" w:line="252" w:lineRule="auto"/>
        <w:tabs>
          <w:tab w:leader="none" w:pos="30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aggregate “amount of unfunded benefit liabilities” (within the meaning of Section 4001(a)(18) of ERISA) under all Plans, determined in accordance with Title IV of ERISA, shall exceed 10.00% of Consolidated Net Worth,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 either individually or together with any other such event or events, could reasonably be expected to have a Material Adverse Effect; or</w:t>
      </w:r>
    </w:p>
    <w:p>
      <w:pPr>
        <w:spacing w:after="0" w:line="200" w:lineRule="exact"/>
        <w:rPr>
          <w:rFonts w:ascii="Arial" w:cs="Arial" w:eastAsia="Arial" w:hAnsi="Arial"/>
          <w:sz w:val="18"/>
          <w:szCs w:val="18"/>
          <w:color w:val="auto"/>
        </w:rPr>
      </w:pPr>
    </w:p>
    <w:p>
      <w:pPr>
        <w:ind w:right="40" w:firstLine="228"/>
        <w:spacing w:after="0" w:line="291" w:lineRule="auto"/>
        <w:tabs>
          <w:tab w:leader="none" w:pos="47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Change in Control. At any time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Company; or during any period of twelve consecutive calendar months, individuals who were directors of the Company on the first day of such period (together with any new directors whose election by such board or whose nomination for election by the shareholders of the Company was approved by a vote of a majority of the directors still in office who were either directors at the beginning of such period or whose election or nomination for election was previously so approved) shall cease to constitute a majority of the board of directors of the Company.</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used in Section 8.01(k), the terms “employee benefit plan” and “employee welfare benefit plan” shall have the respective meanings assigned to such terms in Section 3 of ERISA.</w:t>
      </w:r>
    </w:p>
    <w:p>
      <w:pPr>
        <w:spacing w:after="0" w:line="180" w:lineRule="exact"/>
        <w:rPr>
          <w:sz w:val="20"/>
          <w:szCs w:val="20"/>
          <w:color w:val="auto"/>
        </w:rPr>
      </w:pPr>
    </w:p>
    <w:p>
      <w:pPr>
        <w:ind w:right="100" w:firstLine="220"/>
        <w:spacing w:after="0" w:line="262"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Required Credit-Linked Lenders, take any or all of the following actions, which actions shall be taken simultaneously under this Agreement, the Seven Year Agreement and the Five Year Agreement:</w:t>
      </w:r>
    </w:p>
    <w:p>
      <w:pPr>
        <w:spacing w:after="0" w:line="192" w:lineRule="exact"/>
        <w:rPr>
          <w:sz w:val="20"/>
          <w:szCs w:val="20"/>
          <w:color w:val="auto"/>
        </w:rPr>
      </w:pPr>
    </w:p>
    <w:p>
      <w:pPr>
        <w:ind w:right="200" w:firstLine="228"/>
        <w:spacing w:after="0" w:line="268" w:lineRule="auto"/>
        <w:tabs>
          <w:tab w:leader="none" w:pos="50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declare any obligation of the Issuer to make Credit Extensions and the obligations of the Lenders to make Term Loans to be terminated, whereupon such commitments and obligation shall be terminated;</w:t>
      </w:r>
    </w:p>
    <w:p>
      <w:pPr>
        <w:spacing w:after="0" w:line="185" w:lineRule="exact"/>
        <w:rPr>
          <w:rFonts w:ascii="Arial" w:cs="Arial" w:eastAsia="Arial" w:hAnsi="Arial"/>
          <w:sz w:val="18"/>
          <w:szCs w:val="18"/>
          <w:color w:val="auto"/>
        </w:rPr>
      </w:pPr>
    </w:p>
    <w:p>
      <w:pPr>
        <w:ind w:right="180" w:firstLine="228"/>
        <w:spacing w:after="0" w:line="332" w:lineRule="auto"/>
        <w:tabs>
          <w:tab w:leader="none" w:pos="51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declare all amounts owing or payable hereunder (including the Prepayment Premium, if any) or under any other Credit Document to be immediately due and payable, without presentment, demand, protest or other notice of any kind, all of which are hereby expressly waived by the Company;</w:t>
      </w:r>
    </w:p>
    <w:p>
      <w:pPr>
        <w:spacing w:after="0" w:line="139" w:lineRule="exact"/>
        <w:rPr>
          <w:rFonts w:ascii="Arial" w:cs="Arial" w:eastAsia="Arial" w:hAnsi="Arial"/>
          <w:sz w:val="16"/>
          <w:szCs w:val="16"/>
          <w:color w:val="auto"/>
        </w:rPr>
      </w:pPr>
    </w:p>
    <w:p>
      <w:pPr>
        <w:ind w:firstLine="228"/>
        <w:spacing w:after="0" w:line="268" w:lineRule="auto"/>
        <w:tabs>
          <w:tab w:leader="none" w:pos="50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require that the Company Cash Collateralize the Credit Obligations (other than Advances and Term Loans) (in an amount equal to the Outstanding Amount thereof, as such amount may vary from time to time);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3" w:name="page144"/>
    <w:bookmarkEnd w:id="143"/>
    <w:p>
      <w:pPr>
        <w:ind w:right="320" w:firstLine="228"/>
        <w:spacing w:after="0" w:line="268" w:lineRule="auto"/>
        <w:tabs>
          <w:tab w:leader="none" w:pos="5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exercise on behalf of itself, the Issuer and the Lenders all rights and remedies available to it, the Issuer and the Lenders under the Credit Documents or applicable law;</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however, that upon the occurrence of an Event of Default pursuant to Sections 8.01(g) or (h), any obligation of the Issuer or the Lenders to make Credit Extensions shall automatically terminate, all unpaid amounts as aforesaid shall automatically become due and payable, and the obligation of the Company to Cash Collateralize the Credit Obligations (other than Advances and Term Loans) as aforesaid shall automatically become effective, in each case without further act of the Administrative Agent or any Lender.</w:t>
      </w:r>
    </w:p>
    <w:p>
      <w:pPr>
        <w:spacing w:after="0" w:line="197"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Thereafter, at the request of the Required Lenders, the Administrative Agent shall (x) withdraw from the Credit-Linked Deposit Account and distribute to the Lenders an amount equal to the excess of the Total Credit-Linked Deposit over the Outstanding Amount of the Credit Obligations (other than Advances and Term Loans), and (y) subject to, and to the extent of, the Company’s compliance with any Cash Collateralization requirements as aforesaid, withdraw from the Credit-Linked Deposit Account and distribute to the Lenders the aggregate amount of any remaining Credit-Linked Deposits to the extent of the amount credited to the Credit-Linked Deposit Account; in each case subject to any notice required pursuant to the Money Market Account Agreement.</w:t>
      </w:r>
    </w:p>
    <w:p>
      <w:pPr>
        <w:spacing w:after="0" w:line="164"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 Section 8.02 (or after the obligations of the Issuer to make Credit Extensions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automatically terminated and the Credit Obligations have automatically been required to be Cash Collateralized as set forth in the proviso to Section 8.02), any amounts received by the Administrative Agent, the Issuer or the Lenders on account of the Credit Obligations shall be applied by the Administrative Agent in the following order:</w:t>
      </w:r>
    </w:p>
    <w:p>
      <w:pPr>
        <w:spacing w:after="0" w:line="19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First, to payment of fees, indemnities, expenses and other amounts (including interest thereon, Attorney Costs and amounts payable under Article III) payable to the Administrative Agent in its capacity as such;</w:t>
      </w:r>
    </w:p>
    <w:p>
      <w:pPr>
        <w:spacing w:after="0" w:line="186"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Second, to payment of fees, indemnities and other amounts (excluding principal and interest on any Borrowings but including interest, if any, on any such fees, indemnities and other amounts) payable to the Issuer and the Lenders (including Attorney Costs and amounts payable under Article III), ratably among them in proportion to the amounts described in this clause Second payable to them;</w:t>
      </w:r>
    </w:p>
    <w:p>
      <w:pPr>
        <w:spacing w:after="0" w:line="194"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Third, to payment of that portion of the Credit Obligations constituting accrued and unpaid interest on the Borrowings, to the Issuer and ratably among the Lenders in proportion to the respective amounts described in this clause Third payable to them;</w:t>
      </w:r>
    </w:p>
    <w:p>
      <w:pPr>
        <w:spacing w:after="0" w:line="186"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Fourth, to payment of that portion of the Credit Obligations constituting unpaid principal of the Borrowings, to the Issuer and ratably among the Lenders in proportion to the respective amounts described in this clause Fourth held by them;</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Fifth, to the Administrative Agent for the account of the Issuer, to Cash Collateralize that portion of Credit Obligations comprised of the aggregate undrawn amount of Credits;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44" w:name="page145"/>
    <w:bookmarkEnd w:id="144"/>
    <w:p>
      <w:pPr>
        <w:ind w:left="220"/>
        <w:spacing w:after="0"/>
        <w:rPr>
          <w:sz w:val="20"/>
          <w:szCs w:val="20"/>
          <w:color w:val="auto"/>
        </w:rPr>
      </w:pPr>
      <w:r>
        <w:rPr>
          <w:rFonts w:ascii="Arial" w:cs="Arial" w:eastAsia="Arial" w:hAnsi="Arial"/>
          <w:sz w:val="18"/>
          <w:szCs w:val="18"/>
          <w:color w:val="auto"/>
        </w:rPr>
        <w:t>Last, the balance, if any, after all of the Credit Obligations have been paid in full, to the Company or as otherwise required by Law.</w:t>
      </w:r>
    </w:p>
    <w:p>
      <w:pPr>
        <w:spacing w:after="0" w:line="225" w:lineRule="exact"/>
        <w:rPr>
          <w:sz w:val="20"/>
          <w:szCs w:val="20"/>
          <w:color w:val="auto"/>
        </w:rPr>
      </w:pPr>
    </w:p>
    <w:p>
      <w:pPr>
        <w:ind w:right="180" w:firstLine="220"/>
        <w:spacing w:after="0" w:line="306" w:lineRule="auto"/>
        <w:rPr>
          <w:sz w:val="20"/>
          <w:szCs w:val="20"/>
          <w:color w:val="auto"/>
        </w:rPr>
      </w:pPr>
      <w:r>
        <w:rPr>
          <w:rFonts w:ascii="Arial" w:cs="Arial" w:eastAsia="Arial" w:hAnsi="Arial"/>
          <w:sz w:val="16"/>
          <w:szCs w:val="16"/>
          <w:color w:val="auto"/>
        </w:rPr>
        <w:t>Subject to Section 2.01(c), amounts used to Cash Collateralize the aggregate undrawn amount of Credits pursuant to clause Fifth above shall be applied to satisfy drawings under such Credits as they occur. If any amount remains on deposit as Cash Collateral after all Credits have either been fully drawn or expired, such remaining amount shall be applied to the other Credit Obligations, if any, in the order set forth above.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13"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b w:val="1"/>
          <w:bCs w:val="1"/>
          <w:color w:val="auto"/>
        </w:rPr>
        <w:t xml:space="preserve">9.01 Appointment and Authorization of Administrative Agent. </w:t>
      </w:r>
      <w:r>
        <w:rPr>
          <w:rFonts w:ascii="Arial" w:cs="Arial" w:eastAsia="Arial" w:hAnsi="Arial"/>
          <w:sz w:val="16"/>
          <w:szCs w:val="16"/>
          <w:color w:val="auto"/>
        </w:rPr>
        <w:t>(a) Each of the Lenders and the Issuer hereby irrevocably appoints, designates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the Administrative Agent to take such action on its behalf under the provisions of this Agreement and each other Credit Document and to exercise such powers and perform such duties as are expressly delegated to it by the terms of this Agreement or any other Credit Document, together with such powers as are reasonably incidental thereto. Notwithstanding any provision to the contrary contained elsewhere herein or in any other Credit Document, the Administrative Agent shall not have any duties or responsibilities, except those expressly set forth herein, nor shall the Administrative Agent have or be deemed to have any fiduciary relationship with the Issuer, any Lender or participant, and no implied covenants, functions, responsibilities, duties, obligations or liabilities shall be read into this Agreement or any other Credit Document or otherwise exist against the Administrative Agent. Without limiting the generality of the foregoing sentence, the use of the term “agent” herein and in the other Credit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5" w:lineRule="exact"/>
        <w:rPr>
          <w:sz w:val="20"/>
          <w:szCs w:val="20"/>
          <w:color w:val="auto"/>
        </w:rPr>
      </w:pPr>
    </w:p>
    <w:p>
      <w:pPr>
        <w:ind w:right="20" w:firstLine="228"/>
        <w:spacing w:after="0" w:line="294" w:lineRule="auto"/>
        <w:tabs>
          <w:tab w:leader="none" w:pos="51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Issuer shall act on behalf of the Lenders with respect to any Credits issued by it and the Issuer Documents associated therewith, and the Issuer shall have all of the benefits and immunities (i) provided to the Administrative Agent in this Article IX (other than Section 9.07) with respect to any acts taken or omissions suffered by the Issuer in connection with Credits issued by it or proposed to be issued by it and the Issuer Documents pertaining to such Credits as fully as if the term “Administrative Agent” as used in this Article IX and in the definition of “Agent-Related Person” included the Issuer with respect to such acts or omissions, and (ii) as additionally provided herein with respect to the Issuer.</w:t>
      </w:r>
    </w:p>
    <w:p>
      <w:pPr>
        <w:spacing w:after="0" w:line="164" w:lineRule="exact"/>
        <w:rPr>
          <w:sz w:val="20"/>
          <w:szCs w:val="20"/>
          <w:color w:val="auto"/>
        </w:rPr>
      </w:pPr>
    </w:p>
    <w:p>
      <w:pPr>
        <w:ind w:right="60" w:firstLine="220"/>
        <w:spacing w:after="0" w:line="258" w:lineRule="auto"/>
        <w:rPr>
          <w:sz w:val="20"/>
          <w:szCs w:val="20"/>
          <w:color w:val="auto"/>
        </w:rPr>
      </w:pPr>
      <w:r>
        <w:rPr>
          <w:rFonts w:ascii="Arial" w:cs="Arial" w:eastAsia="Arial" w:hAnsi="Arial"/>
          <w:sz w:val="18"/>
          <w:szCs w:val="18"/>
          <w:b w:val="1"/>
          <w:bCs w:val="1"/>
          <w:color w:val="auto"/>
        </w:rPr>
        <w:t xml:space="preserve">9.02 Delegation of Duties. </w:t>
      </w:r>
      <w:r>
        <w:rPr>
          <w:rFonts w:ascii="Arial" w:cs="Arial" w:eastAsia="Arial" w:hAnsi="Arial"/>
          <w:sz w:val="18"/>
          <w:szCs w:val="18"/>
          <w:color w:val="auto"/>
        </w:rPr>
        <w:t>The Administrative Agent may execute any of its duties under this Agreement or any other Credit Document by or through agents,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5" w:name="page146"/>
    <w:bookmarkEnd w:id="145"/>
    <w:p>
      <w:pPr>
        <w:ind w:right="40" w:firstLine="220"/>
        <w:spacing w:after="0" w:line="289" w:lineRule="auto"/>
        <w:rPr>
          <w:sz w:val="20"/>
          <w:szCs w:val="20"/>
          <w:color w:val="auto"/>
        </w:rPr>
      </w:pPr>
      <w:r>
        <w:rPr>
          <w:rFonts w:ascii="Arial" w:cs="Arial" w:eastAsia="Arial" w:hAnsi="Arial"/>
          <w:sz w:val="16"/>
          <w:szCs w:val="16"/>
          <w:b w:val="1"/>
          <w:bCs w:val="1"/>
          <w:color w:val="auto"/>
        </w:rPr>
        <w:t xml:space="preserve">9.03 Liability of Administrative Agent. </w:t>
      </w:r>
      <w:r>
        <w:rPr>
          <w:rFonts w:ascii="Arial" w:cs="Arial" w:eastAsia="Arial" w:hAnsi="Arial"/>
          <w:sz w:val="16"/>
          <w:szCs w:val="16"/>
          <w:color w:val="auto"/>
        </w:rPr>
        <w:t>No Agent-Related Person shall (a) be liable for any action taken or omitted to be taken by any of them 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or any other Credit Document or the transactions contemplated hereby (except for its own gross negligence or willful misconduct in connection with its duties expressly set forth herein), or (b) be responsible in any manner to any Lender or participant for any recital, statement, representation or warranty made by any Credit Party or any officer thereof, contained herein or in any other Credit Document, or in any certificate, report, statement or other document referred to or provided for in, or received by the Administrative Agent under or in connection with, this Agreement or any other Credit Document, or the validity, effectiveness, genuineness, enforceability or sufficiency of this Agreement or any other Credit Document, or for any failure of any Credit Party or any other party to any Credit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Credit Document, or to inspect the properties, books or records of any Credit Party or any Affiliate thereof.</w:t>
      </w:r>
    </w:p>
    <w:p>
      <w:pPr>
        <w:spacing w:after="0" w:line="167" w:lineRule="exact"/>
        <w:rPr>
          <w:sz w:val="20"/>
          <w:szCs w:val="20"/>
          <w:color w:val="auto"/>
        </w:rPr>
      </w:pPr>
    </w:p>
    <w:p>
      <w:pPr>
        <w:ind w:right="120" w:firstLine="220"/>
        <w:spacing w:after="0" w:line="288" w:lineRule="auto"/>
        <w:rPr>
          <w:sz w:val="20"/>
          <w:szCs w:val="20"/>
          <w:color w:val="auto"/>
        </w:rPr>
      </w:pPr>
      <w:r>
        <w:rPr>
          <w:rFonts w:ascii="Arial" w:cs="Arial" w:eastAsia="Arial" w:hAnsi="Arial"/>
          <w:sz w:val="16"/>
          <w:szCs w:val="16"/>
          <w:b w:val="1"/>
          <w:bCs w:val="1"/>
          <w:color w:val="auto"/>
        </w:rPr>
        <w:t xml:space="preserve">9.04 Reliance by Administrative Agent. </w:t>
      </w:r>
      <w:r>
        <w:rPr>
          <w:rFonts w:ascii="Arial" w:cs="Arial" w:eastAsia="Arial" w:hAnsi="Arial"/>
          <w:sz w:val="16"/>
          <w:szCs w:val="16"/>
          <w:color w:val="auto"/>
        </w:rPr>
        <w:t>(a) The Administrative Agent shall be entitled to rely, and shall be fully protected in relying, upon any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Credit Party), independent accountants and other experts selected by the Administrative Agent. The Administrative Agent shall be fully justified in failing or refusing to take any action under any Credit Document unless it shall first receive such advice or concurrence of the Required Credit-Linked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Credit Document in accordance with a request or consent of the Required Lenders or Required Credit-Linked Lenders, as applicable (or such greater number of Lenders as may be expressly required hereby in any instance) and such request and any action taken or failure to act pursuant thereto shall be binding upon all the Lenders.</w:t>
      </w:r>
    </w:p>
    <w:p>
      <w:pPr>
        <w:spacing w:after="0" w:line="175" w:lineRule="exact"/>
        <w:rPr>
          <w:sz w:val="20"/>
          <w:szCs w:val="20"/>
          <w:color w:val="auto"/>
        </w:rPr>
      </w:pPr>
    </w:p>
    <w:p>
      <w:pPr>
        <w:ind w:right="60" w:firstLine="228"/>
        <w:spacing w:after="0" w:line="256" w:lineRule="auto"/>
        <w:tabs>
          <w:tab w:leader="none" w:pos="5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1"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 xml:space="preserve">9.05 Notice of Default. </w:t>
      </w:r>
      <w:r>
        <w:rPr>
          <w:rFonts w:ascii="Arial" w:cs="Arial" w:eastAsia="Arial" w:hAnsi="Arial"/>
          <w:sz w:val="16"/>
          <w:szCs w:val="16"/>
          <w:color w:val="auto"/>
        </w:rPr>
        <w:t>The Administrative Agent shall not be deemed to have knowledge or notice of the occurrence of any Default or 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with respect to defaults in the payment of principal, interest and fees required to be paid to the Administrative Agent for the account of the Lenders, unless the Administrative Agent shall have received written notice from the Issuer, a Lender or the Company referring to this Agreement, describing</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ind w:right="180"/>
        <w:spacing w:after="0" w:line="255" w:lineRule="auto"/>
        <w:rPr>
          <w:sz w:val="20"/>
          <w:szCs w:val="20"/>
          <w:color w:val="auto"/>
        </w:rPr>
      </w:pPr>
      <w:r>
        <w:rPr>
          <w:rFonts w:ascii="Arial" w:cs="Arial" w:eastAsia="Arial" w:hAnsi="Arial"/>
          <w:sz w:val="18"/>
          <w:szCs w:val="18"/>
          <w:color w:val="auto"/>
        </w:rPr>
        <w:t>such Default or Event of Default and stating that such notice is a “notice of default.” The Administrative Agent will notify the Lenders of its receipt of any such notice. The Administrative Agent shall take such action with respect to such Default or Event of Default as may be directed by the Required Credit-Linked Lenders in accordance with Article VIII; provided, however,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Lenders.</w:t>
      </w:r>
    </w:p>
    <w:p>
      <w:pPr>
        <w:spacing w:after="0" w:line="191" w:lineRule="exact"/>
        <w:rPr>
          <w:sz w:val="20"/>
          <w:szCs w:val="20"/>
          <w:color w:val="auto"/>
        </w:rPr>
      </w:pPr>
    </w:p>
    <w:p>
      <w:pPr>
        <w:ind w:right="20" w:firstLine="220"/>
        <w:spacing w:after="0" w:line="285" w:lineRule="auto"/>
        <w:rPr>
          <w:sz w:val="20"/>
          <w:szCs w:val="20"/>
          <w:color w:val="auto"/>
        </w:rPr>
      </w:pPr>
      <w:r>
        <w:rPr>
          <w:rFonts w:ascii="Arial" w:cs="Arial" w:eastAsia="Arial" w:hAnsi="Arial"/>
          <w:sz w:val="16"/>
          <w:szCs w:val="16"/>
          <w:b w:val="1"/>
          <w:bCs w:val="1"/>
          <w:color w:val="auto"/>
        </w:rPr>
        <w:t xml:space="preserve">9.06 Credit Decision; Disclosure of Information by Administrative Agent. </w:t>
      </w:r>
      <w:r>
        <w:rPr>
          <w:rFonts w:ascii="Arial" w:cs="Arial" w:eastAsia="Arial" w:hAnsi="Arial"/>
          <w:sz w:val="16"/>
          <w:szCs w:val="16"/>
          <w:color w:val="auto"/>
        </w:rPr>
        <w:t>Each Lender and the Issuer acknowledges that no Agent-Related Person has</w:t>
      </w:r>
      <w:r>
        <w:rPr>
          <w:rFonts w:ascii="Arial" w:cs="Arial" w:eastAsia="Arial" w:hAnsi="Arial"/>
          <w:sz w:val="16"/>
          <w:szCs w:val="16"/>
          <w:b w:val="1"/>
          <w:bCs w:val="1"/>
          <w:color w:val="auto"/>
        </w:rPr>
        <w:t xml:space="preserve"> </w:t>
      </w:r>
      <w:r>
        <w:rPr>
          <w:rFonts w:ascii="Arial" w:cs="Arial" w:eastAsia="Arial" w:hAnsi="Arial"/>
          <w:sz w:val="16"/>
          <w:szCs w:val="16"/>
          <w:color w:val="auto"/>
        </w:rPr>
        <w:t>made any representation or warranty to it, and that no act by the Administrative Agent hereafter taken, including any consent to and acceptance of any assignment or review of the affairs of any Credit Party or any Affiliate thereof, shall be deemed to constitute any representation or warranty by any Agent-Related Person to any Lender as to any matter, including whether Agent-Related Persons have disclosed material information in their possession. Each Lender and the Issuer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Credit Parties and their respective Subsidiaries, and made its own decision to enter into this Agreement and to extend credit to the Company and any other Credit Parties hereunder. Each Lender and the Issuer hereby acknowledge that it has not relied on any Agent-Related Person (other than as a recipient of legal opinions of counsel to the Administrative Agent delivered pursuant to Section 4.01(a)(vi)) with respect to any bank or other regulatory Laws relating to the transactions contemplated hereby. Each Lender and the Issuer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Credit Documents, and to make such investigations as it deems necessary to inform itself as to the business, prospects, operations, property, financial and other condition and creditworthiness of the Company and the other Credit Parties. Except for notices, reports and other documents expressly required to be furnished to the Issuer and the Lenders by the Administrative Agent herein, the Administrative Agent shall not have any duty or responsibility to provide the Issuer or any Lender with any credit or other information concerning the business, prospects, operations, property, financial and other condition or creditworthiness of any of the Credit Parties or any of their respective Affiliates which may come into the possession of any Agent-Related Person.</w:t>
      </w:r>
    </w:p>
    <w:p>
      <w:pPr>
        <w:spacing w:after="0" w:line="175" w:lineRule="exact"/>
        <w:rPr>
          <w:sz w:val="20"/>
          <w:szCs w:val="20"/>
          <w:color w:val="auto"/>
        </w:rPr>
      </w:pPr>
    </w:p>
    <w:p>
      <w:pPr>
        <w:ind w:firstLine="220"/>
        <w:spacing w:after="0" w:line="296" w:lineRule="auto"/>
        <w:rPr>
          <w:sz w:val="20"/>
          <w:szCs w:val="20"/>
          <w:color w:val="auto"/>
        </w:rPr>
      </w:pPr>
      <w:r>
        <w:rPr>
          <w:rFonts w:ascii="Arial" w:cs="Arial" w:eastAsia="Arial" w:hAnsi="Arial"/>
          <w:sz w:val="16"/>
          <w:szCs w:val="16"/>
          <w:b w:val="1"/>
          <w:bCs w:val="1"/>
          <w:color w:val="auto"/>
        </w:rPr>
        <w:t xml:space="preserve">9.07 Indemnification of Administrative Agent. </w:t>
      </w:r>
      <w:r>
        <w:rPr>
          <w:rFonts w:ascii="Arial" w:cs="Arial" w:eastAsia="Arial" w:hAnsi="Arial"/>
          <w:sz w:val="16"/>
          <w:szCs w:val="16"/>
          <w:color w:val="auto"/>
        </w:rPr>
        <w:t>The Lenders shall indemnify upon demand, in Dollars, the Administrative Agent, in its capacity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the Affiliates (to the extent such Affiliates are acting for the Administrative Agent in such capacity), officers, directors, employees, agents and attorneys-in-fact thereof who are acting for or on behalf of the Administrative Agent (pursuant to the express authorization of, or by express delegation from, the Administrative Agent) in connection with this Agreement (to the extent not reimbursed by or on behalf of any Credit Party and without limiting the obligation of any Credit Party to do so),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its Pro Rata Share, and hold harmless each such</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7" w:name="page148"/>
    <w:bookmarkEnd w:id="147"/>
    <w:p>
      <w:pPr>
        <w:ind w:right="40"/>
        <w:spacing w:after="0" w:line="283" w:lineRule="auto"/>
        <w:rPr>
          <w:sz w:val="20"/>
          <w:szCs w:val="20"/>
          <w:color w:val="auto"/>
        </w:rPr>
      </w:pPr>
      <w:r>
        <w:rPr>
          <w:rFonts w:ascii="Arial" w:cs="Arial" w:eastAsia="Arial" w:hAnsi="Arial"/>
          <w:sz w:val="16"/>
          <w:szCs w:val="16"/>
          <w:color w:val="auto"/>
        </w:rPr>
        <w:t>Person from and against any and all liabilities, obligations, losses, damages, penalties, claims, demands, actions, judgments, suits, costs, expenses and disbursements (including reasonable Attorney Costs) of any kind or nature whatsoever which may at any time be imposed on, incurred by or asserted against any such Person in any way relating to or arising out of or in connection with (before or after the Closing Date) the execution, delivery, enforcement, performance or administration of any Credit Document or any other agreement, letter or instrument delivered in connection with the transactions contemplated thereby or the consummation of the transactions contemplated thereby (the “Agent Indemnified Liabilities”), incurred by any such Person in connection with the Administrative Agent’s exercise of powers and performance of duties expressly provided for under this Agreement; provided, however, that no Lender shall be liable for the payment to any such Person of any portion of such Agent Indemnified Liabilities resulting from such Person’s own gross negligence or willful misconduct; and provided further, however, that no action taken in accordance with the directions of the Required Lenders or Required Credit-Linked Lenders, as applicable, shall be deemed to constitute gross negligence or willful misconduct for purposes of this Section; and provided further, however, that the Agent Indemnified Liability was incurred by or asserted against the Administrative Agent in its capacity as such, or such Affiliate or other Person acting for the Administrative Agent in such capacity. Without limitation of the foregoing, each Lender shall reimburse the Administrative Agent upon demand for such Lender’s Pro Rata Share of any costs or out-of-pocket expenses (including reasonable Attorney Costs) incurred by the Administrative Agent (i) in connection with any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or (ii) otherwise, while an Event of Default exists, to the extent that the Administrative Agent is not reimbursed for such expenses by or on behalf of the Company within 30 days after demand therefor; provided in each case that such cost or expense was incurred by the Administrative Agent in its capacity as such; and provided, however, in each case that before making any demand on the Lenders for reimbursement of any such cost or expense, the Administrative Agent shall have first requested the Company to pay such amounts and made a good faith determination that the Company will not honor such request. Notwithstanding the foregoing, no Lender shall be liable for any indirect, special, punitive or consequential damages claimed by any Person under this Section 9.07 (other than such damages claimed by such Person as a result of such damages being claimed against such Person by a third party). The undertaking in this Section shall survive termination of the Credit-Linked Deposits, the payment of all other Credit Obligations and other amounts due hereunder and the resignation of the Administrative Agent. Notwithstanding the foregoing, (a) no Lender shall be obligated to reimburse or indemnify the Administrative Agent, in its capacity as Administrative Agent, and the Affiliates (to the extent such Affiliates are acting for the Administrative Agent in such capacity), officers, directors, employees, agents and attorneys-in-fact thereof, in respect of the transactions contemplated by Section 10.19 resulting from a Deposit Account Interest Non-Payment Event or in respect of any other nonpayment of funds owing to the Lenders, if such other nonpayment results solely from the Administrative Agent’s nonperformance of its paying agency duties hereunder (and not from any action or inaction of the Company or any other unrelated Person), and (b) no Lender shall be obligated to reimburse or indemnify BAS.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8" w:name="page149"/>
    <w:bookmarkEnd w:id="148"/>
    <w:p>
      <w:pPr>
        <w:ind w:right="40" w:firstLine="220"/>
        <w:spacing w:after="0" w:line="293" w:lineRule="auto"/>
        <w:rPr>
          <w:sz w:val="20"/>
          <w:szCs w:val="20"/>
          <w:color w:val="auto"/>
        </w:rPr>
      </w:pPr>
      <w:r>
        <w:rPr>
          <w:rFonts w:ascii="Arial" w:cs="Arial" w:eastAsia="Arial" w:hAnsi="Arial"/>
          <w:sz w:val="16"/>
          <w:szCs w:val="16"/>
          <w:b w:val="1"/>
          <w:bCs w:val="1"/>
          <w:color w:val="auto"/>
        </w:rPr>
        <w:t xml:space="preserve">9.08 Administrative Agent in its Individual Capacity. </w:t>
      </w:r>
      <w:r>
        <w:rPr>
          <w:rFonts w:ascii="Arial" w:cs="Arial" w:eastAsia="Arial" w:hAnsi="Arial"/>
          <w:sz w:val="16"/>
          <w:szCs w:val="16"/>
          <w:color w:val="auto"/>
        </w:rPr>
        <w:t>Bank of America and its Affiliates may make loans to, issue letters of credit and guarantees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undertakings for the account of, accept deposits from, acquire equity interests in and generally engage in any kind of banking, trust, financial advisory, underwriting or other business with each of the Credit Parties and their respective Affiliates as though Bank of America were not the Administrative Agent or the Issuer hereunder and without notice to or consent of the Lenders. The Lenders acknowledge that, pursuant to such activities, Bank of America or its Affiliates may receive information regarding any Credit Party or its Affiliates (including information that may be subject to confidentiality obligations in favor of such Credit Party or such Affiliate) and acknowledge that the Administrative Agent shall be under no obligation to provide such information to them.</w:t>
      </w:r>
    </w:p>
    <w:p>
      <w:pPr>
        <w:spacing w:after="0" w:line="165"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b w:val="1"/>
          <w:bCs w:val="1"/>
          <w:color w:val="auto"/>
        </w:rPr>
        <w:t xml:space="preserve">9.09 Successor Administrative Agent. </w:t>
      </w:r>
      <w:r>
        <w:rPr>
          <w:rFonts w:ascii="Arial" w:cs="Arial" w:eastAsia="Arial" w:hAnsi="Arial"/>
          <w:sz w:val="16"/>
          <w:szCs w:val="16"/>
          <w:color w:val="auto"/>
        </w:rPr>
        <w:t>The Administrative Agent may resign as Administrative Agent upon 30 days’ notice to the Lenders; 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resignation by Bank of America shall also constitute its resignation as Issuer under this Agreement; provided, however, the Administrative Agent may not resign if (i) it is the Issuer of any outstanding Credits under this Agreement or (ii) any Credit-Linked Deposits of any Lender exist. If the Administrative Agent resigns under this Agreement, the Required Credit-Linked Lenders shall appoint a successor administrative agent for the Lenders which successor administrative agent shall require the consent of the Company at all times other than during the existence of any Default or Event of Default (which consent of the Company shall not be unreasonably withheld or delayed). If no successor administrative agent is appointed prior to the effective date of the resignation of the Administrative Agent, the Administrative Agent may appoint, after consulting with the Credit-Linked Lenders and the Company, a successor administrative agent from among the Credit-Linked Lenders with the consent of such Credit-Linked Lender and the consent of the Company (which consent of the Company shall be required at all times other than during the existence of any Default or Event of Default and shall not be unreasonably withheld or delayed). The successor administrative agent under this Agreement, the Seven Year Agreement and the Five Year Agreement shall at all times be the same Person. Upon the acceptance of its appointment as successor administrative agent hereunder, the Person acting as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Article IX and Sections 10.04 and 10.05 shall inure to its benefit as to any actions taken or omitted to be taken by it while it was Administrative Agent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right="200" w:firstLine="220"/>
        <w:spacing w:after="0" w:line="301" w:lineRule="auto"/>
        <w:rPr>
          <w:sz w:val="20"/>
          <w:szCs w:val="20"/>
          <w:color w:val="auto"/>
        </w:rPr>
      </w:pPr>
      <w:r>
        <w:rPr>
          <w:rFonts w:ascii="Arial" w:cs="Arial" w:eastAsia="Arial" w:hAnsi="Arial"/>
          <w:sz w:val="16"/>
          <w:szCs w:val="16"/>
          <w:b w:val="1"/>
          <w:bCs w:val="1"/>
          <w:color w:val="auto"/>
        </w:rPr>
        <w:t xml:space="preserve">10.01 Amendments, Etc. </w:t>
      </w:r>
      <w:r>
        <w:rPr>
          <w:rFonts w:ascii="Arial" w:cs="Arial" w:eastAsia="Arial" w:hAnsi="Arial"/>
          <w:sz w:val="16"/>
          <w:szCs w:val="16"/>
          <w:color w:val="auto"/>
        </w:rPr>
        <w:t>No amendment or waiver of any provision of this Agreement or any other Credit Document (other than Issuer Documents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Section 2.01(b)), and no consent to any departure by the Company or any other Credit Party therefrom (other than a departure of Holdings pursuant to Section 11.09 of this Agreement), shall be effective unless (A) in writing signed by the Required Credit-Linked Lenders and the Company or the applicable Credit Party, as the case may be, and acknowledged by the Administrative</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spacing w:after="0" w:line="294" w:lineRule="auto"/>
        <w:rPr>
          <w:sz w:val="20"/>
          <w:szCs w:val="20"/>
          <w:color w:val="auto"/>
        </w:rPr>
      </w:pPr>
      <w:r>
        <w:rPr>
          <w:rFonts w:ascii="Arial" w:cs="Arial" w:eastAsia="Arial" w:hAnsi="Arial"/>
          <w:sz w:val="16"/>
          <w:szCs w:val="16"/>
          <w:color w:val="auto"/>
        </w:rPr>
        <w:t>Agent and (B) a corresponding amendment, waiver or consent under (i) the Seven Year Agreement and (ii) the Five Year Agreement is also effective (it being understood that the same terms and conditions with respect to such amendment, waiver or consent shall apply to all Credit-Linked Lenders), and each such waiver or consent shall be effective only in the specific instance and for the specific purpose for which given; provided, however, that no such amendment, waiver or consent shall, without the written consent of each Lender with Credit Obligations directly affected (whose consent shall be required for any such amendment, waiver or consent in addition to that of the Required Credit-Linked Lenders):</w:t>
      </w:r>
    </w:p>
    <w:p>
      <w:pPr>
        <w:spacing w:after="0" w:line="170" w:lineRule="exact"/>
        <w:rPr>
          <w:sz w:val="20"/>
          <w:szCs w:val="20"/>
          <w:color w:val="auto"/>
        </w:rPr>
      </w:pPr>
    </w:p>
    <w:p>
      <w:pPr>
        <w:ind w:left="520" w:hanging="292"/>
        <w:spacing w:after="0"/>
        <w:tabs>
          <w:tab w:leader="none" w:pos="5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waive any condition set forth in Section 4.01;</w:t>
      </w:r>
    </w:p>
    <w:p>
      <w:pPr>
        <w:spacing w:after="0" w:line="225" w:lineRule="exact"/>
        <w:rPr>
          <w:rFonts w:ascii="Arial" w:cs="Arial" w:eastAsia="Arial" w:hAnsi="Arial"/>
          <w:sz w:val="18"/>
          <w:szCs w:val="18"/>
          <w:color w:val="auto"/>
        </w:rPr>
      </w:pPr>
    </w:p>
    <w:p>
      <w:pPr>
        <w:ind w:right="120" w:firstLine="228"/>
        <w:spacing w:after="0" w:line="268" w:lineRule="auto"/>
        <w:tabs>
          <w:tab w:leader="none" w:pos="51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extend the Maturity Date or increase the Credit-Linked Deposit of any Lender (or reinstate any obligation to make Credit Extensions terminated pursuant to Section 8.02 in which such Lender participates);</w:t>
      </w:r>
    </w:p>
    <w:p>
      <w:pPr>
        <w:spacing w:after="0" w:line="185" w:lineRule="exact"/>
        <w:rPr>
          <w:rFonts w:ascii="Arial" w:cs="Arial" w:eastAsia="Arial" w:hAnsi="Arial"/>
          <w:sz w:val="18"/>
          <w:szCs w:val="18"/>
          <w:color w:val="auto"/>
        </w:rPr>
      </w:pPr>
    </w:p>
    <w:p>
      <w:pPr>
        <w:ind w:right="60" w:firstLine="228"/>
        <w:spacing w:after="0" w:line="259" w:lineRule="auto"/>
        <w:tabs>
          <w:tab w:leader="none" w:pos="50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Credit Document (other than Issuer Documents to the extent permitted by Section 2.01(b)) for any payment of principal, interest, fees or other amounts due to the Lenders (or any of them) hereunder or under any other Credit Document (other than Issuer Documents to the extent permitted by Section 2.01(b));</w:t>
      </w:r>
    </w:p>
    <w:p>
      <w:pPr>
        <w:spacing w:after="0" w:line="194" w:lineRule="exact"/>
        <w:rPr>
          <w:rFonts w:ascii="Arial" w:cs="Arial" w:eastAsia="Arial" w:hAnsi="Arial"/>
          <w:sz w:val="18"/>
          <w:szCs w:val="18"/>
          <w:color w:val="auto"/>
        </w:rPr>
      </w:pPr>
    </w:p>
    <w:p>
      <w:pPr>
        <w:jc w:val="both"/>
        <w:ind w:right="20" w:firstLine="228"/>
        <w:spacing w:after="0" w:line="283" w:lineRule="auto"/>
        <w:tabs>
          <w:tab w:leader="none" w:pos="51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reduce the principal of, or the rate of interest specified herein on, any Borrowing, or (subject to clause (iii) of the proviso below) any fees or other amounts payable hereunder or under any other Credit Document (other than Issuer Documents to the extent permitted by Section 2.01(b)); provided, however, that only the consent of the Required Credit-Linked Lenders shall be necessary to amend the definition of “Default Rate,” the amount of any increase in the Applicable Rate pursuant to the definition thereof during the existence of any Event of Default, or the interest rate applicable from time to time to Borrowings under</w:t>
      </w:r>
    </w:p>
    <w:p>
      <w:pPr>
        <w:spacing w:after="0" w:line="2" w:lineRule="exact"/>
        <w:rPr>
          <w:rFonts w:ascii="Arial" w:cs="Arial" w:eastAsia="Arial" w:hAnsi="Arial"/>
          <w:sz w:val="16"/>
          <w:szCs w:val="16"/>
          <w:color w:val="auto"/>
        </w:rPr>
      </w:pP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Section 2.04(a)(ii), or to waive any obligation of the Company to pay interest at the Default Rate or at the rate set forth in Section 2.04(a)(ii), or to increase the Applicable Rate during the existence of an Event of Default;</w:t>
      </w:r>
    </w:p>
    <w:p>
      <w:pPr>
        <w:spacing w:after="0" w:line="191" w:lineRule="exact"/>
        <w:rPr>
          <w:rFonts w:ascii="Arial" w:cs="Arial" w:eastAsia="Arial" w:hAnsi="Arial"/>
          <w:sz w:val="16"/>
          <w:szCs w:val="16"/>
          <w:color w:val="auto"/>
        </w:rPr>
      </w:pPr>
    </w:p>
    <w:p>
      <w:pPr>
        <w:ind w:left="520" w:hanging="292"/>
        <w:spacing w:after="0"/>
        <w:tabs>
          <w:tab w:leader="none" w:pos="5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change Section 2.08 or Section 8.03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w:t>
      </w:r>
    </w:p>
    <w:p>
      <w:pPr>
        <w:spacing w:after="0" w:line="225" w:lineRule="exact"/>
        <w:rPr>
          <w:rFonts w:ascii="Arial" w:cs="Arial" w:eastAsia="Arial" w:hAnsi="Arial"/>
          <w:sz w:val="18"/>
          <w:szCs w:val="18"/>
          <w:color w:val="auto"/>
        </w:rPr>
      </w:pPr>
    </w:p>
    <w:p>
      <w:pPr>
        <w:jc w:val="both"/>
        <w:ind w:right="440" w:firstLine="228"/>
        <w:spacing w:after="0" w:line="259" w:lineRule="auto"/>
        <w:tabs>
          <w:tab w:leader="none" w:pos="48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 any provision of this Section 10.01, or the definition of “Required Credit-Linked Lenders”, “Required Lenders” or any other provision hereof specifying the number or percentage of Lenders required to amend, waive or otherwise modify any rights hereunder or make any determination or grant any consent hereunder; or</w:t>
      </w:r>
    </w:p>
    <w:p>
      <w:pPr>
        <w:spacing w:after="0" w:line="194" w:lineRule="exact"/>
        <w:rPr>
          <w:rFonts w:ascii="Arial" w:cs="Arial" w:eastAsia="Arial" w:hAnsi="Arial"/>
          <w:sz w:val="18"/>
          <w:szCs w:val="18"/>
          <w:color w:val="auto"/>
        </w:rPr>
      </w:pPr>
    </w:p>
    <w:p>
      <w:pPr>
        <w:ind w:right="740" w:firstLine="228"/>
        <w:spacing w:after="0" w:line="268" w:lineRule="auto"/>
        <w:tabs>
          <w:tab w:leader="none" w:pos="51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release Holdings from any of the Guaranteed Obligations under the Holdings Guaranty (other than as expressly provided in Section 11.09 of this Agreement);</w:t>
      </w:r>
    </w:p>
    <w:p>
      <w:pPr>
        <w:spacing w:after="0" w:line="18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and, provided further, that (i) no amendment, waiver or consent shall, unless in writing and signed by the Issuer in addition to the Lenders required above, modify or waive any provision of Section 2.01(a) (including defined terms used therein) or otherwise affect the rights or duties of the Issuer under this Agreement or any Issuer Document relating to any Credit issued or to be issued by it; (ii) no amendment, waiver or consent shall, unless in writing and signed by the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50" w:name="page151"/>
    <w:bookmarkEnd w:id="150"/>
    <w:p>
      <w:pPr>
        <w:ind w:right="140"/>
        <w:spacing w:after="0" w:line="332" w:lineRule="auto"/>
        <w:rPr>
          <w:sz w:val="20"/>
          <w:szCs w:val="20"/>
          <w:color w:val="auto"/>
        </w:rPr>
      </w:pPr>
      <w:r>
        <w:rPr>
          <w:rFonts w:ascii="Arial" w:cs="Arial" w:eastAsia="Arial" w:hAnsi="Arial"/>
          <w:sz w:val="16"/>
          <w:szCs w:val="16"/>
          <w:color w:val="auto"/>
        </w:rPr>
        <w:t>Administrative Agent in addition to the Lenders required above, affect the rights or duties of the Administrative Agent under this Agreement or any other Credit Document; and (iii) the Fee Letter may be amended, or rights or privileges thereunder waived, in a writing executed only by the respective parties thereto.</w:t>
      </w:r>
    </w:p>
    <w:p>
      <w:pPr>
        <w:spacing w:after="0" w:line="133"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5"/>
          <w:szCs w:val="15"/>
          <w:b w:val="1"/>
          <w:bCs w:val="1"/>
          <w:color w:val="auto"/>
        </w:rPr>
        <w:t>Notices and Other Communications; Facsimile Copies.</w:t>
      </w:r>
    </w:p>
    <w:p>
      <w:pPr>
        <w:spacing w:after="0" w:line="231" w:lineRule="exact"/>
        <w:rPr>
          <w:sz w:val="20"/>
          <w:szCs w:val="20"/>
          <w:color w:val="auto"/>
        </w:rPr>
      </w:pPr>
    </w:p>
    <w:p>
      <w:pPr>
        <w:ind w:right="520" w:firstLine="228"/>
        <w:spacing w:after="0" w:line="286" w:lineRule="auto"/>
        <w:tabs>
          <w:tab w:leader="none" w:pos="50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General. Unless otherwise expressly provided herein, all notices and other communications provided for hereunder shall be in writing (including by facsimile transmission). All such written notices shall be mailed, faxed or delivered to the applicable address, facsimile number or (subject to subsection</w:t>
      </w:r>
    </w:p>
    <w:p>
      <w:pPr>
        <w:ind w:right="620" w:firstLine="8"/>
        <w:spacing w:after="0" w:line="261" w:lineRule="auto"/>
        <w:tabs>
          <w:tab w:leader="none" w:pos="23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below) electronic mail address, and all notices and other communications expressly permitted hereunder to be given by telephone shall be made to the applicable telephone number, as follows:</w:t>
      </w:r>
    </w:p>
    <w:p>
      <w:pPr>
        <w:spacing w:after="0" w:line="191" w:lineRule="exact"/>
        <w:rPr>
          <w:rFonts w:ascii="Arial" w:cs="Arial" w:eastAsia="Arial" w:hAnsi="Arial"/>
          <w:sz w:val="18"/>
          <w:szCs w:val="18"/>
          <w:color w:val="auto"/>
        </w:rPr>
      </w:pPr>
    </w:p>
    <w:p>
      <w:pPr>
        <w:ind w:right="280" w:firstLine="447"/>
        <w:spacing w:after="0" w:line="259" w:lineRule="auto"/>
        <w:tabs>
          <w:tab w:leader="none" w:pos="649"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if to the Company, Holdings, the Administrative Agent or the Issuer,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w:t>
      </w:r>
    </w:p>
    <w:p>
      <w:pPr>
        <w:spacing w:after="0" w:line="194" w:lineRule="exact"/>
        <w:rPr>
          <w:rFonts w:ascii="Arial" w:cs="Arial" w:eastAsia="Arial" w:hAnsi="Arial"/>
          <w:sz w:val="18"/>
          <w:szCs w:val="18"/>
          <w:color w:val="auto"/>
        </w:rPr>
      </w:pPr>
    </w:p>
    <w:p>
      <w:pPr>
        <w:ind w:right="60" w:firstLine="447"/>
        <w:spacing w:after="0" w:line="259" w:lineRule="auto"/>
        <w:tabs>
          <w:tab w:leader="none" w:pos="697"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Company, the Administrative Agent and the Issuer.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38" w:lineRule="exact"/>
        <w:rPr>
          <w:sz w:val="20"/>
          <w:szCs w:val="20"/>
          <w:color w:val="auto"/>
        </w:rPr>
      </w:pPr>
    </w:p>
    <w:p>
      <w:pPr>
        <w:ind w:right="20" w:firstLine="8"/>
        <w:spacing w:after="0" w:line="253" w:lineRule="auto"/>
        <w:tabs>
          <w:tab w:leader="none" w:pos="2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if delivered by hand or by courier, when signed for by or on behalf of the relevant party hereto; (B) if delivered by mail, four Business Days after deposit in the mails, postage prepaid; (C) if delivered by facsimile, when sent and receipt has been confirmed by telephone; and (D) if delivered by electronic mail (which form of delivery is subject to the provisions of subsection (c) below), when delivered; provided, however, that notices and other communications to the Administrative Agent and the Issuer pursuant to Article II shall not be effective until actually received by any such Person. In no event shall a voicemail message be effective as a notice, communication or confirmation hereunder.</w:t>
      </w:r>
    </w:p>
    <w:p>
      <w:pPr>
        <w:spacing w:after="0" w:line="199" w:lineRule="exact"/>
        <w:rPr>
          <w:rFonts w:ascii="Arial" w:cs="Arial" w:eastAsia="Arial" w:hAnsi="Arial"/>
          <w:sz w:val="18"/>
          <w:szCs w:val="18"/>
          <w:color w:val="auto"/>
        </w:rPr>
      </w:pPr>
    </w:p>
    <w:p>
      <w:pPr>
        <w:ind w:right="100" w:firstLine="228"/>
        <w:spacing w:after="0" w:line="255" w:lineRule="auto"/>
        <w:tabs>
          <w:tab w:leader="none" w:pos="51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Effectiveness of Facsimile Documents and Signatures. Credit Documents may be transmitted and/or signed by facsimile. The effectiveness of any such documents and signatures shall, subject to applicable Law, have the same force and effect as manually-signed originals and shall be binding on all Credit Parties, the Administrative Agent, the Issuer and the Lenders. The Administrative Agent may also require that any such documents and signatures be confirmed by a manually-signed original thereof; provided, however, that the failure to request or deliver the same shall not limit the effectiveness of any facsimile document or signature.</w:t>
      </w:r>
    </w:p>
    <w:p>
      <w:pPr>
        <w:spacing w:after="0" w:line="196" w:lineRule="exact"/>
        <w:rPr>
          <w:rFonts w:ascii="Arial" w:cs="Arial" w:eastAsia="Arial" w:hAnsi="Arial"/>
          <w:sz w:val="18"/>
          <w:szCs w:val="18"/>
          <w:color w:val="auto"/>
        </w:rPr>
      </w:pPr>
    </w:p>
    <w:p>
      <w:pPr>
        <w:jc w:val="both"/>
        <w:ind w:right="380" w:firstLine="228"/>
        <w:spacing w:after="0" w:line="259" w:lineRule="auto"/>
        <w:tabs>
          <w:tab w:leader="none" w:pos="50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Limited Use of Electronic Mail. Electronic mail and Internet and intranet websites may be used only to distribute routine communications, other than financial statements and other similar information, and to distribute Credit Documents for execution by the parties thereto, and may not be used for any other purpose.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1" w:name="page152"/>
    <w:bookmarkEnd w:id="151"/>
    <w:p>
      <w:pPr>
        <w:ind w:right="80" w:firstLine="228"/>
        <w:spacing w:after="0" w:line="291" w:lineRule="auto"/>
        <w:tabs>
          <w:tab w:leader="none" w:pos="51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Reliance by Administrative Agent, the Issuer and Lenders. The Administrative Agent, the Issuer and the Lenders shall be entitled to rely and act upon any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Agent-Related Person, each Issuer-Related Person and each Lender from all losses, costs, expenses and liabilities resulting from the reliance by such Person on each notice purportedly given by or on behalf of the Company. All telephonic notices to and other communications with the Administrative Agent may be recorded by the Administrative Agent, and each of the parties hereto hereby consents to such recording.</w:t>
      </w:r>
    </w:p>
    <w:p>
      <w:pPr>
        <w:spacing w:after="0" w:line="168" w:lineRule="exact"/>
        <w:rPr>
          <w:sz w:val="20"/>
          <w:szCs w:val="20"/>
          <w:color w:val="auto"/>
        </w:rPr>
      </w:pPr>
    </w:p>
    <w:p>
      <w:pPr>
        <w:ind w:right="60" w:firstLine="220"/>
        <w:spacing w:after="0" w:line="301" w:lineRule="auto"/>
        <w:rPr>
          <w:sz w:val="20"/>
          <w:szCs w:val="20"/>
          <w:color w:val="auto"/>
        </w:rPr>
      </w:pPr>
      <w:r>
        <w:rPr>
          <w:rFonts w:ascii="Arial" w:cs="Arial" w:eastAsia="Arial" w:hAnsi="Arial"/>
          <w:sz w:val="16"/>
          <w:szCs w:val="16"/>
          <w:b w:val="1"/>
          <w:bCs w:val="1"/>
          <w:color w:val="auto"/>
        </w:rPr>
        <w:t>10.03 No Waiver; Cumulative Remedies</w:t>
      </w:r>
      <w:r>
        <w:rPr>
          <w:rFonts w:ascii="Arial" w:cs="Arial" w:eastAsia="Arial" w:hAnsi="Arial"/>
          <w:sz w:val="16"/>
          <w:szCs w:val="16"/>
          <w:color w:val="auto"/>
        </w:rPr>
        <w:t>. No failure by any Lender, the Issuer or the Administrative Agent to exercise, and no delay by any such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57" w:lineRule="exact"/>
        <w:rPr>
          <w:sz w:val="20"/>
          <w:szCs w:val="20"/>
          <w:color w:val="auto"/>
        </w:rPr>
      </w:pPr>
    </w:p>
    <w:p>
      <w:pPr>
        <w:ind w:firstLine="220"/>
        <w:spacing w:after="0" w:line="306" w:lineRule="auto"/>
        <w:rPr>
          <w:sz w:val="20"/>
          <w:szCs w:val="20"/>
          <w:color w:val="auto"/>
        </w:rPr>
      </w:pPr>
      <w:r>
        <w:rPr>
          <w:rFonts w:ascii="Arial" w:cs="Arial" w:eastAsia="Arial" w:hAnsi="Arial"/>
          <w:sz w:val="15"/>
          <w:szCs w:val="15"/>
          <w:b w:val="1"/>
          <w:bCs w:val="1"/>
          <w:color w:val="auto"/>
        </w:rPr>
        <w:t>10.04 Attorney Costs, Expenses and Taxes</w:t>
      </w:r>
      <w:r>
        <w:rPr>
          <w:rFonts w:ascii="Arial" w:cs="Arial" w:eastAsia="Arial" w:hAnsi="Arial"/>
          <w:sz w:val="15"/>
          <w:szCs w:val="15"/>
          <w:color w:val="auto"/>
        </w:rPr>
        <w:t>. The Company agrees (a) (i) to pay or reimburse each of the Administrative Agent, the Issuer and special</w:t>
      </w:r>
      <w:r>
        <w:rPr>
          <w:rFonts w:ascii="Arial" w:cs="Arial" w:eastAsia="Arial" w:hAnsi="Arial"/>
          <w:sz w:val="15"/>
          <w:szCs w:val="15"/>
          <w:b w:val="1"/>
          <w:bCs w:val="1"/>
          <w:color w:val="auto"/>
        </w:rPr>
        <w:t xml:space="preserve"> </w:t>
      </w:r>
      <w:r>
        <w:rPr>
          <w:rFonts w:ascii="Arial" w:cs="Arial" w:eastAsia="Arial" w:hAnsi="Arial"/>
          <w:sz w:val="15"/>
          <w:szCs w:val="15"/>
          <w:color w:val="auto"/>
        </w:rPr>
        <w:t>counsel for the Lenders for all reasonable costs and expenses incurred in connection with the development, preparation, negotiation and execution of this Agreement and the other Credit Documents (whether or not the transactions contemplated hereby are consummated), and the consummation and administration of the transactions contemplated hereby, including all reasonable Attorney Costs, expenses and disbursements and (ii) to pay or reimburse each of the Administrative Agent, the Issuer and each Lender for all reasonable costs and expenses incurred in connection with any amendment, waiver, consent or other modification of the provisions of this Agreement and the other Credit Documents (whether or not the transactions contemplated thereby are consummated), including without limitation any out-of-pocket costs and expenses incurred in connection with the transactions contemplated by Section 10.19 of this Agreement, and the consummation and administration of the transactions contemplated thereby, including all reasonable Attorney Costs, expenses and disbursements, but excluding any such costs, expenses, attorneys’ fees, and disbursements of the Issuer and the Administrative Agent in connection with the transactions contemplated in Section 10.19 resulting from a Deposit Account Interest Non-Payment Event; and (b) to pay or reimburse the Administrative Agent, the Issuer and each Lender for all costs and expenses incurred in connection with the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including all Attorney Costs.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the Administrative Agent, the Issuer or any Lender. All amounts due under this Section 10.04 shall be payable within ten Business Days after demand therefor. The agreements in this Section 10.04 shall</w:t>
      </w:r>
    </w:p>
    <w:p>
      <w:pPr>
        <w:spacing w:after="0" w:line="381"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Ten Year Letter of Credit and Term Loan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survive the termination of the Credit-Linked Deposits and repayment of all Credit Obligations and all other amounts due hereunder.</w:t>
      </w:r>
    </w:p>
    <w:p>
      <w:pPr>
        <w:spacing w:after="0" w:line="219" w:lineRule="exact"/>
        <w:rPr>
          <w:sz w:val="20"/>
          <w:szCs w:val="20"/>
          <w:color w:val="auto"/>
        </w:rPr>
      </w:pPr>
    </w:p>
    <w:p>
      <w:pPr>
        <w:ind w:right="60" w:firstLine="220"/>
        <w:spacing w:after="0" w:line="284" w:lineRule="auto"/>
        <w:rPr>
          <w:sz w:val="20"/>
          <w:szCs w:val="20"/>
          <w:color w:val="auto"/>
        </w:rPr>
      </w:pPr>
      <w:r>
        <w:rPr>
          <w:rFonts w:ascii="Arial" w:cs="Arial" w:eastAsia="Arial" w:hAnsi="Arial"/>
          <w:sz w:val="16"/>
          <w:szCs w:val="16"/>
          <w:b w:val="1"/>
          <w:bCs w:val="1"/>
          <w:color w:val="auto"/>
        </w:rPr>
        <w:t>10.05 Indemnification by the Company</w:t>
      </w:r>
      <w:r>
        <w:rPr>
          <w:rFonts w:ascii="Arial" w:cs="Arial" w:eastAsia="Arial" w:hAnsi="Arial"/>
          <w:sz w:val="16"/>
          <w:szCs w:val="16"/>
          <w:color w:val="auto"/>
        </w:rPr>
        <w:t>. Whether or not the transactions contemplated hereby are consummated, the Company shall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each Agent-Related Person, each Issuer-Related Person, each Lender and their respective Affiliates, directors, officers, employees, counsel, agents and attorneys-in-fact (collectively, the “Indemnitees”) from and against any and all liabilities, obligations, losses, damages, penalties, claims, demands, actions, judgments, suits, costs, expenses and disbursements (including reasonable Attorney Costs) of any kind or nature whatsoever which may at any time be imposed on, incurred by or asserted against any such Indemnitee in any way relating to or arising out of or in connection with (before or after the Closing Date) (a) the execution, delivery, enforcement, performance or administration of any Credit Document or any other agreement, letter or instrument delivered in connection with the transactions contemplated thereby or the consummation of the transactions contemplated thereby, including without limitation the transactions contemplated by Section 10.19 of this Agreement but excluding any such liabilities, obligations, losses, damages, penalties, claims, demands, actions, judgments, suits, costs, expenses and disbursements of the Issuer and the Administrative Agent in connection with the transactions contemplated in Section 10.19 resulting from a Deposit Account Interest Non-Payment Event, (b) any Credit-Linked Deposit, Credit or the use or proposed use of the proceeds therefrom (including any refusal by the Issuer to honor a demand for payment under a Credit if the documents presented in connection with such demand do not strictly comply with the terms of such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“Indemnified Liabilities”), in all cases, whether or not caused by or arising, in whole or in part, out of the negligence of the Indemnitee; provided that such indemnity shall not, as to any Indemnitee, be available to the extent that such liabilities, obligations, losses, damages, penalties, claims, demands, actions, judgments, suits, costs, expenses or disbursements are determined by a court of competent jurisdiction by final and nonappealable judgment to have resulted from the gross negligence or willful misconduct of such Indemnitee. No Indemnitee shall be liable for any indirect, special, punitive or consequential damages relating to this Agreement or any other Credit Document or arising out of its activities in connection herewith or therewith (whether before or after the Closing Date). Notwithstanding the foregoing, the Company shall not be liable for any indirect, special, punitive or consequential damages claimed by an Indemnitee in connection with the transactions contemplated by Section 10.19 of this Agreement (other than such damages claimed by an Indemnitee as a result of such damages being claimed against such Indemnitee by a third party). All amounts due under this Section 10.05 shall be payable within ten Business Days after demand therefor. The agreements in this Section shall survive the resignation of the Administrative Agent, the replacement of any Lender, the termination of the Credit-Linked Deposits and the repayment, satisfaction or discharge of all the other Credit Obligations.</w:t>
      </w:r>
    </w:p>
    <w:p>
      <w:pPr>
        <w:spacing w:after="0" w:line="177" w:lineRule="exact"/>
        <w:rPr>
          <w:sz w:val="20"/>
          <w:szCs w:val="20"/>
          <w:color w:val="auto"/>
        </w:rPr>
      </w:pPr>
    </w:p>
    <w:p>
      <w:pPr>
        <w:ind w:right="180" w:firstLine="220"/>
        <w:spacing w:after="0" w:line="275" w:lineRule="auto"/>
        <w:rPr>
          <w:sz w:val="20"/>
          <w:szCs w:val="20"/>
          <w:color w:val="auto"/>
        </w:rPr>
      </w:pPr>
      <w:r>
        <w:rPr>
          <w:rFonts w:ascii="Arial" w:cs="Arial" w:eastAsia="Arial" w:hAnsi="Arial"/>
          <w:sz w:val="18"/>
          <w:szCs w:val="18"/>
          <w:b w:val="1"/>
          <w:bCs w:val="1"/>
          <w:color w:val="auto"/>
        </w:rPr>
        <w:t>10.06 Payments Set Aside</w:t>
      </w:r>
      <w:r>
        <w:rPr>
          <w:rFonts w:ascii="Arial" w:cs="Arial" w:eastAsia="Arial" w:hAnsi="Arial"/>
          <w:sz w:val="18"/>
          <w:szCs w:val="18"/>
          <w:color w:val="auto"/>
        </w:rPr>
        <w:t>. To the extent that any payment by or on behalf of the Company is made to the Administrative Agent, the Issuer or any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or the Administrative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3" w:name="page154"/>
    <w:bookmarkEnd w:id="153"/>
    <w:p>
      <w:pPr>
        <w:ind w:right="180"/>
        <w:spacing w:after="0" w:line="303" w:lineRule="auto"/>
        <w:rPr>
          <w:sz w:val="20"/>
          <w:szCs w:val="20"/>
          <w:color w:val="auto"/>
        </w:rPr>
      </w:pPr>
      <w:r>
        <w:rPr>
          <w:rFonts w:ascii="Arial" w:cs="Arial" w:eastAsia="Arial" w:hAnsi="Arial"/>
          <w:sz w:val="15"/>
          <w:szCs w:val="15"/>
          <w:color w:val="auto"/>
        </w:rPr>
        <w:t>Agent, the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Issuer or such Lender in its discretion) to be repaid to a trustee, receiver or any other party, in connection with any proceeding under any Debtor Relief Law or otherwise, then</w:t>
      </w:r>
    </w:p>
    <w:p>
      <w:pPr>
        <w:spacing w:after="0" w:line="1" w:lineRule="exact"/>
        <w:rPr>
          <w:sz w:val="20"/>
          <w:szCs w:val="20"/>
          <w:color w:val="auto"/>
        </w:rPr>
      </w:pPr>
    </w:p>
    <w:p>
      <w:pPr>
        <w:jc w:val="both"/>
        <w:ind w:right="60" w:firstLine="8"/>
        <w:spacing w:after="0" w:line="320" w:lineRule="auto"/>
        <w:tabs>
          <w:tab w:leader="none" w:pos="23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to the extent of such recovery, the obligation or part thereof originally intended to be satisfied shall be revived and continued in full force and effect as if such payment had not been made or such set-off had not occurred, and (b) the Issuer and each Lender severally agree to pay to the Administrative Agent upon demand its applicable share of any amount so recovered from or paid by the Administrative Agent, plus interest thereon from the date of such demand to the date such payment is made at a rate per annum equal to the Federal Funds Rate from time to time in effect, in the applicable currency of such recovery or payment.</w:t>
      </w:r>
    </w:p>
    <w:p>
      <w:pPr>
        <w:spacing w:after="0" w:line="148" w:lineRule="exact"/>
        <w:rPr>
          <w:sz w:val="20"/>
          <w:szCs w:val="20"/>
          <w:color w:val="auto"/>
        </w:rPr>
      </w:pPr>
    </w:p>
    <w:p>
      <w:pPr>
        <w:ind w:right="40" w:firstLine="220"/>
        <w:spacing w:after="0" w:line="304" w:lineRule="auto"/>
        <w:rPr>
          <w:sz w:val="20"/>
          <w:szCs w:val="20"/>
          <w:color w:val="auto"/>
        </w:rPr>
      </w:pPr>
      <w:r>
        <w:rPr>
          <w:rFonts w:ascii="Arial" w:cs="Arial" w:eastAsia="Arial" w:hAnsi="Arial"/>
          <w:sz w:val="15"/>
          <w:szCs w:val="15"/>
          <w:b w:val="1"/>
          <w:bCs w:val="1"/>
          <w:color w:val="auto"/>
        </w:rPr>
        <w:t>10.07 Successors and Assigns</w:t>
      </w:r>
      <w:r>
        <w:rPr>
          <w:rFonts w:ascii="Arial" w:cs="Arial" w:eastAsia="Arial" w:hAnsi="Arial"/>
          <w:sz w:val="15"/>
          <w:szCs w:val="15"/>
          <w:color w:val="auto"/>
        </w:rPr>
        <w:t>. (a) The provisions of this Agreement shall be binding upon and inure to the benefit of the parties hereto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assigns permitted hereby, except that the Company may not assign or otherwise transfer any of its rights or obligations hereunder without the prior written consent of the Issuer and each Lender and no Lender may assign or otherwise transfer any of its rights or obligations hereunder except (i) to an Eligible Assignee in accordance with the provisions of subsection (b) of this Section 10.07, (ii) by way of participation in accordance with the provisions of subsection</w:t>
      </w:r>
    </w:p>
    <w:p>
      <w:pPr>
        <w:spacing w:after="0" w:line="3" w:lineRule="exact"/>
        <w:rPr>
          <w:sz w:val="20"/>
          <w:szCs w:val="20"/>
          <w:color w:val="auto"/>
        </w:rPr>
      </w:pPr>
    </w:p>
    <w:p>
      <w:pPr>
        <w:ind w:right="60" w:firstLine="8"/>
        <w:spacing w:after="0" w:line="253" w:lineRule="auto"/>
        <w:tabs>
          <w:tab w:leader="none" w:pos="24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of this Section 10.07, (iii) by way of pledge or assignment of a security interest subject to the restrictions of subsection (f) of this Section 10.07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10.07 and, to the extent expressly contemplated hereby, the Indemnitees) any legal or equitable right, remedy or claim under or by reason of this Agreement.</w:t>
      </w:r>
    </w:p>
    <w:p>
      <w:pPr>
        <w:spacing w:after="0" w:line="199" w:lineRule="exact"/>
        <w:rPr>
          <w:rFonts w:ascii="Arial" w:cs="Arial" w:eastAsia="Arial" w:hAnsi="Arial"/>
          <w:sz w:val="18"/>
          <w:szCs w:val="18"/>
          <w:color w:val="auto"/>
        </w:rPr>
      </w:pPr>
    </w:p>
    <w:p>
      <w:pPr>
        <w:ind w:right="20" w:firstLine="228"/>
        <w:spacing w:after="0" w:line="286" w:lineRule="auto"/>
        <w:tabs>
          <w:tab w:leader="none" w:pos="51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Lender may at any time assign to another Lender or to one or more Eligible Assignees all or a portion of its rights and obligations under this Agreement (including all or a portion of its Credit-Linked Deposit and Credit Obligations at the time owing to it); provided that unless such assignment is to another Lender (i) upon such assignment, the aggregate principal amount of the Credit-Linked Deposit and Credit Obligations held by the assignee, determined as of the date the Assignment and Assumption with respect to such assignment is delivered to the Administrative Agent or, if “Trade Date” is specified in the Assignment and Assumption, as of the Trade Date, shall not be less than $5,000,000; (ii) each partial assignment shall be made as an assignment of a proportionate part of all the assigning Lender’s rights and obligations under this Agreement with respect to the Credit Obligations and the Credit-Linked Deposit assigned; and (iii) the parties to each assignment shall execute and deliver to the Administrative Agent an Assignment and Assumption. Subject to acceptance and recording thereof by the Administrative Agent pursuant to subsection (c) of this Section 10.07,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54" w:name="page155"/>
    <w:bookmarkEnd w:id="154"/>
    <w:p>
      <w:pPr>
        <w:ind w:right="100"/>
        <w:spacing w:after="0" w:line="254" w:lineRule="auto"/>
        <w:rPr>
          <w:sz w:val="20"/>
          <w:szCs w:val="20"/>
          <w:color w:val="auto"/>
        </w:rPr>
      </w:pPr>
      <w:r>
        <w:rPr>
          <w:rFonts w:ascii="Arial" w:cs="Arial" w:eastAsia="Arial" w:hAnsi="Arial"/>
          <w:sz w:val="18"/>
          <w:szCs w:val="18"/>
          <w:color w:val="auto"/>
        </w:rPr>
        <w:t>case of an Assignment and Assumption covering all of the assigning Lender’s rights and obligations under this Agreement, such Lender shall cease to be a party hereto but shall continue to be entitled to the benefits of Sections 3.01, 3.02, 3.03, 10.04 and 10.05 with respect to facts and circumstances occurring prior to the effective date of such assignment). Upon request, the Company (at its expense) shall execute and deliver a Letter of Credit Linked Note and one or more Term Notes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10.07.</w:t>
      </w:r>
    </w:p>
    <w:p>
      <w:pPr>
        <w:spacing w:after="0" w:line="198" w:lineRule="exact"/>
        <w:rPr>
          <w:sz w:val="20"/>
          <w:szCs w:val="20"/>
          <w:color w:val="auto"/>
        </w:rPr>
      </w:pPr>
    </w:p>
    <w:p>
      <w:pPr>
        <w:ind w:right="200" w:firstLine="228"/>
        <w:spacing w:after="0" w:line="291" w:lineRule="auto"/>
        <w:tabs>
          <w:tab w:leader="none" w:pos="50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Company, shall maintain at the Administrative Agent’s Office a copy of each Assignment and Assumption delivered to it and a register for the recordation of the names and addresses of the Lenders, and the Credit-Linked Deposit of, and amounts of the Credit Obligations owing to, each Lender pursuant to the terms hereof from time to time (the “Register”). The entries in the Register shall be conclusive absent manifest error and the Company, the Administrative Agent, the Issuer and the Lenders may treat each Person whose name is recorded in the Register pursuant to the terms hereof as a Lender hereunder for all purposes of this Agreement, notwithstanding notice to the contrary. The Register shall be available for inspection by the Company, the Issuer and any Lender, at any reasonable time and from time to time upon reasonable prior notice.</w:t>
      </w:r>
    </w:p>
    <w:p>
      <w:pPr>
        <w:spacing w:after="0" w:line="174" w:lineRule="exact"/>
        <w:rPr>
          <w:rFonts w:ascii="Arial" w:cs="Arial" w:eastAsia="Arial" w:hAnsi="Arial"/>
          <w:sz w:val="16"/>
          <w:szCs w:val="16"/>
          <w:color w:val="auto"/>
        </w:rPr>
      </w:pPr>
    </w:p>
    <w:p>
      <w:pPr>
        <w:ind w:right="20" w:firstLine="228"/>
        <w:spacing w:after="0" w:line="286" w:lineRule="auto"/>
        <w:tabs>
          <w:tab w:leader="none" w:pos="51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Lender may at any time, without notice to or the consent of the Administrative Agent, sell participations to any Person (other than a natural person or the Company or any of the Company’s Affiliates or Subsidiaries) (each, a “Participant”) in all or a portion of such Lender’s rights and/or obligations under this Agreement (including all or a portion of its Credit-Linked Deposit and/or such Lender’s Term Loans and/or Participations in Credit Obligations owing to it); provided that (i) such Lender’s obligations under this Agreement shall remain unchanged, (ii) such Lender shall remain solely responsible to the other parties hereto for the performance of such obligations and (iii) the Company, the Administrative Agent, the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Section 10.01 that directly affects such Participant. Subject to subsection (e) of this Section 10.07, the Company agrees that each Participant shall be entitled to the benefits of Sections 3.01, 3.02 and 3.03 to the same extent as if it were a Lender and had acquired its interest by assignment pursuant to subsection (b) of this Section 10.07. To the extent permitted by Law, each Participant also shall be entitled to the benefits of Section 10.09 as though it were a Lender, provided such Participant agrees to be subject to Section 2.09 as though it were a Lender.</w:t>
      </w:r>
    </w:p>
    <w:p>
      <w:pPr>
        <w:spacing w:after="0" w:line="174" w:lineRule="exact"/>
        <w:rPr>
          <w:rFonts w:ascii="Arial" w:cs="Arial" w:eastAsia="Arial" w:hAnsi="Arial"/>
          <w:sz w:val="16"/>
          <w:szCs w:val="16"/>
          <w:color w:val="auto"/>
        </w:rPr>
      </w:pPr>
    </w:p>
    <w:p>
      <w:pPr>
        <w:ind w:right="540" w:firstLine="228"/>
        <w:spacing w:after="0" w:line="332" w:lineRule="auto"/>
        <w:tabs>
          <w:tab w:leader="none" w:pos="50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3.01 or 3.05 than the applicable Lender would have been entitled to receive with respect to the participation sold to such Participant, unless the sale of the participation to such Participant is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55" w:name="page156"/>
    <w:bookmarkEnd w:id="155"/>
    <w:p>
      <w:pPr>
        <w:ind w:right="240"/>
        <w:spacing w:after="0" w:line="259" w:lineRule="auto"/>
        <w:rPr>
          <w:sz w:val="20"/>
          <w:szCs w:val="20"/>
          <w:color w:val="auto"/>
        </w:rPr>
      </w:pPr>
      <w:r>
        <w:rPr>
          <w:rFonts w:ascii="Arial" w:cs="Arial" w:eastAsia="Arial" w:hAnsi="Arial"/>
          <w:sz w:val="18"/>
          <w:szCs w:val="18"/>
          <w:color w:val="auto"/>
        </w:rPr>
        <w:t>made with the Company’s prior written consent. A Participant that would be a Foreign Lender if it were a Lender shall not be entitled to the benefits of Section 3.01 unless the Company is notified of the participation sold to such Participant and such Participant agrees, for the benefit of the Company, to comply with Section 10.15 as though it were a Lender.</w:t>
      </w:r>
    </w:p>
    <w:p>
      <w:pPr>
        <w:spacing w:after="0" w:line="194" w:lineRule="exact"/>
        <w:rPr>
          <w:sz w:val="20"/>
          <w:szCs w:val="20"/>
          <w:color w:val="auto"/>
        </w:rPr>
      </w:pPr>
    </w:p>
    <w:p>
      <w:pPr>
        <w:jc w:val="both"/>
        <w:ind w:right="520" w:firstLine="228"/>
        <w:spacing w:after="0" w:line="306" w:lineRule="auto"/>
        <w:tabs>
          <w:tab w:leader="none" w:pos="48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54" w:lineRule="exact"/>
        <w:rPr>
          <w:rFonts w:ascii="Arial" w:cs="Arial" w:eastAsia="Arial" w:hAnsi="Arial"/>
          <w:sz w:val="16"/>
          <w:szCs w:val="16"/>
          <w:color w:val="auto"/>
        </w:rPr>
      </w:pPr>
    </w:p>
    <w:p>
      <w:pPr>
        <w:jc w:val="both"/>
        <w:ind w:right="220" w:firstLine="228"/>
        <w:spacing w:after="0" w:line="258" w:lineRule="auto"/>
        <w:tabs>
          <w:tab w:leader="none" w:pos="512"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Assignment of Credit-Linked Deposit</w:t>
      </w:r>
      <w:r>
        <w:rPr>
          <w:rFonts w:ascii="Arial" w:cs="Arial" w:eastAsia="Arial" w:hAnsi="Arial"/>
          <w:sz w:val="18"/>
          <w:szCs w:val="18"/>
          <w:color w:val="auto"/>
        </w:rPr>
        <w:t>. The Credit-Linked Deposit funded by any Lender under Section 2.01(c)(ii) shall not be released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assignment of its Credit-Linked Deposit, but shall instead be purchased by the relevant assignee and continue to be held for application (if not already applied in accordance with the terms of Section 2.01(c)(ii) or 2.03) pursuant to Section 2.01(c)(ii) in respect of such assignee’s obligations under the Credit-Linked Deposit assigned to it.</w:t>
      </w:r>
    </w:p>
    <w:p>
      <w:pPr>
        <w:spacing w:after="0" w:line="190" w:lineRule="exact"/>
        <w:rPr>
          <w:sz w:val="20"/>
          <w:szCs w:val="20"/>
          <w:color w:val="auto"/>
        </w:rPr>
      </w:pPr>
    </w:p>
    <w:p>
      <w:pPr>
        <w:ind w:firstLine="220"/>
        <w:spacing w:after="0" w:line="285" w:lineRule="auto"/>
        <w:rPr>
          <w:sz w:val="20"/>
          <w:szCs w:val="20"/>
          <w:color w:val="auto"/>
        </w:rPr>
      </w:pPr>
      <w:r>
        <w:rPr>
          <w:rFonts w:ascii="Arial" w:cs="Arial" w:eastAsia="Arial" w:hAnsi="Arial"/>
          <w:sz w:val="16"/>
          <w:szCs w:val="16"/>
          <w:b w:val="1"/>
          <w:bCs w:val="1"/>
          <w:color w:val="auto"/>
        </w:rPr>
        <w:t>10.08 Confidentiality</w:t>
      </w:r>
      <w:r>
        <w:rPr>
          <w:rFonts w:ascii="Arial" w:cs="Arial" w:eastAsia="Arial" w:hAnsi="Arial"/>
          <w:sz w:val="16"/>
          <w:szCs w:val="16"/>
          <w:color w:val="auto"/>
        </w:rPr>
        <w:t>. For the purposes of this Section 10.08, “Confidential Information” means information delivered to the Administrative Agent,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 or any Lender by or on behalf of the Company or any Subsidiary in connection with the transactions contemplated by or otherwise pursuant to this Agreement that is proprietary in nature and that was clearly marked or labeled or otherwise adequately identified when received by it as being confidential information of the Company or such Subsidiary, provided that such term does not include information that (a) was publicly known or otherwise known to it prior to the time of such disclosure, (b) subsequently becomes publicly known through no act or omission by it or any Person acting on its behalf, (c) otherwise becomes known to it other than through disclosure by the Company or any Subsidiary or (d) constitutes financial statements delivered to it under Section 6.01 that are otherwise publicly available. Each of the Administrative Agent, the Issuer and the Lenders will maintain the confidentiality of such Confidential Information delivered to or received by it in accordance with procedures adopted by it in good faith to protect confidential information of third parties delivered to it, provided that the Administrative Agent, the Issuer or any Lender may deliver or disclose Confidential Information to (i) its directors, officers, employees, agents, attorneys and Affiliates (to the extent such disclosure reasonably relates to the administration of the Credit Documents by the Administrative Agent, the Issuer or any Lender), (ii) its financial advisors and other professional advisors who agree to hold confidential the Confidential Information substantially in accordance with the terms of this Section 10.08, (iii) any other party to this Agreement, (iv) any Eligible Assignee to which any Lender sells or offers to sell its Credit-Linked Deposit and Credit Obligations or any part thereof or any Participation therein (if such Person has agreed in writing prior to its receipt of such Confidential Information to be bound by the provisions of this Section 10.08), (v) any Person from which it offers to purchase any security of the Company (if such Person has agreed in writing prior to its receipt of such Confidential Information to be bound by the provisions of this Section 10.08), (vi) any federal or state regulatory authority having jurisdiction over it, (vii) the National Association of Insurance Commissioners or any similar organization, or any nationally recognized rating agency that requires access to information about its investment portfolio, or</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6" w:name="page157"/>
    <w:bookmarkEnd w:id="156"/>
    <w:p>
      <w:pPr>
        <w:ind w:firstLine="8"/>
        <w:spacing w:after="0" w:line="286" w:lineRule="auto"/>
        <w:tabs>
          <w:tab w:leader="none" w:pos="43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other Person to which such delivery or disclosure may be necessary or appropriate (w) to effect compliance with any law, rule, regulation or order applicable to it, (x) in response to any subpoena or other legal process, (y) in connection with any litigation to which it is a party or (z) if an Event of Default has occurred and is continuing, to the extent it may reasonably determine such delivery and disclosure to be necessary or appropriate in the enforcement or for the protection of the rights and remedies under the Letter of Credit Linked Notes, the Term Notes and this Agreement. Each Eligible Assignee, by its execution of an Assignment and Assumption, will be deemed to have agreed to be bound by and to be entitled to the benefits of this Section 10.08 as though it were a party to this Agreement. Notwithstanding anything herein to the contrary, “Confidential Information” shall not include, and the Issuer, the Administrative Agent and each Lender may disclose without limitation of any kind, any information with respect to the “tax treatment” and “tax structure” (in each case, within the meaning of Treasury Regulation Section 1.6011-4) of the transactions contemplated hereby and all materials of any kind (including opinions or other tax analyses) that are provided to the Issuer, the Administrative Agent or such Lender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tax treatment or tax structure of the Credits, Advances, Term Loans and transactions contemplated hereby.</w:t>
      </w:r>
    </w:p>
    <w:p>
      <w:pPr>
        <w:spacing w:after="0" w:line="172"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b w:val="1"/>
          <w:bCs w:val="1"/>
          <w:color w:val="auto"/>
        </w:rPr>
        <w:t>10.09</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right="240" w:firstLine="220"/>
        <w:spacing w:after="0" w:line="275" w:lineRule="auto"/>
        <w:rPr>
          <w:sz w:val="20"/>
          <w:szCs w:val="20"/>
          <w:color w:val="auto"/>
        </w:rPr>
      </w:pPr>
      <w:r>
        <w:rPr>
          <w:rFonts w:ascii="Arial" w:cs="Arial" w:eastAsia="Arial" w:hAnsi="Arial"/>
          <w:sz w:val="18"/>
          <w:szCs w:val="18"/>
          <w:b w:val="1"/>
          <w:bCs w:val="1"/>
          <w:color w:val="auto"/>
        </w:rPr>
        <w:t>10.10 Representations and Warranties of Each Lender</w:t>
      </w:r>
      <w:r>
        <w:rPr>
          <w:rFonts w:ascii="Arial" w:cs="Arial" w:eastAsia="Arial" w:hAnsi="Arial"/>
          <w:sz w:val="18"/>
          <w:szCs w:val="18"/>
          <w:color w:val="auto"/>
        </w:rPr>
        <w:t>. Each Lender (for itself, and not for any other Lender) represents and warrants to the Issuer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80" w:lineRule="exact"/>
        <w:rPr>
          <w:sz w:val="20"/>
          <w:szCs w:val="20"/>
          <w:color w:val="auto"/>
        </w:rPr>
      </w:pPr>
    </w:p>
    <w:p>
      <w:pPr>
        <w:ind w:right="20" w:firstLine="228"/>
        <w:spacing w:after="0" w:line="253" w:lineRule="auto"/>
        <w:tabs>
          <w:tab w:leader="none" w:pos="5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Purchase for Investment. Such Lender is an institutional “accredited investor” within the meaning of subparagraphs (1), (2), (3) or (7) of Rule 501(a) promulgated under the Securities Act. Such Lender represents that it is purchasing its Participation in this Agreement, its Letter of Credit Linked Note and its Term Notes, if any, for its own account or for one or more separate accounts maintained by it or for the account of one or more pension or trust funds and not with a view to the distribution thereof, provided that the disposition of its or their property shall at all times be within its or their control. Such Lender understands that the Letter of Credit Linked Notes and Term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Issuer, the Administrative Agent and the Company are not required to register the Letter of Credit Linked Notes and Term Notes.</w:t>
      </w:r>
    </w:p>
    <w:p>
      <w:pPr>
        <w:spacing w:after="0" w:line="199" w:lineRule="exact"/>
        <w:rPr>
          <w:rFonts w:ascii="Arial" w:cs="Arial" w:eastAsia="Arial" w:hAnsi="Arial"/>
          <w:sz w:val="18"/>
          <w:szCs w:val="18"/>
          <w:color w:val="auto"/>
        </w:rPr>
      </w:pPr>
    </w:p>
    <w:p>
      <w:pPr>
        <w:ind w:right="80" w:firstLine="228"/>
        <w:spacing w:after="0" w:line="268" w:lineRule="auto"/>
        <w:tabs>
          <w:tab w:leader="none" w:pos="5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Source of Funds. Such Lender represents that at least one of the following statements is an accurate representation as to each source of funds (a “Source”) to be used by it to pay the purchase price of its Participation in this Agreement:</w:t>
      </w:r>
    </w:p>
    <w:p>
      <w:pPr>
        <w:spacing w:after="0" w:line="185" w:lineRule="exact"/>
        <w:rPr>
          <w:rFonts w:ascii="Arial" w:cs="Arial" w:eastAsia="Arial" w:hAnsi="Arial"/>
          <w:sz w:val="18"/>
          <w:szCs w:val="18"/>
          <w:color w:val="auto"/>
        </w:rPr>
      </w:pPr>
    </w:p>
    <w:p>
      <w:pPr>
        <w:ind w:right="500" w:firstLine="447"/>
        <w:spacing w:after="0" w:line="306" w:lineRule="auto"/>
        <w:tabs>
          <w:tab w:leader="none" w:pos="64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Source is an “insurance company general account” (as the term is defined in the United States Department of Labor’s Prohibited Transaction Exemption (“PTE”) 95-60) in respect of which the reserves and liabilities (as defined by the annual statement for life insurance companies approved by the National Association of Insurance Commissioners (the “NAIC Annual Statement”)) for the general account contract(s) held by or on behalf of any</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57" w:name="page158"/>
    <w:bookmarkEnd w:id="157"/>
    <w:p>
      <w:pPr>
        <w:ind w:right="120"/>
        <w:spacing w:after="0" w:line="256" w:lineRule="auto"/>
        <w:rPr>
          <w:sz w:val="20"/>
          <w:szCs w:val="20"/>
          <w:color w:val="auto"/>
        </w:rPr>
      </w:pPr>
      <w:r>
        <w:rPr>
          <w:rFonts w:ascii="Arial" w:cs="Arial" w:eastAsia="Arial" w:hAnsi="Arial"/>
          <w:sz w:val="18"/>
          <w:szCs w:val="18"/>
          <w:color w:val="auto"/>
        </w:rPr>
        <w:t>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Lender’s state of domicile; or</w:t>
      </w:r>
    </w:p>
    <w:p>
      <w:pPr>
        <w:spacing w:after="0" w:line="197" w:lineRule="exact"/>
        <w:rPr>
          <w:sz w:val="20"/>
          <w:szCs w:val="20"/>
          <w:color w:val="auto"/>
        </w:rPr>
      </w:pPr>
    </w:p>
    <w:p>
      <w:pPr>
        <w:ind w:right="200" w:firstLine="447"/>
        <w:spacing w:after="0" w:line="306" w:lineRule="auto"/>
        <w:tabs>
          <w:tab w:leader="none" w:pos="69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Source is a separate account that is maintained solely in connection with such Lender’s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0" w:lineRule="exact"/>
        <w:rPr>
          <w:rFonts w:ascii="Arial" w:cs="Arial" w:eastAsia="Arial" w:hAnsi="Arial"/>
          <w:sz w:val="16"/>
          <w:szCs w:val="16"/>
          <w:color w:val="auto"/>
        </w:rPr>
      </w:pPr>
    </w:p>
    <w:p>
      <w:pPr>
        <w:ind w:right="60" w:firstLine="447"/>
        <w:spacing w:after="0" w:line="256" w:lineRule="auto"/>
        <w:tabs>
          <w:tab w:leader="none" w:pos="7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Source is either (A) an insurance company pooled separate account, within the meaning of PTE 90-1 or (B) a bank collective investment fund, within the meaning of the PTE 91-38 and, except as disclosed by such Lender to the Issuer and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spacing w:after="0" w:line="197" w:lineRule="exact"/>
        <w:rPr>
          <w:rFonts w:ascii="Arial" w:cs="Arial" w:eastAsia="Arial" w:hAnsi="Arial"/>
          <w:sz w:val="18"/>
          <w:szCs w:val="18"/>
          <w:color w:val="auto"/>
        </w:rPr>
      </w:pPr>
    </w:p>
    <w:p>
      <w:pPr>
        <w:ind w:right="60" w:firstLine="447"/>
        <w:spacing w:after="0" w:line="289" w:lineRule="auto"/>
        <w:tabs>
          <w:tab w:leader="none" w:pos="73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Source constitutes assets of an “investment fund” (within the meaning of Part V of PTE 84-14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Section I(c) and (g) of the QPAM Exemption are satisfied, neither the QPAM nor a person controlling or controlled by the QPAM (applying the definition of “control” in Section V(e) of the QPAM Exemption) owns a 5% or more interest in the Issuer or the Company and (i) the identity of such QPAM and (ii) the names of all employee benefit plans whose assets are included in such investment fund have been disclosed to the Issuer and the Company in writing pursuant to this clause (iv); or</w:t>
      </w:r>
    </w:p>
    <w:p>
      <w:pPr>
        <w:spacing w:after="0" w:line="172" w:lineRule="exact"/>
        <w:rPr>
          <w:rFonts w:ascii="Arial" w:cs="Arial" w:eastAsia="Arial" w:hAnsi="Arial"/>
          <w:sz w:val="16"/>
          <w:szCs w:val="16"/>
          <w:color w:val="auto"/>
        </w:rPr>
      </w:pPr>
    </w:p>
    <w:p>
      <w:pPr>
        <w:ind w:right="60" w:firstLine="447"/>
        <w:spacing w:after="0" w:line="294" w:lineRule="auto"/>
        <w:tabs>
          <w:tab w:leader="none" w:pos="68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Source constitutes assets of one or more “plans” (within the meaning of Part IV of PTE 96-23 (the “INHAM Exemption”)) managed by an “in-house asset manager” or “INHAM” (within the meaning of Part IV of the INHAM exemption), the conditions of Section I(a), (g) and (h) of the INHAM Exemption are satisfied, neither the INHAM nor a person controlling or controlled by the INHAM (applying the definition of “control” in Section IV(d)(3) of the INHAM Exemption) owns a 5% or more interest in the Issuer or the Company and (A) the identity of such INHAM and (B) the name(s) of the employee benefit plan(s) whose assets constitute the Source have been disclosed to the Issuer and the Company in writing pursuant to this clause (v); or</w:t>
      </w:r>
    </w:p>
    <w:p>
      <w:pPr>
        <w:spacing w:after="0" w:line="169" w:lineRule="exact"/>
        <w:rPr>
          <w:rFonts w:ascii="Arial" w:cs="Arial" w:eastAsia="Arial" w:hAnsi="Arial"/>
          <w:sz w:val="16"/>
          <w:szCs w:val="16"/>
          <w:color w:val="auto"/>
        </w:rPr>
      </w:pPr>
    </w:p>
    <w:p>
      <w:pPr>
        <w:ind w:left="740" w:hanging="293"/>
        <w:spacing w:after="0"/>
        <w:tabs>
          <w:tab w:leader="none" w:pos="7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8" w:name="page159"/>
    <w:bookmarkEnd w:id="158"/>
    <w:p>
      <w:pPr>
        <w:ind w:right="80" w:firstLine="447"/>
        <w:spacing w:after="0" w:line="268" w:lineRule="auto"/>
        <w:tabs>
          <w:tab w:leader="none" w:pos="7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Issuer and the Company in writing pursuant to this clause (vii); or</w:t>
      </w:r>
    </w:p>
    <w:p>
      <w:pPr>
        <w:spacing w:after="0" w:line="185" w:lineRule="exact"/>
        <w:rPr>
          <w:rFonts w:ascii="Arial" w:cs="Arial" w:eastAsia="Arial" w:hAnsi="Arial"/>
          <w:sz w:val="18"/>
          <w:szCs w:val="18"/>
          <w:color w:val="auto"/>
        </w:rPr>
      </w:pPr>
    </w:p>
    <w:p>
      <w:pPr>
        <w:ind w:left="840" w:hanging="393"/>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Source does not include assets of any employee benefit plan, other than a plan exempt from the coverage of ERISA.</w:t>
      </w:r>
    </w:p>
    <w:p>
      <w:pPr>
        <w:spacing w:after="0" w:line="225"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As used in this Section 10.10(b), the terms “employee benefit plan”, “governmental plan”, “party in interest” and “separate account” shall have the respective meanings assigned to such terms in Section 3 of ERISA.</w:t>
      </w:r>
    </w:p>
    <w:p>
      <w:pPr>
        <w:spacing w:after="0" w:line="186" w:lineRule="exact"/>
        <w:rPr>
          <w:sz w:val="20"/>
          <w:szCs w:val="20"/>
          <w:color w:val="auto"/>
        </w:rPr>
      </w:pPr>
    </w:p>
    <w:p>
      <w:pPr>
        <w:ind w:right="200" w:firstLine="228"/>
        <w:spacing w:after="0" w:line="256" w:lineRule="auto"/>
        <w:tabs>
          <w:tab w:leader="none" w:pos="50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Authorization; Enforceability. The execution, delivery and performance of this Agreement has been duly authorized by all necessary corporate action on the part of such Lender. This Agreement has been duly executed and delivered by such Lender and is the legally valid and binding obligation of such Lender, enforceable against such Lender in accordance with its terms, except as may be limited by bankruptcy, insolvency, reorganization, moratorium or similar laws relating to or limiting creditors’ rights generally or by equitable principles.</w:t>
      </w:r>
    </w:p>
    <w:p>
      <w:pPr>
        <w:spacing w:after="0" w:line="197" w:lineRule="exact"/>
        <w:rPr>
          <w:rFonts w:ascii="Arial" w:cs="Arial" w:eastAsia="Arial" w:hAnsi="Arial"/>
          <w:sz w:val="18"/>
          <w:szCs w:val="18"/>
          <w:color w:val="auto"/>
        </w:rPr>
      </w:pPr>
    </w:p>
    <w:p>
      <w:pPr>
        <w:ind w:right="180" w:firstLine="228"/>
        <w:spacing w:after="0" w:line="256" w:lineRule="auto"/>
        <w:tabs>
          <w:tab w:leader="none" w:pos="5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Withholding. As of the date hereof and as of the date of any assignment under Section 10.07 (after giving effect thereto), no Lender is subject to United States federal withholding taxes on amounts payable pursuant to the terms of this Agreement. Each Lender has delivered to the Administrative Agent all forms required pursuant to Section 10.15(b) to ensure that the Administrative Agent shall not be required to effect any withholding with respect to any amounts payable pursuant to the terms of this Agreement.</w:t>
      </w:r>
    </w:p>
    <w:p>
      <w:pPr>
        <w:spacing w:after="0" w:line="191" w:lineRule="exact"/>
        <w:rPr>
          <w:sz w:val="20"/>
          <w:szCs w:val="20"/>
          <w:color w:val="auto"/>
        </w:rPr>
      </w:pPr>
    </w:p>
    <w:p>
      <w:pPr>
        <w:ind w:right="320" w:firstLine="220"/>
        <w:spacing w:after="0" w:line="275" w:lineRule="auto"/>
        <w:rPr>
          <w:sz w:val="20"/>
          <w:szCs w:val="20"/>
          <w:color w:val="auto"/>
        </w:rPr>
      </w:pPr>
      <w:r>
        <w:rPr>
          <w:rFonts w:ascii="Arial" w:cs="Arial" w:eastAsia="Arial" w:hAnsi="Arial"/>
          <w:sz w:val="18"/>
          <w:szCs w:val="18"/>
          <w:b w:val="1"/>
          <w:bCs w:val="1"/>
          <w:color w:val="auto"/>
        </w:rPr>
        <w:t>10.11 Counterparts</w:t>
      </w:r>
      <w:r>
        <w:rPr>
          <w:rFonts w:ascii="Arial" w:cs="Arial" w:eastAsia="Arial" w:hAnsi="Arial"/>
          <w:sz w:val="18"/>
          <w:szCs w:val="18"/>
          <w:color w:val="auto"/>
        </w:rPr>
        <w:t>. 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74" w:lineRule="exact"/>
        <w:rPr>
          <w:sz w:val="20"/>
          <w:szCs w:val="20"/>
          <w:color w:val="auto"/>
        </w:rPr>
      </w:pPr>
    </w:p>
    <w:p>
      <w:pPr>
        <w:ind w:right="140" w:firstLine="220"/>
        <w:spacing w:after="0" w:line="293" w:lineRule="auto"/>
        <w:rPr>
          <w:sz w:val="20"/>
          <w:szCs w:val="20"/>
          <w:color w:val="auto"/>
        </w:rPr>
      </w:pPr>
      <w:r>
        <w:rPr>
          <w:rFonts w:ascii="Arial" w:cs="Arial" w:eastAsia="Arial" w:hAnsi="Arial"/>
          <w:sz w:val="16"/>
          <w:szCs w:val="16"/>
          <w:b w:val="1"/>
          <w:bCs w:val="1"/>
          <w:color w:val="auto"/>
        </w:rPr>
        <w:t>10.12 Integration</w:t>
      </w:r>
      <w:r>
        <w:rPr>
          <w:rFonts w:ascii="Arial" w:cs="Arial" w:eastAsia="Arial" w:hAnsi="Arial"/>
          <w:sz w:val="16"/>
          <w:szCs w:val="16"/>
          <w:color w:val="auto"/>
        </w:rPr>
        <w:t>. This Agreement, together with the other Credit Documents, comprises the complete and integrated agreement of the parties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and thereof and supersedes all prior agreements, written or oral, on such subject matter. In the event of any conflict between the provisions of this Agreement and those of any other Credit Document, the provisions of this Agreement shall control; provided that the inclusion of supplemental rights or remedies in favor of the Administrative Agent, the Issuer or the Lenders in any other Credit Document shall not be deemed a conflict with this Agreement. Each Credit Document was drafted with the joint participation of the respective parties thereto and shall be construed neither against nor in favor of any party, but rather in accordance with the fair meaning thereof.</w:t>
      </w:r>
    </w:p>
    <w:p>
      <w:pPr>
        <w:spacing w:after="0" w:line="165"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b w:val="1"/>
          <w:bCs w:val="1"/>
          <w:color w:val="auto"/>
        </w:rPr>
        <w:t>10.13 Survival of Representations and Warranties</w:t>
      </w:r>
      <w:r>
        <w:rPr>
          <w:rFonts w:ascii="Arial" w:cs="Arial" w:eastAsia="Arial" w:hAnsi="Arial"/>
          <w:sz w:val="18"/>
          <w:szCs w:val="18"/>
          <w:color w:val="auto"/>
        </w:rPr>
        <w:t>. All representations and warranties made hereunder and in any other Credit Document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delivered pursuant hereto or thereto or in connection herewith or therewith shall survive the execution and delivery hereof and thereof. Such representations and warranties have been or will be relied upon by the Administrative Agent, the Issuer and each Lender, regardless of any investigation made by the Administrative Agent, the Issuer or any Lender or on their behalf and notwithstanding that the Administrative Agent, the Issuer or any Lender may have had notice or</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59" w:name="page160"/>
    <w:bookmarkEnd w:id="159"/>
    <w:p>
      <w:pPr>
        <w:ind w:right="200"/>
        <w:spacing w:after="0" w:line="268" w:lineRule="auto"/>
        <w:rPr>
          <w:sz w:val="20"/>
          <w:szCs w:val="20"/>
          <w:color w:val="auto"/>
        </w:rPr>
      </w:pPr>
      <w:r>
        <w:rPr>
          <w:rFonts w:ascii="Arial" w:cs="Arial" w:eastAsia="Arial" w:hAnsi="Arial"/>
          <w:sz w:val="18"/>
          <w:szCs w:val="18"/>
          <w:color w:val="auto"/>
        </w:rPr>
        <w:t>knowledge of any Default or Event of Default at the time of any Credit Extension, and shall continue in full force and effect as long as any Credit Obligation or any other Credit Obligation shall remain unpaid or unsatisfied or any Credit shall remain outstanding.</w:t>
      </w:r>
    </w:p>
    <w:p>
      <w:pPr>
        <w:spacing w:after="0" w:line="180"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b w:val="1"/>
          <w:bCs w:val="1"/>
          <w:color w:val="auto"/>
        </w:rPr>
        <w:t>10.14 Severability</w:t>
      </w:r>
      <w:r>
        <w:rPr>
          <w:rFonts w:ascii="Arial" w:cs="Arial" w:eastAsia="Arial" w:hAnsi="Arial"/>
          <w:sz w:val="18"/>
          <w:szCs w:val="18"/>
          <w:color w:val="auto"/>
        </w:rPr>
        <w:t>. If any provision of this Agreement or the other Credit Documents is held to be illegal, invalid or unenforceable, (a)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remaining provisions of this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3" w:lineRule="exact"/>
        <w:rPr>
          <w:sz w:val="20"/>
          <w:szCs w:val="20"/>
          <w:color w:val="auto"/>
        </w:rPr>
      </w:pPr>
    </w:p>
    <w:p>
      <w:pPr>
        <w:ind w:right="60" w:firstLine="220"/>
        <w:spacing w:after="0" w:line="284" w:lineRule="auto"/>
        <w:rPr>
          <w:sz w:val="20"/>
          <w:szCs w:val="20"/>
          <w:color w:val="auto"/>
        </w:rPr>
      </w:pPr>
      <w:r>
        <w:rPr>
          <w:rFonts w:ascii="Arial" w:cs="Arial" w:eastAsia="Arial" w:hAnsi="Arial"/>
          <w:sz w:val="16"/>
          <w:szCs w:val="16"/>
          <w:b w:val="1"/>
          <w:bCs w:val="1"/>
          <w:color w:val="auto"/>
        </w:rPr>
        <w:t xml:space="preserve">10.15 Tax Forms. </w:t>
      </w:r>
      <w:r>
        <w:rPr>
          <w:rFonts w:ascii="Arial" w:cs="Arial" w:eastAsia="Arial" w:hAnsi="Arial"/>
          <w:sz w:val="16"/>
          <w:szCs w:val="16"/>
          <w:color w:val="auto"/>
        </w:rPr>
        <w:t>(a) (i) Each Lender and the Issuer that is not a “United States person” within the meaning of Section 7701(a)(30) of the Code (a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deliver to the Administrative Agent, prior to receipt of any payment subject to withholding under the Code (or upon accepting an assignment of an interest herein), two duly signed completed copies of either IRS Form W-8BEN or any successor thereto (relating to such Foreign Lender and entitling it to an exemption from, or reduction of, withholding tax on all payments to be made to such Foreign Lender by the Company pursuant to this Agreement) or IRS Form W-8ECI or any successor thereto (relating to all payments to be made to such Foreign Lender by the Company pursuant to this Agreement), and, if necessary, such other evidence satisfactory to the Company and the Administrative Agent that such Foreign Lender is entitled to an exemption from, or reduction of, U.S. withholding tax, including any exemption pursuant to Section 881(c) of the Code. Thereafter and from time to time, each such Foreign Lender shall</w:t>
      </w:r>
    </w:p>
    <w:p>
      <w:pPr>
        <w:spacing w:after="0" w:line="1" w:lineRule="exact"/>
        <w:rPr>
          <w:sz w:val="20"/>
          <w:szCs w:val="20"/>
          <w:color w:val="auto"/>
        </w:rPr>
      </w:pPr>
    </w:p>
    <w:p>
      <w:pPr>
        <w:ind w:right="60" w:firstLine="8"/>
        <w:spacing w:after="0" w:line="252" w:lineRule="auto"/>
        <w:tabs>
          <w:tab w:leader="none" w:pos="28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Company and the Administrative Agent of any available exemption from or reduction of, United States withholding taxes in respect of all payments to be made to such Foreign Lender by the Company pursuant to this Agreement, (B) promptly notify the Administrative Agent of any change in circumstances which would modify or render invalid any claimed exemption or reduction, and (C) take such steps as shall not be materially disadvantageous to it, in the reasonable judgment of such Foreign Lender, and as may be reasonably necessary (including the re-designation of its Lending Office) to avoid any requirement of applicable Laws that the Company make any deduction or withholding for taxes from amounts payable to such Foreign Lender.</w:t>
      </w:r>
    </w:p>
    <w:p>
      <w:pPr>
        <w:spacing w:after="0" w:line="199" w:lineRule="exact"/>
        <w:rPr>
          <w:rFonts w:ascii="Arial" w:cs="Arial" w:eastAsia="Arial" w:hAnsi="Arial"/>
          <w:sz w:val="18"/>
          <w:szCs w:val="18"/>
          <w:color w:val="auto"/>
        </w:rPr>
      </w:pPr>
    </w:p>
    <w:p>
      <w:pPr>
        <w:ind w:right="20" w:firstLine="447"/>
        <w:spacing w:after="0" w:line="294" w:lineRule="auto"/>
        <w:tabs>
          <w:tab w:leader="none" w:pos="69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Each Foreign Lender, to the extent it does not act or ceases to act for its own account with respect to any portion of any sums paid or payable to such Foreign Lender under any of the Credit Documents (for example, in the case of a typical participation by such Foreign Lender), shall deliver to the Administrative Agent on the date when such Foreign Lender ceases to act for its own account with respect to any portion of any such sums paid or payable, and at such other times as may be necessary in the determination of the Administrative Agent (in the reasonable exercise of its discretion), (A) two duly signed completed copies of the forms or statements required to be provided by such Foreign Lender as set forth above, to establish the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0" w:name="page161"/>
    <w:bookmarkEnd w:id="160"/>
    <w:p>
      <w:pPr>
        <w:ind w:right="120"/>
        <w:spacing w:after="0" w:line="298" w:lineRule="auto"/>
        <w:rPr>
          <w:sz w:val="20"/>
          <w:szCs w:val="20"/>
          <w:color w:val="auto"/>
        </w:rPr>
      </w:pPr>
      <w:r>
        <w:rPr>
          <w:rFonts w:ascii="Arial" w:cs="Arial" w:eastAsia="Arial" w:hAnsi="Arial"/>
          <w:sz w:val="16"/>
          <w:szCs w:val="16"/>
          <w:color w:val="auto"/>
        </w:rPr>
        <w:t>portion of any such sums paid or payable with respect to which such Foreign Lender acts for its own account that is exempt from, or subject to a reduced rate of, U.S. withholding tax, and (B) two duly signed completed copies of IRS Form W-8IMY (or any successor thereto), together with any information such Foreign Lender chooses to transmit with such form, and any other certificate or statement of exemption required under the Code, to establish that such Foreign Lender is not acting for its own account with respect to a portion of any such sums payable to such Foreign Lender.</w:t>
      </w:r>
    </w:p>
    <w:p>
      <w:pPr>
        <w:spacing w:after="0" w:line="167" w:lineRule="exact"/>
        <w:rPr>
          <w:sz w:val="20"/>
          <w:szCs w:val="20"/>
          <w:color w:val="auto"/>
        </w:rPr>
      </w:pPr>
    </w:p>
    <w:p>
      <w:pPr>
        <w:ind w:right="20" w:firstLine="447"/>
        <w:spacing w:after="0" w:line="288" w:lineRule="auto"/>
        <w:tabs>
          <w:tab w:leader="none" w:pos="74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shall not be required to pay any additional amount to any Foreign Lender under Section 3.01 (A) with respect to any Taxes required to be deducted or withheld on the basis of the information, certificates or statements of exemption such Foreign Lender transmits with an IRS Form W-8IMY pursuant to this Section 10.15(a) or (B) if such Foreign Lender shall have failed to satisfy the foregoing provisions of this Section 10.15(a); provided that if such Foreign Lender shall have satisfied the requirement of this Section 10.15(a) on the date such Foreign Lender became a Lender or ceased to act for its own account with respect to any payment under any of the Credit Documents, nothing in this Section 10.15(a) shall relieve the Company of its obligation to pay any amounts pursuant to Section 3.01 in the event that, as a result of any change in any applicable law, treaty or governmental rule, regulation or order, or any change in the interpretation, administration or application thereof, such Foreign Lender is no longer properly entitled to deliver forms, certificates or other evidence at a subsequent date establishing the fact that such Foreign Lender or other Person for the account of which such Foreign Lender receives any sums payable under any of the Credit Documents is not subject to withholding or is subject to withholding at a reduced rate.</w:t>
      </w:r>
    </w:p>
    <w:p>
      <w:pPr>
        <w:spacing w:after="0" w:line="173" w:lineRule="exact"/>
        <w:rPr>
          <w:rFonts w:ascii="Arial" w:cs="Arial" w:eastAsia="Arial" w:hAnsi="Arial"/>
          <w:sz w:val="16"/>
          <w:szCs w:val="16"/>
          <w:color w:val="auto"/>
        </w:rPr>
      </w:pPr>
    </w:p>
    <w:p>
      <w:pPr>
        <w:ind w:right="60" w:firstLine="447"/>
        <w:spacing w:after="0" w:line="332" w:lineRule="auto"/>
        <w:tabs>
          <w:tab w:leader="none" w:pos="73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Administrative Agent may, without reduction, withhold any Taxes required to be deducted and withheld from any payment under any of the Credit Documents with respect to which the Company is not required to pay additional amounts under this Section 10.15(a) or Section 3.01.</w:t>
      </w:r>
    </w:p>
    <w:p>
      <w:pPr>
        <w:spacing w:after="0" w:line="139" w:lineRule="exact"/>
        <w:rPr>
          <w:rFonts w:ascii="Arial" w:cs="Arial" w:eastAsia="Arial" w:hAnsi="Arial"/>
          <w:sz w:val="16"/>
          <w:szCs w:val="16"/>
          <w:color w:val="auto"/>
        </w:rPr>
      </w:pPr>
    </w:p>
    <w:p>
      <w:pPr>
        <w:jc w:val="both"/>
        <w:ind w:right="120" w:firstLine="228"/>
        <w:spacing w:after="0" w:line="256" w:lineRule="auto"/>
        <w:tabs>
          <w:tab w:leader="none" w:pos="5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Upon the request of the Administrative Agent, the Issuer and each Lender that is a “United States person” within the meaning of Section 7701(a)(30) of the Code shall deliver to the Administrative Agent two duly signed completed copies of IRS Form W-9. If the Issuer or such Lender fails to deliver such forms, then the Administrative Agent may withhold from any interest payment to the Issuer or such Lender an amount equivalent to the applicable back-up withholding tax imposed by the Code, without reduction.</w:t>
      </w:r>
    </w:p>
    <w:p>
      <w:pPr>
        <w:spacing w:after="0" w:line="197" w:lineRule="exact"/>
        <w:rPr>
          <w:rFonts w:ascii="Arial" w:cs="Arial" w:eastAsia="Arial" w:hAnsi="Arial"/>
          <w:sz w:val="18"/>
          <w:szCs w:val="18"/>
          <w:color w:val="auto"/>
        </w:rPr>
      </w:pPr>
    </w:p>
    <w:p>
      <w:pPr>
        <w:ind w:right="200" w:firstLine="228"/>
        <w:spacing w:after="0" w:line="254" w:lineRule="auto"/>
        <w:tabs>
          <w:tab w:leader="none" w:pos="50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any Governmental Authority asserts that the Administrative Agent did not properly withhold or backup withhold, as the case may be, any tax or other amount from payments made to or for the account of the Issuer or any Lender, the Issuer or such Lender shall indemnify the Administrative Agent therefor, including all penalties and interest, any taxes imposed by any jurisdiction on the amounts payable to the Administrative Agent under this Section, and costs and expenses (including reasonable Attorney Costs) of the Administrative Agent. The obligation of the Issuer and the Lenders under this Section shall survive the termination of the Credit-Linked Deposits, repayment of all Credit Obligations and all other amounts due hereunder and the resignation or replacement of the Administrative Agent.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1" w:name="page162"/>
    <w:bookmarkEnd w:id="161"/>
    <w:p>
      <w:pPr>
        <w:ind w:right="80" w:firstLine="220"/>
        <w:spacing w:after="0" w:line="310" w:lineRule="auto"/>
        <w:rPr>
          <w:sz w:val="20"/>
          <w:szCs w:val="20"/>
          <w:color w:val="auto"/>
        </w:rPr>
      </w:pPr>
      <w:r>
        <w:rPr>
          <w:rFonts w:ascii="Arial" w:cs="Arial" w:eastAsia="Arial" w:hAnsi="Arial"/>
          <w:sz w:val="16"/>
          <w:szCs w:val="16"/>
          <w:b w:val="1"/>
          <w:bCs w:val="1"/>
          <w:color w:val="auto"/>
        </w:rPr>
        <w:t>10.16 Governing Law</w:t>
      </w:r>
      <w:r>
        <w:rPr>
          <w:rFonts w:ascii="Arial" w:cs="Arial" w:eastAsia="Arial" w:hAnsi="Arial"/>
          <w:sz w:val="16"/>
          <w:szCs w:val="16"/>
          <w:color w:val="auto"/>
        </w:rPr>
        <w:t>. THIS AGREEMENT SHALL BE GOVERNED BY, AND CONSTRUED IN ACCORDANCE WITH, THE LAW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 APPLICABLE TO AGREEMENTS MADE AND TO BE PERFORMED ENTIRELY WITHIN SUCH STATE; PROVIDED THAT THE ADMINISTRATIVE AGENT, THE ISSUER AND EACH LENDER SHALL RETAIN ALL RIGHTS ARISING UNDER FEDERAL LAW.</w:t>
      </w:r>
    </w:p>
    <w:p>
      <w:pPr>
        <w:spacing w:after="0" w:line="157" w:lineRule="exact"/>
        <w:rPr>
          <w:sz w:val="20"/>
          <w:szCs w:val="20"/>
          <w:color w:val="auto"/>
        </w:rPr>
      </w:pPr>
    </w:p>
    <w:p>
      <w:pPr>
        <w:ind w:right="40" w:firstLine="210"/>
        <w:spacing w:after="0" w:line="253" w:lineRule="auto"/>
        <w:rPr>
          <w:sz w:val="20"/>
          <w:szCs w:val="20"/>
          <w:color w:val="auto"/>
        </w:rPr>
      </w:pPr>
      <w:r>
        <w:rPr>
          <w:rFonts w:ascii="Arial" w:cs="Arial" w:eastAsia="Arial" w:hAnsi="Arial"/>
          <w:sz w:val="18"/>
          <w:szCs w:val="18"/>
          <w:color w:val="auto"/>
        </w:rPr>
        <w:t xml:space="preserve">ANY LEGAL ACTION OR PROCEEDING WITH RESPECT TO THIS AGREEMENT OR ANY OTHER CREDIT DOCUMENT MAY BE BROUGHT IN THE COURTS OF THE STATE OF NEW YORK SITTING IN NEW YORK OR OF THE UNITED STATES FOR SOUTHERN DISTRICT OF SUCH STATE, AND BY EXECUTION AND DELIVERY OF THIS AGREEMENT, THE COMPANY CONSENTS, FOR ITSELF AND IN RESPECT OF ITS PROPERTY, TO THE NON-EXCLUSIVE JURISDICTION OF THOSE COURTS. THE COMPANY IRREVOCABLY WAIVES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CREDIT DOCUMENT OR OTHER DOCUMENT RELATED THERETO.</w:t>
      </w:r>
    </w:p>
    <w:p>
      <w:pPr>
        <w:spacing w:after="0" w:line="195"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b w:val="1"/>
          <w:bCs w:val="1"/>
          <w:color w:val="auto"/>
        </w:rPr>
        <w:t>10.17 Waiver of Right to Trial by Jury</w:t>
      </w:r>
      <w:r>
        <w:rPr>
          <w:rFonts w:ascii="Arial" w:cs="Arial" w:eastAsia="Arial" w:hAnsi="Arial"/>
          <w:sz w:val="16"/>
          <w:szCs w:val="16"/>
          <w:color w:val="auto"/>
        </w:rPr>
        <w:t>. EACH PARTY TO THIS AGREEMENT HEREBY EXPRESSLY WAIVES ANY RIGHT TO TRIAL BY JURY</w:t>
      </w:r>
      <w:r>
        <w:rPr>
          <w:rFonts w:ascii="Arial" w:cs="Arial" w:eastAsia="Arial" w:hAnsi="Arial"/>
          <w:sz w:val="16"/>
          <w:szCs w:val="16"/>
          <w:b w:val="1"/>
          <w:bCs w:val="1"/>
          <w:color w:val="auto"/>
        </w:rPr>
        <w:t xml:space="preserve"> </w:t>
      </w:r>
      <w:r>
        <w:rPr>
          <w:rFonts w:ascii="Arial" w:cs="Arial" w:eastAsia="Arial" w:hAnsi="Arial"/>
          <w:sz w:val="16"/>
          <w:szCs w:val="16"/>
          <w:color w:val="auto"/>
        </w:rPr>
        <w:t>OF ANY CLAIM, DEMAND, ACTION OR CAUSE OF ACTION ARISING UNDER ANY CREDIT DOCUMENT OR IN ANY WAY CONNECTED WITH OR RELATED OR INCIDENTAL TO THE DEALINGS OF THE PARTIES HERETO OR ANY OF THEM WITH RESPECT TO ANY CREDIT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66"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5"/>
          <w:szCs w:val="15"/>
          <w:b w:val="1"/>
          <w:bCs w:val="1"/>
          <w:color w:val="auto"/>
        </w:rPr>
        <w:t>Time of the Essence</w:t>
      </w:r>
      <w:r>
        <w:rPr>
          <w:rFonts w:ascii="Arial" w:cs="Arial" w:eastAsia="Arial" w:hAnsi="Arial"/>
          <w:sz w:val="15"/>
          <w:szCs w:val="15"/>
          <w:color w:val="auto"/>
        </w:rPr>
        <w:t>. Time is of the essence of the Credit Documents.</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b w:val="1"/>
          <w:bCs w:val="1"/>
          <w:color w:val="auto"/>
        </w:rPr>
        <w:t>10.19 Credit Rating Downgrade Event or Deposit Account Interest Non-Payment Event</w:t>
      </w:r>
      <w:r>
        <w:rPr>
          <w:rFonts w:ascii="Arial" w:cs="Arial" w:eastAsia="Arial" w:hAnsi="Arial"/>
          <w:sz w:val="16"/>
          <w:szCs w:val="16"/>
          <w:color w:val="auto"/>
        </w:rPr>
        <w:t>. (a) For purposes of this Section 10.19, (i) the term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Rating Downgrade Event” means that the credit ratings established by S&amp;P and Moody’s with respect to the senior, unsecured long-term, non-credit enhanced debt securities (“Long-Term Debt”) of Bank of America Corporation have been lowered below “A-” by S&amp;P and below “A3” by Moody’s or that the Long-Term Debt of Bank of America Corporation has ceased to be rated by S&amp;P and Moody’s for a period of more than ten (10) consecutive Business Days, in each case as evidenced by the public announcement thereof; provided that if the credit ratings established for the Long-Term Debt of Bank of America Corporation by either S&amp;P or Moody’s are unavailable for any reason, the rating established by the other rating agency shall be used for purposes of this Section 10.19; and (ii) the term “Deposit Account Interest Non-Payment Event” means that an</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2" w:name="page163"/>
    <w:bookmarkEnd w:id="162"/>
    <w:p>
      <w:pPr>
        <w:jc w:val="both"/>
        <w:ind w:right="20"/>
        <w:spacing w:after="0" w:line="298" w:lineRule="auto"/>
        <w:rPr>
          <w:sz w:val="20"/>
          <w:szCs w:val="20"/>
          <w:color w:val="auto"/>
        </w:rPr>
      </w:pPr>
      <w:r>
        <w:rPr>
          <w:rFonts w:ascii="Arial" w:cs="Arial" w:eastAsia="Arial" w:hAnsi="Arial"/>
          <w:sz w:val="16"/>
          <w:szCs w:val="16"/>
          <w:color w:val="auto"/>
        </w:rPr>
        <w:t>interest payment in respect of the Credit-Linked Deposits payable pursuant to Section 2.01(j)(i) shall not have been made by Bank of America and distributed by the Administrative Agent to the Lenders pursuant to Section 2.01(j)(i) within five (5) Business Days of when due. The Administrative Agent will promptly notify each Lender (A) after officers within the agency management group (or similar group performing the functions of the present agency management group) of Bank of America obtain knowledge, if a Credit Rating Downgrade Event has occurred, and (B) if a Deposit Interest Non-Payment Event has occurred.</w:t>
      </w:r>
    </w:p>
    <w:p>
      <w:pPr>
        <w:spacing w:after="0" w:line="167" w:lineRule="exact"/>
        <w:rPr>
          <w:sz w:val="20"/>
          <w:szCs w:val="20"/>
          <w:color w:val="auto"/>
        </w:rPr>
      </w:pPr>
    </w:p>
    <w:p>
      <w:pPr>
        <w:jc w:val="both"/>
        <w:ind w:right="540" w:firstLine="228"/>
        <w:spacing w:after="0" w:line="298" w:lineRule="auto"/>
        <w:tabs>
          <w:tab w:leader="none" w:pos="51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the event that a Credit Rating Downgrade Event or a Deposit Account Interest Non-Payment Event has occurred and is continuing, the Required Lenders may, by notice to the Administrative Agent and the Company (each a “Required Notice”), identify the Credit Rating Downgrade Event or Deposit Account Interest Non-Payment Event which then exists, and request that either of the following actions be taken, and upon such request the Company, the Administrative Agent, the Issuer and the Lenders agree to use reasonable commercial efforts to cause such action to be taken:</w:t>
      </w:r>
    </w:p>
    <w:p>
      <w:pPr>
        <w:spacing w:after="0" w:line="166" w:lineRule="exact"/>
        <w:rPr>
          <w:rFonts w:ascii="Arial" w:cs="Arial" w:eastAsia="Arial" w:hAnsi="Arial"/>
          <w:sz w:val="16"/>
          <w:szCs w:val="16"/>
          <w:color w:val="auto"/>
        </w:rPr>
      </w:pPr>
    </w:p>
    <w:p>
      <w:pPr>
        <w:ind w:right="80" w:firstLine="447"/>
        <w:spacing w:after="0" w:line="287" w:lineRule="auto"/>
        <w:tabs>
          <w:tab w:leader="none" w:pos="63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A new deposit account (the “New Account”) shall be opened by the Administrative Agent at a bank which has a credit rating of at least “A+” from S&amp;P and “A1” from Moody’s (the “New Depository Bank”). The New Depository Bank, the Administrative Agent, the Issuer, the Company and the Lenders shall execute such documents as may be reasonably necessary or appropriate so that the Issuer is granted by the Administrative Agent and the Lenders a first priority perfected security interest in the New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New Depository Bank for credit to the New Account. Thereafter, the New Account shall be deemed to be the “Credit-Linked Deposit Account” under this Agreement and the provisions of this Agreement relating to the Credit-Linked Deposit Account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New Account. Except for the transfer of the Credit-Linked Deposit Account as provided above, the rights of the Administrative Agent, on behalf of the Issuer and the Lenders, in and to the Credit-Linked Deposit Account hereunder shall remain unchanged and in full force and effect.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that the interest payable by the New Depository Bank on the funds on deposit in the New Account is less than the interest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2.01(j)(i) of this Agreement with respect to the Total Credit-Linked Deposit, then the Company shall pay such additional amounts at such times as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so that the Lenders receive no less than the interest payable under Section 2.01(j)(i), at the times set forth in Section 2.01(j)(i). If a Deposit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Non-Payment Event has triggered the procedures set forth in this Section 10.l9(b), then Bank of America shall (A) indemnify the Company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amounts the Company pays pursuant to the immediately preceding sentence and (B) reimburse the Company and each Lender for all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including Attorney Costs, incurred in connection with such Deposit Account Interest Non-Payment Event.</w:t>
      </w:r>
    </w:p>
    <w:p>
      <w:pPr>
        <w:spacing w:after="0" w:line="219"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The parties to this Agreement shall execute and deliver an amendment to this Agreement and such other documents as may be reasonably required to accomplish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3" w:name="page164"/>
    <w:bookmarkEnd w:id="163"/>
    <w:p>
      <w:pPr>
        <w:ind w:right="120"/>
        <w:spacing w:after="0" w:line="306" w:lineRule="auto"/>
        <w:rPr>
          <w:sz w:val="20"/>
          <w:szCs w:val="20"/>
          <w:color w:val="auto"/>
        </w:rPr>
      </w:pPr>
      <w:r>
        <w:rPr>
          <w:rFonts w:ascii="Arial" w:cs="Arial" w:eastAsia="Arial" w:hAnsi="Arial"/>
          <w:sz w:val="16"/>
          <w:szCs w:val="16"/>
          <w:color w:val="auto"/>
        </w:rPr>
        <w:t>foregoing. Notwithstanding anything to the contrary in this Section 10.19(b)(i), the documentation, terms and conditions utilized to establish and grant a security interest in the New Account and the other documentation (including legal opinions) and actions contemplated herein (including any amendment of this Agreement) shall be reasonably satisfactory in form and substance to the Company, the Issuer, the Administrative Agent and each Lender.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20" w:firstLine="447"/>
        <w:spacing w:after="0" w:line="286" w:lineRule="auto"/>
        <w:tabs>
          <w:tab w:leader="none" w:pos="69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Lenders shall cause to be established, and beneficially owned by the Lenders, a trust (the “Trust”) which shall in turn establish a securities account (the “Securities Account”) at a securities intermediary (the “Securities Intermediary”) having a credit rating of at least “A+” from S&amp;P and at least “A1” from Moody’s. The Securities Intermediary, the Administrative Agent, the Issuer, the Company and the Lenders shall execute such documents as may be reasonably necessary or appropriate so that the Issuer is granted by the Trust, the Administrative Agent and the Lenders, as appropriate, a first priority perfected security interest in the Securities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Securities Intermediary for credit to the Securities Account. Such funds shall be invested in such LIBOR-based short-term debt investments, having a credit rating of at least “A+” from S&amp;P and at least “A1” from Moody’s as may be reasonably agreed upon by the Required Lenders, the Administrative Agent, the Issuer and the Company. Thereafter, the Securities Account shall be deemed to be the “Credit Linked Deposit Account” under this Agreement and the provisions of this Agreement relating to the Credit-Linked Deposit Account shall apply </w:t>
      </w: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to the Securities Account. Except for the transfer of funds from the Credit-Linked Deposit Account to the Securities Account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of the Administrative Agent, on behalf of the Issuer and the Lenders, in and to the Securities Account hereunder shall remain unchanged and in full force and effect.</w:t>
      </w:r>
    </w:p>
    <w:p>
      <w:pPr>
        <w:spacing w:after="0" w:line="175"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In the event that the interest payable with respect to the investments in the Securities Account is less than the interest set forth in Section 2.01(j)(i) with respect to the Total Credit-Linked Deposit, then the Company shall pay such additional amounts at such times as may be required so that the Lenders receive no less than the interest payable under Section 2.01(j)(i), at the times set forth in Section 2.01(j)(i). If a Deposit Account Interest Non-Payment Event has triggered the procedures set forth in this Section 10.l9(b), then Bank of America shall (A) indemnify the Company for all additional amounts the Company pays pursuant to the immediately preceding sentence and (B) reimburse the Company and each Lender for all costs and expenses, including Attorney Costs, incurred in connection with such Deposit Account Interest Non-Payment Event.</w:t>
      </w:r>
    </w:p>
    <w:p>
      <w:pPr>
        <w:spacing w:after="0" w:line="174" w:lineRule="exact"/>
        <w:rPr>
          <w:sz w:val="20"/>
          <w:szCs w:val="20"/>
          <w:color w:val="auto"/>
        </w:rPr>
      </w:pPr>
    </w:p>
    <w:p>
      <w:pPr>
        <w:ind w:right="120" w:firstLine="436"/>
        <w:spacing w:after="0" w:line="306" w:lineRule="auto"/>
        <w:rPr>
          <w:sz w:val="20"/>
          <w:szCs w:val="20"/>
          <w:color w:val="auto"/>
        </w:rPr>
      </w:pPr>
      <w:r>
        <w:rPr>
          <w:rFonts w:ascii="Arial" w:cs="Arial" w:eastAsia="Arial" w:hAnsi="Arial"/>
          <w:sz w:val="16"/>
          <w:szCs w:val="16"/>
          <w:color w:val="auto"/>
        </w:rPr>
        <w:t>The parties to this Agreement shall execute and deliver an amendment to this Agreement and such other documents as may be reasonably required to accomplish the foregoing. Notwithstanding anything to the contrary in this Section 10.19(b)(ii), the documentation, terms and conditions utilized to establish the Trust and Securities Account and to grant a security interest in and to the Security Account and the other documentation (including</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4" w:name="page165"/>
    <w:bookmarkEnd w:id="164"/>
    <w:p>
      <w:pPr>
        <w:ind w:right="500"/>
        <w:spacing w:after="0" w:line="268" w:lineRule="auto"/>
        <w:rPr>
          <w:sz w:val="20"/>
          <w:szCs w:val="20"/>
          <w:color w:val="auto"/>
        </w:rPr>
      </w:pPr>
      <w:r>
        <w:rPr>
          <w:rFonts w:ascii="Arial" w:cs="Arial" w:eastAsia="Arial" w:hAnsi="Arial"/>
          <w:sz w:val="18"/>
          <w:szCs w:val="18"/>
          <w:color w:val="auto"/>
        </w:rPr>
        <w:t>legal opinions) and actions contemplated herein (including any amendment of this Agreement) shall be reasonably satisfactory in form and substance to the Company, the Issuer, the Administrative Agent and each Lender.</w:t>
      </w:r>
    </w:p>
    <w:p>
      <w:pPr>
        <w:spacing w:after="0" w:line="186" w:lineRule="exact"/>
        <w:rPr>
          <w:sz w:val="20"/>
          <w:szCs w:val="20"/>
          <w:color w:val="auto"/>
        </w:rPr>
      </w:pPr>
    </w:p>
    <w:p>
      <w:pPr>
        <w:ind w:firstLine="447"/>
        <w:spacing w:after="0" w:line="285" w:lineRule="auto"/>
        <w:tabs>
          <w:tab w:leader="none" w:pos="74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hereby agrees to use commercially reasonable efforts from time to time to inform the Administrative Agent, which shall promptly inform the Lenders upon receipt of such information, of the status of the transactions contemplated in Sections 10.19(b)(i) or (ii), as applicable. In the event that neither of the transactions contemplated in subsections (i) or (ii) above, or transactions substantially similar to the transactions in such sections, are consummated in form and substance reasonably satisfactory to the Issuer, the Administrative Agent, the Company and each Lender within 120 days (or such longer period as the Company and the Required Lenders may mutually agree) after the receipt by the Company of a Required Notice, then the Required Lenders may, by notice to the Administrative Agent, terminate the credit facility established under Section 2.01. The Required Lenders may, within 90 days of issuing a Required Notice, provide the Company written notice of their election to retract such Required Notice, but shall have no right to retract the Required Notice after such 90 day period. Upon delivery of a notice of retraction, the actions required by Section 10.19(b)(i) or (ii) shall no longer be required to be taken in connection with the event described in the Required Notice. After delivery of a retraction notice or in the event the credit facility is not terminated at the end of the 120 day period, the Required Lenders may not deliver another Required Notice under this Section 10.19 unless the credit ratings from S&amp;P or Moody’s on the Long-Term Debt of Bank of America are further lowered. Upon such termination, all funds then or at any time thereafter held in the Credit-Linked Deposit Account in excess of the sum of the then Outstanding Amount of all Credit Obligations (other than Advances and Term Loans) shall be withdrawn from the Credit-Linked Deposit Account by the Administrative Agent and distributed by the Administrative Agent to each Lender in accordance with its Pro Rata Share, subject to any notice required pursuant to the Money Market Account Agreement; provided that the Company may, pursuant to Section 2.03(b), request that the Lenders make Term Loans as provided in Section 2.03(b)(i); and with respect to all Term Loans (whether then outstanding or thereafter made), the restriction that Term Loans cannot be prepaid until after the second anniversary of the Closing Date set forth in Section 2.03(b)(vi) and the Prepayment Premium, if any, shall continue to apply.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GUARANTY</w:t>
      </w:r>
    </w:p>
    <w:p>
      <w:pPr>
        <w:spacing w:after="0" w:line="213"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b w:val="1"/>
          <w:bCs w:val="1"/>
          <w:color w:val="auto"/>
        </w:rPr>
        <w:t xml:space="preserve">11.01 Guaranty. </w:t>
      </w:r>
      <w:r>
        <w:rPr>
          <w:rFonts w:ascii="Arial" w:cs="Arial" w:eastAsia="Arial" w:hAnsi="Arial"/>
          <w:sz w:val="18"/>
          <w:szCs w:val="18"/>
          <w:color w:val="auto"/>
        </w:rPr>
        <w:t>For value received and hereby acknowledged and as an inducement to the Lenders and the Issuer to make the Credit Extensions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Holdings hereby unconditionally and irrevocably guarantees (a) the full punctual payment when due, whether at stated maturity, by acceleration or otherwise, of all Credit Obligations of the Company now or hereafter existing whether for principal, interest, fees, expenses or otherwise, and (b) the strict performance and observance by the Company of all agreements, warranties and covenants applicable to the Company in the Credit Documents and (c) the obligations of the Company under the Credit Documents (such Credit Obligations collectively being hereafter referred to as the “Guaranteed Obligations”). The foregoing guaranty is a guaranty of payment</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and not of collection. For purposes of this Article XI, the obligations of Holdings under this Article XI are referred to as the “Holdings Guaranty.”</w:t>
      </w:r>
    </w:p>
    <w:p>
      <w:pPr>
        <w:spacing w:after="0" w:line="219" w:lineRule="exact"/>
        <w:rPr>
          <w:sz w:val="20"/>
          <w:szCs w:val="20"/>
          <w:color w:val="auto"/>
        </w:rPr>
      </w:pPr>
    </w:p>
    <w:p>
      <w:pPr>
        <w:ind w:right="120" w:firstLine="220"/>
        <w:spacing w:after="0" w:line="258" w:lineRule="auto"/>
        <w:rPr>
          <w:sz w:val="20"/>
          <w:szCs w:val="20"/>
          <w:color w:val="auto"/>
        </w:rPr>
      </w:pPr>
      <w:r>
        <w:rPr>
          <w:rFonts w:ascii="Arial" w:cs="Arial" w:eastAsia="Arial" w:hAnsi="Arial"/>
          <w:sz w:val="18"/>
          <w:szCs w:val="18"/>
          <w:b w:val="1"/>
          <w:bCs w:val="1"/>
          <w:color w:val="auto"/>
        </w:rPr>
        <w:t xml:space="preserve">11.02 Guaranty Absolute. </w:t>
      </w:r>
      <w:r>
        <w:rPr>
          <w:rFonts w:ascii="Arial" w:cs="Arial" w:eastAsia="Arial" w:hAnsi="Arial"/>
          <w:sz w:val="18"/>
          <w:szCs w:val="18"/>
          <w:color w:val="auto"/>
        </w:rPr>
        <w:t>Holdings guarantees that the Guaranteed Obligations will be paid strictly in accordance with the terms hereof, regardless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law, regulation or order now or hereafter in effect in any jurisdiction affecting any of such terms or the rights of any Lender, the Issuer or the Administrative Agent with respect thereto. The liability of Holdings under the Holdings Guaranty with regard to the Guaranteed Obligations shall be absolute and unconditional irrespective of</w:t>
      </w:r>
    </w:p>
    <w:p>
      <w:pPr>
        <w:spacing w:after="0" w:line="196" w:lineRule="exact"/>
        <w:rPr>
          <w:sz w:val="20"/>
          <w:szCs w:val="20"/>
          <w:color w:val="auto"/>
        </w:rPr>
      </w:pPr>
    </w:p>
    <w:p>
      <w:pPr>
        <w:ind w:right="60" w:firstLine="228"/>
        <w:spacing w:after="0" w:line="332" w:lineRule="auto"/>
        <w:tabs>
          <w:tab w:leader="none" w:pos="50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its Guaranteed Obligations or any other amendment or waiver of or any consent to departure from this Agreement or any other Credit Document (with regard to such Guaranteed Obligations);</w:t>
      </w:r>
    </w:p>
    <w:p>
      <w:pPr>
        <w:spacing w:after="0" w:line="139" w:lineRule="exact"/>
        <w:rPr>
          <w:rFonts w:ascii="Arial" w:cs="Arial" w:eastAsia="Arial" w:hAnsi="Arial"/>
          <w:sz w:val="16"/>
          <w:szCs w:val="16"/>
          <w:color w:val="auto"/>
        </w:rPr>
      </w:pPr>
    </w:p>
    <w:p>
      <w:pPr>
        <w:ind w:left="520" w:hanging="292"/>
        <w:spacing w:after="0"/>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release or amendment or waiver of or consent to departure from any other guaranty for all or any of its Guaranteed Obligations;</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change in ownership of the Company;</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acceptance of any partial payment(s) from the Company or Holdings; or</w:t>
      </w:r>
    </w:p>
    <w:p>
      <w:pPr>
        <w:spacing w:after="0" w:line="225" w:lineRule="exact"/>
        <w:rPr>
          <w:rFonts w:ascii="Arial" w:cs="Arial" w:eastAsia="Arial" w:hAnsi="Arial"/>
          <w:sz w:val="18"/>
          <w:szCs w:val="18"/>
          <w:color w:val="auto"/>
        </w:rPr>
      </w:pPr>
    </w:p>
    <w:p>
      <w:pPr>
        <w:ind w:right="260" w:firstLine="228"/>
        <w:spacing w:after="0" w:line="268" w:lineRule="auto"/>
        <w:tabs>
          <w:tab w:leader="none" w:pos="50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other circumstance similar or dissimilar to the foregoing which might otherwise constitute a defense available to, or a discharge of, the Company in respect of its Credit Obligations under any Credit Document.</w:t>
      </w:r>
    </w:p>
    <w:p>
      <w:pPr>
        <w:spacing w:after="0" w:line="180" w:lineRule="exact"/>
        <w:rPr>
          <w:sz w:val="20"/>
          <w:szCs w:val="20"/>
          <w:color w:val="auto"/>
        </w:rPr>
      </w:pPr>
    </w:p>
    <w:p>
      <w:pPr>
        <w:jc w:val="both"/>
        <w:ind w:right="680" w:firstLine="216"/>
        <w:spacing w:after="0" w:line="262" w:lineRule="auto"/>
        <w:rPr>
          <w:sz w:val="20"/>
          <w:szCs w:val="20"/>
          <w:color w:val="auto"/>
        </w:rPr>
      </w:pPr>
      <w:r>
        <w:rPr>
          <w:rFonts w:ascii="Arial" w:cs="Arial" w:eastAsia="Arial" w:hAnsi="Arial"/>
          <w:sz w:val="18"/>
          <w:szCs w:val="18"/>
          <w:color w:val="auto"/>
        </w:rPr>
        <w:t xml:space="preserve">The Holdings Guaranty </w:t>
      </w:r>
      <w:r>
        <w:rPr>
          <w:rFonts w:ascii="Arial" w:cs="Arial" w:eastAsia="Arial" w:hAnsi="Arial"/>
          <w:sz w:val="18"/>
          <w:szCs w:val="18"/>
          <w:b w:val="1"/>
          <w:bCs w:val="1"/>
          <w:color w:val="auto"/>
        </w:rPr>
        <w:t>s</w:t>
      </w:r>
      <w:r>
        <w:rPr>
          <w:rFonts w:ascii="Arial" w:cs="Arial" w:eastAsia="Arial" w:hAnsi="Arial"/>
          <w:sz w:val="18"/>
          <w:szCs w:val="18"/>
          <w:color w:val="auto"/>
        </w:rPr>
        <w:t>hall continue to be effective or be reinstated, as the case may be, if at any time any payment of any Guaranteed Obligation is rescinded or must otherwise be returned by the Lenders, the Issuer or the Administrative Agent upon the insolvency, bankruptcy or reorganization of the Company or otherwise, all as though such payment had not been made.</w:t>
      </w:r>
    </w:p>
    <w:p>
      <w:pPr>
        <w:spacing w:after="0" w:line="186"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b w:val="1"/>
          <w:bCs w:val="1"/>
          <w:color w:val="auto"/>
        </w:rPr>
        <w:t xml:space="preserve">11.03 Effectiveness; Enforcement. </w:t>
      </w:r>
      <w:r>
        <w:rPr>
          <w:rFonts w:ascii="Arial" w:cs="Arial" w:eastAsia="Arial" w:hAnsi="Arial"/>
          <w:sz w:val="16"/>
          <w:szCs w:val="16"/>
          <w:color w:val="auto"/>
        </w:rPr>
        <w:t>The Holdings Guaranty shall be effective and shall be deemed to be made with respect to each Credit Extension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it is made, issued or extended. No invalidity, irregularity or unenforceability by reason of any bankruptcy or similar law, or any law or order of any government or agency thereof purporting to reduce, amend or otherwise affect any liability of the Company, and no defect in or insufficiency or want of powers of the Company or irregular or improperly recorded exercise thereof, shall impair, affect, be a defense to or claim against such guaranty. The Holding Guaranty is a continuing guaranty and shall (a) survive any termination of this Agreement, and (b) remain in full force and effect until payment in full of, and performance of, all Guaranteed Obligations and all other amounts payable under this Agreement. The Holdings Guaranty is made for the benefit of the Administrative Agent, the Issuer and the Lenders and their successors and assigns, and may be enforced from time to time as often as occasion therefor may arise and without requirement on the part of the Administrative Agent, the Issuer or the Lenders first to exercise any rights against the Company, or to resort to any other source or means of obtaining payment of any of the said obligations or to elect any other remedy.</w:t>
      </w:r>
    </w:p>
    <w:p>
      <w:pPr>
        <w:spacing w:after="0" w:line="173"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Ten Year Letter of Credit and Term Loan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6" w:name="page167"/>
    <w:bookmarkEnd w:id="166"/>
    <w:p>
      <w:pPr>
        <w:ind w:right="160" w:firstLine="220"/>
        <w:spacing w:after="0" w:line="255" w:lineRule="auto"/>
        <w:rPr>
          <w:sz w:val="20"/>
          <w:szCs w:val="20"/>
          <w:color w:val="auto"/>
        </w:rPr>
      </w:pPr>
      <w:r>
        <w:rPr>
          <w:rFonts w:ascii="Arial" w:cs="Arial" w:eastAsia="Arial" w:hAnsi="Arial"/>
          <w:sz w:val="18"/>
          <w:szCs w:val="18"/>
          <w:b w:val="1"/>
          <w:bCs w:val="1"/>
          <w:color w:val="auto"/>
        </w:rPr>
        <w:t xml:space="preserve">11.04 Waiver. </w:t>
      </w:r>
      <w:r>
        <w:rPr>
          <w:rFonts w:ascii="Arial" w:cs="Arial" w:eastAsia="Arial" w:hAnsi="Arial"/>
          <w:sz w:val="18"/>
          <w:szCs w:val="18"/>
          <w:color w:val="auto"/>
        </w:rPr>
        <w:t>Except as otherwise specifically provided in any of the Credit Documents, Holdings hereby waives promptness, diligence, protest,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all suretyship defenses, notice of acceptance and any other notice with respect to any of its Guaranteed Obligations and the Holdings Guaranty and any requirement that the Lenders, the Issuer or the Administrative Agent protect, secure, perfect any security interest or Lien or any property subject thereto or exhaust any right or take any action against the Company or any other Person. Holdings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93" w:lineRule="exact"/>
        <w:rPr>
          <w:sz w:val="20"/>
          <w:szCs w:val="20"/>
          <w:color w:val="auto"/>
        </w:rPr>
      </w:pPr>
    </w:p>
    <w:p>
      <w:pPr>
        <w:ind w:right="40" w:firstLine="220"/>
        <w:spacing w:after="0" w:line="287" w:lineRule="auto"/>
        <w:rPr>
          <w:sz w:val="20"/>
          <w:szCs w:val="20"/>
          <w:color w:val="auto"/>
        </w:rPr>
      </w:pPr>
      <w:r>
        <w:rPr>
          <w:rFonts w:ascii="Arial" w:cs="Arial" w:eastAsia="Arial" w:hAnsi="Arial"/>
          <w:sz w:val="16"/>
          <w:szCs w:val="16"/>
          <w:b w:val="1"/>
          <w:bCs w:val="1"/>
          <w:color w:val="auto"/>
        </w:rPr>
        <w:t xml:space="preserve">11.05 Expenses. </w:t>
      </w:r>
      <w:r>
        <w:rPr>
          <w:rFonts w:ascii="Arial" w:cs="Arial" w:eastAsia="Arial" w:hAnsi="Arial"/>
          <w:sz w:val="16"/>
          <w:szCs w:val="16"/>
          <w:color w:val="auto"/>
        </w:rPr>
        <w:t>Holdings hereby promises to reimburse (a) the Administrative Agent, the Issuer and the Lenders for all reasonable out-of-pocket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disbursements (including all reasonable Attorneys Costs), incurred or expended in connection with the preparation, filing or recording, or interpretation of the Holdings Guaranty, the other Credit Documents to which Holdings is a party, or any amendment, modification, approval, consent or waiver hereof or thereof, and</w:t>
      </w:r>
    </w:p>
    <w:p>
      <w:pPr>
        <w:spacing w:after="0" w:line="1" w:lineRule="exact"/>
        <w:rPr>
          <w:sz w:val="20"/>
          <w:szCs w:val="20"/>
          <w:color w:val="auto"/>
        </w:rPr>
      </w:pPr>
    </w:p>
    <w:p>
      <w:pPr>
        <w:ind w:right="160" w:firstLine="8"/>
        <w:spacing w:after="0" w:line="253" w:lineRule="auto"/>
        <w:tabs>
          <w:tab w:leader="none" w:pos="24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Administrative Agent, the Issuer and the Lenders and their respective affiliates for all reasonable out-of-pocket fees and disbursements (including reasonable Attorney Costs), incurred or expended in connection with the enforcement of its Guaranteed Obligations (whether or not legal proceedings are instituted). Holdings will pay any taxes (including any interest and penalties in respect thereof) other than the Lenders’ taxes based on overall income or profits, payable on or with respect to the transactions contemplated by the Holdings Guaranty, Holdings hereby agreeing jointly and severally to indemnify each Lender with respect thereto.</w:t>
      </w:r>
    </w:p>
    <w:p>
      <w:pPr>
        <w:spacing w:after="0" w:line="193"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6"/>
          <w:szCs w:val="16"/>
          <w:b w:val="1"/>
          <w:bCs w:val="1"/>
          <w:color w:val="auto"/>
        </w:rPr>
        <w:t>Concerning Joint and Several Liability of Holdings.</w:t>
      </w:r>
    </w:p>
    <w:p>
      <w:pPr>
        <w:spacing w:after="0" w:line="231" w:lineRule="exact"/>
        <w:rPr>
          <w:sz w:val="20"/>
          <w:szCs w:val="20"/>
          <w:color w:val="auto"/>
        </w:rPr>
      </w:pPr>
    </w:p>
    <w:p>
      <w:pPr>
        <w:ind w:right="80" w:firstLine="228"/>
        <w:spacing w:after="0" w:line="256" w:lineRule="auto"/>
        <w:tabs>
          <w:tab w:leader="none" w:pos="50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Holdings hereby irrevocably and unconditionally accepts, not merely as a surety but also as a co-debtor, joint and several liability with the Company, with respect to the payment and performance of all of its Guaranteed Obligations (including, without limitation, any Guaranteed Obligations arising under this Article XI), it being the intention of the parties hereto that all such Guaranteed Obligations shall be the joint and several Guaranteed Obligations of Holdings and the Company without preferences or distinction among them.</w:t>
      </w:r>
    </w:p>
    <w:p>
      <w:pPr>
        <w:spacing w:after="0" w:line="197" w:lineRule="exact"/>
        <w:rPr>
          <w:rFonts w:ascii="Arial" w:cs="Arial" w:eastAsia="Arial" w:hAnsi="Arial"/>
          <w:sz w:val="18"/>
          <w:szCs w:val="18"/>
          <w:color w:val="auto"/>
        </w:rPr>
      </w:pPr>
    </w:p>
    <w:p>
      <w:pPr>
        <w:ind w:right="60" w:firstLine="228"/>
        <w:spacing w:after="0" w:line="259" w:lineRule="auto"/>
        <w:tabs>
          <w:tab w:leader="none" w:pos="5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and to the extent that the Company shall fail to make any payment with respect to any of its Credit Obligations as and when due or to perform any of its Guaranteed Obligations in accordance with the terns thereof, then in each such event Holdings will make such payment with respect to, or perform, such Guaranteed Obligation.</w:t>
      </w:r>
    </w:p>
    <w:p>
      <w:pPr>
        <w:spacing w:after="0" w:line="194" w:lineRule="exact"/>
        <w:rPr>
          <w:rFonts w:ascii="Arial" w:cs="Arial" w:eastAsia="Arial" w:hAnsi="Arial"/>
          <w:sz w:val="18"/>
          <w:szCs w:val="18"/>
          <w:color w:val="auto"/>
        </w:rPr>
      </w:pPr>
    </w:p>
    <w:p>
      <w:pPr>
        <w:jc w:val="both"/>
        <w:ind w:right="560" w:firstLine="228"/>
        <w:spacing w:after="0" w:line="259" w:lineRule="auto"/>
        <w:tabs>
          <w:tab w:leader="none" w:pos="50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Guaranteed Obligations of Holdings under the provisions of this Article XI constitute full recourse obligations of Holdings enforceable against Holdings to the full extent of its properties and assets, irrespective of the validity, regularity or enforceability of this Agreement or any other circumstance whatsoever.</w:t>
      </w:r>
    </w:p>
    <w:p>
      <w:pPr>
        <w:spacing w:after="0" w:line="194" w:lineRule="exact"/>
        <w:rPr>
          <w:rFonts w:ascii="Arial" w:cs="Arial" w:eastAsia="Arial" w:hAnsi="Arial"/>
          <w:sz w:val="18"/>
          <w:szCs w:val="18"/>
          <w:color w:val="auto"/>
        </w:rPr>
      </w:pPr>
    </w:p>
    <w:p>
      <w:pPr>
        <w:ind w:right="120" w:firstLine="228"/>
        <w:spacing w:after="0" w:line="259" w:lineRule="auto"/>
        <w:tabs>
          <w:tab w:leader="none" w:pos="5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Holdings hereby waives notice of acceptance of its joint and several liability, notice of any Credit Extensions made or issued under this Agreement, notice of any action at any time taken or omitted by the Administrative Agent, the Issuer or the Lenders under or in respect of any of the Guaranteed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7" w:name="page168"/>
    <w:bookmarkEnd w:id="167"/>
    <w:p>
      <w:pPr>
        <w:ind w:right="60"/>
        <w:spacing w:after="0" w:line="284" w:lineRule="auto"/>
        <w:rPr>
          <w:sz w:val="20"/>
          <w:szCs w:val="20"/>
          <w:color w:val="auto"/>
        </w:rPr>
      </w:pPr>
      <w:r>
        <w:rPr>
          <w:rFonts w:ascii="Arial" w:cs="Arial" w:eastAsia="Arial" w:hAnsi="Arial"/>
          <w:sz w:val="16"/>
          <w:szCs w:val="16"/>
          <w:color w:val="auto"/>
        </w:rPr>
        <w:t>Obligations, and, generally, to the extent permitted by applicable law, all demands, notices and other formalities of every kind in connection with this Agreement. Holdings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Issuer or the Lenders at any time or times in respect of any Default or Event of Default by the Company or Holdings in the performance or satisfaction of any term, covenant, condition or provision of this Agreement or any other Credit Document, any and all other indulgences whatsoever by the Administrative Agent, the Issuer or the Lenders in respect of any of the Guaranteed Obligations, and the taking, addition, substitution or release, in whole or in part, at any time or times, of any security for any of the Guaranteed Obligations or the addition, substitution or release, in whole or in part, of the Company or Holdings. Without limiting the generality of the foregoing, Holdings assents to any other action or delay in acting or failure to act on the part of the Lenders, the Issuer or the Administrative Agent with respect to the failure by the Company or Holdings to comply with its respective Credit Obligations or Guaranteed Obligations, including, without limitation, any failure strictly or diligently to assert any right or to pursue any remedy or to comply fully with applicable laws or regulations thereunder, which might, but for the provisions of this Article XI, afford grounds for terminating, discharging or relieving Holdings, in whole or in part, from any of the Guaranteed Obligations under this Article XI, it being the intention of Holdings that, so long as any of the Guaranteed Obligations hereunder remain unsatisfied, the Guaranteed Obligations of Holdings under this Article XI shall not be discharged except by performance and then only to the extent of such performance. The Guaranteed Obligations of Holdings under this Article XI shall not be diminished or rendered unenforceable by any winding up, reorganization, arrangement, liquidation, reconstruction or similar proceeding with respect to the Company or Holdings or the Lenders, the Issuer or the Administrative Agent. The joint and several liability of Holdings hereunder shall continue in full force and effect notwithstanding any absorption, merger, consolidation, amalgamation or any other change whatsoever in the name, membership, constitution or place of formation of the Company or Holdings, the Lenders, the Issuer or the Administrative Agent.</w:t>
      </w:r>
    </w:p>
    <w:p>
      <w:pPr>
        <w:spacing w:after="0" w:line="187" w:lineRule="exact"/>
        <w:rPr>
          <w:sz w:val="20"/>
          <w:szCs w:val="20"/>
          <w:color w:val="auto"/>
        </w:rPr>
      </w:pPr>
    </w:p>
    <w:p>
      <w:pPr>
        <w:ind w:right="20" w:firstLine="228"/>
        <w:spacing w:after="0" w:line="253" w:lineRule="auto"/>
        <w:tabs>
          <w:tab w:leader="none" w:pos="50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Holdings shall be liable under this Article XI only for the maximum amount of such liabilities that can be incurred under applicable law without rendering this Article XI voidable under applicable law relating to fraudulent conveyance and fraudulent transfer, and not for any greater amount. Accordingly, if any obligation under any provision under this Article XI shall be declared to be invalid or unenforceable in any respect or to any extent, it is the stated intention and agreement of Holdings, the Administrative Agent, the Issuer and the Lenders that any balance of the obligation created by such provision and all other obligations of Holdings under this Article XI to the Lenders, the Issuer or the Administrative Agent shall remain valid and enforceable, and that all sums not in excess of those permitted under applicable law shall remain fully collectible by the Lenders, the Issuer and the Administrative Agent from the Company or Holdings, as the case may be.</w:t>
      </w:r>
    </w:p>
    <w:p>
      <w:pPr>
        <w:spacing w:after="0" w:line="201" w:lineRule="exact"/>
        <w:rPr>
          <w:rFonts w:ascii="Arial" w:cs="Arial" w:eastAsia="Arial" w:hAnsi="Arial"/>
          <w:sz w:val="18"/>
          <w:szCs w:val="18"/>
          <w:color w:val="auto"/>
        </w:rPr>
      </w:pPr>
    </w:p>
    <w:p>
      <w:pPr>
        <w:ind w:right="340" w:firstLine="228"/>
        <w:spacing w:after="0" w:line="268" w:lineRule="auto"/>
        <w:tabs>
          <w:tab w:leader="none" w:pos="48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provisions of this Article XI are made for the benefit of the Administrative Agent, the Issuer and the Lenders and their successors and assigns, and may be enforced in good faith by them from time to time against Holdings as often as occasion therefor may arise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8" w:name="page169"/>
    <w:bookmarkEnd w:id="168"/>
    <w:p>
      <w:pPr>
        <w:ind w:right="60"/>
        <w:spacing w:after="0" w:line="289" w:lineRule="auto"/>
        <w:rPr>
          <w:sz w:val="20"/>
          <w:szCs w:val="20"/>
          <w:color w:val="auto"/>
        </w:rPr>
      </w:pPr>
      <w:r>
        <w:rPr>
          <w:rFonts w:ascii="Arial" w:cs="Arial" w:eastAsia="Arial" w:hAnsi="Arial"/>
          <w:sz w:val="16"/>
          <w:szCs w:val="16"/>
          <w:color w:val="auto"/>
        </w:rPr>
        <w:t>without requirement on the part of the Administrative Agent, the Issuer or the Lenders first to marshal any of their claims or to exercise any of their rights against the Company or Holdings or to exhaust any remedies available to them against the Company or Holdings or to resort to any other source or means of obtaining payment of any of the obligations hereunder or to elect any other remedy. The provisions of this Article XI shall remain in effect until all of the Guaranteed Obligations shall have been paid in full or otherwise fully satisfied, any remaining Credit-Linked Deposits in the Credit-Linked Deposit Account are withdrawn and distributed to the Lenders in accordance with their respective Pro Rata Shares, and all outstanding Credit shall have expired, matured or otherwise been terminated. If at any time, any payment, or any part thereof, made in respect of any of the Guaranteed Obligations, is rescinded or must otherwise be restored or returned by the Lenders, the Issuer or the Administrative Agent upon the insolvency, bankruptcy or reorganization of the Company or Holdings, or otherwise, the provisions of this Article XI will forthwith be reinstated in effect, as though such payment had not been made.</w:t>
      </w:r>
    </w:p>
    <w:p>
      <w:pPr>
        <w:spacing w:after="0" w:line="166" w:lineRule="exact"/>
        <w:rPr>
          <w:sz w:val="20"/>
          <w:szCs w:val="20"/>
          <w:color w:val="auto"/>
        </w:rPr>
      </w:pPr>
    </w:p>
    <w:p>
      <w:pPr>
        <w:ind w:right="140" w:firstLine="220"/>
        <w:spacing w:after="0" w:line="293" w:lineRule="auto"/>
        <w:rPr>
          <w:sz w:val="20"/>
          <w:szCs w:val="20"/>
          <w:color w:val="auto"/>
        </w:rPr>
      </w:pPr>
      <w:r>
        <w:rPr>
          <w:rFonts w:ascii="Arial" w:cs="Arial" w:eastAsia="Arial" w:hAnsi="Arial"/>
          <w:sz w:val="16"/>
          <w:szCs w:val="16"/>
          <w:b w:val="1"/>
          <w:bCs w:val="1"/>
          <w:color w:val="auto"/>
        </w:rPr>
        <w:t xml:space="preserve">11.07 Waiver. </w:t>
      </w:r>
      <w:r>
        <w:rPr>
          <w:rFonts w:ascii="Arial" w:cs="Arial" w:eastAsia="Arial" w:hAnsi="Arial"/>
          <w:sz w:val="16"/>
          <w:szCs w:val="16"/>
          <w:color w:val="auto"/>
        </w:rPr>
        <w:t>Until the final payment and performance in full of all of the Credit Obligations, Holdings shall not exercise and Holdings hereby waives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rights Holdings may have against the Company arising as a result of payment by Holdings hereunder, by way of subrogation, reimbursement, restitution, contribution or otherwise, and will not prove any claim in competition with the Administrative Agent, the Issuer or any Lender in respect of any payment hereunder in any bankruptcy, insolvency or reorganization case or proceedings of any nature; Holdings will not claim any setoff, recoupment or counterclaim against the Company in respect of any liability of the Company to Holdings; and Holdings waives any benefit of and any right to participate in any collateral security which may be held by the Administrative Agent, the Issuer or any Lender.</w:t>
      </w:r>
    </w:p>
    <w:p>
      <w:pPr>
        <w:spacing w:after="0" w:line="165"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b w:val="1"/>
          <w:bCs w:val="1"/>
          <w:color w:val="auto"/>
        </w:rPr>
        <w:t xml:space="preserve">11.08 Subrogation; Subordination. </w:t>
      </w:r>
      <w:r>
        <w:rPr>
          <w:rFonts w:ascii="Arial" w:cs="Arial" w:eastAsia="Arial" w:hAnsi="Arial"/>
          <w:sz w:val="16"/>
          <w:szCs w:val="16"/>
          <w:color w:val="auto"/>
        </w:rPr>
        <w:t>The payment of any amounts due with respect to any indebtedness of the Company for money borrowed or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now or hereafter owed to Holdings is hereby subordinated to the prior payment in full of all of the Credit Obligations. Holdings agrees that, after the occurrence of any default in the payment or performance of any of the Credit Obligations, Holdings will not demand, sue for or otherwise attempt to collect any such indebtedness of the Company to Holdings until all of the Credit Obligations shall have been paid in full. If, notwithstanding the foregoing sentence, Holdings shall collect, enforce or receive any amounts in respect of such indebtedness while any Credit Obligations are still outstanding, such amounts shall be collected, enforced and received by Holdings as trustee for the Lenders, the Issuer and the Administrative Agent and be paid over to the Administrative Agent at Default, for the benefit of the Lenders, the Issuer, and the Administrative Agent on account of the Credit Obligations without affecting in any manner the liability of Holdings under the other provisions hereof.</w:t>
      </w:r>
    </w:p>
    <w:p>
      <w:pPr>
        <w:spacing w:after="0" w:line="166" w:lineRule="exact"/>
        <w:rPr>
          <w:sz w:val="20"/>
          <w:szCs w:val="20"/>
          <w:color w:val="auto"/>
        </w:rPr>
      </w:pPr>
    </w:p>
    <w:p>
      <w:pPr>
        <w:ind w:right="80" w:firstLine="220"/>
        <w:spacing w:after="0" w:line="258" w:lineRule="auto"/>
        <w:rPr>
          <w:sz w:val="20"/>
          <w:szCs w:val="20"/>
          <w:color w:val="auto"/>
        </w:rPr>
      </w:pPr>
      <w:r>
        <w:rPr>
          <w:rFonts w:ascii="Arial" w:cs="Arial" w:eastAsia="Arial" w:hAnsi="Arial"/>
          <w:sz w:val="18"/>
          <w:szCs w:val="18"/>
          <w:b w:val="1"/>
          <w:bCs w:val="1"/>
          <w:color w:val="auto"/>
        </w:rPr>
        <w:t>11.09 Release of Guaranty</w:t>
      </w:r>
      <w:r>
        <w:rPr>
          <w:rFonts w:ascii="Arial" w:cs="Arial" w:eastAsia="Arial" w:hAnsi="Arial"/>
          <w:sz w:val="18"/>
          <w:szCs w:val="18"/>
          <w:color w:val="auto"/>
        </w:rPr>
        <w:t>. The Administrative Agent, the Issuer and the Lenders hereby agree that the foregoing Holdings Guaranty shall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until the occurrence of either (a) the consolidation or merger of Holdings into the Company or its successors, (b) the consolidation or merger of the Company or its successors into Holdings, or (c) the release of Holdings from all other guarantees of the Company’s obligations under the Company’s existing credit facilities or other senior indebtedness, at which time the foregoing</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Holdings Guaranty shall be concurrently released without any further action on the part of the Lenders, the Administrative Agent or the Issuer.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AGREEMENT</w:t>
      </w:r>
    </w:p>
    <w:p>
      <w:pPr>
        <w:spacing w:after="0" w:line="213" w:lineRule="exact"/>
        <w:rPr>
          <w:sz w:val="20"/>
          <w:szCs w:val="20"/>
          <w:color w:val="auto"/>
        </w:rPr>
      </w:pPr>
    </w:p>
    <w:p>
      <w:pPr>
        <w:ind w:right="220" w:firstLine="220"/>
        <w:spacing w:after="0" w:line="262" w:lineRule="auto"/>
        <w:rPr>
          <w:sz w:val="20"/>
          <w:szCs w:val="20"/>
          <w:color w:val="auto"/>
        </w:rPr>
      </w:pPr>
      <w:r>
        <w:rPr>
          <w:rFonts w:ascii="Arial" w:cs="Arial" w:eastAsia="Arial" w:hAnsi="Arial"/>
          <w:sz w:val="18"/>
          <w:szCs w:val="18"/>
          <w:b w:val="1"/>
          <w:bCs w:val="1"/>
          <w:color w:val="auto"/>
        </w:rPr>
        <w:t xml:space="preserve">12.01 Entire Agreement. </w:t>
      </w:r>
      <w:r>
        <w:rPr>
          <w:rFonts w:ascii="Arial" w:cs="Arial" w:eastAsia="Arial" w:hAnsi="Arial"/>
          <w:sz w:val="18"/>
          <w:szCs w:val="18"/>
          <w:color w:val="auto"/>
        </w:rPr>
        <w:t>THIS AGREEMENT AND THE OTHER CREDIT DOCUMENTS REPRESENT THE FINAL AGREEMENT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MAY NOT BE CONTRADICTED BY EVIDENCE OF PRIOR, CONTEMPORANEOUS, OR SUBSEQUENT ORAL AGREEMENTS OF THE PARTIES. THERE ARE NO UNWRITTEN ORAL AGREEMENTS AMONG THE PARTIES.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70" w:name="page171"/>
    <w:bookmarkEnd w:id="170"/>
    <w:p>
      <w:pPr>
        <w:ind w:firstLine="220"/>
        <w:spacing w:after="0" w:line="268" w:lineRule="auto"/>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Ten Year Letter of Credit and Term Loan Agreement to be duly executed as of the date first above</w:t>
      </w:r>
      <w:r>
        <w:rPr>
          <w:rFonts w:ascii="Arial" w:cs="Arial" w:eastAsia="Arial" w:hAnsi="Arial"/>
          <w:sz w:val="18"/>
          <w:szCs w:val="18"/>
          <w:i w:val="1"/>
          <w:iCs w:val="1"/>
          <w:color w:val="auto"/>
        </w:rPr>
        <w:t xml:space="preserve"> </w:t>
      </w:r>
      <w:r>
        <w:rPr>
          <w:rFonts w:ascii="Arial" w:cs="Arial" w:eastAsia="Arial" w:hAnsi="Arial"/>
          <w:sz w:val="18"/>
          <w:szCs w:val="18"/>
          <w:color w:val="auto"/>
        </w:rPr>
        <w:t>written.</w:t>
      </w:r>
    </w:p>
    <w:p>
      <w:pPr>
        <w:spacing w:after="0" w:line="200" w:lineRule="exact"/>
        <w:rPr>
          <w:sz w:val="20"/>
          <w:szCs w:val="20"/>
          <w:color w:val="auto"/>
        </w:rPr>
      </w:pPr>
    </w:p>
    <w:p>
      <w:pPr>
        <w:spacing w:after="0" w:line="2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Ronald H. Jones</w:t>
            </w:r>
          </w:p>
        </w:tc>
      </w:tr>
      <w:tr>
        <w:trPr>
          <w:trHeight w:val="97"/>
        </w:trPr>
        <w:tc>
          <w:tcPr>
            <w:tcW w:w="68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Ronald H. Jones</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0" w:lineRule="exact"/>
        <w:rPr>
          <w:sz w:val="20"/>
          <w:szCs w:val="20"/>
          <w:color w:val="auto"/>
        </w:rPr>
      </w:pPr>
    </w:p>
    <w:p>
      <w:pPr>
        <w:spacing w:after="0" w:line="22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WASTE MANAGEMENT HOLDINGS, INC.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(for the limited purposes of Article XI)</w:t>
      </w:r>
    </w:p>
    <w:p>
      <w:pPr>
        <w:spacing w:after="0" w:line="219"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Ronald H. Jones</w:t>
            </w:r>
          </w:p>
        </w:tc>
      </w:tr>
      <w:tr>
        <w:trPr>
          <w:trHeight w:val="97"/>
        </w:trPr>
        <w:tc>
          <w:tcPr>
            <w:tcW w:w="68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Ronald H. Jones</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Jay Clement</w:t>
            </w:r>
          </w:p>
        </w:tc>
      </w:tr>
      <w:tr>
        <w:trPr>
          <w:trHeight w:val="97"/>
        </w:trPr>
        <w:tc>
          <w:tcPr>
            <w:tcW w:w="68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Jay Clement</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71" w:name="page172"/>
    <w:bookmarkEnd w:id="171"/>
    <w:p>
      <w:pPr>
        <w:ind w:left="28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w:t>
      </w:r>
    </w:p>
    <w:p>
      <w:pPr>
        <w:spacing w:after="0" w:line="4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Administrative Agent and Issuer</w:t>
      </w:r>
    </w:p>
    <w:p>
      <w:pPr>
        <w:spacing w:after="0" w:line="279" w:lineRule="exact"/>
        <w:rPr>
          <w:sz w:val="20"/>
          <w:szCs w:val="20"/>
          <w:color w:val="auto"/>
        </w:rPr>
      </w:pPr>
    </w:p>
    <w:p>
      <w:pPr>
        <w:ind w:left="2820"/>
        <w:spacing w:after="0"/>
        <w:tabs>
          <w:tab w:leader="none" w:pos="3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88265</wp:posOffset>
            </wp:positionV>
            <wp:extent cx="22294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5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Name:  Brian D. Corum</w:t>
      </w:r>
    </w:p>
    <w:p>
      <w:pPr>
        <w:spacing w:after="0" w:line="36" w:lineRule="exact"/>
        <w:rPr>
          <w:sz w:val="20"/>
          <w:szCs w:val="20"/>
          <w:color w:val="auto"/>
        </w:rPr>
      </w:pPr>
    </w:p>
    <w:p>
      <w:pPr>
        <w:ind w:left="2820"/>
        <w:spacing w:after="0"/>
        <w:tabs>
          <w:tab w:leader="none" w:pos="3400" w:val="left"/>
        </w:tabs>
        <w:rPr>
          <w:sz w:val="20"/>
          <w:szCs w:val="20"/>
          <w:color w:val="auto"/>
        </w:rPr>
      </w:pPr>
      <w:r>
        <w:rPr>
          <w:rFonts w:ascii="Arial" w:cs="Arial" w:eastAsia="Arial" w:hAnsi="Arial"/>
          <w:sz w:val="18"/>
          <w:szCs w:val="18"/>
          <w:color w:val="auto"/>
        </w:rPr>
        <w:t>Title:</w:t>
        <w:tab/>
        <w:t>Managing Director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9" w:right="239" w:bottom="1440" w:gutter="0" w:footer="0" w:header="0"/>
        </w:sectPr>
      </w:pPr>
    </w:p>
    <w:bookmarkStart w:id="172" w:name="page173"/>
    <w:bookmarkEnd w:id="172"/>
    <w:p>
      <w:pPr>
        <w:ind w:left="290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SUNAMERICA LIFE INSURANCE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COMPANY</w:t>
      </w:r>
    </w:p>
    <w:p>
      <w:pPr>
        <w:spacing w:after="0" w:line="219" w:lineRule="exact"/>
        <w:rPr>
          <w:sz w:val="20"/>
          <w:szCs w:val="20"/>
          <w:color w:val="auto"/>
        </w:rPr>
      </w:pPr>
    </w:p>
    <w:p>
      <w:pPr>
        <w:ind w:left="2900"/>
        <w:spacing w:after="0"/>
        <w:tabs>
          <w:tab w:leader="none" w:pos="3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AIG Global Investment Corp.</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Investment Advisor</w:t>
      </w:r>
    </w:p>
    <w:p>
      <w:pPr>
        <w:spacing w:after="0" w:line="219" w:lineRule="exact"/>
        <w:rPr>
          <w:sz w:val="20"/>
          <w:szCs w:val="20"/>
          <w:color w:val="auto"/>
        </w:rPr>
      </w:pPr>
    </w:p>
    <w:p>
      <w:pPr>
        <w:ind w:left="2900"/>
        <w:spacing w:after="0"/>
        <w:tabs>
          <w:tab w:leader="none" w:pos="3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/s/Victoria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80010</wp:posOffset>
            </wp:positionV>
            <wp:extent cx="17583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Victoria Chin, Vice President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9" w:right="239" w:bottom="1440" w:gutter="0" w:footer="0" w:header="0"/>
        </w:sectPr>
      </w:pPr>
    </w:p>
    <w:bookmarkStart w:id="173" w:name="page174"/>
    <w:bookmarkEnd w:id="173"/>
    <w:p>
      <w:pPr>
        <w:ind w:left="3040"/>
        <w:spacing w:after="0"/>
        <w:rPr>
          <w:sz w:val="20"/>
          <w:szCs w:val="20"/>
          <w:color w:val="auto"/>
        </w:rPr>
      </w:pPr>
      <w:r>
        <w:rPr>
          <w:rFonts w:ascii="Arial" w:cs="Arial" w:eastAsia="Arial" w:hAnsi="Arial"/>
          <w:sz w:val="18"/>
          <w:szCs w:val="18"/>
          <w:b w:val="1"/>
          <w:bCs w:val="1"/>
          <w:color w:val="auto"/>
        </w:rPr>
        <w:t>TRANSAMERICA LIFE INSURANCE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ANNUITY COMPANY</w:t>
      </w:r>
    </w:p>
    <w:p>
      <w:pPr>
        <w:spacing w:after="0" w:line="219" w:lineRule="exact"/>
        <w:rPr>
          <w:sz w:val="20"/>
          <w:szCs w:val="20"/>
          <w:color w:val="auto"/>
        </w:rPr>
      </w:pPr>
    </w:p>
    <w:p>
      <w:pPr>
        <w:ind w:left="3040"/>
        <w:spacing w:after="0"/>
        <w:tabs>
          <w:tab w:leader="none" w:pos="3520" w:val="left"/>
        </w:tabs>
        <w:rPr>
          <w:sz w:val="20"/>
          <w:szCs w:val="20"/>
          <w:color w:val="auto"/>
        </w:rPr>
      </w:pPr>
      <w:r>
        <w:rPr>
          <w:rFonts w:ascii="Arial" w:cs="Arial" w:eastAsia="Arial" w:hAnsi="Arial"/>
          <w:sz w:val="18"/>
          <w:szCs w:val="18"/>
          <w:color w:val="auto"/>
        </w:rPr>
        <w:t>By:</w:t>
        <w:tab/>
        <w:t>/s/ Mark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71120</wp:posOffset>
            </wp:positionV>
            <wp:extent cx="19469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Name: Mark E. Dunn</w:t>
      </w:r>
    </w:p>
    <w:p>
      <w:pPr>
        <w:spacing w:after="0" w:line="15" w:lineRule="exact"/>
        <w:rPr>
          <w:sz w:val="20"/>
          <w:szCs w:val="20"/>
          <w:color w:val="auto"/>
        </w:rPr>
      </w:pPr>
    </w:p>
    <w:p>
      <w:pPr>
        <w:ind w:left="3040"/>
        <w:spacing w:after="0"/>
        <w:tabs>
          <w:tab w:leader="none" w:pos="3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9" w:right="239" w:bottom="1440" w:gutter="0" w:footer="0" w:header="0"/>
        </w:sectPr>
      </w:pPr>
    </w:p>
    <w:bookmarkStart w:id="174" w:name="page175"/>
    <w:bookmarkEnd w:id="174"/>
    <w:p>
      <w:pPr>
        <w:ind w:left="2820"/>
        <w:spacing w:after="0"/>
        <w:rPr>
          <w:sz w:val="20"/>
          <w:szCs w:val="20"/>
          <w:color w:val="auto"/>
        </w:rPr>
      </w:pPr>
      <w:r>
        <w:rPr>
          <w:rFonts w:ascii="Arial" w:cs="Arial" w:eastAsia="Arial" w:hAnsi="Arial"/>
          <w:sz w:val="18"/>
          <w:szCs w:val="18"/>
          <w:b w:val="1"/>
          <w:bCs w:val="1"/>
          <w:color w:val="auto"/>
        </w:rPr>
        <w:t>PRINCIPAL LIFE INSURANCE COMPANY</w:t>
      </w:r>
    </w:p>
    <w:p>
      <w:pPr>
        <w:spacing w:after="0" w:line="23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By: Principal Global Investors, LLC</w:t>
      </w:r>
    </w:p>
    <w:p>
      <w:pPr>
        <w:spacing w:after="0" w:line="1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its authorized signatory</w:t>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By: /s/ Jon C. Heiny,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80010</wp:posOffset>
            </wp:positionV>
            <wp:extent cx="18783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Its: Jon C. Heiny, Counsel</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By: /s/ Debra Svoboda, EPP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80010</wp:posOffset>
            </wp:positionV>
            <wp:extent cx="18783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Its: Debra Svoboda, EPP Counsel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 Year Letter of Credit and Term Loan Agreement</w:t>
      </w:r>
    </w:p>
    <w:p>
      <w:pPr>
        <w:sectPr>
          <w:pgSz w:w="11900" w:h="16838" w:orient="portrait"/>
          <w:cols w:equalWidth="0" w:num="1">
            <w:col w:w="10220"/>
          </w:cols>
          <w:pgMar w:left="1440" w:top="1179"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107315</wp:posOffset>
            </wp:positionV>
            <wp:extent cx="72504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$15,000,000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FIVE YEAR LETTER OF CREDIT AND TERM LOAN AGREEMENT</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30, 2003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Letter of Credit Issuer</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21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1223010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290195</wp:posOffset>
            </wp:positionV>
            <wp:extent cx="2332355" cy="523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32355" cy="52324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ARTICLE I</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DEFINITIONS AND ACCOUNTING TERMS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72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1.02</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Interpretive Provisions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7720" w:type="dxa"/>
            <w:vAlign w:val="bottom"/>
          </w:tcPr>
          <w:p>
            <w:pPr>
              <w:ind w:left="280"/>
              <w:spacing w:after="0"/>
              <w:rPr>
                <w:sz w:val="20"/>
                <w:szCs w:val="20"/>
                <w:color w:val="auto"/>
              </w:rPr>
            </w:pPr>
            <w:r>
              <w:rPr>
                <w:rFonts w:ascii="Arial" w:cs="Arial" w:eastAsia="Arial" w:hAnsi="Arial"/>
                <w:sz w:val="18"/>
                <w:szCs w:val="18"/>
                <w:color w:val="auto"/>
              </w:rPr>
              <w:t>Accounting Terms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1.04</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Rounding</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7720" w:type="dxa"/>
            <w:vAlign w:val="bottom"/>
          </w:tcPr>
          <w:p>
            <w:pPr>
              <w:ind w:left="280"/>
              <w:spacing w:after="0"/>
              <w:rPr>
                <w:sz w:val="20"/>
                <w:szCs w:val="20"/>
                <w:color w:val="auto"/>
              </w:rPr>
            </w:pPr>
            <w:r>
              <w:rPr>
                <w:rFonts w:ascii="Arial" w:cs="Arial" w:eastAsia="Arial" w:hAnsi="Arial"/>
                <w:sz w:val="18"/>
                <w:szCs w:val="18"/>
                <w:color w:val="auto"/>
              </w:rPr>
              <w:t>References to Agreements and Laws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1.06</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Credit Amounts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ARTICLE II</w:t>
            </w:r>
          </w:p>
        </w:tc>
        <w:tc>
          <w:tcPr>
            <w:tcW w:w="7720" w:type="dxa"/>
            <w:vAlign w:val="bottom"/>
          </w:tcPr>
          <w:p>
            <w:pPr>
              <w:ind w:left="280"/>
              <w:spacing w:after="0"/>
              <w:rPr>
                <w:sz w:val="20"/>
                <w:szCs w:val="20"/>
                <w:color w:val="auto"/>
              </w:rPr>
            </w:pPr>
            <w:r>
              <w:rPr>
                <w:rFonts w:ascii="Arial" w:cs="Arial" w:eastAsia="Arial" w:hAnsi="Arial"/>
                <w:sz w:val="18"/>
                <w:szCs w:val="18"/>
                <w:color w:val="auto"/>
              </w:rPr>
              <w:t>THE CREDIT-LINKED DEPOSITS AND CREDIT EXTENSIONS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2.01</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Credits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2.02</w:t>
            </w:r>
          </w:p>
        </w:tc>
        <w:tc>
          <w:tcPr>
            <w:tcW w:w="7720" w:type="dxa"/>
            <w:vAlign w:val="bottom"/>
          </w:tcPr>
          <w:p>
            <w:pPr>
              <w:ind w:left="280"/>
              <w:spacing w:after="0"/>
              <w:rPr>
                <w:sz w:val="20"/>
                <w:szCs w:val="20"/>
                <w:color w:val="auto"/>
              </w:rPr>
            </w:pPr>
            <w:r>
              <w:rPr>
                <w:rFonts w:ascii="Arial" w:cs="Arial" w:eastAsia="Arial" w:hAnsi="Arial"/>
                <w:sz w:val="18"/>
                <w:szCs w:val="18"/>
                <w:color w:val="auto"/>
              </w:rPr>
              <w:t>Cash Collateral</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2.03</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Reduction of Total Credit-Linked Deposits; Conversion to Funded Term Loans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2.04</w:t>
            </w:r>
          </w:p>
        </w:tc>
        <w:tc>
          <w:tcPr>
            <w:tcW w:w="7720" w:type="dxa"/>
            <w:vAlign w:val="bottom"/>
          </w:tcPr>
          <w:p>
            <w:pPr>
              <w:ind w:left="280"/>
              <w:spacing w:after="0"/>
              <w:rPr>
                <w:sz w:val="20"/>
                <w:szCs w:val="20"/>
                <w:color w:val="auto"/>
              </w:rPr>
            </w:pPr>
            <w:r>
              <w:rPr>
                <w:rFonts w:ascii="Arial" w:cs="Arial" w:eastAsia="Arial" w:hAnsi="Arial"/>
                <w:sz w:val="18"/>
                <w:szCs w:val="18"/>
                <w:color w:val="auto"/>
              </w:rPr>
              <w:t>Interest on Borrowings Other Than Term Loans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2.05</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Fees and Other Charges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2.06</w:t>
            </w:r>
          </w:p>
        </w:tc>
        <w:tc>
          <w:tcPr>
            <w:tcW w:w="7720" w:type="dxa"/>
            <w:vAlign w:val="bottom"/>
          </w:tcPr>
          <w:p>
            <w:pPr>
              <w:ind w:left="280"/>
              <w:spacing w:after="0"/>
              <w:rPr>
                <w:sz w:val="20"/>
                <w:szCs w:val="20"/>
                <w:color w:val="auto"/>
              </w:rPr>
            </w:pPr>
            <w:r>
              <w:rPr>
                <w:rFonts w:ascii="Arial" w:cs="Arial" w:eastAsia="Arial" w:hAnsi="Arial"/>
                <w:sz w:val="18"/>
                <w:szCs w:val="18"/>
                <w:color w:val="auto"/>
              </w:rPr>
              <w:t>Computation of Interest and Fees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2.07</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Evidence of Debt</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2.08</w:t>
            </w:r>
          </w:p>
        </w:tc>
        <w:tc>
          <w:tcPr>
            <w:tcW w:w="7720" w:type="dxa"/>
            <w:vAlign w:val="bottom"/>
          </w:tcPr>
          <w:p>
            <w:pPr>
              <w:ind w:left="280"/>
              <w:spacing w:after="0"/>
              <w:rPr>
                <w:sz w:val="20"/>
                <w:szCs w:val="20"/>
                <w:color w:val="auto"/>
              </w:rPr>
            </w:pPr>
            <w:r>
              <w:rPr>
                <w:rFonts w:ascii="Arial" w:cs="Arial" w:eastAsia="Arial" w:hAnsi="Arial"/>
                <w:sz w:val="18"/>
                <w:szCs w:val="18"/>
                <w:color w:val="auto"/>
              </w:rPr>
              <w:t>Payments Generally</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2.09</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Sharing of Payments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7720" w:type="dxa"/>
            <w:vAlign w:val="bottom"/>
          </w:tcPr>
          <w:p>
            <w:pPr>
              <w:ind w:left="280"/>
              <w:spacing w:after="0"/>
              <w:rPr>
                <w:sz w:val="20"/>
                <w:szCs w:val="20"/>
                <w:color w:val="auto"/>
              </w:rPr>
            </w:pPr>
            <w:r>
              <w:rPr>
                <w:rFonts w:ascii="Arial" w:cs="Arial" w:eastAsia="Arial" w:hAnsi="Arial"/>
                <w:sz w:val="18"/>
                <w:szCs w:val="18"/>
                <w:color w:val="auto"/>
              </w:rPr>
              <w:t>TAXES AND YIELD PROTECTION</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3.01</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Taxes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3.02</w:t>
            </w:r>
          </w:p>
        </w:tc>
        <w:tc>
          <w:tcPr>
            <w:tcW w:w="7720" w:type="dxa"/>
            <w:vAlign w:val="bottom"/>
          </w:tcPr>
          <w:p>
            <w:pPr>
              <w:ind w:left="280"/>
              <w:spacing w:after="0"/>
              <w:rPr>
                <w:sz w:val="20"/>
                <w:szCs w:val="20"/>
                <w:color w:val="auto"/>
              </w:rPr>
            </w:pPr>
            <w:r>
              <w:rPr>
                <w:rFonts w:ascii="Arial" w:cs="Arial" w:eastAsia="Arial" w:hAnsi="Arial"/>
                <w:sz w:val="18"/>
                <w:szCs w:val="18"/>
                <w:color w:val="auto"/>
              </w:rPr>
              <w:t>Increased Cost and Reduced Return; Capital Adequacy or Risk-Based Capital</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3.03</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Illegality</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3.04</w:t>
            </w:r>
          </w:p>
        </w:tc>
        <w:tc>
          <w:tcPr>
            <w:tcW w:w="7720" w:type="dxa"/>
            <w:vAlign w:val="bottom"/>
          </w:tcPr>
          <w:p>
            <w:pPr>
              <w:ind w:left="280"/>
              <w:spacing w:after="0"/>
              <w:rPr>
                <w:sz w:val="20"/>
                <w:szCs w:val="20"/>
                <w:color w:val="auto"/>
              </w:rPr>
            </w:pPr>
            <w:r>
              <w:rPr>
                <w:rFonts w:ascii="Arial" w:cs="Arial" w:eastAsia="Arial" w:hAnsi="Arial"/>
                <w:sz w:val="18"/>
                <w:szCs w:val="18"/>
                <w:color w:val="auto"/>
              </w:rPr>
              <w:t>Funding Losses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3.05</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Matters Applicable to All Requests for Compensation</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3.06</w:t>
            </w:r>
          </w:p>
        </w:tc>
        <w:tc>
          <w:tcPr>
            <w:tcW w:w="7720" w:type="dxa"/>
            <w:vAlign w:val="bottom"/>
          </w:tcPr>
          <w:p>
            <w:pPr>
              <w:ind w:left="280"/>
              <w:spacing w:after="0"/>
              <w:rPr>
                <w:sz w:val="20"/>
                <w:szCs w:val="20"/>
                <w:color w:val="auto"/>
              </w:rPr>
            </w:pPr>
            <w:r>
              <w:rPr>
                <w:rFonts w:ascii="Arial" w:cs="Arial" w:eastAsia="Arial" w:hAnsi="Arial"/>
                <w:sz w:val="18"/>
                <w:szCs w:val="18"/>
                <w:color w:val="auto"/>
              </w:rPr>
              <w:t>Survival</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3.07</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Replacement of Lenders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7"/>
              </w:rPr>
              <w:t>ARTICLE IV</w:t>
            </w:r>
          </w:p>
        </w:tc>
        <w:tc>
          <w:tcPr>
            <w:tcW w:w="7720" w:type="dxa"/>
            <w:vAlign w:val="bottom"/>
          </w:tcPr>
          <w:p>
            <w:pPr>
              <w:ind w:left="280"/>
              <w:spacing w:after="0"/>
              <w:rPr>
                <w:sz w:val="20"/>
                <w:szCs w:val="20"/>
                <w:color w:val="auto"/>
              </w:rPr>
            </w:pPr>
            <w:r>
              <w:rPr>
                <w:rFonts w:ascii="Arial" w:cs="Arial" w:eastAsia="Arial" w:hAnsi="Arial"/>
                <w:sz w:val="18"/>
                <w:szCs w:val="18"/>
                <w:color w:val="auto"/>
              </w:rPr>
              <w:t>CONDITIONS PRECEDENT TO CREDIT EXTENSIONS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4.01</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Conditions of Credit-Linked Deposits and Initial Credit Extension</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4.02</w:t>
            </w:r>
          </w:p>
        </w:tc>
        <w:tc>
          <w:tcPr>
            <w:tcW w:w="7720" w:type="dxa"/>
            <w:vAlign w:val="bottom"/>
          </w:tcPr>
          <w:p>
            <w:pPr>
              <w:ind w:left="280"/>
              <w:spacing w:after="0"/>
              <w:rPr>
                <w:sz w:val="20"/>
                <w:szCs w:val="20"/>
                <w:color w:val="auto"/>
              </w:rPr>
            </w:pPr>
            <w:r>
              <w:rPr>
                <w:rFonts w:ascii="Arial" w:cs="Arial" w:eastAsia="Arial" w:hAnsi="Arial"/>
                <w:sz w:val="18"/>
                <w:szCs w:val="18"/>
                <w:color w:val="auto"/>
              </w:rPr>
              <w:t>Conditions to all Credit Extensions by the Issuer</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4.03</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Conditions to Term Loans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6"/>
              </w:rPr>
              <w:t>ARTICLE V</w:t>
            </w:r>
          </w:p>
        </w:tc>
        <w:tc>
          <w:tcPr>
            <w:tcW w:w="7720" w:type="dxa"/>
            <w:vAlign w:val="bottom"/>
          </w:tcPr>
          <w:p>
            <w:pPr>
              <w:ind w:left="280"/>
              <w:spacing w:after="0"/>
              <w:rPr>
                <w:sz w:val="20"/>
                <w:szCs w:val="20"/>
                <w:color w:val="auto"/>
              </w:rPr>
            </w:pPr>
            <w:r>
              <w:rPr>
                <w:rFonts w:ascii="Arial" w:cs="Arial" w:eastAsia="Arial" w:hAnsi="Arial"/>
                <w:sz w:val="18"/>
                <w:szCs w:val="18"/>
                <w:color w:val="auto"/>
              </w:rPr>
              <w:t>REPRESENTATIONS AND WARRANTIES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5.01</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Organization; Power and Authority</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5.02</w:t>
            </w:r>
          </w:p>
        </w:tc>
        <w:tc>
          <w:tcPr>
            <w:tcW w:w="7720" w:type="dxa"/>
            <w:vAlign w:val="bottom"/>
          </w:tcPr>
          <w:p>
            <w:pPr>
              <w:ind w:left="280"/>
              <w:spacing w:after="0"/>
              <w:rPr>
                <w:sz w:val="20"/>
                <w:szCs w:val="20"/>
                <w:color w:val="auto"/>
              </w:rPr>
            </w:pPr>
            <w:r>
              <w:rPr>
                <w:rFonts w:ascii="Arial" w:cs="Arial" w:eastAsia="Arial" w:hAnsi="Arial"/>
                <w:sz w:val="18"/>
                <w:szCs w:val="18"/>
                <w:color w:val="auto"/>
              </w:rPr>
              <w:t>Authorization, etc</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5.03</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Disclosure</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5.04</w:t>
            </w:r>
          </w:p>
        </w:tc>
        <w:tc>
          <w:tcPr>
            <w:tcW w:w="7720" w:type="dxa"/>
            <w:vAlign w:val="bottom"/>
          </w:tcPr>
          <w:p>
            <w:pPr>
              <w:ind w:left="280"/>
              <w:spacing w:after="0"/>
              <w:rPr>
                <w:sz w:val="20"/>
                <w:szCs w:val="20"/>
                <w:color w:val="auto"/>
              </w:rPr>
            </w:pPr>
            <w:r>
              <w:rPr>
                <w:rFonts w:ascii="Arial" w:cs="Arial" w:eastAsia="Arial" w:hAnsi="Arial"/>
                <w:sz w:val="18"/>
                <w:szCs w:val="18"/>
                <w:color w:val="auto"/>
              </w:rPr>
              <w:t>Organization and Ownership of Shares of Subsidiaries; Affiliates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5.05</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Financial Statements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43</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5.06</w:t>
            </w:r>
          </w:p>
        </w:tc>
        <w:tc>
          <w:tcPr>
            <w:tcW w:w="7720" w:type="dxa"/>
            <w:vAlign w:val="bottom"/>
          </w:tcPr>
          <w:p>
            <w:pPr>
              <w:ind w:left="280"/>
              <w:spacing w:after="0"/>
              <w:rPr>
                <w:sz w:val="20"/>
                <w:szCs w:val="20"/>
                <w:color w:val="auto"/>
              </w:rPr>
            </w:pPr>
            <w:r>
              <w:rPr>
                <w:rFonts w:ascii="Arial" w:cs="Arial" w:eastAsia="Arial" w:hAnsi="Arial"/>
                <w:sz w:val="18"/>
                <w:szCs w:val="18"/>
                <w:color w:val="auto"/>
              </w:rPr>
              <w:t>Compliance with Laws, Other Instruments, etc</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5.07</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Governmental Authorizations, etc</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5.08</w:t>
            </w:r>
          </w:p>
        </w:tc>
        <w:tc>
          <w:tcPr>
            <w:tcW w:w="7720" w:type="dxa"/>
            <w:vAlign w:val="bottom"/>
          </w:tcPr>
          <w:p>
            <w:pPr>
              <w:ind w:left="280"/>
              <w:spacing w:after="0"/>
              <w:rPr>
                <w:sz w:val="20"/>
                <w:szCs w:val="20"/>
                <w:color w:val="auto"/>
              </w:rPr>
            </w:pPr>
            <w:r>
              <w:rPr>
                <w:rFonts w:ascii="Arial" w:cs="Arial" w:eastAsia="Arial" w:hAnsi="Arial"/>
                <w:sz w:val="18"/>
                <w:szCs w:val="18"/>
                <w:color w:val="auto"/>
              </w:rPr>
              <w:t>Litigation; Observance of Agreements, Statutes and Orders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5.09</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Taxes</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45</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5.10</w:t>
            </w:r>
          </w:p>
        </w:tc>
        <w:tc>
          <w:tcPr>
            <w:tcW w:w="7720" w:type="dxa"/>
            <w:vAlign w:val="bottom"/>
          </w:tcPr>
          <w:p>
            <w:pPr>
              <w:ind w:left="280"/>
              <w:spacing w:after="0"/>
              <w:rPr>
                <w:sz w:val="20"/>
                <w:szCs w:val="20"/>
                <w:color w:val="auto"/>
              </w:rPr>
            </w:pPr>
            <w:r>
              <w:rPr>
                <w:rFonts w:ascii="Arial" w:cs="Arial" w:eastAsia="Arial" w:hAnsi="Arial"/>
                <w:sz w:val="18"/>
                <w:szCs w:val="18"/>
                <w:color w:val="auto"/>
              </w:rPr>
              <w:t>Title to Property; Leases</w:t>
            </w:r>
          </w:p>
        </w:tc>
        <w:tc>
          <w:tcPr>
            <w:tcW w:w="222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16"/>
        </w:trPr>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5.11</w:t>
            </w:r>
          </w:p>
        </w:tc>
        <w:tc>
          <w:tcPr>
            <w:tcW w:w="7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Licenses, Permits, etc</w:t>
            </w:r>
          </w:p>
        </w:tc>
        <w:tc>
          <w:tcPr>
            <w:tcW w:w="22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45</w:t>
            </w: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2"/>
        </w:trPr>
        <w:tc>
          <w:tcPr>
            <w:tcW w:w="1680" w:type="dxa"/>
            <w:vAlign w:val="bottom"/>
          </w:tcPr>
          <w:p>
            <w:pPr>
              <w:spacing w:after="0"/>
              <w:rPr>
                <w:sz w:val="19"/>
                <w:szCs w:val="19"/>
                <w:color w:val="auto"/>
              </w:rPr>
            </w:pPr>
          </w:p>
        </w:tc>
        <w:tc>
          <w:tcPr>
            <w:tcW w:w="732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22"/>
        </w:trPr>
        <w:tc>
          <w:tcPr>
            <w:tcW w:w="1680" w:type="dxa"/>
            <w:vAlign w:val="bottom"/>
          </w:tcPr>
          <w:p>
            <w:pPr>
              <w:spacing w:after="0"/>
              <w:rPr>
                <w:sz w:val="19"/>
                <w:szCs w:val="19"/>
                <w:color w:val="auto"/>
              </w:rPr>
            </w:pPr>
          </w:p>
        </w:tc>
        <w:tc>
          <w:tcPr>
            <w:tcW w:w="7320" w:type="dxa"/>
            <w:vAlign w:val="bottom"/>
          </w:tcPr>
          <w:p>
            <w:pPr>
              <w:ind w:left="362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19"/>
                <w:szCs w:val="19"/>
                <w:color w:val="auto"/>
              </w:rPr>
            </w:pPr>
          </w:p>
        </w:tc>
      </w:tr>
      <w:tr>
        <w:trPr>
          <w:trHeight w:val="601"/>
        </w:trPr>
        <w:tc>
          <w:tcPr>
            <w:tcW w:w="16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420" w:type="dxa"/>
            <w:vAlign w:val="bottom"/>
          </w:tcPr>
          <w:p>
            <w:pPr>
              <w:jc w:val="center"/>
              <w:ind w:left="1933"/>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5.12</w:t>
            </w:r>
          </w:p>
        </w:tc>
        <w:tc>
          <w:tcPr>
            <w:tcW w:w="7320" w:type="dxa"/>
            <w:vAlign w:val="bottom"/>
          </w:tcPr>
          <w:p>
            <w:pPr>
              <w:ind w:left="400"/>
              <w:spacing w:after="0"/>
              <w:rPr>
                <w:sz w:val="20"/>
                <w:szCs w:val="20"/>
                <w:color w:val="auto"/>
              </w:rPr>
            </w:pPr>
            <w:r>
              <w:rPr>
                <w:rFonts w:ascii="Arial" w:cs="Arial" w:eastAsia="Arial" w:hAnsi="Arial"/>
                <w:sz w:val="18"/>
                <w:szCs w:val="18"/>
                <w:color w:val="auto"/>
              </w:rPr>
              <w:t>Compliance with ERISA</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46</w:t>
            </w:r>
          </w:p>
        </w:tc>
      </w:tr>
      <w:tr>
        <w:trPr>
          <w:trHeight w:val="217"/>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5.13</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Private Offering by Company</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46</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5.14</w:t>
            </w:r>
          </w:p>
        </w:tc>
        <w:tc>
          <w:tcPr>
            <w:tcW w:w="7320" w:type="dxa"/>
            <w:vAlign w:val="bottom"/>
          </w:tcPr>
          <w:p>
            <w:pPr>
              <w:ind w:left="400"/>
              <w:spacing w:after="0"/>
              <w:rPr>
                <w:sz w:val="20"/>
                <w:szCs w:val="20"/>
                <w:color w:val="auto"/>
              </w:rPr>
            </w:pPr>
            <w:r>
              <w:rPr>
                <w:rFonts w:ascii="Arial" w:cs="Arial" w:eastAsia="Arial" w:hAnsi="Arial"/>
                <w:sz w:val="18"/>
                <w:szCs w:val="18"/>
                <w:color w:val="auto"/>
              </w:rPr>
              <w:t>Use of Proceeds; Margin Regulations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5.15</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Existing Indebtedness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5.16</w:t>
            </w:r>
          </w:p>
        </w:tc>
        <w:tc>
          <w:tcPr>
            <w:tcW w:w="7320" w:type="dxa"/>
            <w:vAlign w:val="bottom"/>
          </w:tcPr>
          <w:p>
            <w:pPr>
              <w:ind w:left="400"/>
              <w:spacing w:after="0"/>
              <w:rPr>
                <w:sz w:val="20"/>
                <w:szCs w:val="20"/>
                <w:color w:val="auto"/>
              </w:rPr>
            </w:pPr>
            <w:r>
              <w:rPr>
                <w:rFonts w:ascii="Arial" w:cs="Arial" w:eastAsia="Arial" w:hAnsi="Arial"/>
                <w:sz w:val="18"/>
                <w:szCs w:val="18"/>
                <w:color w:val="auto"/>
              </w:rPr>
              <w:t>Foreign Assets Control Regulations, etc</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5.17</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Status under Certain Statutes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48</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5.18</w:t>
            </w:r>
          </w:p>
        </w:tc>
        <w:tc>
          <w:tcPr>
            <w:tcW w:w="7320" w:type="dxa"/>
            <w:vAlign w:val="bottom"/>
          </w:tcPr>
          <w:p>
            <w:pPr>
              <w:ind w:left="400"/>
              <w:spacing w:after="0"/>
              <w:rPr>
                <w:sz w:val="20"/>
                <w:szCs w:val="20"/>
                <w:color w:val="auto"/>
              </w:rPr>
            </w:pPr>
            <w:r>
              <w:rPr>
                <w:rFonts w:ascii="Arial" w:cs="Arial" w:eastAsia="Arial" w:hAnsi="Arial"/>
                <w:sz w:val="18"/>
                <w:szCs w:val="18"/>
                <w:color w:val="auto"/>
              </w:rPr>
              <w:t>Environmental Matters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48</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5.19</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Compliance With Issuance Limits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48</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5.20</w:t>
            </w:r>
          </w:p>
        </w:tc>
        <w:tc>
          <w:tcPr>
            <w:tcW w:w="7320" w:type="dxa"/>
            <w:vAlign w:val="bottom"/>
          </w:tcPr>
          <w:p>
            <w:pPr>
              <w:ind w:left="400"/>
              <w:spacing w:after="0"/>
              <w:rPr>
                <w:sz w:val="20"/>
                <w:szCs w:val="20"/>
                <w:color w:val="auto"/>
              </w:rPr>
            </w:pPr>
            <w:r>
              <w:rPr>
                <w:rFonts w:ascii="Arial" w:cs="Arial" w:eastAsia="Arial" w:hAnsi="Arial"/>
                <w:sz w:val="18"/>
                <w:szCs w:val="18"/>
                <w:color w:val="auto"/>
              </w:rPr>
              <w:t>Tax Shelter Regulations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48</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7"/>
              </w:rPr>
              <w:t>ARTICLE VI</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AFFIRMATIVE COVENANTS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49</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6.01</w:t>
            </w:r>
          </w:p>
        </w:tc>
        <w:tc>
          <w:tcPr>
            <w:tcW w:w="7320" w:type="dxa"/>
            <w:vAlign w:val="bottom"/>
          </w:tcPr>
          <w:p>
            <w:pPr>
              <w:ind w:left="400"/>
              <w:spacing w:after="0"/>
              <w:rPr>
                <w:sz w:val="20"/>
                <w:szCs w:val="20"/>
                <w:color w:val="auto"/>
              </w:rPr>
            </w:pPr>
            <w:r>
              <w:rPr>
                <w:rFonts w:ascii="Arial" w:cs="Arial" w:eastAsia="Arial" w:hAnsi="Arial"/>
                <w:sz w:val="18"/>
                <w:szCs w:val="18"/>
                <w:color w:val="auto"/>
              </w:rPr>
              <w:t>Financial and Business Information</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49</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6.02</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Officer’s Certificate</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51</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6.03</w:t>
            </w:r>
          </w:p>
        </w:tc>
        <w:tc>
          <w:tcPr>
            <w:tcW w:w="7320" w:type="dxa"/>
            <w:vAlign w:val="bottom"/>
          </w:tcPr>
          <w:p>
            <w:pPr>
              <w:ind w:left="400"/>
              <w:spacing w:after="0"/>
              <w:rPr>
                <w:sz w:val="20"/>
                <w:szCs w:val="20"/>
                <w:color w:val="auto"/>
              </w:rPr>
            </w:pPr>
            <w:r>
              <w:rPr>
                <w:rFonts w:ascii="Arial" w:cs="Arial" w:eastAsia="Arial" w:hAnsi="Arial"/>
                <w:sz w:val="18"/>
                <w:szCs w:val="18"/>
                <w:color w:val="auto"/>
              </w:rPr>
              <w:t>Inspection</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52</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6.04</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Compliance with Laws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52</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6.05</w:t>
            </w:r>
          </w:p>
        </w:tc>
        <w:tc>
          <w:tcPr>
            <w:tcW w:w="732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52</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6.06</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Maintenance of Properties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52</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6.07</w:t>
            </w:r>
          </w:p>
        </w:tc>
        <w:tc>
          <w:tcPr>
            <w:tcW w:w="7320" w:type="dxa"/>
            <w:vAlign w:val="bottom"/>
          </w:tcPr>
          <w:p>
            <w:pPr>
              <w:ind w:left="400"/>
              <w:spacing w:after="0"/>
              <w:rPr>
                <w:sz w:val="20"/>
                <w:szCs w:val="20"/>
                <w:color w:val="auto"/>
              </w:rPr>
            </w:pPr>
            <w:r>
              <w:rPr>
                <w:rFonts w:ascii="Arial" w:cs="Arial" w:eastAsia="Arial" w:hAnsi="Arial"/>
                <w:sz w:val="18"/>
                <w:szCs w:val="18"/>
                <w:color w:val="auto"/>
              </w:rPr>
              <w:t>Payment of Taxes and Claims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52</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6.08</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Corporate Existence, Etc</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53</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6.09</w:t>
            </w:r>
          </w:p>
        </w:tc>
        <w:tc>
          <w:tcPr>
            <w:tcW w:w="7320" w:type="dxa"/>
            <w:vAlign w:val="bottom"/>
          </w:tcPr>
          <w:p>
            <w:pPr>
              <w:ind w:left="400"/>
              <w:spacing w:after="0"/>
              <w:rPr>
                <w:sz w:val="20"/>
                <w:szCs w:val="20"/>
                <w:color w:val="auto"/>
              </w:rPr>
            </w:pPr>
            <w:r>
              <w:rPr>
                <w:rFonts w:ascii="Arial" w:cs="Arial" w:eastAsia="Arial" w:hAnsi="Arial"/>
                <w:sz w:val="18"/>
                <w:szCs w:val="18"/>
                <w:color w:val="auto"/>
              </w:rPr>
              <w:t>Books and Records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53</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6.10</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Purpose of Credits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53</w:t>
            </w:r>
          </w:p>
        </w:tc>
      </w:tr>
      <w:tr>
        <w:trPr>
          <w:trHeight w:val="216"/>
        </w:trPr>
        <w:tc>
          <w:tcPr>
            <w:tcW w:w="1680" w:type="dxa"/>
            <w:vAlign w:val="bottom"/>
          </w:tcPr>
          <w:p>
            <w:pPr>
              <w:jc w:val="center"/>
              <w:ind w:right="172"/>
              <w:spacing w:after="0"/>
              <w:rPr>
                <w:sz w:val="20"/>
                <w:szCs w:val="20"/>
                <w:color w:val="auto"/>
              </w:rPr>
            </w:pPr>
            <w:r>
              <w:rPr>
                <w:rFonts w:ascii="Arial" w:cs="Arial" w:eastAsia="Arial" w:hAnsi="Arial"/>
                <w:sz w:val="18"/>
                <w:szCs w:val="18"/>
                <w:color w:val="auto"/>
                <w:w w:val="98"/>
              </w:rPr>
              <w:t>ARTICLE VII</w:t>
            </w:r>
          </w:p>
        </w:tc>
        <w:tc>
          <w:tcPr>
            <w:tcW w:w="7320" w:type="dxa"/>
            <w:vAlign w:val="bottom"/>
          </w:tcPr>
          <w:p>
            <w:pPr>
              <w:ind w:left="400"/>
              <w:spacing w:after="0"/>
              <w:rPr>
                <w:sz w:val="20"/>
                <w:szCs w:val="20"/>
                <w:color w:val="auto"/>
              </w:rPr>
            </w:pPr>
            <w:r>
              <w:rPr>
                <w:rFonts w:ascii="Arial" w:cs="Arial" w:eastAsia="Arial" w:hAnsi="Arial"/>
                <w:sz w:val="18"/>
                <w:szCs w:val="18"/>
                <w:color w:val="auto"/>
              </w:rPr>
              <w:t>NEGATIVE COVENANTS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53</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7.01</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Transactions with Affiliates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53</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7.02</w:t>
            </w:r>
          </w:p>
        </w:tc>
        <w:tc>
          <w:tcPr>
            <w:tcW w:w="7320" w:type="dxa"/>
            <w:vAlign w:val="bottom"/>
          </w:tcPr>
          <w:p>
            <w:pPr>
              <w:ind w:left="400"/>
              <w:spacing w:after="0"/>
              <w:rPr>
                <w:sz w:val="20"/>
                <w:szCs w:val="20"/>
                <w:color w:val="auto"/>
              </w:rPr>
            </w:pPr>
            <w:r>
              <w:rPr>
                <w:rFonts w:ascii="Arial" w:cs="Arial" w:eastAsia="Arial" w:hAnsi="Arial"/>
                <w:sz w:val="18"/>
                <w:szCs w:val="18"/>
                <w:color w:val="auto"/>
              </w:rPr>
              <w:t>Merger, Consolidation, Sale of Assets, etc</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54</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7.03</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Liens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56</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7.04</w:t>
            </w:r>
          </w:p>
        </w:tc>
        <w:tc>
          <w:tcPr>
            <w:tcW w:w="7320" w:type="dxa"/>
            <w:vAlign w:val="bottom"/>
          </w:tcPr>
          <w:p>
            <w:pPr>
              <w:ind w:left="400"/>
              <w:spacing w:after="0"/>
              <w:rPr>
                <w:sz w:val="20"/>
                <w:szCs w:val="20"/>
                <w:color w:val="auto"/>
              </w:rPr>
            </w:pPr>
            <w:r>
              <w:rPr>
                <w:rFonts w:ascii="Arial" w:cs="Arial" w:eastAsia="Arial" w:hAnsi="Arial"/>
                <w:sz w:val="18"/>
                <w:szCs w:val="18"/>
                <w:color w:val="auto"/>
              </w:rPr>
              <w:t>Limitation on Consolidated Debt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58</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7.05</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Limitation on Priority Debt</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58</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7.06</w:t>
            </w:r>
          </w:p>
        </w:tc>
        <w:tc>
          <w:tcPr>
            <w:tcW w:w="7320" w:type="dxa"/>
            <w:vAlign w:val="bottom"/>
          </w:tcPr>
          <w:p>
            <w:pPr>
              <w:ind w:left="400"/>
              <w:spacing w:after="0"/>
              <w:rPr>
                <w:sz w:val="20"/>
                <w:szCs w:val="20"/>
                <w:color w:val="auto"/>
              </w:rPr>
            </w:pPr>
            <w:r>
              <w:rPr>
                <w:rFonts w:ascii="Arial" w:cs="Arial" w:eastAsia="Arial" w:hAnsi="Arial"/>
                <w:sz w:val="18"/>
                <w:szCs w:val="18"/>
                <w:color w:val="auto"/>
              </w:rPr>
              <w:t>Nature of Business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58</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7.07</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Designation of Unrestricted Subsidiaries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58</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7.08</w:t>
            </w:r>
          </w:p>
        </w:tc>
        <w:tc>
          <w:tcPr>
            <w:tcW w:w="7320" w:type="dxa"/>
            <w:vAlign w:val="bottom"/>
          </w:tcPr>
          <w:p>
            <w:pPr>
              <w:ind w:left="400"/>
              <w:spacing w:after="0"/>
              <w:rPr>
                <w:sz w:val="20"/>
                <w:szCs w:val="20"/>
                <w:color w:val="auto"/>
              </w:rPr>
            </w:pPr>
            <w:r>
              <w:rPr>
                <w:rFonts w:ascii="Arial" w:cs="Arial" w:eastAsia="Arial" w:hAnsi="Arial"/>
                <w:sz w:val="18"/>
                <w:szCs w:val="18"/>
                <w:color w:val="auto"/>
              </w:rPr>
              <w:t>Margin Stock</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59</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9"/>
              </w:rPr>
              <w:t>ARTICLE VIII</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EVENTS OF DEFAULT AND REMEDIES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59</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8.01</w:t>
            </w:r>
          </w:p>
        </w:tc>
        <w:tc>
          <w:tcPr>
            <w:tcW w:w="732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59</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8.02</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Remedies Upon Event of Default</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61</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8.03</w:t>
            </w:r>
          </w:p>
        </w:tc>
        <w:tc>
          <w:tcPr>
            <w:tcW w:w="7320" w:type="dxa"/>
            <w:vAlign w:val="bottom"/>
          </w:tcPr>
          <w:p>
            <w:pPr>
              <w:ind w:left="400"/>
              <w:spacing w:after="0"/>
              <w:rPr>
                <w:sz w:val="20"/>
                <w:szCs w:val="20"/>
                <w:color w:val="auto"/>
              </w:rPr>
            </w:pPr>
            <w:r>
              <w:rPr>
                <w:rFonts w:ascii="Arial" w:cs="Arial" w:eastAsia="Arial" w:hAnsi="Arial"/>
                <w:sz w:val="18"/>
                <w:szCs w:val="18"/>
                <w:color w:val="auto"/>
              </w:rPr>
              <w:t>Application of Funds</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62</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7"/>
              </w:rPr>
              <w:t>ARTICLE IX</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ADMINISTRATIVE AGENT</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63</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9.01</w:t>
            </w:r>
          </w:p>
        </w:tc>
        <w:tc>
          <w:tcPr>
            <w:tcW w:w="7320" w:type="dxa"/>
            <w:vAlign w:val="bottom"/>
          </w:tcPr>
          <w:p>
            <w:pPr>
              <w:ind w:left="400"/>
              <w:spacing w:after="0"/>
              <w:rPr>
                <w:sz w:val="20"/>
                <w:szCs w:val="20"/>
                <w:color w:val="auto"/>
              </w:rPr>
            </w:pPr>
            <w:r>
              <w:rPr>
                <w:rFonts w:ascii="Arial" w:cs="Arial" w:eastAsia="Arial" w:hAnsi="Arial"/>
                <w:sz w:val="18"/>
                <w:szCs w:val="18"/>
                <w:color w:val="auto"/>
              </w:rPr>
              <w:t>Appointment and Authorization of Administrative Agent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63</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9.02</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Delegation of Duties</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63</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9.03</w:t>
            </w:r>
          </w:p>
        </w:tc>
        <w:tc>
          <w:tcPr>
            <w:tcW w:w="7320" w:type="dxa"/>
            <w:vAlign w:val="bottom"/>
          </w:tcPr>
          <w:p>
            <w:pPr>
              <w:ind w:left="400"/>
              <w:spacing w:after="0"/>
              <w:rPr>
                <w:sz w:val="20"/>
                <w:szCs w:val="20"/>
                <w:color w:val="auto"/>
              </w:rPr>
            </w:pPr>
            <w:r>
              <w:rPr>
                <w:rFonts w:ascii="Arial" w:cs="Arial" w:eastAsia="Arial" w:hAnsi="Arial"/>
                <w:sz w:val="18"/>
                <w:szCs w:val="18"/>
                <w:color w:val="auto"/>
              </w:rPr>
              <w:t>Liability of Administrative Agent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64</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9.04</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Reliance by Administrative Agent</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64</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9.05</w:t>
            </w:r>
          </w:p>
        </w:tc>
        <w:tc>
          <w:tcPr>
            <w:tcW w:w="7320" w:type="dxa"/>
            <w:vAlign w:val="bottom"/>
          </w:tcPr>
          <w:p>
            <w:pPr>
              <w:ind w:left="400"/>
              <w:spacing w:after="0"/>
              <w:rPr>
                <w:sz w:val="20"/>
                <w:szCs w:val="20"/>
                <w:color w:val="auto"/>
              </w:rPr>
            </w:pPr>
            <w:r>
              <w:rPr>
                <w:rFonts w:ascii="Arial" w:cs="Arial" w:eastAsia="Arial" w:hAnsi="Arial"/>
                <w:sz w:val="18"/>
                <w:szCs w:val="18"/>
                <w:color w:val="auto"/>
              </w:rPr>
              <w:t>Notice of Default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64</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9.06</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Credit Decision; Disclosure of Information by Administrative Agent</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65</w:t>
            </w:r>
          </w:p>
        </w:tc>
      </w:tr>
      <w:tr>
        <w:trPr>
          <w:trHeight w:val="216"/>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9.07</w:t>
            </w:r>
          </w:p>
        </w:tc>
        <w:tc>
          <w:tcPr>
            <w:tcW w:w="7320" w:type="dxa"/>
            <w:vAlign w:val="bottom"/>
          </w:tcPr>
          <w:p>
            <w:pPr>
              <w:ind w:left="400"/>
              <w:spacing w:after="0"/>
              <w:rPr>
                <w:sz w:val="20"/>
                <w:szCs w:val="20"/>
                <w:color w:val="auto"/>
              </w:rPr>
            </w:pPr>
            <w:r>
              <w:rPr>
                <w:rFonts w:ascii="Arial" w:cs="Arial" w:eastAsia="Arial" w:hAnsi="Arial"/>
                <w:sz w:val="18"/>
                <w:szCs w:val="18"/>
                <w:color w:val="auto"/>
              </w:rPr>
              <w:t>Indemnification of Administrative Agent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65</w:t>
            </w:r>
          </w:p>
        </w:tc>
      </w:tr>
      <w:tr>
        <w:trPr>
          <w:trHeight w:val="216"/>
        </w:trPr>
        <w:tc>
          <w:tcPr>
            <w:tcW w:w="1680" w:type="dxa"/>
            <w:vAlign w:val="bottom"/>
            <w:shd w:val="clear" w:color="auto" w:fill="EEEEEE"/>
          </w:tcPr>
          <w:p>
            <w:pPr>
              <w:jc w:val="center"/>
              <w:ind w:right="152"/>
              <w:spacing w:after="0"/>
              <w:rPr>
                <w:sz w:val="20"/>
                <w:szCs w:val="20"/>
                <w:color w:val="auto"/>
              </w:rPr>
            </w:pPr>
            <w:r>
              <w:rPr>
                <w:rFonts w:ascii="Arial" w:cs="Arial" w:eastAsia="Arial" w:hAnsi="Arial"/>
                <w:sz w:val="18"/>
                <w:szCs w:val="18"/>
                <w:color w:val="auto"/>
                <w:w w:val="91"/>
              </w:rPr>
              <w:t>9.08</w:t>
            </w:r>
          </w:p>
        </w:tc>
        <w:tc>
          <w:tcPr>
            <w:tcW w:w="73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Administrative Agent in its Individual Capacity</w:t>
            </w:r>
          </w:p>
        </w:tc>
        <w:tc>
          <w:tcPr>
            <w:tcW w:w="2420" w:type="dxa"/>
            <w:vAlign w:val="bottom"/>
            <w:shd w:val="clear" w:color="auto" w:fill="EEEEEE"/>
          </w:tcPr>
          <w:p>
            <w:pPr>
              <w:jc w:val="center"/>
              <w:ind w:left="1953"/>
              <w:spacing w:after="0"/>
              <w:rPr>
                <w:sz w:val="20"/>
                <w:szCs w:val="20"/>
                <w:color w:val="auto"/>
              </w:rPr>
            </w:pPr>
            <w:r>
              <w:rPr>
                <w:rFonts w:ascii="Arial" w:cs="Arial" w:eastAsia="Arial" w:hAnsi="Arial"/>
                <w:sz w:val="18"/>
                <w:szCs w:val="18"/>
                <w:color w:val="auto"/>
                <w:w w:val="89"/>
              </w:rPr>
              <w:t>67</w:t>
            </w:r>
          </w:p>
        </w:tc>
      </w:tr>
      <w:tr>
        <w:trPr>
          <w:trHeight w:val="222"/>
        </w:trPr>
        <w:tc>
          <w:tcPr>
            <w:tcW w:w="1680" w:type="dxa"/>
            <w:vAlign w:val="bottom"/>
          </w:tcPr>
          <w:p>
            <w:pPr>
              <w:jc w:val="center"/>
              <w:ind w:right="152"/>
              <w:spacing w:after="0"/>
              <w:rPr>
                <w:sz w:val="20"/>
                <w:szCs w:val="20"/>
                <w:color w:val="auto"/>
              </w:rPr>
            </w:pPr>
            <w:r>
              <w:rPr>
                <w:rFonts w:ascii="Arial" w:cs="Arial" w:eastAsia="Arial" w:hAnsi="Arial"/>
                <w:sz w:val="18"/>
                <w:szCs w:val="18"/>
                <w:color w:val="auto"/>
                <w:w w:val="91"/>
              </w:rPr>
              <w:t>9.09</w:t>
            </w:r>
          </w:p>
        </w:tc>
        <w:tc>
          <w:tcPr>
            <w:tcW w:w="7320" w:type="dxa"/>
            <w:vAlign w:val="bottom"/>
          </w:tcPr>
          <w:p>
            <w:pPr>
              <w:ind w:left="400"/>
              <w:spacing w:after="0"/>
              <w:rPr>
                <w:sz w:val="20"/>
                <w:szCs w:val="20"/>
                <w:color w:val="auto"/>
              </w:rPr>
            </w:pPr>
            <w:r>
              <w:rPr>
                <w:rFonts w:ascii="Arial" w:cs="Arial" w:eastAsia="Arial" w:hAnsi="Arial"/>
                <w:sz w:val="18"/>
                <w:szCs w:val="18"/>
                <w:color w:val="auto"/>
              </w:rPr>
              <w:t>Successor Administrative Agent</w:t>
            </w:r>
          </w:p>
        </w:tc>
        <w:tc>
          <w:tcPr>
            <w:tcW w:w="2420" w:type="dxa"/>
            <w:vAlign w:val="bottom"/>
          </w:tcPr>
          <w:p>
            <w:pPr>
              <w:jc w:val="center"/>
              <w:ind w:left="1953"/>
              <w:spacing w:after="0"/>
              <w:rPr>
                <w:sz w:val="20"/>
                <w:szCs w:val="20"/>
                <w:color w:val="auto"/>
              </w:rPr>
            </w:pPr>
            <w:r>
              <w:rPr>
                <w:rFonts w:ascii="Arial" w:cs="Arial" w:eastAsia="Arial" w:hAnsi="Arial"/>
                <w:sz w:val="18"/>
                <w:szCs w:val="18"/>
                <w:color w:val="auto"/>
                <w:w w:val="89"/>
              </w:rPr>
              <w:t>67</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94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96"/>
              </w:rPr>
              <w:t>ARTICLE X</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MISCELLANEOUS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67</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10.01</w:t>
            </w:r>
          </w:p>
        </w:tc>
        <w:tc>
          <w:tcPr>
            <w:tcW w:w="7740" w:type="dxa"/>
            <w:vAlign w:val="bottom"/>
          </w:tcPr>
          <w:p>
            <w:pPr>
              <w:ind w:left="440"/>
              <w:spacing w:after="0"/>
              <w:rPr>
                <w:sz w:val="20"/>
                <w:szCs w:val="20"/>
                <w:color w:val="auto"/>
              </w:rPr>
            </w:pPr>
            <w:r>
              <w:rPr>
                <w:rFonts w:ascii="Arial" w:cs="Arial" w:eastAsia="Arial" w:hAnsi="Arial"/>
                <w:sz w:val="18"/>
                <w:szCs w:val="18"/>
                <w:color w:val="auto"/>
              </w:rPr>
              <w:t>Amendments, Etc</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10.02</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Notices and Other Communications; Facsimile Copies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10.03</w:t>
            </w:r>
          </w:p>
        </w:tc>
        <w:tc>
          <w:tcPr>
            <w:tcW w:w="7740" w:type="dxa"/>
            <w:vAlign w:val="bottom"/>
          </w:tcPr>
          <w:p>
            <w:pPr>
              <w:ind w:left="440"/>
              <w:spacing w:after="0"/>
              <w:rPr>
                <w:sz w:val="20"/>
                <w:szCs w:val="20"/>
                <w:color w:val="auto"/>
              </w:rPr>
            </w:pPr>
            <w:r>
              <w:rPr>
                <w:rFonts w:ascii="Arial" w:cs="Arial" w:eastAsia="Arial" w:hAnsi="Arial"/>
                <w:sz w:val="18"/>
                <w:szCs w:val="18"/>
                <w:color w:val="auto"/>
              </w:rPr>
              <w:t>No Waiver; Cumulative Remedies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10.04</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Attorney Costs, Expenses and Taxes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10.05</w:t>
            </w:r>
          </w:p>
        </w:tc>
        <w:tc>
          <w:tcPr>
            <w:tcW w:w="7740" w:type="dxa"/>
            <w:vAlign w:val="bottom"/>
          </w:tcPr>
          <w:p>
            <w:pPr>
              <w:ind w:left="440"/>
              <w:spacing w:after="0"/>
              <w:rPr>
                <w:sz w:val="20"/>
                <w:szCs w:val="20"/>
                <w:color w:val="auto"/>
              </w:rPr>
            </w:pPr>
            <w:r>
              <w:rPr>
                <w:rFonts w:ascii="Arial" w:cs="Arial" w:eastAsia="Arial" w:hAnsi="Arial"/>
                <w:sz w:val="18"/>
                <w:szCs w:val="18"/>
                <w:color w:val="auto"/>
              </w:rPr>
              <w:t>Indemnification by the Company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10.06</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Payments Set Aside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10.07</w:t>
            </w:r>
          </w:p>
        </w:tc>
        <w:tc>
          <w:tcPr>
            <w:tcW w:w="7740" w:type="dxa"/>
            <w:vAlign w:val="bottom"/>
          </w:tcPr>
          <w:p>
            <w:pPr>
              <w:ind w:left="440"/>
              <w:spacing w:after="0"/>
              <w:rPr>
                <w:sz w:val="20"/>
                <w:szCs w:val="20"/>
                <w:color w:val="auto"/>
              </w:rPr>
            </w:pPr>
            <w:r>
              <w:rPr>
                <w:rFonts w:ascii="Arial" w:cs="Arial" w:eastAsia="Arial" w:hAnsi="Arial"/>
                <w:sz w:val="18"/>
                <w:szCs w:val="18"/>
                <w:color w:val="auto"/>
              </w:rPr>
              <w:t>Successors and Assigns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10.08</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Confidentiality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74</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10.09</w:t>
            </w:r>
          </w:p>
        </w:tc>
        <w:tc>
          <w:tcPr>
            <w:tcW w:w="7740" w:type="dxa"/>
            <w:vAlign w:val="bottom"/>
          </w:tcPr>
          <w:p>
            <w:pPr>
              <w:ind w:left="440"/>
              <w:spacing w:after="0"/>
              <w:rPr>
                <w:sz w:val="20"/>
                <w:szCs w:val="20"/>
                <w:color w:val="auto"/>
              </w:rPr>
            </w:pPr>
            <w:r>
              <w:rPr>
                <w:rFonts w:ascii="Arial" w:cs="Arial" w:eastAsia="Arial" w:hAnsi="Arial"/>
                <w:sz w:val="18"/>
                <w:szCs w:val="18"/>
                <w:color w:val="auto"/>
              </w:rPr>
              <w:t>[Intentionally Omitted]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10.10</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Representations and Warranties of Each Lender</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10.11</w:t>
            </w:r>
          </w:p>
        </w:tc>
        <w:tc>
          <w:tcPr>
            <w:tcW w:w="7740" w:type="dxa"/>
            <w:vAlign w:val="bottom"/>
          </w:tcPr>
          <w:p>
            <w:pPr>
              <w:ind w:left="440"/>
              <w:spacing w:after="0"/>
              <w:rPr>
                <w:sz w:val="20"/>
                <w:szCs w:val="20"/>
                <w:color w:val="auto"/>
              </w:rPr>
            </w:pPr>
            <w:r>
              <w:rPr>
                <w:rFonts w:ascii="Arial" w:cs="Arial" w:eastAsia="Arial" w:hAnsi="Arial"/>
                <w:sz w:val="18"/>
                <w:szCs w:val="18"/>
                <w:color w:val="auto"/>
              </w:rPr>
              <w:t>Counterparts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10.12</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Integration</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10.13</w:t>
            </w:r>
          </w:p>
        </w:tc>
        <w:tc>
          <w:tcPr>
            <w:tcW w:w="7740" w:type="dxa"/>
            <w:vAlign w:val="bottom"/>
          </w:tcPr>
          <w:p>
            <w:pPr>
              <w:ind w:left="440"/>
              <w:spacing w:after="0"/>
              <w:rPr>
                <w:sz w:val="20"/>
                <w:szCs w:val="20"/>
                <w:color w:val="auto"/>
              </w:rPr>
            </w:pPr>
            <w:r>
              <w:rPr>
                <w:rFonts w:ascii="Arial" w:cs="Arial" w:eastAsia="Arial" w:hAnsi="Arial"/>
                <w:sz w:val="18"/>
                <w:szCs w:val="18"/>
                <w:color w:val="auto"/>
              </w:rPr>
              <w:t>Survival of Representations and Warranties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10.14</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Severability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10.15</w:t>
            </w:r>
          </w:p>
        </w:tc>
        <w:tc>
          <w:tcPr>
            <w:tcW w:w="7740" w:type="dxa"/>
            <w:vAlign w:val="bottom"/>
          </w:tcPr>
          <w:p>
            <w:pPr>
              <w:ind w:left="440"/>
              <w:spacing w:after="0"/>
              <w:rPr>
                <w:sz w:val="20"/>
                <w:szCs w:val="20"/>
                <w:color w:val="auto"/>
              </w:rPr>
            </w:pPr>
            <w:r>
              <w:rPr>
                <w:rFonts w:ascii="Arial" w:cs="Arial" w:eastAsia="Arial" w:hAnsi="Arial"/>
                <w:sz w:val="18"/>
                <w:szCs w:val="18"/>
                <w:color w:val="auto"/>
              </w:rPr>
              <w:t>Tax Forms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10.16</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Governing Law</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10.17</w:t>
            </w:r>
          </w:p>
        </w:tc>
        <w:tc>
          <w:tcPr>
            <w:tcW w:w="7740" w:type="dxa"/>
            <w:vAlign w:val="bottom"/>
          </w:tcPr>
          <w:p>
            <w:pPr>
              <w:ind w:left="440"/>
              <w:spacing w:after="0"/>
              <w:rPr>
                <w:sz w:val="20"/>
                <w:szCs w:val="20"/>
                <w:color w:val="auto"/>
              </w:rPr>
            </w:pPr>
            <w:r>
              <w:rPr>
                <w:rFonts w:ascii="Arial" w:cs="Arial" w:eastAsia="Arial" w:hAnsi="Arial"/>
                <w:sz w:val="18"/>
                <w:szCs w:val="18"/>
                <w:color w:val="auto"/>
              </w:rPr>
              <w:t>Waiver of Right to Trial by Jury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10.18</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Time of the Essence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10.19</w:t>
            </w:r>
          </w:p>
        </w:tc>
        <w:tc>
          <w:tcPr>
            <w:tcW w:w="7740" w:type="dxa"/>
            <w:vAlign w:val="bottom"/>
          </w:tcPr>
          <w:p>
            <w:pPr>
              <w:ind w:left="440"/>
              <w:spacing w:after="0"/>
              <w:rPr>
                <w:sz w:val="20"/>
                <w:szCs w:val="20"/>
                <w:color w:val="auto"/>
              </w:rPr>
            </w:pPr>
            <w:r>
              <w:rPr>
                <w:rFonts w:ascii="Arial" w:cs="Arial" w:eastAsia="Arial" w:hAnsi="Arial"/>
                <w:sz w:val="18"/>
                <w:szCs w:val="18"/>
                <w:color w:val="auto"/>
              </w:rPr>
              <w:t>Credit Rating Downgrade Event or Deposit Account Interest Non-Payment Event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shd w:val="clear" w:color="auto" w:fill="EEEEEE"/>
          </w:tcPr>
          <w:p>
            <w:pPr>
              <w:jc w:val="center"/>
              <w:ind w:right="92"/>
              <w:spacing w:after="0"/>
              <w:rPr>
                <w:sz w:val="20"/>
                <w:szCs w:val="20"/>
                <w:color w:val="auto"/>
              </w:rPr>
            </w:pPr>
            <w:r>
              <w:rPr>
                <w:rFonts w:ascii="Arial" w:cs="Arial" w:eastAsia="Arial" w:hAnsi="Arial"/>
                <w:sz w:val="18"/>
                <w:szCs w:val="18"/>
                <w:color w:val="auto"/>
                <w:w w:val="97"/>
              </w:rPr>
              <w:t>ARTICLE XI</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HOLDINGS GUARANTY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11.01</w:t>
            </w:r>
          </w:p>
        </w:tc>
        <w:tc>
          <w:tcPr>
            <w:tcW w:w="7740" w:type="dxa"/>
            <w:vAlign w:val="bottom"/>
          </w:tcPr>
          <w:p>
            <w:pPr>
              <w:ind w:left="440"/>
              <w:spacing w:after="0"/>
              <w:rPr>
                <w:sz w:val="20"/>
                <w:szCs w:val="20"/>
                <w:color w:val="auto"/>
              </w:rPr>
            </w:pPr>
            <w:r>
              <w:rPr>
                <w:rFonts w:ascii="Arial" w:cs="Arial" w:eastAsia="Arial" w:hAnsi="Arial"/>
                <w:sz w:val="18"/>
                <w:szCs w:val="18"/>
                <w:color w:val="auto"/>
              </w:rPr>
              <w:t>Guaranty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11.02</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Guaranty Absolute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11.03</w:t>
            </w:r>
          </w:p>
        </w:tc>
        <w:tc>
          <w:tcPr>
            <w:tcW w:w="7740" w:type="dxa"/>
            <w:vAlign w:val="bottom"/>
          </w:tcPr>
          <w:p>
            <w:pPr>
              <w:ind w:left="440"/>
              <w:spacing w:after="0"/>
              <w:rPr>
                <w:sz w:val="20"/>
                <w:szCs w:val="20"/>
                <w:color w:val="auto"/>
              </w:rPr>
            </w:pPr>
            <w:r>
              <w:rPr>
                <w:rFonts w:ascii="Arial" w:cs="Arial" w:eastAsia="Arial" w:hAnsi="Arial"/>
                <w:sz w:val="18"/>
                <w:szCs w:val="18"/>
                <w:color w:val="auto"/>
              </w:rPr>
              <w:t>Effectiveness; Enforcement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11.04</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Waiver</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11.05</w:t>
            </w:r>
          </w:p>
        </w:tc>
        <w:tc>
          <w:tcPr>
            <w:tcW w:w="7740" w:type="dxa"/>
            <w:vAlign w:val="bottom"/>
          </w:tcPr>
          <w:p>
            <w:pPr>
              <w:ind w:left="440"/>
              <w:spacing w:after="0"/>
              <w:rPr>
                <w:sz w:val="20"/>
                <w:szCs w:val="20"/>
                <w:color w:val="auto"/>
              </w:rPr>
            </w:pPr>
            <w:r>
              <w:rPr>
                <w:rFonts w:ascii="Arial" w:cs="Arial" w:eastAsia="Arial" w:hAnsi="Arial"/>
                <w:sz w:val="18"/>
                <w:szCs w:val="18"/>
                <w:color w:val="auto"/>
              </w:rPr>
              <w:t>Expenses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11.06</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Concerning Joint and Several Liability of Holdings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11.07</w:t>
            </w:r>
          </w:p>
        </w:tc>
        <w:tc>
          <w:tcPr>
            <w:tcW w:w="7740" w:type="dxa"/>
            <w:vAlign w:val="bottom"/>
          </w:tcPr>
          <w:p>
            <w:pPr>
              <w:ind w:left="440"/>
              <w:spacing w:after="0"/>
              <w:rPr>
                <w:sz w:val="20"/>
                <w:szCs w:val="20"/>
                <w:color w:val="auto"/>
              </w:rPr>
            </w:pPr>
            <w:r>
              <w:rPr>
                <w:rFonts w:ascii="Arial" w:cs="Arial" w:eastAsia="Arial" w:hAnsi="Arial"/>
                <w:sz w:val="18"/>
                <w:szCs w:val="18"/>
                <w:color w:val="auto"/>
              </w:rPr>
              <w:t>Waiver</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84"/>
              </w:rPr>
              <w:t>11.08</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Subrogation; Subordination</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11.09</w:t>
            </w:r>
          </w:p>
        </w:tc>
        <w:tc>
          <w:tcPr>
            <w:tcW w:w="7740" w:type="dxa"/>
            <w:vAlign w:val="bottom"/>
          </w:tcPr>
          <w:p>
            <w:pPr>
              <w:ind w:left="440"/>
              <w:spacing w:after="0"/>
              <w:rPr>
                <w:sz w:val="20"/>
                <w:szCs w:val="20"/>
                <w:color w:val="auto"/>
              </w:rPr>
            </w:pPr>
            <w:r>
              <w:rPr>
                <w:rFonts w:ascii="Arial" w:cs="Arial" w:eastAsia="Arial" w:hAnsi="Arial"/>
                <w:sz w:val="18"/>
                <w:szCs w:val="18"/>
                <w:color w:val="auto"/>
              </w:rPr>
              <w:t>Release of Guaranty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98"/>
              </w:rPr>
              <w:t>ARTICLE XII</w:t>
            </w:r>
          </w:p>
        </w:tc>
        <w:tc>
          <w:tcPr>
            <w:tcW w:w="77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ENTIRE AGREEMENT</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tcPr>
          <w:p>
            <w:pPr>
              <w:jc w:val="center"/>
              <w:ind w:right="112"/>
              <w:spacing w:after="0"/>
              <w:rPr>
                <w:sz w:val="20"/>
                <w:szCs w:val="20"/>
                <w:color w:val="auto"/>
              </w:rPr>
            </w:pPr>
            <w:r>
              <w:rPr>
                <w:rFonts w:ascii="Arial" w:cs="Arial" w:eastAsia="Arial" w:hAnsi="Arial"/>
                <w:sz w:val="18"/>
                <w:szCs w:val="18"/>
                <w:color w:val="auto"/>
                <w:w w:val="84"/>
              </w:rPr>
              <w:t>12.01</w:t>
            </w:r>
          </w:p>
        </w:tc>
        <w:tc>
          <w:tcPr>
            <w:tcW w:w="7740" w:type="dxa"/>
            <w:vAlign w:val="bottom"/>
          </w:tcPr>
          <w:p>
            <w:pPr>
              <w:ind w:left="440"/>
              <w:spacing w:after="0"/>
              <w:rPr>
                <w:sz w:val="20"/>
                <w:szCs w:val="20"/>
                <w:color w:val="auto"/>
              </w:rPr>
            </w:pPr>
            <w:r>
              <w:rPr>
                <w:rFonts w:ascii="Arial" w:cs="Arial" w:eastAsia="Arial" w:hAnsi="Arial"/>
                <w:sz w:val="18"/>
                <w:szCs w:val="18"/>
                <w:color w:val="auto"/>
              </w:rPr>
              <w:t>Entire Agreement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shd w:val="clear" w:color="auto" w:fill="EEEEEE"/>
          </w:tcPr>
          <w:p>
            <w:pPr>
              <w:jc w:val="center"/>
              <w:ind w:right="112"/>
              <w:spacing w:after="0"/>
              <w:rPr>
                <w:sz w:val="20"/>
                <w:szCs w:val="20"/>
                <w:color w:val="auto"/>
              </w:rPr>
            </w:pPr>
            <w:r>
              <w:rPr>
                <w:rFonts w:ascii="Arial" w:cs="Arial" w:eastAsia="Arial" w:hAnsi="Arial"/>
                <w:sz w:val="18"/>
                <w:szCs w:val="18"/>
                <w:color w:val="auto"/>
                <w:w w:val="90"/>
              </w:rPr>
              <w:t>SIGNATURES</w:t>
            </w:r>
          </w:p>
        </w:tc>
        <w:tc>
          <w:tcPr>
            <w:tcW w:w="7740" w:type="dxa"/>
            <w:vAlign w:val="bottom"/>
            <w:shd w:val="clear" w:color="auto" w:fill="EEEEEE"/>
          </w:tcPr>
          <w:p>
            <w:pPr>
              <w:spacing w:after="0"/>
              <w:rPr>
                <w:sz w:val="18"/>
                <w:szCs w:val="18"/>
                <w:color w:val="auto"/>
              </w:rPr>
            </w:pP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S-1</w:t>
            </w: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9"/>
        </w:trPr>
        <w:tc>
          <w:tcPr>
            <w:tcW w:w="1900" w:type="dxa"/>
            <w:vAlign w:val="bottom"/>
          </w:tcPr>
          <w:p>
            <w:pPr>
              <w:ind w:left="240"/>
              <w:spacing w:after="0"/>
              <w:rPr>
                <w:sz w:val="20"/>
                <w:szCs w:val="20"/>
                <w:color w:val="auto"/>
              </w:rPr>
            </w:pPr>
            <w:r>
              <w:rPr>
                <w:rFonts w:ascii="Arial" w:cs="Arial" w:eastAsia="Arial" w:hAnsi="Arial"/>
                <w:sz w:val="18"/>
                <w:szCs w:val="18"/>
                <w:b w:val="1"/>
                <w:bCs w:val="1"/>
                <w:color w:val="auto"/>
              </w:rPr>
              <w:t>SCHEDULES</w:t>
            </w:r>
          </w:p>
        </w:tc>
        <w:tc>
          <w:tcPr>
            <w:tcW w:w="9520" w:type="dxa"/>
            <w:vAlign w:val="bottom"/>
          </w:tcPr>
          <w:p>
            <w:pPr>
              <w:spacing w:after="0"/>
              <w:rPr>
                <w:sz w:val="19"/>
                <w:szCs w:val="19"/>
                <w:color w:val="auto"/>
              </w:rPr>
            </w:pPr>
          </w:p>
        </w:tc>
      </w:tr>
      <w:tr>
        <w:trPr>
          <w:trHeight w:val="217"/>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Applicable Rates; Interest on Credit-Linked Deposits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1.01</w:t>
            </w:r>
          </w:p>
        </w:tc>
        <w:tc>
          <w:tcPr>
            <w:tcW w:w="9520" w:type="dxa"/>
            <w:vAlign w:val="bottom"/>
          </w:tcPr>
          <w:p>
            <w:pPr>
              <w:ind w:left="620"/>
              <w:spacing w:after="0"/>
              <w:rPr>
                <w:sz w:val="20"/>
                <w:szCs w:val="20"/>
                <w:color w:val="auto"/>
              </w:rPr>
            </w:pPr>
            <w:r>
              <w:rPr>
                <w:rFonts w:ascii="Arial" w:cs="Arial" w:eastAsia="Arial" w:hAnsi="Arial"/>
                <w:sz w:val="18"/>
                <w:szCs w:val="18"/>
                <w:color w:val="auto"/>
              </w:rPr>
              <w:t>Existing Credits</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2.01</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Credit-Linked Deposits and Pro Rata Shares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5.04</w:t>
            </w:r>
          </w:p>
        </w:tc>
        <w:tc>
          <w:tcPr>
            <w:tcW w:w="9520" w:type="dxa"/>
            <w:vAlign w:val="bottom"/>
          </w:tcPr>
          <w:p>
            <w:pPr>
              <w:ind w:left="620"/>
              <w:spacing w:after="0"/>
              <w:rPr>
                <w:sz w:val="20"/>
                <w:szCs w:val="20"/>
                <w:color w:val="auto"/>
              </w:rPr>
            </w:pPr>
            <w:r>
              <w:rPr>
                <w:rFonts w:ascii="Arial" w:cs="Arial" w:eastAsia="Arial" w:hAnsi="Arial"/>
                <w:sz w:val="18"/>
                <w:szCs w:val="18"/>
                <w:color w:val="auto"/>
              </w:rPr>
              <w:t>Organization and Ownership Shares of Subsidiaries; Affiliates</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5.05</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Financial Statements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5.08</w:t>
            </w:r>
          </w:p>
        </w:tc>
        <w:tc>
          <w:tcPr>
            <w:tcW w:w="9520" w:type="dxa"/>
            <w:vAlign w:val="bottom"/>
          </w:tcPr>
          <w:p>
            <w:pPr>
              <w:ind w:left="620"/>
              <w:spacing w:after="0"/>
              <w:rPr>
                <w:sz w:val="20"/>
                <w:szCs w:val="20"/>
                <w:color w:val="auto"/>
              </w:rPr>
            </w:pPr>
            <w:r>
              <w:rPr>
                <w:rFonts w:ascii="Arial" w:cs="Arial" w:eastAsia="Arial" w:hAnsi="Arial"/>
                <w:sz w:val="18"/>
                <w:szCs w:val="18"/>
                <w:color w:val="auto"/>
              </w:rPr>
              <w:t>Litigation; Observance of Agreements, Statutes and Orders</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5.11</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Licenses, Permits, etc.</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5.15</w:t>
            </w:r>
          </w:p>
        </w:tc>
        <w:tc>
          <w:tcPr>
            <w:tcW w:w="9520" w:type="dxa"/>
            <w:vAlign w:val="bottom"/>
          </w:tcPr>
          <w:p>
            <w:pPr>
              <w:ind w:left="620"/>
              <w:spacing w:after="0"/>
              <w:rPr>
                <w:sz w:val="20"/>
                <w:szCs w:val="20"/>
                <w:color w:val="auto"/>
              </w:rPr>
            </w:pPr>
            <w:r>
              <w:rPr>
                <w:rFonts w:ascii="Arial" w:cs="Arial" w:eastAsia="Arial" w:hAnsi="Arial"/>
                <w:sz w:val="18"/>
                <w:szCs w:val="18"/>
                <w:color w:val="auto"/>
              </w:rPr>
              <w:t>Existing Indebtedness</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5.17</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Status under Certain Statutes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7.03</w:t>
            </w:r>
          </w:p>
        </w:tc>
        <w:tc>
          <w:tcPr>
            <w:tcW w:w="9520" w:type="dxa"/>
            <w:vAlign w:val="bottom"/>
          </w:tcPr>
          <w:p>
            <w:pPr>
              <w:ind w:left="620"/>
              <w:spacing w:after="0"/>
              <w:rPr>
                <w:sz w:val="20"/>
                <w:szCs w:val="20"/>
                <w:color w:val="auto"/>
              </w:rPr>
            </w:pPr>
            <w:r>
              <w:rPr>
                <w:rFonts w:ascii="Arial" w:cs="Arial" w:eastAsia="Arial" w:hAnsi="Arial"/>
                <w:sz w:val="18"/>
                <w:szCs w:val="18"/>
                <w:color w:val="auto"/>
              </w:rPr>
              <w:t>Liens</w:t>
            </w:r>
          </w:p>
        </w:tc>
      </w:tr>
      <w:tr>
        <w:trPr>
          <w:trHeight w:val="216"/>
        </w:trPr>
        <w:tc>
          <w:tcPr>
            <w:tcW w:w="1900" w:type="dxa"/>
            <w:vAlign w:val="bottom"/>
            <w:shd w:val="clear" w:color="auto" w:fill="EEEEEE"/>
          </w:tcPr>
          <w:p>
            <w:pPr>
              <w:ind w:left="580"/>
              <w:spacing w:after="0"/>
              <w:rPr>
                <w:sz w:val="20"/>
                <w:szCs w:val="20"/>
                <w:color w:val="auto"/>
              </w:rPr>
            </w:pPr>
            <w:r>
              <w:rPr>
                <w:rFonts w:ascii="Arial" w:cs="Arial" w:eastAsia="Arial" w:hAnsi="Arial"/>
                <w:sz w:val="18"/>
                <w:szCs w:val="18"/>
                <w:color w:val="auto"/>
              </w:rPr>
              <w:t>10.02</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Administrative Agent’s Office; Certain Addresses for Notices</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c>
          <w:tcPr>
            <w:tcW w:w="9520" w:type="dxa"/>
            <w:vAlign w:val="bottom"/>
          </w:tcPr>
          <w:p>
            <w:pPr>
              <w:spacing w:after="0"/>
              <w:rPr>
                <w:sz w:val="18"/>
                <w:szCs w:val="18"/>
                <w:color w:val="auto"/>
              </w:rPr>
            </w:pPr>
          </w:p>
        </w:tc>
      </w:tr>
      <w:tr>
        <w:trPr>
          <w:trHeight w:val="216"/>
        </w:trPr>
        <w:tc>
          <w:tcPr>
            <w:tcW w:w="1900" w:type="dxa"/>
            <w:vAlign w:val="bottom"/>
            <w:shd w:val="clear" w:color="auto" w:fill="EEEEEE"/>
          </w:tcPr>
          <w:p>
            <w:pPr>
              <w:spacing w:after="0"/>
              <w:rPr>
                <w:sz w:val="18"/>
                <w:szCs w:val="18"/>
                <w:color w:val="auto"/>
              </w:rPr>
            </w:pP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b w:val="1"/>
                <w:bCs w:val="1"/>
                <w:i w:val="1"/>
                <w:iCs w:val="1"/>
                <w:color w:val="auto"/>
              </w:rPr>
              <w:t>Form of</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A</w:t>
            </w:r>
          </w:p>
        </w:tc>
        <w:tc>
          <w:tcPr>
            <w:tcW w:w="9520" w:type="dxa"/>
            <w:vAlign w:val="bottom"/>
          </w:tcPr>
          <w:p>
            <w:pPr>
              <w:ind w:left="620"/>
              <w:spacing w:after="0"/>
              <w:rPr>
                <w:sz w:val="20"/>
                <w:szCs w:val="20"/>
                <w:color w:val="auto"/>
              </w:rPr>
            </w:pPr>
            <w:r>
              <w:rPr>
                <w:rFonts w:ascii="Arial" w:cs="Arial" w:eastAsia="Arial" w:hAnsi="Arial"/>
                <w:sz w:val="18"/>
                <w:szCs w:val="18"/>
                <w:color w:val="auto"/>
              </w:rPr>
              <w:t>Request for Credit Extension</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B</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Assignment and Assumption</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C-1</w:t>
            </w:r>
          </w:p>
        </w:tc>
        <w:tc>
          <w:tcPr>
            <w:tcW w:w="9520" w:type="dxa"/>
            <w:vAlign w:val="bottom"/>
          </w:tcPr>
          <w:p>
            <w:pPr>
              <w:ind w:left="620"/>
              <w:spacing w:after="0"/>
              <w:rPr>
                <w:sz w:val="20"/>
                <w:szCs w:val="20"/>
                <w:color w:val="auto"/>
              </w:rPr>
            </w:pPr>
            <w:r>
              <w:rPr>
                <w:rFonts w:ascii="Arial" w:cs="Arial" w:eastAsia="Arial" w:hAnsi="Arial"/>
                <w:sz w:val="18"/>
                <w:szCs w:val="18"/>
                <w:color w:val="auto"/>
              </w:rPr>
              <w:t>Opinion of Internal Counsel to the Company and Holdings</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C-2</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Opinion of Morrison &amp; Foerster LLP, counsel to the Administrative Agent and the Issuer</w:t>
            </w:r>
          </w:p>
        </w:tc>
      </w:tr>
      <w:tr>
        <w:trPr>
          <w:trHeight w:val="208"/>
        </w:trPr>
        <w:tc>
          <w:tcPr>
            <w:tcW w:w="1900" w:type="dxa"/>
            <w:vAlign w:val="bottom"/>
          </w:tcPr>
          <w:p>
            <w:pPr>
              <w:ind w:left="560"/>
              <w:spacing w:after="0"/>
              <w:rPr>
                <w:sz w:val="20"/>
                <w:szCs w:val="20"/>
                <w:color w:val="auto"/>
              </w:rPr>
            </w:pPr>
            <w:r>
              <w:rPr>
                <w:rFonts w:ascii="Arial" w:cs="Arial" w:eastAsia="Arial" w:hAnsi="Arial"/>
                <w:sz w:val="18"/>
                <w:szCs w:val="18"/>
                <w:color w:val="auto"/>
              </w:rPr>
              <w:t>C-3</w:t>
            </w:r>
          </w:p>
        </w:tc>
        <w:tc>
          <w:tcPr>
            <w:tcW w:w="9520" w:type="dxa"/>
            <w:vAlign w:val="bottom"/>
          </w:tcPr>
          <w:p>
            <w:pPr>
              <w:ind w:left="620"/>
              <w:spacing w:after="0"/>
              <w:rPr>
                <w:sz w:val="20"/>
                <w:szCs w:val="20"/>
                <w:color w:val="auto"/>
              </w:rPr>
            </w:pPr>
            <w:r>
              <w:rPr>
                <w:rFonts w:ascii="Arial" w:cs="Arial" w:eastAsia="Arial" w:hAnsi="Arial"/>
                <w:sz w:val="18"/>
                <w:szCs w:val="18"/>
                <w:color w:val="auto"/>
                <w:w w:val="97"/>
              </w:rPr>
              <w:t>Opinion of Assistant General Counsel of Bank of America Legal Department, internal counsel to the Administrative</w:t>
            </w:r>
          </w:p>
        </w:tc>
      </w:tr>
      <w:tr>
        <w:trPr>
          <w:trHeight w:val="223"/>
        </w:trPr>
        <w:tc>
          <w:tcPr>
            <w:tcW w:w="1900" w:type="dxa"/>
            <w:vAlign w:val="bottom"/>
          </w:tcPr>
          <w:p>
            <w:pPr>
              <w:spacing w:after="0"/>
              <w:rPr>
                <w:sz w:val="19"/>
                <w:szCs w:val="19"/>
                <w:color w:val="auto"/>
              </w:rPr>
            </w:pPr>
          </w:p>
        </w:tc>
        <w:tc>
          <w:tcPr>
            <w:tcW w:w="9520" w:type="dxa"/>
            <w:vAlign w:val="bottom"/>
          </w:tcPr>
          <w:p>
            <w:pPr>
              <w:ind w:left="620"/>
              <w:spacing w:after="0"/>
              <w:rPr>
                <w:sz w:val="20"/>
                <w:szCs w:val="20"/>
                <w:color w:val="auto"/>
              </w:rPr>
            </w:pPr>
            <w:r>
              <w:rPr>
                <w:rFonts w:ascii="Arial" w:cs="Arial" w:eastAsia="Arial" w:hAnsi="Arial"/>
                <w:sz w:val="18"/>
                <w:szCs w:val="18"/>
                <w:color w:val="auto"/>
              </w:rPr>
              <w:t>Agent and the Issuer</w:t>
            </w:r>
          </w:p>
        </w:tc>
      </w:tr>
      <w:tr>
        <w:trPr>
          <w:trHeight w:val="217"/>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C-4</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Opinion of Special Counsel to the Lenders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D</w:t>
            </w:r>
          </w:p>
        </w:tc>
        <w:tc>
          <w:tcPr>
            <w:tcW w:w="9520" w:type="dxa"/>
            <w:vAlign w:val="bottom"/>
          </w:tcPr>
          <w:p>
            <w:pPr>
              <w:ind w:left="620"/>
              <w:spacing w:after="0"/>
              <w:rPr>
                <w:sz w:val="20"/>
                <w:szCs w:val="20"/>
                <w:color w:val="auto"/>
              </w:rPr>
            </w:pPr>
            <w:r>
              <w:rPr>
                <w:rFonts w:ascii="Arial" w:cs="Arial" w:eastAsia="Arial" w:hAnsi="Arial"/>
                <w:sz w:val="18"/>
                <w:szCs w:val="18"/>
                <w:color w:val="auto"/>
              </w:rPr>
              <w:t>Letter of Credit Linked Note</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E</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Request for Term Loans</w:t>
            </w:r>
          </w:p>
        </w:tc>
      </w:tr>
      <w:tr>
        <w:trPr>
          <w:trHeight w:val="216"/>
        </w:trPr>
        <w:tc>
          <w:tcPr>
            <w:tcW w:w="1900" w:type="dxa"/>
            <w:vAlign w:val="bottom"/>
          </w:tcPr>
          <w:p>
            <w:pPr>
              <w:ind w:left="560"/>
              <w:spacing w:after="0"/>
              <w:rPr>
                <w:sz w:val="20"/>
                <w:szCs w:val="20"/>
                <w:color w:val="auto"/>
              </w:rPr>
            </w:pPr>
            <w:r>
              <w:rPr>
                <w:rFonts w:ascii="Arial" w:cs="Arial" w:eastAsia="Arial" w:hAnsi="Arial"/>
                <w:sz w:val="18"/>
                <w:szCs w:val="18"/>
                <w:color w:val="auto"/>
              </w:rPr>
              <w:t>F</w:t>
            </w:r>
          </w:p>
        </w:tc>
        <w:tc>
          <w:tcPr>
            <w:tcW w:w="9520" w:type="dxa"/>
            <w:vAlign w:val="bottom"/>
          </w:tcPr>
          <w:p>
            <w:pPr>
              <w:ind w:left="620"/>
              <w:spacing w:after="0"/>
              <w:rPr>
                <w:sz w:val="20"/>
                <w:szCs w:val="20"/>
                <w:color w:val="auto"/>
              </w:rPr>
            </w:pPr>
            <w:r>
              <w:rPr>
                <w:rFonts w:ascii="Arial" w:cs="Arial" w:eastAsia="Arial" w:hAnsi="Arial"/>
                <w:sz w:val="18"/>
                <w:szCs w:val="18"/>
                <w:color w:val="auto"/>
              </w:rPr>
              <w:t>Term Note</w:t>
            </w:r>
          </w:p>
        </w:tc>
      </w:tr>
      <w:tr>
        <w:trPr>
          <w:trHeight w:val="216"/>
        </w:trPr>
        <w:tc>
          <w:tcPr>
            <w:tcW w:w="19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G</w:t>
            </w:r>
          </w:p>
        </w:tc>
        <w:tc>
          <w:tcPr>
            <w:tcW w:w="9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Money Market Account Agreement</w:t>
            </w:r>
          </w:p>
        </w:tc>
      </w:tr>
      <w:tr>
        <w:trPr>
          <w:trHeight w:val="222"/>
        </w:trPr>
        <w:tc>
          <w:tcPr>
            <w:tcW w:w="1900" w:type="dxa"/>
            <w:vAlign w:val="bottom"/>
          </w:tcPr>
          <w:p>
            <w:pPr>
              <w:ind w:left="560"/>
              <w:spacing w:after="0"/>
              <w:rPr>
                <w:sz w:val="20"/>
                <w:szCs w:val="20"/>
                <w:color w:val="auto"/>
              </w:rPr>
            </w:pPr>
            <w:r>
              <w:rPr>
                <w:rFonts w:ascii="Arial" w:cs="Arial" w:eastAsia="Arial" w:hAnsi="Arial"/>
                <w:sz w:val="18"/>
                <w:szCs w:val="18"/>
                <w:color w:val="auto"/>
              </w:rPr>
              <w:t>H</w:t>
            </w:r>
          </w:p>
        </w:tc>
        <w:tc>
          <w:tcPr>
            <w:tcW w:w="9520" w:type="dxa"/>
            <w:vAlign w:val="bottom"/>
          </w:tcPr>
          <w:p>
            <w:pPr>
              <w:ind w:left="620"/>
              <w:spacing w:after="0"/>
              <w:rPr>
                <w:sz w:val="20"/>
                <w:szCs w:val="20"/>
                <w:color w:val="auto"/>
              </w:rPr>
            </w:pPr>
            <w:r>
              <w:rPr>
                <w:rFonts w:ascii="Arial" w:cs="Arial" w:eastAsia="Arial" w:hAnsi="Arial"/>
                <w:sz w:val="18"/>
                <w:szCs w:val="18"/>
                <w:color w:val="auto"/>
              </w:rPr>
              <w:t>Term Note Opinion</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FIVE YEAR LETTER OF CREDIT AND TERM LOAN AGREEMENT</w:t>
      </w:r>
    </w:p>
    <w:p>
      <w:pPr>
        <w:spacing w:after="0" w:line="231" w:lineRule="exact"/>
        <w:rPr>
          <w:sz w:val="20"/>
          <w:szCs w:val="20"/>
          <w:color w:val="auto"/>
        </w:rPr>
      </w:pPr>
    </w:p>
    <w:p>
      <w:pPr>
        <w:ind w:right="80" w:firstLine="216"/>
        <w:spacing w:after="0" w:line="294" w:lineRule="auto"/>
        <w:rPr>
          <w:sz w:val="20"/>
          <w:szCs w:val="20"/>
          <w:color w:val="auto"/>
        </w:rPr>
      </w:pPr>
      <w:r>
        <w:rPr>
          <w:rFonts w:ascii="Arial" w:cs="Arial" w:eastAsia="Arial" w:hAnsi="Arial"/>
          <w:sz w:val="16"/>
          <w:szCs w:val="16"/>
          <w:color w:val="auto"/>
        </w:rPr>
        <w:t>This FIVE YEAR LETTER OF CREDIT AND TERM LOAN AGREEMENT (“Agreement”) is entered into as of June 30, 2003, among WASTE MANAGEMENT, INC., a Delaware corporation (the “Company”), WASTE MANAGEMENT HOLDINGS, INC., a Delaware corporation and wholly-owned Subsidiary of the Company (“Holdings”) (executing this Agreement for the limited purposes set forth in Article XI hereof), BANK OF AMERICA, N.A., as issuer of letters of credit (the “Issuer”), the financial institutions having a Credit-Linked Deposit set forth opposite their names on Schedule 2.01 hereto under the heading “Credit-Linked Deposit” (collectively, the “Lenders” and individually, a “Lender”), and BANK OF AMERICA, N.A., as Administrative Agent.</w:t>
      </w:r>
    </w:p>
    <w:p>
      <w:pPr>
        <w:spacing w:after="0" w:line="170" w:lineRule="exact"/>
        <w:rPr>
          <w:sz w:val="20"/>
          <w:szCs w:val="20"/>
          <w:color w:val="auto"/>
        </w:rPr>
      </w:pPr>
    </w:p>
    <w:p>
      <w:pPr>
        <w:ind w:right="200" w:firstLine="216"/>
        <w:spacing w:after="0" w:line="268" w:lineRule="auto"/>
        <w:rPr>
          <w:sz w:val="20"/>
          <w:szCs w:val="20"/>
          <w:color w:val="auto"/>
        </w:rPr>
      </w:pPr>
      <w:r>
        <w:rPr>
          <w:rFonts w:ascii="Arial" w:cs="Arial" w:eastAsia="Arial" w:hAnsi="Arial"/>
          <w:sz w:val="18"/>
          <w:szCs w:val="18"/>
          <w:color w:val="auto"/>
        </w:rPr>
        <w:t>The Company has requested that the Issuer and the Lenders provide a letter of credit facility, and the Issuer and the Lenders are willing to do so on the terms and conditions set forth herein.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Consolidated EBITDA” means for any period, the total of the following calculated without duplication on a consolidated basis for such period:</w:t>
      </w:r>
    </w:p>
    <w:p>
      <w:pPr>
        <w:spacing w:after="0" w:line="38" w:lineRule="exact"/>
        <w:rPr>
          <w:sz w:val="20"/>
          <w:szCs w:val="20"/>
          <w:color w:val="auto"/>
        </w:rPr>
      </w:pPr>
    </w:p>
    <w:p>
      <w:pPr>
        <w:ind w:right="80" w:firstLine="8"/>
        <w:spacing w:after="0" w:line="287" w:lineRule="auto"/>
        <w:tabs>
          <w:tab w:leader="none" w:pos="21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Consolidated EBITDA, plus (ii) on a pro forma basis, the EBITDA of each Person acquired, or, as applicable, the EBITDA attributable to the assets acquired from any Person, by the Company or any Restricted Subsidiary in the subject period, for any portion of such subject period occurring prior to the date of the acquisition by the Company or any Restricted Subsidiary of such Person or related assets; provided, further, that any calculation pursuant to clause (ii) above of pro forma EBITDA for any subject period which gives effect to asset acquisitions and/or stock purchases during the subject period on a pro forma basis as provided above shall in any event be determined by the Company in accordance with sound financial practice in accordance with GAAP and on the basis, to the extent available, of appropriate financial statements and tax returns for the applicable period, and shall be set forth in a certificate of a Senior Financial Officer of the Company accompanied by calculations in reasonable detail showing the manner of determination thereof, which certificate shall be furnished to the Administrative Agent, the Issuer and each Lender not later than the certificate required to be furnished by the Company in respect of the fiscal period in which such date of determination occurs pursuant to Section 6.02 of this Agreement.</w:t>
      </w:r>
    </w:p>
    <w:p>
      <w:pPr>
        <w:spacing w:after="0" w:line="174"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“Administrative Agent” means Bank of America in its capacity as administrative agent under any of the Credit Documents, or any successor administrative agent.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Agent’s Office” means the Administrative Agent’s address and, as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right="140"/>
        <w:spacing w:after="0" w:line="268" w:lineRule="auto"/>
        <w:rPr>
          <w:sz w:val="20"/>
          <w:szCs w:val="20"/>
          <w:color w:val="auto"/>
        </w:rPr>
      </w:pPr>
      <w:r>
        <w:rPr>
          <w:rFonts w:ascii="Arial" w:cs="Arial" w:eastAsia="Arial" w:hAnsi="Arial"/>
          <w:sz w:val="18"/>
          <w:szCs w:val="18"/>
          <w:color w:val="auto"/>
        </w:rPr>
        <w:t>appropriate, account as set forth on Schedule 10.02, or such other address or account as the Administrative Agent may from time to time specify by notice to the Company, the Issuer and the Lenders.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Questionnaire” means an Administrative Questionnaire in a form supplied by the Administrative Agent.</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“Advance” means, with respect to each Lender, such Lender’s funding of its participation in any Borrowing (other than Term Loans) in accordance with its Pro Rata Share.</w:t>
      </w:r>
    </w:p>
    <w:p>
      <w:pPr>
        <w:spacing w:after="0" w:line="186" w:lineRule="exact"/>
        <w:rPr>
          <w:sz w:val="20"/>
          <w:szCs w:val="20"/>
          <w:color w:val="auto"/>
        </w:rPr>
      </w:pPr>
    </w:p>
    <w:p>
      <w:pPr>
        <w:ind w:right="80" w:firstLine="220"/>
        <w:spacing w:after="0" w:line="288" w:lineRule="auto"/>
        <w:rPr>
          <w:sz w:val="20"/>
          <w:szCs w:val="20"/>
          <w:color w:val="auto"/>
        </w:rPr>
      </w:pPr>
      <w:r>
        <w:rPr>
          <w:rFonts w:ascii="Arial" w:cs="Arial" w:eastAsia="Arial" w:hAnsi="Arial"/>
          <w:sz w:val="16"/>
          <w:szCs w:val="16"/>
          <w:color w:val="auto"/>
        </w:rPr>
        <w:t>“Affiliate” means, at any time, (a) with respect to the Company and each of its Restricted Subsidiaries, any Person (other than the Company and each of its Restricted Subsidiaries) that at such time directly or indirectly through one or more intermediaries Controls, or is Controlled by, or is under common Control with, the Company, (b) with respect to any Person (other than the Company and each of its Restricted Subsidiaries), any other Person that at such time directly or indirectly through one or more intermediaries Controls, or is Controlled by, or is under common Control with, such first Person, and (c) any Person beneficially owning or holding, directly or indirectly, 10% or more of any class of voting or equity interests of the Company or any Subsidiary of the Company or any corporation of which the Company and its Subsidiaries beneficially own or hold, in the aggregate, directly or indirectly, 10%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Indemnified Liabilities” has the meaning specified in Section 9.07.</w:t>
      </w:r>
    </w:p>
    <w:p>
      <w:pPr>
        <w:spacing w:after="0" w:line="225"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“Agent-Related Persons” means the Administrative Agent or the Issuer, together with its Affiliates (including, in the case of Bank of America in its capacity as the Administrative Agent, BAS), and the officers, directors, employees, agents and attorneys-in-fact of such Persons and Affiliates.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“Agreement” means this Five Year Letter of Credit and Term Loan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Rate” has the meaning set forth on Schedule A annexed hereto.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“Arranger” means BAS, in its capacity as sole lead arranger and sole book manager.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“Assignment and Assumption” means an Assignment and Assumption substantially in the form of Exhibit 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“Attorney Costs” means and includes all fees, expenses and disbursements of any law firm or other external counsel.</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“Audited Financial Statements” means the audited consolidated balance sheet of the Company and its Subsidiaries for the fiscal year ended December 31, 2002, and the related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2" w:name="page183"/>
    <w:bookmarkEnd w:id="182"/>
    <w:p>
      <w:pPr>
        <w:ind w:right="20"/>
        <w:spacing w:after="0" w:line="268" w:lineRule="auto"/>
        <w:rPr>
          <w:sz w:val="20"/>
          <w:szCs w:val="20"/>
          <w:color w:val="auto"/>
        </w:rPr>
      </w:pPr>
      <w:r>
        <w:rPr>
          <w:rFonts w:ascii="Arial" w:cs="Arial" w:eastAsia="Arial" w:hAnsi="Arial"/>
          <w:sz w:val="18"/>
          <w:szCs w:val="18"/>
          <w:color w:val="auto"/>
        </w:rPr>
        <w:t>consolidated statements of income or operations, shareholders’ equity and cash flows for such fiscal year of the Company and its Subsidiaries, including the notes thereto.</w:t>
      </w:r>
    </w:p>
    <w:p>
      <w:pPr>
        <w:spacing w:after="0" w:line="186"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“Authorized Representative” means any employee of a Credit Party involved principally in the financial administration, controllership or treasury function of such Credit Party who is authorized or designated as an Authorized Representative, as evidenced by the certificate delivered pursuant to Section 4.01(a)(iv) or from time to time by a certificate delivered by a Senior Financial Officer of such Credit Party to the Administrative Agent in form and substance satisfactory to it. Any document delivered hereunder that is signed by an Authorized Representative of a Credit Party shall be conclusively presumed to have been authorized by all necessary corporate action on the part of such Credit Party and such Authorized Representative shall be conclusively presumed to have acted on behalf of such Credit Party.</w:t>
      </w:r>
    </w:p>
    <w:p>
      <w:pPr>
        <w:spacing w:after="0" w:line="198"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“Auto-Reinstating Credit” means any Credit containing any provisions providing for automatic reinstatement of the stated amount after any drawing thereunder.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“Auto-Renewal Credit” has the meaning specified in Section 2.01(b)(iii).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“Bank of America” means Bank of America, N.A. and its successors.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 means Banc of America Securities LLC.</w:t>
      </w:r>
    </w:p>
    <w:p>
      <w:pPr>
        <w:spacing w:after="0" w:line="225" w:lineRule="exact"/>
        <w:rPr>
          <w:sz w:val="20"/>
          <w:szCs w:val="20"/>
          <w:color w:val="auto"/>
        </w:rPr>
      </w:pPr>
    </w:p>
    <w:p>
      <w:pPr>
        <w:ind w:right="180" w:firstLine="220"/>
        <w:spacing w:after="0" w:line="294" w:lineRule="auto"/>
        <w:rPr>
          <w:sz w:val="20"/>
          <w:szCs w:val="20"/>
          <w:color w:val="auto"/>
        </w:rPr>
      </w:pPr>
      <w:r>
        <w:rPr>
          <w:rFonts w:ascii="Arial" w:cs="Arial" w:eastAsia="Arial" w:hAnsi="Arial"/>
          <w:sz w:val="16"/>
          <w:szCs w:val="16"/>
          <w:color w:val="auto"/>
        </w:rPr>
        <w:t>“Base Rate” means for any day a fluctuating rate per annum equal to the higher of (a) the Federal Funds Rate plus 1/2 of 1% and (b) the rate of interest in effect for such day as publicly announced from time to time by Bank of America as its “prime rate.” Such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“Beneficial Ownership” has the meaning set forth in Rule 13d-3 promulgated by the SEC under the Securities Exchange Act.</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“Borrowing” means, without duplication, an extension of credit resulting from a drawing under any Credit which has not been reimbursed on the applicable Reimbursement Date, including the making of Advances, or the making of a Term Loan, as the context may require.</w:t>
      </w:r>
    </w:p>
    <w:p>
      <w:pPr>
        <w:spacing w:after="0" w:line="186"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“Business Day” means any day other than a Saturday, Sunday or other day on which commercial banks are authorized to close under the Laws of, or are in fact closed in, New York or Dallas, or (if the Administrative Agent’s Office is not located in New York or Dallas) the state where the Administrative Agent’s Office is located, and, if such day relates to the Credit-Linked Deposit Account or any LIBO Rate Term Loan or LIBO Rate Advance, means any such day on which dealings in Dollar deposits are conducted by and between banks in the London interbank eurodollar market.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“Capital Leases” or “Capitalized Leases” means leases under which the Company or 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3" w:name="page184"/>
    <w:bookmarkEnd w:id="183"/>
    <w:p>
      <w:pPr>
        <w:ind w:right="140"/>
        <w:spacing w:after="0" w:line="268" w:lineRule="auto"/>
        <w:rPr>
          <w:sz w:val="20"/>
          <w:szCs w:val="20"/>
          <w:color w:val="auto"/>
        </w:rPr>
      </w:pPr>
      <w:r>
        <w:rPr>
          <w:rFonts w:ascii="Arial" w:cs="Arial" w:eastAsia="Arial" w:hAnsi="Arial"/>
          <w:sz w:val="18"/>
          <w:szCs w:val="18"/>
          <w:color w:val="auto"/>
        </w:rPr>
        <w:t>of its Restricted Subsidiaries is the lessee or obligor, the discounted future rental payments under which are required to be capitalized on the balance sheet of the lessee or obligor in accordance with GAAP.</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 has the meaning specified in Section 2.02.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Collateralize” has the meaning specified in Section 2.02.</w:t>
      </w:r>
    </w:p>
    <w:p>
      <w:pPr>
        <w:spacing w:after="0" w:line="225"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“Closing Date” means the first date all the conditions precedent in Section 4.01 are satisfied or waived in accordance with Section 4.01 (or, in the case of Section 4.01(b), waived by the Person entitled to receive the applicable payment).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“Code” means the Internal Revenue Code of 1986, as amended from time to time, and the rules and regulations promulgated thereunder from time to time.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“Company” has the meaning specified in the introductory paragraph hereto.</w:t>
      </w:r>
    </w:p>
    <w:p>
      <w:pPr>
        <w:spacing w:after="0" w:line="225"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color w:val="auto"/>
        </w:rPr>
        <w:t>“Consolidated Debt” means, as of any date of determination, the total of all Indebtedness of the Company and its Restricted Subsidiaries determined on a consolidated basis in accordance with GAAP.</w:t>
      </w:r>
    </w:p>
    <w:p>
      <w:pPr>
        <w:spacing w:after="0" w:line="186" w:lineRule="exact"/>
        <w:rPr>
          <w:sz w:val="20"/>
          <w:szCs w:val="20"/>
          <w:color w:val="auto"/>
        </w:rPr>
      </w:pPr>
    </w:p>
    <w:p>
      <w:pPr>
        <w:ind w:right="180" w:firstLine="220"/>
        <w:spacing w:after="0" w:line="256" w:lineRule="auto"/>
        <w:rPr>
          <w:sz w:val="20"/>
          <w:szCs w:val="20"/>
          <w:color w:val="auto"/>
        </w:rPr>
      </w:pPr>
      <w:r>
        <w:rPr>
          <w:rFonts w:ascii="Arial" w:cs="Arial" w:eastAsia="Arial" w:hAnsi="Arial"/>
          <w:sz w:val="18"/>
          <w:szCs w:val="18"/>
          <w:color w:val="auto"/>
        </w:rPr>
        <w:t>“Consolidated EBITDA” means, for any period, Consolidated Net Income or Consolidated Net Loss, as the case may be, for such period, plus the sum of (a) interest expense; (b) income tax expense; (c) depletion and depreciation expense; and (d) amortization expense; in each case, which were deductible in determining Consolidated Net Income or Consolidated Net Loss for such period, determined on a consolidated basis for the Company and its Restricted Subsidiaries in accordance with GAAP.</w:t>
      </w:r>
    </w:p>
    <w:p>
      <w:pPr>
        <w:spacing w:after="0" w:line="197"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“Consolidated Net Income or Consolidated Net Loss” means, respectively, for any period, the net income or loss for such period determined on a consolidated basis for the Company and its Restricted Subsidiaries in accordance with GAAP.</w:t>
      </w:r>
    </w:p>
    <w:p>
      <w:pPr>
        <w:spacing w:after="0" w:line="186" w:lineRule="exact"/>
        <w:rPr>
          <w:sz w:val="20"/>
          <w:szCs w:val="20"/>
          <w:color w:val="auto"/>
        </w:rPr>
      </w:pPr>
    </w:p>
    <w:p>
      <w:pPr>
        <w:ind w:right="520" w:firstLine="220"/>
        <w:spacing w:after="0" w:line="268" w:lineRule="auto"/>
        <w:rPr>
          <w:sz w:val="20"/>
          <w:szCs w:val="20"/>
          <w:color w:val="auto"/>
        </w:rPr>
      </w:pPr>
      <w:r>
        <w:rPr>
          <w:rFonts w:ascii="Arial" w:cs="Arial" w:eastAsia="Arial" w:hAnsi="Arial"/>
          <w:sz w:val="18"/>
          <w:szCs w:val="18"/>
          <w:color w:val="auto"/>
        </w:rPr>
        <w:t>“Consolidated Net Worth” means, as of any date of determination, the consolidated stockholders’ equity of the Company and its Restricted Subsidiaries (excluding any amounts attributable to mandatorily redeemable Preferred Stock) determined as of such date.</w:t>
      </w:r>
    </w:p>
    <w:p>
      <w:pPr>
        <w:spacing w:after="0" w:line="186" w:lineRule="exact"/>
        <w:rPr>
          <w:sz w:val="20"/>
          <w:szCs w:val="20"/>
          <w:color w:val="auto"/>
        </w:rPr>
      </w:pPr>
    </w:p>
    <w:p>
      <w:pPr>
        <w:ind w:right="300" w:firstLine="220"/>
        <w:spacing w:after="0" w:line="332" w:lineRule="auto"/>
        <w:rPr>
          <w:sz w:val="20"/>
          <w:szCs w:val="20"/>
          <w:color w:val="auto"/>
        </w:rPr>
      </w:pPr>
      <w:r>
        <w:rPr>
          <w:rFonts w:ascii="Arial" w:cs="Arial" w:eastAsia="Arial" w:hAnsi="Arial"/>
          <w:sz w:val="16"/>
          <w:szCs w:val="16"/>
          <w:color w:val="auto"/>
        </w:rPr>
        <w:t>“Consolidated Tangible Assets” means, as of any date of determination, Consolidated Total Assets less the sum of (i) Intangible Assets and (ii) all amounts representing write-up in the book value of any assets of the Company and its Restricted Subsidiaries resulting from a revaluation thereof.</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“Consolidated Total Assets” means all assets of the Company and its Restricted Subsidiaries determined on a consolidated basis in accordance with GAAP.</w:t>
      </w:r>
    </w:p>
    <w:p>
      <w:pPr>
        <w:spacing w:after="0" w:line="248"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“Credit” means any standby letter of credit issued or outstanding hereunder (including a so-called “direct pay” standby letter of credit) that is a Permitted Credit and shall include the Existing Credits.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4" w:name="page185"/>
    <w:bookmarkEnd w:id="184"/>
    <w:p>
      <w:pPr>
        <w:ind w:right="280" w:firstLine="220"/>
        <w:spacing w:after="0" w:line="256" w:lineRule="auto"/>
        <w:rPr>
          <w:sz w:val="20"/>
          <w:szCs w:val="20"/>
          <w:color w:val="auto"/>
        </w:rPr>
      </w:pPr>
      <w:r>
        <w:rPr>
          <w:rFonts w:ascii="Arial" w:cs="Arial" w:eastAsia="Arial" w:hAnsi="Arial"/>
          <w:sz w:val="18"/>
          <w:szCs w:val="18"/>
          <w:color w:val="auto"/>
        </w:rPr>
        <w:t>“Credit Documents” means this Agreement, the Fee Letter, each Request for Credit Extension, each Issuer Document, each Request for Term Loan, each Letter of Credit Linked Note and each Term Note and each other document, instrument or agreement from time to time executed by the Company or any of its Subsidiaries, Holdings, or any secretary, assistant secretary, Responsible Officer or Authorized Representative thereof and delivered in connection with this Agreement.</w:t>
      </w:r>
    </w:p>
    <w:p>
      <w:pPr>
        <w:spacing w:after="0" w:line="197"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“Credit Expiration Date” means the day that is seven (7) Business Days prior to the Maturity Date (or, if such day is not a Business Day, the next preceding Business Day).</w:t>
      </w:r>
    </w:p>
    <w:p>
      <w:pPr>
        <w:spacing w:after="0" w:line="186"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“Credit Extension” means, (a) with respect to any Credit, the issuance thereof or extension of the expiry date thereof, or the renewal, reinstatement or increase of the amount thereof and (b) the making of any Term Loans.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“Credit-Linked Deposit” shall have the meaning specified in Section 2.01(c)(ii).</w:t>
      </w:r>
    </w:p>
    <w:p>
      <w:pPr>
        <w:spacing w:after="0" w:line="225" w:lineRule="exact"/>
        <w:rPr>
          <w:sz w:val="20"/>
          <w:szCs w:val="20"/>
          <w:color w:val="auto"/>
        </w:rPr>
      </w:pPr>
    </w:p>
    <w:p>
      <w:pPr>
        <w:jc w:val="both"/>
        <w:ind w:right="100" w:firstLine="220"/>
        <w:spacing w:after="0" w:line="298" w:lineRule="auto"/>
        <w:rPr>
          <w:sz w:val="20"/>
          <w:szCs w:val="20"/>
          <w:color w:val="auto"/>
        </w:rPr>
      </w:pPr>
      <w:r>
        <w:rPr>
          <w:rFonts w:ascii="Arial" w:cs="Arial" w:eastAsia="Arial" w:hAnsi="Arial"/>
          <w:sz w:val="16"/>
          <w:szCs w:val="16"/>
          <w:color w:val="auto"/>
        </w:rPr>
        <w:t>“Credit-Linked Deposit Account” shall mean the deposit account established by the Administrative Agent in its name and under its sole and exclusive control maintained at the office of Bank of America at its principal office in Chicago, Illinois, designated as the “Bank of America N.A. as Administrative Agent Waste Management Inc Five Year LOC Facility Lender Credit Linked Notes Dep Acct Treasury” that shall be used solely for the purposes set forth in Sections 2.01(c) (ii) and (iii) and in Section 2.03(b)(iii), or such successor account established pursuant to Section 10.19 of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“Credit-Linked Lenders” means the Lenders under this Agreement and the lenders under the Seven Year Agreement and the Ten Year Agreement.</w:t>
      </w:r>
    </w:p>
    <w:p>
      <w:pPr>
        <w:spacing w:after="0" w:line="248"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“Credit Obligations” means, without duplication, as at any date of determination, the aggregate undrawn face amount of all outstanding Credits plus the aggregate amount of all Unreimbursed Amounts in respect of any Credits, and, without duplication, all outstanding Borrowings arising from any Credits, plus the aggregate amount of the Term Loans. For all purposes of this Agreement, if on any date of determination a Credit has expired by its terms but any amount may still be drawn thereunder by reason of the operation of Rule 3.14 of the ISP, such Credit shall be deemed to be “outstanding” in the amount so remaining available to be drawn.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Parties” means, collectively, the Company and Holdings.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Rating Downgrade Event” has the meaning specified in Section 10.19(a)(i).</w:t>
      </w:r>
    </w:p>
    <w:p>
      <w:pPr>
        <w:spacing w:after="0" w:line="225"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“Default” means an event or condition the occurrence or existence of which would, with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the lapse of time or the giving of notice or both, become an Event of Default.</w:t>
      </w:r>
    </w:p>
    <w:p>
      <w:pPr>
        <w:spacing w:after="0" w:line="225" w:lineRule="exact"/>
        <w:rPr>
          <w:sz w:val="20"/>
          <w:szCs w:val="20"/>
          <w:color w:val="auto"/>
        </w:rPr>
      </w:pPr>
    </w:p>
    <w:p>
      <w:pPr>
        <w:ind w:right="500" w:firstLine="220"/>
        <w:spacing w:after="0" w:line="332" w:lineRule="auto"/>
        <w:rPr>
          <w:sz w:val="20"/>
          <w:szCs w:val="20"/>
          <w:color w:val="auto"/>
        </w:rPr>
      </w:pPr>
      <w:r>
        <w:rPr>
          <w:rFonts w:ascii="Arial" w:cs="Arial" w:eastAsia="Arial" w:hAnsi="Arial"/>
          <w:sz w:val="16"/>
          <w:szCs w:val="16"/>
          <w:color w:val="auto"/>
        </w:rPr>
        <w:t>“Default Rate” means (a) with respect to obligations other than Advances and Term Loans, the Base Rate plus 2.00% per annum, and (b) with respect to Advances and Term Loans, the LIBO Rate plus 3.00% per annum, in each case to the fullest extent permitted by applicable Laws.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“Deposit Account Interest Non-Payment Event” has the meaning specified in Section 10.19(a)(ii).</w:t>
      </w:r>
    </w:p>
    <w:p>
      <w:pPr>
        <w:spacing w:after="0" w:line="225" w:lineRule="exact"/>
        <w:rPr>
          <w:sz w:val="20"/>
          <w:szCs w:val="20"/>
          <w:color w:val="auto"/>
        </w:rPr>
      </w:pPr>
    </w:p>
    <w:p>
      <w:pPr>
        <w:ind w:right="240" w:firstLine="220"/>
        <w:spacing w:after="0" w:line="332" w:lineRule="auto"/>
        <w:rPr>
          <w:sz w:val="20"/>
          <w:szCs w:val="20"/>
          <w:color w:val="auto"/>
        </w:rPr>
      </w:pPr>
      <w:r>
        <w:rPr>
          <w:rFonts w:ascii="Arial" w:cs="Arial" w:eastAsia="Arial" w:hAnsi="Arial"/>
          <w:sz w:val="16"/>
          <w:szCs w:val="16"/>
          <w:color w:val="auto"/>
        </w:rPr>
        <w:t>“Disclosure Documents” means the Company’s financial statements referred to in Section 5.05 and filings made by the Company or Holdings with the SEC that were publicly available prior to the date of this Agreement and which were provided to the Issuer and the Lenders.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“Dollar” and “$” means lawful money of the United States.</w:t>
      </w:r>
    </w:p>
    <w:p>
      <w:pPr>
        <w:spacing w:after="0" w:line="225"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“EBITDA” means, (without duplication) with respect to any Person, division or business and with respect to any period, the sum of (i) (a) net income for such period from continuing operations after extraordinary items (excluding gains or losses from disposition of assets); (b) consolidated interest charges for such period; (c) the amount of taxes, based on or measured by income, used or included in the determination of such net income; (d) the amount of depreciation and amortization expense deducted in determining such net income; and (e) any extraordinary losses or non-recurring expenses not requiring the expenditure of cash decreasing net income for such period, minus (ii) any extraordinary gains or non-recurring items increasing net income for such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“Eligible Assignee” means any Institutional Investor.</w:t>
      </w:r>
    </w:p>
    <w:p>
      <w:pPr>
        <w:spacing w:after="0" w:line="225"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97"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“ERISA” means the Employee Retirement Income Security Act of 1974, as amended from time to time, and the rules and regulations promulgated thereunder from time to time in effect.</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“ERISA Affiliate” means any trade or business (whether or not incorporated) that is treated as a single employer together with the Company under Section 414 of the Code.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“Escalating Credit” means a Credit which provides for a face amount that increases from time to time in accordance with its terms.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“Event of Default” has the meaning specified in Section 8.01.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86" w:name="page187"/>
    <w:bookmarkEnd w:id="186"/>
    <w:p>
      <w:pPr>
        <w:ind w:left="220"/>
        <w:spacing w:after="0"/>
        <w:rPr>
          <w:sz w:val="20"/>
          <w:szCs w:val="20"/>
          <w:color w:val="auto"/>
        </w:rPr>
      </w:pPr>
      <w:r>
        <w:rPr>
          <w:rFonts w:ascii="Arial" w:cs="Arial" w:eastAsia="Arial" w:hAnsi="Arial"/>
          <w:sz w:val="18"/>
          <w:szCs w:val="18"/>
          <w:color w:val="auto"/>
        </w:rPr>
        <w:t>“Existing Credits” means the standby letters of credit listed on Schedule 1.01.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“Facility Fee” has the meaning specified in Section 2.05(a).</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“Federal Funds Rate”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“Fee Letter” has the meaning specified in Section 2.05(b).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 Lender” has the meaning specified in Section 10.15(a).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“FRB” means the Board of Governors of the Federal Reserve System of the United States.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“Fronting Fee” has the meaning specified in Section 2.05(b).</w:t>
      </w:r>
    </w:p>
    <w:p>
      <w:pPr>
        <w:spacing w:after="0" w:line="225" w:lineRule="exact"/>
        <w:rPr>
          <w:sz w:val="20"/>
          <w:szCs w:val="20"/>
          <w:color w:val="auto"/>
        </w:rPr>
      </w:pPr>
    </w:p>
    <w:p>
      <w:pPr>
        <w:jc w:val="both"/>
        <w:ind w:right="440" w:firstLine="220"/>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as of the date of determination, consistently applied.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“Governmental Authority” means</w:t>
      </w:r>
    </w:p>
    <w:p>
      <w:pPr>
        <w:spacing w:after="0" w:line="225" w:lineRule="exact"/>
        <w:rPr>
          <w:sz w:val="20"/>
          <w:szCs w:val="20"/>
          <w:color w:val="auto"/>
        </w:rPr>
      </w:pPr>
    </w:p>
    <w:p>
      <w:pPr>
        <w:ind w:left="820" w:hanging="241"/>
        <w:spacing w:after="0"/>
        <w:tabs>
          <w:tab w:leader="none" w:pos="8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government of</w:t>
      </w:r>
    </w:p>
    <w:p>
      <w:pPr>
        <w:spacing w:after="0" w:line="225" w:lineRule="exact"/>
        <w:rPr>
          <w:rFonts w:ascii="Arial" w:cs="Arial" w:eastAsia="Arial" w:hAnsi="Arial"/>
          <w:sz w:val="18"/>
          <w:szCs w:val="18"/>
          <w:color w:val="auto"/>
        </w:rPr>
      </w:pPr>
    </w:p>
    <w:p>
      <w:pPr>
        <w:ind w:left="1120" w:hanging="204"/>
        <w:spacing w:after="0"/>
        <w:tabs>
          <w:tab w:leader="none" w:pos="11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225" w:lineRule="exact"/>
        <w:rPr>
          <w:rFonts w:ascii="Arial" w:cs="Arial" w:eastAsia="Arial" w:hAnsi="Arial"/>
          <w:sz w:val="18"/>
          <w:szCs w:val="18"/>
          <w:color w:val="auto"/>
        </w:rPr>
      </w:pPr>
    </w:p>
    <w:p>
      <w:pPr>
        <w:ind w:left="700" w:right="40" w:firstLine="216"/>
        <w:spacing w:after="0" w:line="268" w:lineRule="auto"/>
        <w:tabs>
          <w:tab w:leader="none" w:pos="117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jurisdiction in which the Company or any Subsidiary conducts all or any part of its business, or which asserts jurisdiction over any properties of the Company or any Subsidiary, or</w:t>
      </w:r>
    </w:p>
    <w:p>
      <w:pPr>
        <w:spacing w:after="0" w:line="185" w:lineRule="exact"/>
        <w:rPr>
          <w:rFonts w:ascii="Arial" w:cs="Arial" w:eastAsia="Arial" w:hAnsi="Arial"/>
          <w:sz w:val="18"/>
          <w:szCs w:val="18"/>
          <w:color w:val="auto"/>
        </w:rPr>
      </w:pPr>
    </w:p>
    <w:p>
      <w:pPr>
        <w:ind w:left="820" w:hanging="241"/>
        <w:spacing w:after="0"/>
        <w:tabs>
          <w:tab w:leader="none" w:pos="8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entity exercising executive, legislative, judicial, regulatory or administrative functions of, or pertaining to, any such government.</w:t>
      </w:r>
    </w:p>
    <w:p>
      <w:pPr>
        <w:spacing w:after="0" w:line="225" w:lineRule="exact"/>
        <w:rPr>
          <w:sz w:val="20"/>
          <w:szCs w:val="20"/>
          <w:color w:val="auto"/>
        </w:rPr>
      </w:pPr>
    </w:p>
    <w:p>
      <w:pPr>
        <w:jc w:val="both"/>
        <w:ind w:right="180" w:firstLine="220"/>
        <w:spacing w:after="0" w:line="259" w:lineRule="auto"/>
        <w:rPr>
          <w:sz w:val="20"/>
          <w:szCs w:val="20"/>
          <w:color w:val="auto"/>
        </w:rPr>
      </w:pPr>
      <w:r>
        <w:rPr>
          <w:rFonts w:ascii="Arial" w:cs="Arial" w:eastAsia="Arial" w:hAnsi="Arial"/>
          <w:sz w:val="18"/>
          <w:szCs w:val="18"/>
          <w:color w:val="auto"/>
        </w:rPr>
        <w:t>“Guarantee” by any Person means any obligation, contingent or otherwise, of such Person directly or indirectly guaranteeing any Indebtedness of any other Person and, without limiting the generality of the foregoing, any obligation, direct or indirect, contingent or otherwise, of such Person (a) to purchase or pay (or advance or supply funds for the purchase or</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7" w:name="page188"/>
    <w:bookmarkEnd w:id="187"/>
    <w:p>
      <w:pPr>
        <w:ind w:right="80"/>
        <w:spacing w:after="0" w:line="323" w:lineRule="auto"/>
        <w:rPr>
          <w:sz w:val="20"/>
          <w:szCs w:val="20"/>
          <w:color w:val="auto"/>
        </w:rPr>
      </w:pPr>
      <w:r>
        <w:rPr>
          <w:rFonts w:ascii="Arial" w:cs="Arial" w:eastAsia="Arial" w:hAnsi="Arial"/>
          <w:sz w:val="15"/>
          <w:szCs w:val="15"/>
          <w:color w:val="auto"/>
        </w:rPr>
        <w:t>payment of) such Indebtedness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“Guaranteed Obligations” has the meaning specified in Section 11.01.</w:t>
      </w:r>
    </w:p>
    <w:p>
      <w:pPr>
        <w:spacing w:after="0" w:line="225"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“Hazardous Material” means any hazardous waste as defined by 42 U.S.C. §6903(5), any hazardous substance as defined by 42. U.S.C. §9601(14), any pollutant or contaminant as defined by 42 U.S.C. §9601(33) or any toxic substances, oil or other chemicals or substances regulated by the Environmental Laws, excluding household hazardous waste.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means Waste Management Holdings, Inc., a Delaware corporation and wholly-owned Subsidiary of the Company.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Guaranty” means the meaning specified in Section 11.01.</w:t>
      </w:r>
    </w:p>
    <w:p>
      <w:pPr>
        <w:spacing w:after="0" w:line="225" w:lineRule="exact"/>
        <w:rPr>
          <w:sz w:val="20"/>
          <w:szCs w:val="20"/>
          <w:color w:val="auto"/>
        </w:rPr>
      </w:pPr>
    </w:p>
    <w:p>
      <w:pPr>
        <w:ind w:right="20" w:firstLine="220"/>
        <w:spacing w:after="0" w:line="283" w:lineRule="auto"/>
        <w:rPr>
          <w:sz w:val="20"/>
          <w:szCs w:val="20"/>
          <w:color w:val="auto"/>
        </w:rPr>
      </w:pPr>
      <w:r>
        <w:rPr>
          <w:rFonts w:ascii="Arial" w:cs="Arial" w:eastAsia="Arial" w:hAnsi="Arial"/>
          <w:sz w:val="16"/>
          <w:szCs w:val="16"/>
          <w:color w:val="auto"/>
        </w:rPr>
        <w:t>“Indebtedness” means,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under drawn surety or performance bonds, or any other drawn bonding arrangement,</w:t>
      </w:r>
    </w:p>
    <w:p>
      <w:pPr>
        <w:ind w:left="260" w:hanging="252"/>
        <w:spacing w:after="0"/>
        <w:tabs>
          <w:tab w:leader="none" w:pos="2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Guarantees with respect to all Indebtedness of others referred to in clauses (a) through (f) above, and (h) all Indebtedness of others referred to in clauses</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through (f) above secured or supported by (or for which the holder of such Indebtedness has an existing right, contingent or otherwise, to be secured or</w:t>
      </w:r>
    </w:p>
    <w:p>
      <w:pPr>
        <w:spacing w:after="0" w:line="32"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supported by) any Lien on the property or assets of the Company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GAAP, Indebtedness shall also include the additional Indebtedness, determined on a consolidated basis, which would have been outstanding had such Permitted Receivables Transaction been accounted for as a borrowing.</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“Indemnified Liabilities” has the meaning specified in Section 10.05.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“Indemnitees” has the meaning specified in Section 10.05.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8" w:name="page189"/>
    <w:bookmarkEnd w:id="188"/>
    <w:p>
      <w:pPr>
        <w:ind w:left="220"/>
        <w:spacing w:after="0"/>
        <w:rPr>
          <w:sz w:val="20"/>
          <w:szCs w:val="20"/>
          <w:color w:val="auto"/>
        </w:rPr>
      </w:pPr>
      <w:r>
        <w:rPr>
          <w:rFonts w:ascii="Arial" w:cs="Arial" w:eastAsia="Arial" w:hAnsi="Arial"/>
          <w:sz w:val="18"/>
          <w:szCs w:val="18"/>
          <w:color w:val="auto"/>
        </w:rPr>
        <w:t>“INHAM Exemption” has the meaning specified in Section 10.10(b)(v).</w:t>
      </w:r>
    </w:p>
    <w:p>
      <w:pPr>
        <w:spacing w:after="0" w:line="225"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“Institutional Investor” means (a) any original Lender or any Affiliate of a Lender, (b) any Lender holding more than $5,000,000 of the Credit-Linked Deposits and/or Credit Obligations then outstanding, and (c) any bank, trust company, savings and loans association or other financial institution, any pension plan, any investment company, any insurance company, any broker or dealer, any Person (other than a natural Person) engaged in making, purchasing, holding or otherwise investing in commercial loans in the ordinary course of its business, or any other similar financial institution or entity, regardless of legal form.</w:t>
      </w:r>
    </w:p>
    <w:p>
      <w:pPr>
        <w:spacing w:after="0" w:line="167"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“Intangible Assets” means goodwill, the purchase price of acquired assets in excess of the fair value thereof, trademarks, trade names, service marks, customer lists, brand names, copyrights, patents and licenses, and rights with respect to the foregoing.</w:t>
      </w:r>
    </w:p>
    <w:p>
      <w:pPr>
        <w:spacing w:after="0" w:line="186"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color w:val="auto"/>
        </w:rPr>
        <w:t>“Interest Period” means, (a) as to the Credit-Linked Deposits, the period commencing on the date such Credit-Linked Deposit is made and ending on the date three months thereafter; (b) as to Advances and Term Loans, the period commencing on the date any such Advance or Term Loan is disbursed (except that in respect of Term Loans made from the proceeds of the Credit-Linked Deposits pursuant to Sections 2.03(b)(i)(A) or (B), the Interest Period shall be deemed to commence on the same day as the Interest Period commencement date for the Credit-Linked Deposits, and in respect of Term Loans made through the conversion of Advances pursuant to Section 2.03(b)(i)(C), the Interest Period shall be deemed to commence on the same day as the Interest Period commencement date for the Credit-Linked Deposits, if any, on the date of such conversion) and ending on the earlier of (x) the date three months thereafter and (y) the last day of the Interest Period with respect to the Credit-Linked Deposits; and (c) after the initial Interest Periods described in (a) and (b) above, as to the Credit-Linked Deposits, Advances and Term Loans, the period commencing on the last day of the immediately preceding Interest Period and ending on the date three months thereafter; provided that:</w:t>
      </w:r>
    </w:p>
    <w:p>
      <w:pPr>
        <w:spacing w:after="0" w:line="174" w:lineRule="exact"/>
        <w:rPr>
          <w:sz w:val="20"/>
          <w:szCs w:val="20"/>
          <w:color w:val="auto"/>
        </w:rPr>
      </w:pPr>
    </w:p>
    <w:p>
      <w:pPr>
        <w:ind w:right="400" w:firstLine="447"/>
        <w:spacing w:after="0" w:line="332" w:lineRule="auto"/>
        <w:tabs>
          <w:tab w:leader="none" w:pos="64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39" w:lineRule="exact"/>
        <w:rPr>
          <w:rFonts w:ascii="Arial" w:cs="Arial" w:eastAsia="Arial" w:hAnsi="Arial"/>
          <w:sz w:val="16"/>
          <w:szCs w:val="16"/>
          <w:color w:val="auto"/>
        </w:rPr>
      </w:pPr>
    </w:p>
    <w:p>
      <w:pPr>
        <w:ind w:right="320" w:firstLine="447"/>
        <w:spacing w:after="0" w:line="332" w:lineRule="auto"/>
        <w:tabs>
          <w:tab w:leader="none" w:pos="69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9" w:lineRule="exact"/>
        <w:rPr>
          <w:rFonts w:ascii="Arial" w:cs="Arial" w:eastAsia="Arial" w:hAnsi="Arial"/>
          <w:sz w:val="16"/>
          <w:szCs w:val="16"/>
          <w:color w:val="auto"/>
        </w:rPr>
      </w:pPr>
    </w:p>
    <w:p>
      <w:pPr>
        <w:ind w:left="760" w:hanging="313"/>
        <w:spacing w:after="0"/>
        <w:tabs>
          <w:tab w:leader="none" w:pos="7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provided further that after the occurrence and during the continuance of an Event of Default the Required Lenders, acting through the Administrative Agent, may designate one or more Interest Periods for the Advances and/or the Term Loans which are shorter than that set forth above, such designation to be effective after the last day of the applicable existing Interest Period.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89" w:name="page190"/>
    <w:bookmarkEnd w:id="189"/>
    <w:p>
      <w:pPr>
        <w:ind w:right="300" w:firstLine="220"/>
        <w:spacing w:after="0" w:line="268" w:lineRule="auto"/>
        <w:rPr>
          <w:sz w:val="20"/>
          <w:szCs w:val="20"/>
          <w:color w:val="auto"/>
        </w:rPr>
      </w:pPr>
      <w:r>
        <w:rPr>
          <w:rFonts w:ascii="Arial" w:cs="Arial" w:eastAsia="Arial" w:hAnsi="Arial"/>
          <w:sz w:val="18"/>
          <w:szCs w:val="18"/>
          <w:color w:val="auto"/>
        </w:rPr>
        <w:t>“ISP” means, with respect to any Credit, the “International Standby Practices 1998” published by the Institute of International Banking Law &amp; Practice (or such later version thereof as may be in effect at the time of issuance).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Limits” has the meaning specified in Section 2.01(a)(i).</w:t>
      </w:r>
    </w:p>
    <w:p>
      <w:pPr>
        <w:spacing w:after="0" w:line="225"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“Issuer” means Bank of America in its capacity as issuer of Credits hereunder, or any successors, and shall include any branch of the Issuer through which the Issuer may cause Credits to be issued hereunder.</w:t>
      </w:r>
    </w:p>
    <w:p>
      <w:pPr>
        <w:spacing w:after="0" w:line="186" w:lineRule="exact"/>
        <w:rPr>
          <w:sz w:val="20"/>
          <w:szCs w:val="20"/>
          <w:color w:val="auto"/>
        </w:rPr>
      </w:pPr>
    </w:p>
    <w:p>
      <w:pPr>
        <w:ind w:right="160" w:firstLine="220"/>
        <w:spacing w:after="0" w:line="306" w:lineRule="auto"/>
        <w:rPr>
          <w:sz w:val="20"/>
          <w:szCs w:val="20"/>
          <w:color w:val="auto"/>
        </w:rPr>
      </w:pPr>
      <w:r>
        <w:rPr>
          <w:rFonts w:ascii="Arial" w:cs="Arial" w:eastAsia="Arial" w:hAnsi="Arial"/>
          <w:sz w:val="16"/>
          <w:szCs w:val="16"/>
          <w:color w:val="auto"/>
        </w:rPr>
        <w:t>“Issuer Documents” means with respect to any Credit issued by the Issuer, such Credit, any applications for issuance or amendment of such Credit, and any other document, agreement and instrument entered into by the Issuer and the Company or in favor of the Issuer and relating to any such Credit, including any of the Issuer’s standard form documents for issuances and amendments of letters of credit and guarantees or other similar undertakings.</w:t>
      </w:r>
    </w:p>
    <w:p>
      <w:pPr>
        <w:spacing w:after="0" w:line="16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“Issuer-Related Persons” means as to the Issuer, together with its Affiliates, and the officers, directors, employees, agents and attorneys-in-fact of the Issuer and its Affiliates.</w:t>
      </w:r>
    </w:p>
    <w:p>
      <w:pPr>
        <w:spacing w:after="0" w:line="186" w:lineRule="exact"/>
        <w:rPr>
          <w:sz w:val="20"/>
          <w:szCs w:val="20"/>
          <w:color w:val="auto"/>
        </w:rPr>
      </w:pPr>
    </w:p>
    <w:p>
      <w:pPr>
        <w:ind w:right="240" w:firstLine="220"/>
        <w:spacing w:after="0" w:line="298" w:lineRule="auto"/>
        <w:rPr>
          <w:sz w:val="20"/>
          <w:szCs w:val="20"/>
          <w:color w:val="auto"/>
        </w:rPr>
      </w:pPr>
      <w:r>
        <w:rPr>
          <w:rFonts w:ascii="Arial" w:cs="Arial" w:eastAsia="Arial" w:hAnsi="Arial"/>
          <w:sz w:val="16"/>
          <w:szCs w:val="16"/>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“Lender” has the meaning specified in the introductory paragraph hereto.</w:t>
      </w:r>
    </w:p>
    <w:p>
      <w:pPr>
        <w:spacing w:after="0" w:line="225"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in such Lender’s Administrative Questionnaire, or such other office or offices as a Lender may from time to time notify the Company and the Administrative Agent.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“Letter of Credit Linked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means for any Interest Period:</w:t>
      </w:r>
    </w:p>
    <w:p>
      <w:pPr>
        <w:spacing w:after="0" w:line="225" w:lineRule="exact"/>
        <w:rPr>
          <w:sz w:val="20"/>
          <w:szCs w:val="20"/>
          <w:color w:val="auto"/>
        </w:rPr>
      </w:pPr>
    </w:p>
    <w:p>
      <w:pPr>
        <w:ind w:right="100" w:firstLine="228"/>
        <w:spacing w:after="0" w:line="256" w:lineRule="auto"/>
        <w:tabs>
          <w:tab w:leader="none" w:pos="5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Administrative Agent to be the offered rate that appears on the page of the Telerate screen (or any successor thereto)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97" w:lineRule="exact"/>
        <w:rPr>
          <w:rFonts w:ascii="Arial" w:cs="Arial" w:eastAsia="Arial" w:hAnsi="Arial"/>
          <w:sz w:val="18"/>
          <w:szCs w:val="18"/>
          <w:color w:val="auto"/>
        </w:rPr>
      </w:pPr>
    </w:p>
    <w:p>
      <w:pPr>
        <w:ind w:right="120" w:firstLine="228"/>
        <w:spacing w:after="0" w:line="332" w:lineRule="auto"/>
        <w:tabs>
          <w:tab w:leader="none" w:pos="51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rate referenced in the preceding clause (a) does not appear on such page or service or such page or service shall not be available, the rate per annum equal to the rate determined by the Administrative Agent to be the offered rate on such other page or other service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0" w:name="page191"/>
    <w:bookmarkEnd w:id="190"/>
    <w:p>
      <w:pPr>
        <w:ind w:right="40"/>
        <w:spacing w:after="0" w:line="259" w:lineRule="auto"/>
        <w:rPr>
          <w:sz w:val="20"/>
          <w:szCs w:val="20"/>
          <w:color w:val="auto"/>
        </w:rPr>
      </w:pPr>
      <w:r>
        <w:rPr>
          <w:rFonts w:ascii="Arial" w:cs="Arial" w:eastAsia="Arial" w:hAnsi="Arial"/>
          <w:sz w:val="18"/>
          <w:szCs w:val="18"/>
          <w:color w:val="auto"/>
        </w:rPr>
        <w:t>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94" w:lineRule="exact"/>
        <w:rPr>
          <w:sz w:val="20"/>
          <w:szCs w:val="20"/>
          <w:color w:val="auto"/>
        </w:rPr>
      </w:pPr>
    </w:p>
    <w:p>
      <w:pPr>
        <w:ind w:right="160" w:firstLine="228"/>
        <w:spacing w:after="0" w:line="294" w:lineRule="auto"/>
        <w:tabs>
          <w:tab w:leader="none" w:pos="50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 rates referenced in the preceding clauses (a) and (b) are not available, the rate per annum determined by the Administrative Agent as the rate of interest at which deposits in Dollars for delivery on the first day of such Interest Period in same day funds in the approximate amount of the Total Credit-Linked Deposit or the average amount of the Advances of the Lenders or LIBO Rate Term Loans, as applicable, being made or continued and with a term equivalent to such Interest Period would be offered by Bank of America’s London Branch to major banks in the London interbank eurodollar market at their request at approximately 4:00 p.m. (London time) two Business Days prior to the first day of such Interest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Term Loans” means Term Loans bearing interest based on the LIBO Rate.</w:t>
      </w:r>
    </w:p>
    <w:p>
      <w:pPr>
        <w:spacing w:after="0" w:line="225"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has the meaning specified in Section 10.19(a).</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“Material” or “Materially” means material or materially, as applicable, in relation to the business, operations, affairs, financial condition, assets, properties, or prospects of the Company and its Restricted Subsidiaries taken as a whole.</w:t>
      </w:r>
    </w:p>
    <w:p>
      <w:pPr>
        <w:spacing w:after="0" w:line="186" w:lineRule="exact"/>
        <w:rPr>
          <w:sz w:val="20"/>
          <w:szCs w:val="20"/>
          <w:color w:val="auto"/>
        </w:rPr>
      </w:pPr>
    </w:p>
    <w:p>
      <w:pPr>
        <w:jc w:val="both"/>
        <w:ind w:right="300" w:firstLine="220"/>
        <w:spacing w:after="0" w:line="306" w:lineRule="auto"/>
        <w:rPr>
          <w:sz w:val="20"/>
          <w:szCs w:val="20"/>
          <w:color w:val="auto"/>
        </w:rPr>
      </w:pPr>
      <w:r>
        <w:rPr>
          <w:rFonts w:ascii="Arial" w:cs="Arial" w:eastAsia="Arial" w:hAnsi="Arial"/>
          <w:sz w:val="16"/>
          <w:szCs w:val="16"/>
          <w:color w:val="auto"/>
        </w:rPr>
        <w:t>“Material Adverse Effect” means a material adverse effect on (a) the business, operations, affairs, financial condition, prospects, assets or properties of the Company and its Restricted Subsidiaries taken as a whole, (b) the ability of the Company to perform its obligations under this Agreement, the Letter of Credit Linked Notes or the Term Notes, or (c) the validity or enforceability of this Agreement, the Letter of Credit Linked Notes or the Term Notes.</w:t>
      </w:r>
    </w:p>
    <w:p>
      <w:pPr>
        <w:spacing w:after="0" w:line="161" w:lineRule="exact"/>
        <w:rPr>
          <w:sz w:val="20"/>
          <w:szCs w:val="20"/>
          <w:color w:val="auto"/>
        </w:rPr>
      </w:pPr>
    </w:p>
    <w:p>
      <w:pPr>
        <w:ind w:right="40" w:firstLine="220"/>
        <w:spacing w:after="0" w:line="332" w:lineRule="auto"/>
        <w:rPr>
          <w:sz w:val="20"/>
          <w:szCs w:val="20"/>
          <w:color w:val="auto"/>
        </w:rPr>
      </w:pPr>
      <w:r>
        <w:rPr>
          <w:rFonts w:ascii="Arial" w:cs="Arial" w:eastAsia="Arial" w:hAnsi="Arial"/>
          <w:sz w:val="16"/>
          <w:szCs w:val="16"/>
          <w:color w:val="auto"/>
        </w:rPr>
        <w:t>“Material Debt” means any Indebtedness (other than any Indebtedness of the Company or Holdings in respect of the Credit Obligations) of any one or more of the Company, its Restricted Subsidiaries and Holdings in an aggregate principal amount for all such Persons exceeding $50,000,000.</w:t>
      </w:r>
    </w:p>
    <w:p>
      <w:pPr>
        <w:spacing w:after="0" w:line="139"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“Maturity Date” means (a) June 30, 2008, or (b) such earlier date upon which the obligations of the Issuer and the Lenders to make Credit Extensions may be terminated in accordance with the terms hereof.</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“Memorandum” has the meaning specified in Section 5.03.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“Money Market Account Agreement” means the Money Market Account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1" w:name="page192"/>
    <w:bookmarkEnd w:id="191"/>
    <w:p>
      <w:pPr>
        <w:ind w:right="440"/>
        <w:spacing w:after="0" w:line="268" w:lineRule="auto"/>
        <w:rPr>
          <w:sz w:val="20"/>
          <w:szCs w:val="20"/>
          <w:color w:val="auto"/>
        </w:rPr>
      </w:pPr>
      <w:r>
        <w:rPr>
          <w:rFonts w:ascii="Arial" w:cs="Arial" w:eastAsia="Arial" w:hAnsi="Arial"/>
          <w:sz w:val="18"/>
          <w:szCs w:val="18"/>
          <w:color w:val="auto"/>
        </w:rPr>
        <w:t>between the Administrative Agent and Bank of America, as depository, substantially in the form of Exhibit G attached hereto, concerning the Credit-Linked Deposit Account.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“Moody’s” means Moody’s Investors Service, Inc., or any successor thereto that is a nationally-recognized rating agency.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“Multiemployer Plan” means any Plan that is a “multiemployer plan” (as such term is defined in Section 4001(a)(3) of ERISA).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Account”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Depository Bank”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“Nonrenewal Notice Date” has the meaning specified in Section 2.01(b)(iii).</w:t>
      </w:r>
    </w:p>
    <w:p>
      <w:pPr>
        <w:spacing w:after="0" w:line="225"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“Officer’s Certificate” means a certificate of a Senior Financial Officer or of any other officer of the Company whose responsibilities extend to the subject matter of such certificate.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Taxes” has the meaning specified in Section 3.01(b).</w:t>
      </w:r>
    </w:p>
    <w:p>
      <w:pPr>
        <w:spacing w:after="0" w:line="225"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“Outstanding Amount” means, with respect to any Credit Obligations on any date, the amount of such Credit Obligations on such date after giving effect to any Credit Extension occurring on such date and any other changes in the aggregate amount of the Credit Obligations as of such date, including as a result of any reimbursements of outstanding unpaid drawings under any Credits or any reductions in the maximum amount available for drawing under Credits taking effect on such date. Without limiting the provisions of Section 1.07, for avoidance of doubt, the portion of the Credit Obligations in respect of the undrawn face amount of any Escalating Credits shall be deemed to be the maximum aggregate amount available to be drawn under such Escalating Credits (after giving effect to all increases).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“Participant” has the meaning specified in Section 10.07(d).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“Participation” has the meaning specified in Section 2.01(c)(ii).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“PBGC” means the Pension Benefit Guaranty Corporation referred to and defined in ERISA or any successor thereto.</w:t>
      </w:r>
    </w:p>
    <w:p>
      <w:pPr>
        <w:spacing w:after="0" w:line="225" w:lineRule="exact"/>
        <w:rPr>
          <w:sz w:val="20"/>
          <w:szCs w:val="20"/>
          <w:color w:val="auto"/>
        </w:rPr>
      </w:pPr>
    </w:p>
    <w:p>
      <w:pPr>
        <w:ind w:right="180" w:firstLine="220"/>
        <w:spacing w:after="0" w:line="298" w:lineRule="auto"/>
        <w:rPr>
          <w:sz w:val="20"/>
          <w:szCs w:val="20"/>
          <w:color w:val="auto"/>
        </w:rPr>
      </w:pPr>
      <w:r>
        <w:rPr>
          <w:rFonts w:ascii="Arial" w:cs="Arial" w:eastAsia="Arial" w:hAnsi="Arial"/>
          <w:sz w:val="16"/>
          <w:szCs w:val="16"/>
          <w:color w:val="auto"/>
        </w:rPr>
        <w:t>“Permitted Credit” means a Credit used directly or indirectly to cover (a) a default in the performance of any non-financial or commercial 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 or (b) the payment of any financial contractual obligation of the Company or any Subsidiary.</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Liens” has the meaning specified in Section 7.03.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Receivables Transaction” means any sale or sales of, and/or securitization of,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2" w:name="page193"/>
    <w:bookmarkEnd w:id="192"/>
    <w:p>
      <w:pPr>
        <w:ind w:right="40"/>
        <w:spacing w:after="0" w:line="298" w:lineRule="auto"/>
        <w:rPr>
          <w:sz w:val="20"/>
          <w:szCs w:val="20"/>
          <w:color w:val="auto"/>
        </w:rPr>
      </w:pPr>
      <w:r>
        <w:rPr>
          <w:rFonts w:ascii="Arial" w:cs="Arial" w:eastAsia="Arial" w:hAnsi="Arial"/>
          <w:sz w:val="16"/>
          <w:szCs w:val="16"/>
          <w:color w:val="auto"/>
        </w:rPr>
        <w:t>any accounts receivable of the Company and/or any of its Restricted Subsidiaries (the “Receivables”) pursuant to which (a) the Company and its Restricted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67" w:lineRule="exact"/>
        <w:rPr>
          <w:sz w:val="20"/>
          <w:szCs w:val="20"/>
          <w:color w:val="auto"/>
        </w:rPr>
      </w:pPr>
    </w:p>
    <w:p>
      <w:pPr>
        <w:ind w:right="900" w:firstLine="220"/>
        <w:spacing w:after="0" w:line="332" w:lineRule="auto"/>
        <w:rPr>
          <w:sz w:val="20"/>
          <w:szCs w:val="20"/>
          <w:color w:val="auto"/>
        </w:rPr>
      </w:pPr>
      <w:r>
        <w:rPr>
          <w:rFonts w:ascii="Arial" w:cs="Arial" w:eastAsia="Arial" w:hAnsi="Arial"/>
          <w:sz w:val="16"/>
          <w:szCs w:val="16"/>
          <w:color w:val="auto"/>
        </w:rPr>
        <w:t>“Person” means any individual, trustee, corporation, general partnership, limited partnership, limited liability company, joint stock company, trust, unincorporated organization, bank, business association, firm, joint venture, Governmental Authority or other legal entity.</w:t>
      </w:r>
    </w:p>
    <w:p>
      <w:pPr>
        <w:spacing w:after="0" w:line="139"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94" w:lineRule="exact"/>
        <w:rPr>
          <w:sz w:val="20"/>
          <w:szCs w:val="20"/>
          <w:color w:val="auto"/>
        </w:rPr>
      </w:pPr>
    </w:p>
    <w:p>
      <w:pPr>
        <w:jc w:val="both"/>
        <w:ind w:right="80" w:firstLine="220"/>
        <w:spacing w:after="0" w:line="268" w:lineRule="auto"/>
        <w:rPr>
          <w:sz w:val="20"/>
          <w:szCs w:val="20"/>
          <w:color w:val="auto"/>
        </w:rPr>
      </w:pPr>
      <w:r>
        <w:rPr>
          <w:rFonts w:ascii="Arial" w:cs="Arial" w:eastAsia="Arial" w:hAnsi="Arial"/>
          <w:sz w:val="18"/>
          <w:szCs w:val="18"/>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86" w:lineRule="exact"/>
        <w:rPr>
          <w:sz w:val="20"/>
          <w:szCs w:val="20"/>
          <w:color w:val="auto"/>
        </w:rPr>
      </w:pPr>
    </w:p>
    <w:p>
      <w:pPr>
        <w:ind w:right="40" w:firstLine="220"/>
        <w:spacing w:after="0" w:line="302" w:lineRule="auto"/>
        <w:rPr>
          <w:sz w:val="20"/>
          <w:szCs w:val="20"/>
          <w:color w:val="auto"/>
        </w:rPr>
      </w:pPr>
      <w:r>
        <w:rPr>
          <w:rFonts w:ascii="Arial" w:cs="Arial" w:eastAsia="Arial" w:hAnsi="Arial"/>
          <w:sz w:val="15"/>
          <w:szCs w:val="15"/>
          <w:color w:val="auto"/>
        </w:rPr>
        <w:t>“Priority Debt” means (without duplication) the sum of (a) unsecured Indebtedness of the Company’s Restricted Subsidiaries other than (i) Indebtedness of the Company’s Restricted Subsidiaries, including Holdings, listed on Schedule 5.15 and any extension, renewal or refinancing by such parties of such Indebtedness, provided that the terms of any such extension, renewal or refinancing are substantially the same as the terms and conditions in effect on the Closing Date, or more favorable to such parties, and the principal amount of such Indebtedness is not increased, (ii) Indebtedness owing to the Company or any other Restricted Subsidiary and (iii) any unsecured Indebtedness of Holdings consisting of Guarantees of the Company’s Indebtedness existing as of the Closing Date and, so long as the Holdings Guaranty remains in full force and effect, Indebtedness consisting of Guarantees of the Company’s Indebtedness incurred thereafter, plus</w:t>
      </w:r>
    </w:p>
    <w:p>
      <w:pPr>
        <w:spacing w:after="0" w:line="1" w:lineRule="exact"/>
        <w:rPr>
          <w:sz w:val="20"/>
          <w:szCs w:val="20"/>
          <w:color w:val="auto"/>
        </w:rPr>
      </w:pPr>
    </w:p>
    <w:p>
      <w:pPr>
        <w:ind w:right="140" w:firstLine="8"/>
        <w:spacing w:after="0" w:line="323" w:lineRule="auto"/>
        <w:tabs>
          <w:tab w:leader="none" w:pos="24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Indebtedness with respect to drawn landfill closure bonds, plus (c) Indebtedness with respect to Permitted Receivables Transactions, plus (d) Indebtedness of the Company or any of its Restricted Subsidiaries secured by a Lien not permitted by clauses (a) through (l) of Section 7.03.</w:t>
      </w:r>
    </w:p>
    <w:p>
      <w:pPr>
        <w:spacing w:after="0" w:line="147"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“Pro Rata Share” means, with respect to each Lender at any time, a fraction (expressed as a percentage, carried out to the ninth decimal place), the numerator of which is the amount of the Credit-Linked Deposit of such Lender at such time and the denominator of which is the amount of the Total Credit-Linked Deposit; provided that if the obligations of the Issuer to make Credit Extensions have been terminated pursuant to Section 8.02(a), the numerator of such fraction shall be such Lender’s Outstanding Amount of all Credit Obligations at such time, and the denominator shall be the Outstanding Amount of all Credit Obligations of all Lenders at such time (with the aggregate amount of any Lender’s risk participation and funded participation in Credit Obligations being deemed “held” by such Lender for purposes of this definition). The initial Pro Rata Share of each Lender is set forth opposite the name of such Lender on Schedule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2.01 or in the Assignment and Assumption pursuant to which such Lender becomes a party hereto, as applicable.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“property” or “properties” means, unless otherwise specifically limited, real or personal property of any kind, tangible or intangible, existing or inchoate.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“PTE” has the meaning specified in Section 10.10(b)(i).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“QPAM Exemption” has the meaning specified in Section 10.10(b)(iv).</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“Register” has the meaning specified in Section 10.07(c).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“Reimbursement Date” has the meaning specified in Section 2.01(c)(i).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“Replacement Lender” has the meaning specified in Section 3.07.</w:t>
      </w:r>
    </w:p>
    <w:p>
      <w:pPr>
        <w:spacing w:after="0" w:line="225" w:lineRule="exact"/>
        <w:rPr>
          <w:sz w:val="20"/>
          <w:szCs w:val="20"/>
          <w:color w:val="auto"/>
        </w:rPr>
      </w:pPr>
    </w:p>
    <w:p>
      <w:pPr>
        <w:ind w:right="860" w:firstLine="220"/>
        <w:spacing w:after="0" w:line="332" w:lineRule="auto"/>
        <w:rPr>
          <w:sz w:val="20"/>
          <w:szCs w:val="20"/>
          <w:color w:val="auto"/>
        </w:rPr>
      </w:pPr>
      <w:r>
        <w:rPr>
          <w:rFonts w:ascii="Arial" w:cs="Arial" w:eastAsia="Arial" w:hAnsi="Arial"/>
          <w:sz w:val="16"/>
          <w:szCs w:val="16"/>
          <w:color w:val="auto"/>
        </w:rPr>
        <w:t>“Request for Credit Extension” means a request for the issuance or amendment of a Credit by the Issuer pursuant to a Request for Credit Extension substantially in the form of Exhibit A, with such changes thereto as the Administrative Agent or the Issuer may from time to time approve.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“Request for Term Loans” means a request for the making of Term Loans from the proceeds of Credit-Linked Deposits, substantially in the form of Exhibit E.</w:t>
      </w:r>
    </w:p>
    <w:p>
      <w:pPr>
        <w:spacing w:after="0" w:line="248" w:lineRule="exact"/>
        <w:rPr>
          <w:sz w:val="20"/>
          <w:szCs w:val="20"/>
          <w:color w:val="auto"/>
        </w:rPr>
      </w:pPr>
    </w:p>
    <w:p>
      <w:pPr>
        <w:ind w:right="40" w:firstLine="220"/>
        <w:spacing w:after="0" w:line="285" w:lineRule="auto"/>
        <w:rPr>
          <w:sz w:val="20"/>
          <w:szCs w:val="20"/>
          <w:color w:val="auto"/>
        </w:rPr>
      </w:pPr>
      <w:r>
        <w:rPr>
          <w:rFonts w:ascii="Arial" w:cs="Arial" w:eastAsia="Arial" w:hAnsi="Arial"/>
          <w:sz w:val="16"/>
          <w:szCs w:val="16"/>
          <w:color w:val="auto"/>
        </w:rPr>
        <w:t>“Required Credit-Linked Lenders” means, Credit-Linked Lenders (other than the Company and its Affiliates) having Combined Pro Rata Shares aggregating more than 50%. For purposes hereof, the “Combined Pro Rata Share” of a Credit-Linked Lender means, with respect to such Credit-Linked Lender at any time, a fraction (expressed as a percentage, carried out to the ninth decimal place), the numerator of which is the amount of the sum of (A) the Credit-Linked Deposit plus the Outstanding Amount of all Credit Obligations of such Credit-Linked Lender under this Agreement at such time plus (B) the sum of the Credit-Linked Deposit plus the Outstanding Amount of all Credit Obligations of such Credit-Linked Lender under the Seven Year Agreement at such time (as such terms are defined in the Seven Year Agreement), plus (C) the sum of the Credit-Linked Deposit plus the Outstanding Amount of all Credit Obligations of such Credit-Linked Lender under the Ten Year Agreement at such time (as such terms are defined in the Ten Year Agreement), and the denominator of which is the amount of the sum of (X) the Total Credit-Linked Deposit plus the Outstanding Amount of all Credit Obligations of all Credit-Linked Lenders under this Agreement at such time (with the aggregate amount of any Credit-Linked Lender’s risk participation and funded participation in Credit Obligations being deemed “held” by such Credit-Linked Lender for purposes of this definition) plus (Y) the Total Credit-Linked Deposit plus the Outstanding Amount of all Credit Obligations of all Credit-Linked Lenders under the Seven Year Agreement at such time (as such terms are defined in the Seven Year Agreement) (with the aggregate amount of any Credit-Linked Lender’s risk participation and funded participation in Credit Obligations being deemed “held” by such Credit-Linked Lender for purposes of this definition) plus (Z) the Total Credit-Linked Deposit plus the Outstanding Amount of all Credit Obligations of all Credit-Linked Lenders under the Ten Year Agreement at such time (as such terms are defined in the Ten Year Agreement) (with the</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4" w:name="page195"/>
    <w:bookmarkEnd w:id="194"/>
    <w:p>
      <w:pPr>
        <w:ind w:right="300"/>
        <w:spacing w:after="0" w:line="268" w:lineRule="auto"/>
        <w:rPr>
          <w:sz w:val="20"/>
          <w:szCs w:val="20"/>
          <w:color w:val="auto"/>
        </w:rPr>
      </w:pPr>
      <w:r>
        <w:rPr>
          <w:rFonts w:ascii="Arial" w:cs="Arial" w:eastAsia="Arial" w:hAnsi="Arial"/>
          <w:sz w:val="18"/>
          <w:szCs w:val="18"/>
          <w:color w:val="auto"/>
        </w:rPr>
        <w:t>aggregate amount of any Credit-Linked Lender’s risk participation and funded participation in Credit Obligations being deemed “held” by such Credit-Linked Lender for purposes of this definition).</w:t>
      </w:r>
    </w:p>
    <w:p>
      <w:pPr>
        <w:spacing w:after="0" w:line="186"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“Required Lenders” means, as of any date of determination, Lenders (other than the Company and its Affiliates) having Pro Rata Shares aggregating more than 50%.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“Required Notice” has the meaning specified in Section 10.19(b).</w:t>
      </w:r>
    </w:p>
    <w:p>
      <w:pPr>
        <w:spacing w:after="0" w:line="225"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“Responsible Officer” means any Senior Financial Officer and any other officer of a Credit Party with responsibility for the administration of the relevant portion of this Agreement. Any document delivered hereunder that is signed by a Responsible Officer of a Credit Party shall be conclusively presumed to have been authorized by all necessary corporate action on the part of such Credit Party and such Responsible Officer shall be conclusively presumed to have acted on behalf of such Credit Party.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“Restricted Subsidiary” means any Subsidiary of the Company which is not designated as an Unrestricted Subsidiary in accordance with Section 7.07.</w:t>
      </w:r>
    </w:p>
    <w:p>
      <w:pPr>
        <w:spacing w:after="0" w:line="248"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“S&amp;P” means Standard &amp; Poor’s Rating Group, a division of The McGraw-Hill Companies, or any successor thereto that is a nationally-recognized rating agency.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means the Securities and Exchange Commission, or any Governmental Authority succeeding to any of its principal functions.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Account”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Act” means the Securities Act of 1933.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Exchange Act” means Securities Exchange Act of 1934.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Intermediary”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“Security” has the meaning specified in Section 2(l) of the Securities Act.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controller of a Credit Party.</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“Senior Responsible Officer” means any Senior Financial Officer, or any of the President, any Executive Vice President, any Senior Vice President or any Principal Vice President of a Credit Party.</w:t>
      </w:r>
    </w:p>
    <w:p>
      <w:pPr>
        <w:spacing w:after="0" w:line="186" w:lineRule="exact"/>
        <w:rPr>
          <w:sz w:val="20"/>
          <w:szCs w:val="20"/>
          <w:color w:val="auto"/>
        </w:rPr>
      </w:pPr>
    </w:p>
    <w:p>
      <w:pPr>
        <w:ind w:right="240" w:firstLine="220"/>
        <w:spacing w:after="0" w:line="298" w:lineRule="auto"/>
        <w:rPr>
          <w:sz w:val="20"/>
          <w:szCs w:val="20"/>
          <w:color w:val="auto"/>
        </w:rPr>
      </w:pPr>
      <w:r>
        <w:rPr>
          <w:rFonts w:ascii="Arial" w:cs="Arial" w:eastAsia="Arial" w:hAnsi="Arial"/>
          <w:sz w:val="16"/>
          <w:szCs w:val="16"/>
          <w:color w:val="auto"/>
        </w:rPr>
        <w:t>“Seven Year Agreement” means the Seven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Seven Year Agreement) are paid in full and the Seven Year Agreement is terminated, then this definition of “Seven Year Agreement” shall no longer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be applicable to this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“Source” has the meaning specified in Section 10.10(b).</w:t>
      </w:r>
    </w:p>
    <w:p>
      <w:pPr>
        <w:spacing w:after="0" w:line="225"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“Taxes” has the meaning specified in Section 3.01(a).</w:t>
      </w:r>
    </w:p>
    <w:p>
      <w:pPr>
        <w:spacing w:after="0" w:line="225" w:lineRule="exact"/>
        <w:rPr>
          <w:sz w:val="20"/>
          <w:szCs w:val="20"/>
          <w:color w:val="auto"/>
        </w:rPr>
      </w:pPr>
    </w:p>
    <w:p>
      <w:pPr>
        <w:ind w:right="40" w:firstLine="220"/>
        <w:spacing w:after="0" w:line="298" w:lineRule="auto"/>
        <w:rPr>
          <w:sz w:val="20"/>
          <w:szCs w:val="20"/>
          <w:color w:val="auto"/>
        </w:rPr>
      </w:pPr>
      <w:r>
        <w:rPr>
          <w:rFonts w:ascii="Arial" w:cs="Arial" w:eastAsia="Arial" w:hAnsi="Arial"/>
          <w:sz w:val="16"/>
          <w:szCs w:val="16"/>
          <w:color w:val="auto"/>
        </w:rPr>
        <w:t>“Ten Year Agreement” means the Ten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Ten Year Agreement) are paid in full and the Ten Year Agreement is terminated, then this definition of “Ten Year Agreement” shall no longer be applicable to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 Issuance Date” has the meaning specified in Section 2.03(b)(iii).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Loans” has the meaning specified in Section 2.03(b)(i).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Credit-Linked Deposit” shall mean, at any time, the sum of all Lenders’ Credit-Linked Deposits, as the same may be reduced from time to time.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“Trust”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“United States” and “U.S.” each means the United States of America.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“Unreimbursed Amount” has the meaning specified in Section 2.01(c)(i).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“Unrestricted Subsidiary” means any Subsidiary which is designated as such in writing by the Company to each Lender pursuant to Section 7.07.</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“Unused Amount” has the meaning specified in Section 2.03(b)(i).</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1.02 Other Interpretive Provisions</w:t>
      </w:r>
      <w:r>
        <w:rPr>
          <w:rFonts w:ascii="Arial" w:cs="Arial" w:eastAsia="Arial" w:hAnsi="Arial"/>
          <w:sz w:val="16"/>
          <w:szCs w:val="16"/>
          <w:color w:val="auto"/>
        </w:rPr>
        <w:t>. With reference to this Agreement and each other Credit Document, unless otherwise specified herein or in such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Credit Document: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6" w:name="page197"/>
    <w:bookmarkEnd w:id="196"/>
    <w:p>
      <w:pPr>
        <w:ind w:left="520" w:hanging="292"/>
        <w:spacing w:after="0"/>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right="380" w:firstLine="228"/>
        <w:spacing w:after="0" w:line="268" w:lineRule="auto"/>
        <w:tabs>
          <w:tab w:leader="none" w:pos="5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The words “herein,” “hereto,” “hereof,” and “hereunder” and words of similar import when used in any Credit Document shall refer to such Credit Document as a whole and not to any particular provision thereof.</w:t>
      </w:r>
    </w:p>
    <w:p>
      <w:pPr>
        <w:spacing w:after="0" w:line="185" w:lineRule="exact"/>
        <w:rPr>
          <w:rFonts w:ascii="Arial" w:cs="Arial" w:eastAsia="Arial" w:hAnsi="Arial"/>
          <w:sz w:val="18"/>
          <w:szCs w:val="18"/>
          <w:color w:val="auto"/>
        </w:rPr>
      </w:pPr>
    </w:p>
    <w:p>
      <w:pPr>
        <w:ind w:left="640" w:hanging="193"/>
        <w:spacing w:after="0"/>
        <w:tabs>
          <w:tab w:leader="none" w:pos="6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Credit Document in which such references appear.</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right="160" w:firstLine="447"/>
        <w:spacing w:after="0" w:line="268" w:lineRule="auto"/>
        <w:tabs>
          <w:tab w:leader="none" w:pos="74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85" w:lineRule="exact"/>
        <w:rPr>
          <w:rFonts w:ascii="Arial" w:cs="Arial" w:eastAsia="Arial" w:hAnsi="Arial"/>
          <w:sz w:val="18"/>
          <w:szCs w:val="18"/>
          <w:color w:val="auto"/>
        </w:rPr>
      </w:pPr>
    </w:p>
    <w:p>
      <w:pPr>
        <w:ind w:right="400" w:firstLine="228"/>
        <w:spacing w:after="0" w:line="268" w:lineRule="auto"/>
        <w:tabs>
          <w:tab w:leader="none" w:pos="5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5" w:lineRule="exact"/>
        <w:rPr>
          <w:rFonts w:ascii="Arial" w:cs="Arial" w:eastAsia="Arial" w:hAnsi="Arial"/>
          <w:sz w:val="18"/>
          <w:szCs w:val="18"/>
          <w:color w:val="auto"/>
        </w:rPr>
      </w:pPr>
    </w:p>
    <w:p>
      <w:pPr>
        <w:ind w:right="320" w:firstLine="228"/>
        <w:spacing w:after="0" w:line="268" w:lineRule="auto"/>
        <w:tabs>
          <w:tab w:leader="none" w:pos="5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80"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1.03 Accounting Terms</w:t>
      </w:r>
      <w:r>
        <w:rPr>
          <w:rFonts w:ascii="Arial" w:cs="Arial" w:eastAsia="Arial" w:hAnsi="Arial"/>
          <w:sz w:val="18"/>
          <w:szCs w:val="18"/>
          <w:color w:val="auto"/>
        </w:rPr>
        <w:t>. (a) All accounting terms not specifically or completely defined herein shall be construed in conformity with, and all financial data</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96" w:lineRule="exact"/>
        <w:rPr>
          <w:sz w:val="20"/>
          <w:szCs w:val="20"/>
          <w:color w:val="auto"/>
        </w:rPr>
      </w:pPr>
    </w:p>
    <w:p>
      <w:pPr>
        <w:ind w:right="60" w:firstLine="228"/>
        <w:spacing w:after="0" w:line="314" w:lineRule="auto"/>
        <w:tabs>
          <w:tab w:leader="none" w:pos="51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If at any time any change in GAAP would affect the computation of any financial ratio or requirement set forth in any Credit Document, and either the Company or the Required Credit-Linked Lenders shall so request, the Administrative Agent, the Lenders and the Company shall negotiate in good faith to amend such ratio or requirement to preserve the original intent thereof in light of such change in GAAP (subject to the approval of the Required Credit-Linked Lenders); provided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3" w:lineRule="exact"/>
        <w:rPr>
          <w:sz w:val="20"/>
          <w:szCs w:val="20"/>
          <w:color w:val="auto"/>
        </w:rPr>
      </w:pPr>
    </w:p>
    <w:p>
      <w:pPr>
        <w:ind w:right="320" w:firstLine="220"/>
        <w:spacing w:after="0" w:line="275"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ratio is expressed herein and rounding the result up or down to the nearest number (with a rounding-up if there is no nearest number).</w:t>
      </w:r>
    </w:p>
    <w:p>
      <w:pPr>
        <w:spacing w:after="0" w:line="219" w:lineRule="exact"/>
        <w:rPr>
          <w:sz w:val="20"/>
          <w:szCs w:val="20"/>
          <w:color w:val="auto"/>
        </w:rPr>
      </w:pPr>
    </w:p>
    <w:p>
      <w:pPr>
        <w:jc w:val="both"/>
        <w:ind w:right="160" w:firstLine="220"/>
        <w:spacing w:after="0" w:line="306" w:lineRule="auto"/>
        <w:rPr>
          <w:sz w:val="20"/>
          <w:szCs w:val="20"/>
          <w:color w:val="auto"/>
        </w:rPr>
      </w:pPr>
      <w:r>
        <w:rPr>
          <w:rFonts w:ascii="Arial" w:cs="Arial" w:eastAsia="Arial" w:hAnsi="Arial"/>
          <w:sz w:val="15"/>
          <w:szCs w:val="15"/>
          <w:b w:val="1"/>
          <w:bCs w:val="1"/>
          <w:color w:val="auto"/>
        </w:rPr>
        <w:t>1.05 References to Agreements and Laws</w:t>
      </w:r>
      <w:r>
        <w:rPr>
          <w:rFonts w:ascii="Arial" w:cs="Arial" w:eastAsia="Arial" w:hAnsi="Arial"/>
          <w:sz w:val="15"/>
          <w:szCs w:val="15"/>
          <w:color w:val="auto"/>
        </w:rPr>
        <w:t>. Unless otherwise expressly provided herein, (a) references to agreements (including the Credit Documents)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Credit Document;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 references to any Law shall include all statutory and regulatory provisions consolidating, amending, replacing, supplementing or interpreting such Law.</w:t>
      </w:r>
    </w:p>
    <w:p>
      <w:pPr>
        <w:spacing w:after="0" w:line="236" w:lineRule="exact"/>
        <w:rPr>
          <w:sz w:val="20"/>
          <w:szCs w:val="20"/>
          <w:color w:val="auto"/>
        </w:rPr>
      </w:pPr>
    </w:p>
    <w:p>
      <w:pPr>
        <w:ind w:right="400" w:firstLine="220"/>
        <w:spacing w:after="0" w:line="262" w:lineRule="auto"/>
        <w:rPr>
          <w:sz w:val="20"/>
          <w:szCs w:val="20"/>
          <w:color w:val="auto"/>
        </w:rPr>
      </w:pPr>
      <w:r>
        <w:rPr>
          <w:rFonts w:ascii="Arial" w:cs="Arial" w:eastAsia="Arial" w:hAnsi="Arial"/>
          <w:sz w:val="18"/>
          <w:szCs w:val="18"/>
          <w:b w:val="1"/>
          <w:bCs w:val="1"/>
          <w:color w:val="auto"/>
        </w:rPr>
        <w:t>1.06 Credit Amounts</w:t>
      </w:r>
      <w:r>
        <w:rPr>
          <w:rFonts w:ascii="Arial" w:cs="Arial" w:eastAsia="Arial" w:hAnsi="Arial"/>
          <w:sz w:val="18"/>
          <w:szCs w:val="18"/>
          <w:color w:val="auto"/>
        </w:rPr>
        <w:t>. Unless otherwise specified, all references herein to the amount of a Credit at any time shall be deemed to mean the maximum face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such Credit after giving effect to all increases thereof contemplated by such Credit or the Issuer Documents related thereto, whether or not such maximum face amount is in effect at such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CREDIT-LINKED DEPOSITS AND CREDIT EXTENSIONS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 Credits</w:t>
      </w:r>
      <w:r>
        <w:rPr>
          <w:rFonts w:ascii="Arial" w:cs="Arial" w:eastAsia="Arial" w:hAnsi="Arial"/>
          <w:sz w:val="18"/>
          <w:szCs w:val="18"/>
          <w:color w:val="auto"/>
        </w:rPr>
        <w:t>.</w:t>
      </w:r>
    </w:p>
    <w:p>
      <w:pPr>
        <w:spacing w:after="0" w:line="231" w:lineRule="exact"/>
        <w:rPr>
          <w:sz w:val="20"/>
          <w:szCs w:val="20"/>
          <w:color w:val="auto"/>
        </w:rPr>
      </w:pPr>
    </w:p>
    <w:p>
      <w:pPr>
        <w:ind w:left="520" w:hanging="292"/>
        <w:spacing w:after="0"/>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Credits.</w:t>
      </w:r>
    </w:p>
    <w:p>
      <w:pPr>
        <w:spacing w:after="0" w:line="225" w:lineRule="exact"/>
        <w:rPr>
          <w:rFonts w:ascii="Arial" w:cs="Arial" w:eastAsia="Arial" w:hAnsi="Arial"/>
          <w:sz w:val="18"/>
          <w:szCs w:val="18"/>
          <w:color w:val="auto"/>
        </w:rPr>
      </w:pPr>
    </w:p>
    <w:p>
      <w:pPr>
        <w:ind w:right="20" w:firstLine="447"/>
        <w:spacing w:after="0" w:line="288" w:lineRule="auto"/>
        <w:tabs>
          <w:tab w:leader="none" w:pos="64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 the Issuer agrees, in reliance upon the agreements of the Lenders set forth in this Section 2.01, from time to time on any Business Day during the period from the Closing Date until the Credit Expiration Date, to issue Credits denominated in Dollars for the account of the Company or any Subsidiary, and (B) the Issuer agrees, in reliance upon the agreements of the Lenders set forth in this Section 2.01, (1) to amend, extend, reinstate or renew Credits previously issued by it, in accordance with subsection (b) below, and (2) to honor drawings under the Credits; and (C) the Lenders severally agree to participate in Credits issued or outstanding hereunder for the account of the Company or any Subsidiary as provided in Section 2.01(c), and all reimbursement obligations and rights hereunder in respect thereof and the Issuer Documents with respect thereto and the Issuer hereby grants to the Lenders such participation interests in such Credits and all reimbursement obligations and rights hereunder in respect thereof and such related Issuer Documents; provided that the Company shall not request the issuance of any Credit, the Issuer shall not make any Credit Extension with respect to any Credit, and no Lender shall participate in any Credit, to the extent that, as of the date of such Credit Extension:</w:t>
      </w:r>
    </w:p>
    <w:p>
      <w:pPr>
        <w:spacing w:after="0" w:line="173" w:lineRule="exact"/>
        <w:rPr>
          <w:rFonts w:ascii="Arial" w:cs="Arial" w:eastAsia="Arial" w:hAnsi="Arial"/>
          <w:sz w:val="16"/>
          <w:szCs w:val="16"/>
          <w:color w:val="auto"/>
        </w:rPr>
      </w:pPr>
    </w:p>
    <w:p>
      <w:pPr>
        <w:ind w:left="360" w:right="220" w:firstLine="219"/>
        <w:spacing w:after="0" w:line="268" w:lineRule="auto"/>
        <w:tabs>
          <w:tab w:leader="none" w:pos="86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sum, without duplication, of the applicable Outstanding Amount of all (i) Credits and (ii) Unreimbursed Amounts for which Advances have not yet been made would exceed the Total Credit-Linked Deposit;</w:t>
      </w:r>
    </w:p>
    <w:p>
      <w:pPr>
        <w:spacing w:after="0" w:line="185" w:lineRule="exact"/>
        <w:rPr>
          <w:rFonts w:ascii="Arial" w:cs="Arial" w:eastAsia="Arial" w:hAnsi="Arial"/>
          <w:sz w:val="18"/>
          <w:szCs w:val="18"/>
          <w:color w:val="auto"/>
        </w:rPr>
      </w:pPr>
    </w:p>
    <w:p>
      <w:pPr>
        <w:ind w:left="360" w:right="60" w:firstLine="219"/>
        <w:spacing w:after="0" w:line="268" w:lineRule="auto"/>
        <w:tabs>
          <w:tab w:leader="none" w:pos="85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any Lender’s Pro Rata Share of the sum, without duplication, of the applicable Outstanding Amount of all (i) Credits and (ii) Unreimbursed Amounts for which Advances have not yet been made would exceed such Lender’s Credit-Linked Deposit; or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8" w:name="page199"/>
    <w:bookmarkEnd w:id="198"/>
    <w:p>
      <w:pPr>
        <w:ind w:left="360" w:right="100" w:firstLine="219"/>
        <w:spacing w:after="0" w:line="268" w:lineRule="auto"/>
        <w:tabs>
          <w:tab w:leader="none" w:pos="8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expiry date of any such requested Credit would occur after the Credit Expiration Date (or, in the case of an Auto-Renewal Credit, no Nonrenewal Notice Date would occur on or prior to the Credit Expiration Date);</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provided further that in determining the availability hereunder with respect to any Escalating Credits issued or outstanding hereunder, the Total Credit-Linked Deposit will be deemed to be utilized in respect of such Escalating Credits in the aggregate amount equal to the maximum aggregate amount available to be drawn under all such Escalating Credits (after giving effect to all increases).</w:t>
      </w:r>
    </w:p>
    <w:p>
      <w:pPr>
        <w:spacing w:after="0" w:line="194" w:lineRule="exact"/>
        <w:rPr>
          <w:sz w:val="20"/>
          <w:szCs w:val="20"/>
          <w:color w:val="auto"/>
        </w:rPr>
      </w:pPr>
    </w:p>
    <w:p>
      <w:pPr>
        <w:ind w:right="220" w:firstLine="216"/>
        <w:spacing w:after="0" w:line="290" w:lineRule="auto"/>
        <w:rPr>
          <w:sz w:val="20"/>
          <w:szCs w:val="20"/>
          <w:color w:val="auto"/>
        </w:rPr>
      </w:pPr>
      <w:r>
        <w:rPr>
          <w:rFonts w:ascii="Arial" w:cs="Arial" w:eastAsia="Arial" w:hAnsi="Arial"/>
          <w:sz w:val="16"/>
          <w:szCs w:val="16"/>
          <w:color w:val="auto"/>
        </w:rPr>
        <w:t>Within the foregoing limits (the “Issuance Limits”), and subject to the terms and conditions hereof, the Company’s ability to obtain Credits shall be fully revolving, and accordingly the Company may, during the foregoing period, obtain Credits to replace Credits that have expired, been terminated or cancelled, or that have been drawn upon and reimbursed. All Existing Credits up to the respective amounts specified in Schedule 1.01 shall be deemed to have been issued pursuant hereto, and from and after the Closing Date shall be subject to and governed by the terms and conditions hereof. Notwithstanding anything to the contrary set forth herein, if any portion of the Total Credit-Linked Deposit is utilized to reimburse the Issuer for any amounts drawn under any Credit (as contemplated by Section 2.01(c) hereof) or to make Term Loans (as contemplated by Section 2.03(b) hereof), the Total Credit-Linked Deposit shall be permanently reduced by the corresponding amount utilized to reimburse the Issuer or to make Term Loans and shall not be reinstated.</w:t>
      </w:r>
    </w:p>
    <w:p>
      <w:pPr>
        <w:spacing w:after="0" w:line="172" w:lineRule="exact"/>
        <w:rPr>
          <w:sz w:val="20"/>
          <w:szCs w:val="20"/>
          <w:color w:val="auto"/>
        </w:rPr>
      </w:pPr>
    </w:p>
    <w:p>
      <w:pPr>
        <w:ind w:left="700" w:hanging="253"/>
        <w:spacing w:after="0"/>
        <w:tabs>
          <w:tab w:leader="none" w:pos="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Issuer shall not be under any obligation to issue any Credit if:</w:t>
      </w:r>
    </w:p>
    <w:p>
      <w:pPr>
        <w:spacing w:after="0" w:line="225" w:lineRule="exact"/>
        <w:rPr>
          <w:rFonts w:ascii="Arial" w:cs="Arial" w:eastAsia="Arial" w:hAnsi="Arial"/>
          <w:sz w:val="18"/>
          <w:szCs w:val="18"/>
          <w:color w:val="auto"/>
        </w:rPr>
      </w:pPr>
    </w:p>
    <w:p>
      <w:pPr>
        <w:ind w:left="360" w:right="60" w:firstLine="219"/>
        <w:spacing w:after="0" w:line="291" w:lineRule="auto"/>
        <w:tabs>
          <w:tab w:leader="none" w:pos="86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Issuer from issuing such Credit, or any Law applicable to the Issuer or any request or directive (whether or not having the force of law) from any Governmental Authority with jurisdiction over the Issuer shall prohibit, or request that the Issuer refrain from, the issuance of letters of credit generally or such Credit in particular or shall impose upon the Issuer with respect to such Credit any restriction, reserve or capital requirement (in each case, for which the Issuer is not otherwise compensated hereunder) not in effect on the Closing Date, or shall impose upon the Issuer any unreimbursed loss, cost or expense which was not applicable on the Closing Date and which the Issuer in good faith deems material to it;</w:t>
      </w:r>
    </w:p>
    <w:p>
      <w:pPr>
        <w:spacing w:after="0" w:line="174" w:lineRule="exact"/>
        <w:rPr>
          <w:rFonts w:ascii="Arial" w:cs="Arial" w:eastAsia="Arial" w:hAnsi="Arial"/>
          <w:sz w:val="16"/>
          <w:szCs w:val="16"/>
          <w:color w:val="auto"/>
        </w:rPr>
      </w:pPr>
    </w:p>
    <w:p>
      <w:pPr>
        <w:ind w:left="860" w:hanging="281"/>
        <w:spacing w:after="0"/>
        <w:tabs>
          <w:tab w:leader="none" w:pos="8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Administrative Agent or the Issuer reasonably determines that such Credit is not a Permitted Credit;</w:t>
      </w:r>
    </w:p>
    <w:p>
      <w:pPr>
        <w:spacing w:after="0" w:line="225" w:lineRule="exact"/>
        <w:rPr>
          <w:rFonts w:ascii="Arial" w:cs="Arial" w:eastAsia="Arial" w:hAnsi="Arial"/>
          <w:sz w:val="18"/>
          <w:szCs w:val="18"/>
          <w:color w:val="auto"/>
        </w:rPr>
      </w:pPr>
    </w:p>
    <w:p>
      <w:pPr>
        <w:ind w:left="860" w:hanging="281"/>
        <w:spacing w:after="0"/>
        <w:tabs>
          <w:tab w:leader="none" w:pos="8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issuance of such Credit would violate any Laws or any policies of the Issuer; or</w:t>
      </w:r>
    </w:p>
    <w:p>
      <w:pPr>
        <w:spacing w:after="0" w:line="225" w:lineRule="exact"/>
        <w:rPr>
          <w:rFonts w:ascii="Arial" w:cs="Arial" w:eastAsia="Arial" w:hAnsi="Arial"/>
          <w:sz w:val="18"/>
          <w:szCs w:val="18"/>
          <w:color w:val="auto"/>
        </w:rPr>
      </w:pPr>
    </w:p>
    <w:p>
      <w:pPr>
        <w:ind w:left="360" w:right="120" w:firstLine="219"/>
        <w:spacing w:after="0" w:line="268" w:lineRule="auto"/>
        <w:tabs>
          <w:tab w:leader="none" w:pos="86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Issuer, such Credit is in a face amount less than $1,000,000, or is to be denominated in a currency other than Dollars.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99" w:name="page200"/>
    <w:bookmarkEnd w:id="199"/>
    <w:p>
      <w:pPr>
        <w:ind w:right="400" w:firstLine="447"/>
        <w:spacing w:after="0" w:line="332" w:lineRule="auto"/>
        <w:tabs>
          <w:tab w:leader="none" w:pos="74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Issuer shall not be under any obligation to amend any Credit if (A) the Issuer would have no obligation at such time to issue such Credit in its amended form under the terms hereof, or (B) the beneficiary of such Credit does not accept the proposed amendment to such Credit.</w:t>
      </w:r>
    </w:p>
    <w:p>
      <w:pPr>
        <w:spacing w:after="0" w:line="139" w:lineRule="exact"/>
        <w:rPr>
          <w:rFonts w:ascii="Arial" w:cs="Arial" w:eastAsia="Arial" w:hAnsi="Arial"/>
          <w:sz w:val="16"/>
          <w:szCs w:val="16"/>
          <w:color w:val="auto"/>
        </w:rPr>
      </w:pPr>
    </w:p>
    <w:p>
      <w:pPr>
        <w:ind w:right="120" w:firstLine="447"/>
        <w:spacing w:after="0" w:line="259" w:lineRule="auto"/>
        <w:tabs>
          <w:tab w:leader="none" w:pos="73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Issuer shall not issue or amend any Credit if the Issuer has received written notice from any Lender, the Administrative Agent or any Credit Party, on or prior to the Business Day prior to the requested date of issuance or amendment of such Credit, that one or more applicable conditions contained in Article IV shall not then be satisfied.</w:t>
      </w:r>
    </w:p>
    <w:p>
      <w:pPr>
        <w:spacing w:after="0" w:line="194" w:lineRule="exact"/>
        <w:rPr>
          <w:rFonts w:ascii="Arial" w:cs="Arial" w:eastAsia="Arial" w:hAnsi="Arial"/>
          <w:sz w:val="18"/>
          <w:szCs w:val="18"/>
          <w:color w:val="auto"/>
        </w:rPr>
      </w:pPr>
    </w:p>
    <w:p>
      <w:pPr>
        <w:ind w:left="520" w:hanging="292"/>
        <w:spacing w:after="0"/>
        <w:tabs>
          <w:tab w:leader="none" w:pos="5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Procedures for Issuance and Amendment of Credits; Auto-Renewal Credits.</w:t>
      </w:r>
    </w:p>
    <w:p>
      <w:pPr>
        <w:spacing w:after="0" w:line="225" w:lineRule="exact"/>
        <w:rPr>
          <w:rFonts w:ascii="Arial" w:cs="Arial" w:eastAsia="Arial" w:hAnsi="Arial"/>
          <w:sz w:val="18"/>
          <w:szCs w:val="18"/>
          <w:color w:val="auto"/>
        </w:rPr>
      </w:pPr>
    </w:p>
    <w:p>
      <w:pPr>
        <w:ind w:firstLine="447"/>
        <w:spacing w:after="0" w:line="284" w:lineRule="auto"/>
        <w:tabs>
          <w:tab w:leader="none" w:pos="64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Each Credit shall be issued or amended, as the case may be, upon the request of the Company delivered to the Issuer (with a copy concurrently delivered to the Administrative Agent) in the form of a Request for Credit Extension, appropriately completed and signed by a Responsible Officer or Authorized Representative of the Company. Any such Request for Credit Extension must be received by the Issuer and the Administrative Agent not later than 1:00 p.m., Dallas time, at least five Business Days prior to the proposed issuance date or date of amendment, as the case may be; or such other date or time as the Issuer and the Administrative Agent may agree in a particular instance in their sole discretion. In the case of a request for an initial issuance of a Credit, such request shall be in the form of a Request for Credit Extension and shall specify in form and detail satisfactory to the Issuer and the Administrative Agent: (A) the proposed issuance date of the requested Credit (which shall be a Business Day); (B) the face amount thereof; (C) the expiry date thereof; (D) the purpose and nature of the Credit; (E) the Person whose obligations are supported thereby (in the case of a Credit supporting the obligations of a Subsidiary); (F) the name and address of the beneficiary thereof; (G) any required text to be contained in the Credit; (H) the delivery instructions with respect to the Credit; and (J) whether such Credit will be an Escalating Credit, and if so, the maximum face amount of such Credit after giving effect to all increases. In the case of a request for an amendment of any outstanding Credit, such request shall be in the form of a Request for Credit Extension and shall specify in form and detail satisfactory to the Issuer and the Administrative Agent: (1) the Credit to be amended; (2) the proposed date of amendment thereof (which shall be a Business Day); (3) the nature of the proposed amendment; and (4) delivery instructions with respect to the amendment. Additionally, the Company shall furnish to the Issuer and the Administrative Agent such other documents and information pertaining to such requested Credit issuance or amendment, including any Issuer Documents as the Issuer or the Administrative Agent may reasonably require. Without limiting the generality of the foregoing, the delivery of a Request for Credit Extension is additional to, and not in replacement or substitution of, any other Issuer Document that the Issuer may require. Upon the effectiveness of any issuance or amendment of a Credit that will constitute a Credit hereunder, the Administrative Agent and the Lenders shall be entitled to assume that the Issuer has obtained such Issuer Documents as it shall have requested, executed by the relevant parties thereto to the extent required hereby.</w:t>
      </w:r>
    </w:p>
    <w:p>
      <w:pPr>
        <w:spacing w:after="0" w:line="186" w:lineRule="exact"/>
        <w:rPr>
          <w:rFonts w:ascii="Arial" w:cs="Arial" w:eastAsia="Arial" w:hAnsi="Arial"/>
          <w:sz w:val="16"/>
          <w:szCs w:val="16"/>
          <w:color w:val="auto"/>
        </w:rPr>
      </w:pPr>
    </w:p>
    <w:p>
      <w:pPr>
        <w:ind w:right="420" w:firstLine="447"/>
        <w:spacing w:after="0" w:line="268" w:lineRule="auto"/>
        <w:tabs>
          <w:tab w:leader="none" w:pos="69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Promptly after receipt of any Request for Credit Extension by the Issuer, the Issuer will confirm with the Administrative Agent (by telephone or in writing) that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0" w:name="page201"/>
    <w:bookmarkEnd w:id="200"/>
    <w:p>
      <w:pPr>
        <w:ind w:right="200"/>
        <w:spacing w:after="0" w:line="255" w:lineRule="auto"/>
        <w:rPr>
          <w:sz w:val="20"/>
          <w:szCs w:val="20"/>
          <w:color w:val="auto"/>
        </w:rPr>
      </w:pPr>
      <w:r>
        <w:rPr>
          <w:rFonts w:ascii="Arial" w:cs="Arial" w:eastAsia="Arial" w:hAnsi="Arial"/>
          <w:sz w:val="18"/>
          <w:szCs w:val="18"/>
          <w:color w:val="auto"/>
        </w:rPr>
        <w:t>Administrative Agent has received a copy of such Request for Credit Extension from the Company and, if not, the Issuer will provide the Administrative Agent with a copy thereof. Upon receipt by the Issuer and the Company of confirmation from the Administrative Agent that the requested issuance or amendment is permitted in accordance with the terms hereof, then, subject to the terms and conditions hereof, the Issuer shall, on the requested date, issue a Credit for the account of the Company or the applicable Subsidiary, or enter into the applicable amendment, as the case may be, in each case in accordance with the Issuer’s usual and customary business practices.</w:t>
      </w:r>
    </w:p>
    <w:p>
      <w:pPr>
        <w:spacing w:after="0" w:line="197" w:lineRule="exact"/>
        <w:rPr>
          <w:sz w:val="20"/>
          <w:szCs w:val="20"/>
          <w:color w:val="auto"/>
        </w:rPr>
      </w:pPr>
    </w:p>
    <w:p>
      <w:pPr>
        <w:ind w:firstLine="447"/>
        <w:spacing w:after="0" w:line="285" w:lineRule="auto"/>
        <w:tabs>
          <w:tab w:leader="none" w:pos="7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Company so requests in any applicable Request for Credit Extension, the Issuer agrees, subject to the terms and conditions hereof, to issue a Credit that has automatic renewal provisions (each, an “Auto-Renewal Credit”); provided that any such Auto-Renewal Credit must permit the Issuer to prevent any such renewal at least once during the term thereof (commencing with the date of issuance of such Credit) by giving prior notice to the beneficiary thereof not later than a specified date to be agreed upon at the time such Credit is issued, which shall occur and be effective prior to the Credit Expiration Date (the “Nonrenewal Notice Date”). Unless otherwise directed by the Issuer, the Company shall not be required to make a specific request to the Issuer for any renewal of an Auto-Renewal Credit, but the Issuer shall be required to provide prior notice to the Administrative Agent of any pending renewal of an Auto-Renewal Credit at least ten Business Days before the applicable Nonrenewal Notice Date. Once an Auto-Renewal Credit has been issued (or is permitted to be outstanding hereunder in the case of an Existing Credit that is an Auto-Renewal Credit), the Lenders shall be deemed to have authorized (but may not require) the Issuer to permit the renewal of such Credit at any time to a date not later than the Credit Expiration Date; provided, however, that the Issuer shall not permit any renewal of an Auto-Renewal Credit if (A) the Issuer has determined that it would have no obligation at such time to issue such Credit in its renewed form under the terms hereof (by reason of the provisions of Section 2.01(a)(ii), Section 4.02 or otherwise), (B) after giving effect to any such renewal, the earlier of the (x) expiry date of such Auto-Renewal Credit and (y) next occurring Nonrenewal Notice Date of such Auto-Renewal Credit would occur after the Credit Expiration Date, or (C) it has received notice (which may be by telephone or in writing) on or before the day that is two Business Days before the Nonrenewal Notice Date from the Administrative Agent, any Lender or the Company that one or more of the applicable conditions specified in Section 2.01(a)(ii) or 4.02 is not then satisfied.</w:t>
      </w:r>
    </w:p>
    <w:p>
      <w:pPr>
        <w:spacing w:after="0" w:line="182" w:lineRule="exact"/>
        <w:rPr>
          <w:rFonts w:ascii="Arial" w:cs="Arial" w:eastAsia="Arial" w:hAnsi="Arial"/>
          <w:sz w:val="16"/>
          <w:szCs w:val="16"/>
          <w:color w:val="auto"/>
        </w:rPr>
      </w:pPr>
    </w:p>
    <w:p>
      <w:pPr>
        <w:ind w:right="100" w:firstLine="447"/>
        <w:spacing w:after="0" w:line="290" w:lineRule="auto"/>
        <w:tabs>
          <w:tab w:leader="none" w:pos="7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Issuer shall issue any Credit or amend any Credit (if the effect thereof is to increase the face amount), without obtaining prior consent from the Administrative Agent (as provided in clause (ii) above), or if the Issuer shall permit the extension or renewal of an Auto-Renewal Credit without giving timely prior notice to the Administrative Agent or when such extension or renewal is not permitted hereunder (as provided in clause (iii) above), or if the Issuer shall permit the reinstatement of an Auto-Reinstating Credit when such reinstatement is not permitted hereunder (as provided in clause (vi) below), such Credit (in the case of any such amendment, to the extent of the increased face amount thereof, and in the case of any reinstatement, to the extent of the reinstated amount thereof) (A) shall for all purposes be deemed to have been issued by the Issuer solely for its own account and risk, and (B) shall not be considered a Credit outstanding under this Agreement, and no Lender shall be deemed to have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1" w:name="page202"/>
    <w:bookmarkEnd w:id="201"/>
    <w:p>
      <w:pPr>
        <w:ind w:right="460"/>
        <w:spacing w:after="0" w:line="268" w:lineRule="auto"/>
        <w:rPr>
          <w:sz w:val="20"/>
          <w:szCs w:val="20"/>
          <w:color w:val="auto"/>
        </w:rPr>
      </w:pPr>
      <w:r>
        <w:rPr>
          <w:rFonts w:ascii="Arial" w:cs="Arial" w:eastAsia="Arial" w:hAnsi="Arial"/>
          <w:sz w:val="18"/>
          <w:szCs w:val="18"/>
          <w:color w:val="auto"/>
        </w:rPr>
        <w:t>any participation therein, effective as of the date of such issuance, amendment, reinstatement, extension or renewal, as the case may be, unless the Required Lenders expressly consent thereto.</w:t>
      </w:r>
    </w:p>
    <w:p>
      <w:pPr>
        <w:spacing w:after="0" w:line="186" w:lineRule="exact"/>
        <w:rPr>
          <w:sz w:val="20"/>
          <w:szCs w:val="20"/>
          <w:color w:val="auto"/>
        </w:rPr>
      </w:pPr>
    </w:p>
    <w:p>
      <w:pPr>
        <w:ind w:right="160" w:firstLine="447"/>
        <w:spacing w:after="0" w:line="268" w:lineRule="auto"/>
        <w:tabs>
          <w:tab w:leader="none" w:pos="68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Promptly after its delivery of any Credit or any amendment to a Credit to an advising bank with respect thereto or to the beneficiary thereof, the Issuer will also deliver to the Company and the Administrative Agent a true and complete copy of such Credit or amendment.</w:t>
      </w:r>
    </w:p>
    <w:p>
      <w:pPr>
        <w:spacing w:after="0" w:line="185" w:lineRule="exact"/>
        <w:rPr>
          <w:rFonts w:ascii="Arial" w:cs="Arial" w:eastAsia="Arial" w:hAnsi="Arial"/>
          <w:sz w:val="18"/>
          <w:szCs w:val="18"/>
          <w:color w:val="auto"/>
        </w:rPr>
      </w:pPr>
    </w:p>
    <w:p>
      <w:pPr>
        <w:ind w:right="60" w:firstLine="447"/>
        <w:spacing w:after="0" w:line="255" w:lineRule="auto"/>
        <w:tabs>
          <w:tab w:leader="none" w:pos="73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If any Credit contains provisions providing for automatic reinstatement of the stated amount after any drawing thereunder, the Administrative Agent and the Lenders hereby authorize and direct the Issuer to permit such automatic reinstatement, whether or not a Default or Event of Default then exists, unless the Issuer has received a notice (which may be by telephone or in writing) on or before the day that is two Business Days before the reinstatement date from the Administrative Agent or the Required Lenders that one or more applicable conditions specified in Sections 2.01(a)(ii) or 4.02 is not then satisfied and directing it to cease permitting such automatic reinstatements.</w:t>
      </w:r>
    </w:p>
    <w:p>
      <w:pPr>
        <w:spacing w:after="0" w:line="196" w:lineRule="exact"/>
        <w:rPr>
          <w:rFonts w:ascii="Arial" w:cs="Arial" w:eastAsia="Arial" w:hAnsi="Arial"/>
          <w:sz w:val="18"/>
          <w:szCs w:val="18"/>
          <w:color w:val="auto"/>
        </w:rPr>
      </w:pPr>
    </w:p>
    <w:p>
      <w:pPr>
        <w:ind w:left="520" w:hanging="292"/>
        <w:spacing w:after="0"/>
        <w:tabs>
          <w:tab w:leader="none" w:pos="5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Drawings and Reimbursements; Credit-Linked Deposits.</w:t>
      </w:r>
    </w:p>
    <w:p>
      <w:pPr>
        <w:spacing w:after="0" w:line="225" w:lineRule="exact"/>
        <w:rPr>
          <w:rFonts w:ascii="Arial" w:cs="Arial" w:eastAsia="Arial" w:hAnsi="Arial"/>
          <w:sz w:val="18"/>
          <w:szCs w:val="18"/>
          <w:color w:val="auto"/>
        </w:rPr>
      </w:pPr>
    </w:p>
    <w:p>
      <w:pPr>
        <w:ind w:right="20" w:firstLine="447"/>
        <w:spacing w:after="0" w:line="286" w:lineRule="auto"/>
        <w:tabs>
          <w:tab w:leader="none" w:pos="64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Upon receipt from the beneficiary of any Credit of any notice of a drawing under such Credit, the Issuer of such Credit shall promptly notify the Company thereof. If the Company obtains written notice (confirmed by telephone) from the Issuer of a drawing under a Credit prior to 1:00 p.m., Dallas time, on any Business Day, the Company shall reimburse the Issuer on such Business Day. If the Company obtains written notice (confirmed by telephone) from the Issuer of a drawing under a Credit at or after 1:00 p.m., Dallas time, on any Business Day, the Company shall reimburse the Issuer on the Business Day immediately following the Business Day upon which such notice was received by the Company. Such reimbursement shall be made directly to the Issuer in an amount equal to the unreimbursed drawing (the “Unreimbursed Amount”). Without affecting the Company’s obligations to so reimburse the Issuer on any such Business Day, which shall be absolute and unconditional, if the Company fails to so reimburse the Issuer by such time referenced above on the applicable due date for reimbursement specified above (the “Reimbursement Date”), the Issuer shall so notify the Administrative Agent (with a copy to the Company), which notice shall be provided on a Business Day, and specify in such notice the amount of the Unreimbursed Amount. Immediately upon receipt of such notice from the Issuer, the Administrative Agent shall promptly notify each Lender of the Reimbursement Date, the Unreimbursed Amount, the amount of such Lender’s Pro Rata Share thereof, and shall state that Advances will be funded by application of such Lender’s Pro Rata Share of the Credit-Linked Deposits in the Credit-Linked Deposit Account on the sixth Business Day after such Reimbursement Date to the extent the Unreimbursed Amount (or any portion thereof) remains outstanding on such day.</w:t>
      </w:r>
    </w:p>
    <w:p>
      <w:pPr>
        <w:spacing w:after="0" w:line="174" w:lineRule="exact"/>
        <w:rPr>
          <w:rFonts w:ascii="Arial" w:cs="Arial" w:eastAsia="Arial" w:hAnsi="Arial"/>
          <w:sz w:val="16"/>
          <w:szCs w:val="16"/>
          <w:color w:val="auto"/>
        </w:rPr>
      </w:pPr>
    </w:p>
    <w:p>
      <w:pPr>
        <w:ind w:right="20" w:firstLine="447"/>
        <w:spacing w:after="0" w:line="256" w:lineRule="auto"/>
        <w:tabs>
          <w:tab w:leader="none" w:pos="69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Issuer hereby irrevocably grants to each Lender, and each Lender hereby irrevocably accepts and purchases from the Issuer on the terms and conditions hereinafter stated, for such Lender’s own account and risk an undivided interest equal to its Pro Rata Share in the Issuer’s obligations and rights with respect to the Credits issued pursuant to this Agreement (as to each Lender, its “Participation”), which purchase price when paid to the Administrative Agent shall not be a deposit obligation of the Administrative Agent or Bank of</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2" w:name="page203"/>
    <w:bookmarkEnd w:id="202"/>
    <w:p>
      <w:pPr>
        <w:ind w:right="80"/>
        <w:spacing w:after="0" w:line="283" w:lineRule="auto"/>
        <w:rPr>
          <w:sz w:val="20"/>
          <w:szCs w:val="20"/>
          <w:color w:val="auto"/>
        </w:rPr>
      </w:pPr>
      <w:r>
        <w:rPr>
          <w:rFonts w:ascii="Arial" w:cs="Arial" w:eastAsia="Arial" w:hAnsi="Arial"/>
          <w:sz w:val="16"/>
          <w:szCs w:val="16"/>
          <w:color w:val="auto"/>
        </w:rPr>
        <w:t>America. The consideration for the Participation of each Lender shall consist of the payment by such Lender to the Administrative Agent of an amount equal to the Dollar amount set forth opposite such Lender’s name in Schedule 2.01 under the heading “Credit-Linked Deposit” (as the same may be reduced from time to time in accordance with this Agreement, such Lender’s “Credit-Linked Deposit”), subject to the conditions precedent set forth in Section 4.01 hereof. Each Lender shall pay to the Administrative Agent its Credit-Linked Deposit in full on the Closing Date. The Credit-Linked Deposits of all Lenders shall be held by, and in the name of, the Administrative Agent in the Credit-Linked Deposit Account under the sole dominion and control of the Administrative Agent. Each Lender unconditionally and irrevocably agrees with the Administrative Agent and the Issuer that, if a drawing is paid under any Credit for which the Issuer is not reimbursed in full by the Company in cash within five Business Days after the applicable Reimbursement Date or converted into a Term Loan under</w:t>
      </w:r>
    </w:p>
    <w:p>
      <w:pPr>
        <w:ind w:right="60"/>
        <w:spacing w:after="0" w:line="300" w:lineRule="auto"/>
        <w:rPr>
          <w:sz w:val="20"/>
          <w:szCs w:val="20"/>
          <w:color w:val="auto"/>
        </w:rPr>
      </w:pPr>
      <w:r>
        <w:rPr>
          <w:rFonts w:ascii="Arial" w:cs="Arial" w:eastAsia="Arial" w:hAnsi="Arial"/>
          <w:sz w:val="15"/>
          <w:szCs w:val="15"/>
          <w:color w:val="auto"/>
        </w:rPr>
        <w:t>Section 2.03(b), such Lender hereby authorizes the Administrative Agent to reimburse to the Issuer the Unreimbursed Amount (or the outstanding portion thereof) related to such drawing on or after the sixth Business Day after such Reimbursement Date, to the extent of such Lender’s Pro Rata Share of the Unreimbursed Amount, solely from such Lender’s Pro Rata Share of the Credit-Linked Deposits in the Credit-Linked Deposit Account, and each Lender hereby irrevocably authorizes the Administrative Agent to charge the Credit-Linked Deposit Account for such purpose, in satisfaction of such Lender’s reimbursement obligation arising with respect to such drawing hereunder. Without limiting the generality of Section 9.01, in charging the Credit-Linked Deposit Account or otherwise exercising any rights of set-off with respect thereto, the Administrative Agent acts as the agent of the Issuer. The amount of each Lender’s Pro Rata Share of such Unreimbursed Amount (or portion thereof) which is paid the Issuer as set forth above shall be deemed to be an Advance by such Lender to the Company hereunder. The outstanding principal amount of each Advance, together with interest thereon as provided in Section 2.04, shall be due and payable, in Dollars, on demand. Each Lender shall be subrogated to the rights and remedies of the Issuer against the Company and any Subsidiary liable under such Credit to the extent such Lender has reimbursed the Issuer as set forth in this Section 2.01(c)(ii). The Issuer shall reasonably cooperate in exercising and enforcing such rights and remedies as may be requested by the Required Lenders (and such cooperation shall be subject to any applicable indemnification set forth in</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Section 9.07 or Section 10.05 of this Agreement). The Issuer shall have no right to withdraw or set-off against monies on deposit in the Credit-Linked Deposit Account other than as set forth in this Section 2.01(c)(ii).</w:t>
      </w:r>
    </w:p>
    <w:p>
      <w:pPr>
        <w:spacing w:after="0" w:line="192" w:lineRule="exact"/>
        <w:rPr>
          <w:sz w:val="20"/>
          <w:szCs w:val="20"/>
          <w:color w:val="auto"/>
        </w:rPr>
      </w:pPr>
    </w:p>
    <w:p>
      <w:pPr>
        <w:ind w:right="20" w:firstLine="447"/>
        <w:spacing w:after="0" w:line="256" w:lineRule="auto"/>
        <w:tabs>
          <w:tab w:leader="none" w:pos="74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Credit-Linked Deposits shall be held by the Administrative Agent in its name in the Credit-Linked Deposit Account and no Person other than the Administrative Agent shall have a right of withdrawal from the Credit-Linked Deposit Account nor any other right or power with respect to the Credit-Linked Deposits or the Credit-Linked Deposit Account. Notwithstanding anything in this Agreement to the contrary, the sole funding obligation of each Lender in respect of its Participation shall be satisfied upon funding of its Credit-Linked Deposit.</w:t>
      </w:r>
    </w:p>
    <w:p>
      <w:pPr>
        <w:spacing w:after="0" w:line="197" w:lineRule="exact"/>
        <w:rPr>
          <w:rFonts w:ascii="Arial" w:cs="Arial" w:eastAsia="Arial" w:hAnsi="Arial"/>
          <w:sz w:val="18"/>
          <w:szCs w:val="18"/>
          <w:color w:val="auto"/>
        </w:rPr>
      </w:pPr>
    </w:p>
    <w:p>
      <w:pPr>
        <w:ind w:right="120" w:firstLine="447"/>
        <w:spacing w:after="0" w:line="259" w:lineRule="auto"/>
        <w:tabs>
          <w:tab w:leader="none" w:pos="73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Until an Advance is funded pursuant to this Section 2.01(c) to reimburse the Issuer for the Unreimbursed Amount in respect of any Credit, or such Unreimbursed Amount is converted to a Term Loan pursuant to Section 2.03, interest in respect of each Lender’s Pro Rata Share of the Borrowing in the amount of such Unreimbursed Amount shall be solely for the account of the Issuer.</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3" w:name="page204"/>
    <w:bookmarkEnd w:id="203"/>
    <w:p>
      <w:pPr>
        <w:ind w:right="120" w:firstLine="447"/>
        <w:spacing w:after="0" w:line="294" w:lineRule="auto"/>
        <w:tabs>
          <w:tab w:leader="none" w:pos="68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Except as expressly provided herein, each Lender’s agreement to fund Advances, by application of such Lender’s Pro Rata Share of the Credit-Linked Deposits, to reimburse the Issuer for amounts drawn under Credits issued by the Issuer, as contemplated by this Section 2.01(c), shall be absolute and unconditional and shall not be affected by any circumstance, including (A) any set-off, counterclaim, recoupment, defense or other right which such Lender may have against the Issuer, the Company, any Subsidiary or any other Person for any reason whatsoever, (B) the occurrence or continuance of a Default or Event of Default, or (C) any other occurrence, event or condition, whether or not similar to any of the foregoing.</w:t>
      </w:r>
    </w:p>
    <w:p>
      <w:pPr>
        <w:spacing w:after="0" w:line="169" w:lineRule="exact"/>
        <w:rPr>
          <w:rFonts w:ascii="Arial" w:cs="Arial" w:eastAsia="Arial" w:hAnsi="Arial"/>
          <w:sz w:val="16"/>
          <w:szCs w:val="16"/>
          <w:color w:val="auto"/>
        </w:rPr>
      </w:pPr>
    </w:p>
    <w:p>
      <w:pPr>
        <w:ind w:right="500" w:firstLine="447"/>
        <w:spacing w:after="0" w:line="268" w:lineRule="auto"/>
        <w:tabs>
          <w:tab w:leader="none" w:pos="73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Notwithstanding that a Credit issued or outstanding hereunder is in support of any obligations of a Subsidiary, the Company shall be obligated to reimburse the Issuer hereunder for the full amount of any and all drawings under such Credit.</w:t>
      </w:r>
    </w:p>
    <w:p>
      <w:pPr>
        <w:spacing w:after="0" w:line="185" w:lineRule="exact"/>
        <w:rPr>
          <w:rFonts w:ascii="Arial" w:cs="Arial" w:eastAsia="Arial" w:hAnsi="Arial"/>
          <w:sz w:val="18"/>
          <w:szCs w:val="18"/>
          <w:color w:val="auto"/>
        </w:rPr>
      </w:pPr>
    </w:p>
    <w:p>
      <w:pPr>
        <w:ind w:right="80" w:firstLine="447"/>
        <w:spacing w:after="0" w:line="306" w:lineRule="auto"/>
        <w:tabs>
          <w:tab w:leader="none" w:pos="785"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 the event of any voluntary payment or prepayment (other than through the making of a Term Loan as provided for in Section 2.03(b)) of an Advance at any time prior to the second anniversary of the Closing Date, the Company shall pay on the date of such prepayment to the Administrative Agent, for the account of the Lenders in accordance with their Pro Rata Shares, a premium in an amount equal to three percent (3.00%) of the amount so prepaid.</w:t>
      </w:r>
    </w:p>
    <w:p>
      <w:pPr>
        <w:spacing w:after="0" w:line="160" w:lineRule="exact"/>
        <w:rPr>
          <w:rFonts w:ascii="Arial" w:cs="Arial" w:eastAsia="Arial" w:hAnsi="Arial"/>
          <w:sz w:val="16"/>
          <w:szCs w:val="16"/>
          <w:color w:val="auto"/>
        </w:rPr>
      </w:pPr>
    </w:p>
    <w:p>
      <w:pPr>
        <w:ind w:left="520" w:hanging="292"/>
        <w:spacing w:after="0"/>
        <w:tabs>
          <w:tab w:leader="none" w:pos="5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Repayment of Participations.</w:t>
      </w:r>
    </w:p>
    <w:p>
      <w:pPr>
        <w:spacing w:after="0" w:line="225" w:lineRule="exact"/>
        <w:rPr>
          <w:rFonts w:ascii="Arial" w:cs="Arial" w:eastAsia="Arial" w:hAnsi="Arial"/>
          <w:sz w:val="18"/>
          <w:szCs w:val="18"/>
          <w:color w:val="auto"/>
        </w:rPr>
      </w:pPr>
    </w:p>
    <w:p>
      <w:pPr>
        <w:ind w:right="40" w:firstLine="447"/>
        <w:spacing w:after="0" w:line="287" w:lineRule="auto"/>
        <w:tabs>
          <w:tab w:leader="none" w:pos="63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At any time after the Issuer has made a payment under any Credit and has received from the Credit-Linked Deposit the proceeds of Advances by the Lenders in respect of such payment in accordance with Section 2.01(c), if the Administrative Agent receives for the account of the Issuer any payment in respect of the related Unreimbursed Amount or interest thereon (whether directly from the Company or otherwise, including proceeds of Cash Collateral applied thereto by the Administrative Agent), the Administrative Agent will distribute to each Lender its Pro Rata Share thereof (appropriately adjusted, in the case of interest payments, to reflect the period of time during which such Lender’s Advance was outstanding) in Dollars and in the same funds as those received by the Administrative Agent. If a Borrowing has occurred hereunder, the Company shall repay the Unreimbursed Amount and interest thereon as provided in Sections 2.01(c) and 2.04 and shall pay any prepayment premium required to be paid pursuant to Section 2.01(c)(vii). Notwithstanding the foregoing, if the Issuer shall have received from the Credit-Linked Deposit the proceeds of Advances by the Lenders and thereafter shall receive any direct payment from the Company in respect of a Borrowing, the Issuer shall immediately pay the amount received to the Administrative Agent for distribution to the Lenders in accordance with this Section 2.01(d).</w:t>
      </w:r>
    </w:p>
    <w:p>
      <w:pPr>
        <w:spacing w:after="0" w:line="176" w:lineRule="exact"/>
        <w:rPr>
          <w:rFonts w:ascii="Arial" w:cs="Arial" w:eastAsia="Arial" w:hAnsi="Arial"/>
          <w:sz w:val="16"/>
          <w:szCs w:val="16"/>
          <w:color w:val="auto"/>
        </w:rPr>
      </w:pPr>
    </w:p>
    <w:p>
      <w:pPr>
        <w:ind w:right="80" w:firstLine="447"/>
        <w:spacing w:after="0" w:line="298" w:lineRule="auto"/>
        <w:tabs>
          <w:tab w:leader="none" w:pos="69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any payment received by the Administrative Agent for the account of the Issuer pursuant to Section 2.01(d)(i) and distributed to the Lenders by the Administrative Agent is required to be returned under any of the circumstances described in Section 10.06, each Lender shall pay to the Administrative Agent for the account of the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4" w:name="page205"/>
    <w:bookmarkEnd w:id="204"/>
    <w:p>
      <w:pPr>
        <w:ind w:right="240" w:firstLine="228"/>
        <w:spacing w:after="0" w:line="259" w:lineRule="auto"/>
        <w:tabs>
          <w:tab w:leader="none" w:pos="50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Obligations Absolute. The obligation of the Company to reimburse the Issuer for each drawing under each Credit and to repay each Borrowing, shall be absolute, unconditional and irrevocable, and shall be paid strictly in accordance with the terms of this Agreement under all circumstances, including the following:</w:t>
      </w:r>
    </w:p>
    <w:p>
      <w:pPr>
        <w:spacing w:after="0" w:line="194" w:lineRule="exact"/>
        <w:rPr>
          <w:rFonts w:ascii="Arial" w:cs="Arial" w:eastAsia="Arial" w:hAnsi="Arial"/>
          <w:sz w:val="18"/>
          <w:szCs w:val="18"/>
          <w:color w:val="auto"/>
        </w:rPr>
      </w:pPr>
    </w:p>
    <w:p>
      <w:pPr>
        <w:ind w:left="660" w:hanging="213"/>
        <w:spacing w:after="0"/>
        <w:tabs>
          <w:tab w:leader="none" w:pos="6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lack of validity or enforceability of such Credit, this Agreement, or any other Credit Document;</w:t>
      </w:r>
    </w:p>
    <w:p>
      <w:pPr>
        <w:spacing w:after="0" w:line="225" w:lineRule="exact"/>
        <w:rPr>
          <w:rFonts w:ascii="Arial" w:cs="Arial" w:eastAsia="Arial" w:hAnsi="Arial"/>
          <w:sz w:val="18"/>
          <w:szCs w:val="18"/>
          <w:color w:val="auto"/>
        </w:rPr>
      </w:pPr>
    </w:p>
    <w:p>
      <w:pPr>
        <w:ind w:right="160" w:firstLine="447"/>
        <w:spacing w:after="0" w:line="256" w:lineRule="auto"/>
        <w:tabs>
          <w:tab w:leader="none" w:pos="69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Credit (or any Person for whom any such beneficiary or any such transferee may be acting), the Issuer or any other Person, whether in connection with this Agreement, the transactions contemplated hereby or by such Credit or any agreement or instrument relating thereto, or any unrelated transaction;</w:t>
      </w:r>
    </w:p>
    <w:p>
      <w:pPr>
        <w:spacing w:after="0" w:line="197" w:lineRule="exact"/>
        <w:rPr>
          <w:rFonts w:ascii="Arial" w:cs="Arial" w:eastAsia="Arial" w:hAnsi="Arial"/>
          <w:sz w:val="18"/>
          <w:szCs w:val="18"/>
          <w:color w:val="auto"/>
        </w:rPr>
      </w:pPr>
    </w:p>
    <w:p>
      <w:pPr>
        <w:ind w:right="80" w:firstLine="447"/>
        <w:spacing w:after="0" w:line="259" w:lineRule="auto"/>
        <w:tabs>
          <w:tab w:leader="none" w:pos="74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Credit proving to be forged, fraudulent, invalid or insufficient in any respect or any statement therein being untrue or inaccurate in any respect; or any loss or delay in the transmission or otherwise of any document required in order to make a drawing under such Credit;</w:t>
      </w:r>
    </w:p>
    <w:p>
      <w:pPr>
        <w:spacing w:after="0" w:line="194" w:lineRule="exact"/>
        <w:rPr>
          <w:rFonts w:ascii="Arial" w:cs="Arial" w:eastAsia="Arial" w:hAnsi="Arial"/>
          <w:sz w:val="18"/>
          <w:szCs w:val="18"/>
          <w:color w:val="auto"/>
        </w:rPr>
      </w:pPr>
    </w:p>
    <w:p>
      <w:pPr>
        <w:ind w:right="100" w:firstLine="447"/>
        <w:spacing w:after="0" w:line="256" w:lineRule="auto"/>
        <w:tabs>
          <w:tab w:leader="none" w:pos="73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payment by the Issuer under such Credit against presentation of a draft or certificate that does not strictly comply with the terms of such Credit; or any payment made by the Issuer under such Credit to any Person purporting to be a trustee in bankruptcy, debtor-in-possession, assignee for the benefit of creditors, liquidator, receiver or other representative of or successor to any beneficiary or any transferee of such Credit, including any arising in connection with any proceeding under any Debtor Relief Law; or</w:t>
      </w:r>
    </w:p>
    <w:p>
      <w:pPr>
        <w:spacing w:after="0" w:line="197" w:lineRule="exact"/>
        <w:rPr>
          <w:rFonts w:ascii="Arial" w:cs="Arial" w:eastAsia="Arial" w:hAnsi="Arial"/>
          <w:sz w:val="18"/>
          <w:szCs w:val="18"/>
          <w:color w:val="auto"/>
        </w:rPr>
      </w:pPr>
    </w:p>
    <w:p>
      <w:pPr>
        <w:ind w:right="80" w:firstLine="447"/>
        <w:spacing w:after="0" w:line="268" w:lineRule="auto"/>
        <w:tabs>
          <w:tab w:leader="none" w:pos="68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shall promptly examine a copy of each Credit and each amendment thereto that is delivered to it and, in the event of any claim of noncompliance with the Company’s instructions or other irregularity, the Company will promptly notify the Issuer. The Company shall be conclusively deemed to have waived any such claim against the Issuer and its correspondents unless such notice is given as aforesaid.</w:t>
      </w:r>
    </w:p>
    <w:p>
      <w:pPr>
        <w:spacing w:after="0" w:line="194" w:lineRule="exact"/>
        <w:rPr>
          <w:sz w:val="20"/>
          <w:szCs w:val="20"/>
          <w:color w:val="auto"/>
        </w:rPr>
      </w:pPr>
    </w:p>
    <w:p>
      <w:pPr>
        <w:ind w:right="120" w:firstLine="228"/>
        <w:spacing w:after="0" w:line="291" w:lineRule="auto"/>
        <w:tabs>
          <w:tab w:leader="none" w:pos="48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Role of Issuer. Each Lender and the Company agree that, in paying any drawing under a Credit, the Issuer shall not have any responsibility to obtain any document (other than any sight draft, certificates and documents expressly required by the Credit) or to ascertain or inquire as to the validity or accuracy of any such document or the authority of the Person executing or delivering any such document. None of the Issuer, any Issuer-Related Person nor any of the respective correspondents, participants or assignees of the Issuer shall be liable to any Lender for (i) any action taken or omitted in connection herewith at the request or with the approval of the Required Lenders or the Required Credit-Linked Lenders, as applicable; (ii) any action taken or omitted in the absence of gross negligence or willful misconduct; or (iii) the due execution, effectiveness, validity or enforceability of any document or instrument related to any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5" w:name="page206"/>
    <w:bookmarkEnd w:id="205"/>
    <w:p>
      <w:pPr>
        <w:ind w:right="20"/>
        <w:spacing w:after="0" w:line="307" w:lineRule="auto"/>
        <w:rPr>
          <w:sz w:val="20"/>
          <w:szCs w:val="20"/>
          <w:color w:val="auto"/>
        </w:rPr>
      </w:pPr>
      <w:r>
        <w:rPr>
          <w:rFonts w:ascii="Arial" w:cs="Arial" w:eastAsia="Arial" w:hAnsi="Arial"/>
          <w:sz w:val="15"/>
          <w:szCs w:val="15"/>
          <w:color w:val="auto"/>
        </w:rPr>
        <w:t>Credit or Request for Credit Extension. The Company hereby assumes all risks of the acts or omissions of any beneficiary or transferee with respect to its use of any Credit; provided, however, that this assumption is not intended to, and shall not, preclude the Company’s pursuing such rights and remedies as it may have against the beneficiary or transferee at law or under any other agreement. None of the Issuer, any Issuer-Related Person, nor any of the respective correspondents, participants or assignees of the Issuer, shall be liable or responsible for any of the matters described in clauses (i) through (v) of Section 2.01(e); provided, however, that anything in such clauses to the contrary notwithstanding, the Company may have a claim against the Issuer, and the Issuer may be liable to the Company, to the extent, but only to the extent, of any direct, as opposed to consequential or exemplary, damages suffered by the Company which the Company proves were caused by the Issuer’s willful misconduct or gross negligence or the Issuer’s willful failure to pay under any Credit after the presentation to it by the beneficiary of a sight draft and certificate(s) strictly complying with the terms and conditions of a Credit. In furtherance and not in limitation of the foregoing, the Issuer may accept documents that appear on their face to be in order, without responsibility for further investigation, regardless of any notice or information to the contrary, and the Issuer shall not be responsible for the validity or sufficiency of any instrument transferring or assigning or purporting to transfer or assign a Credit or the rights or benefits thereunder or proceeds thereof, in whole or in part, which may prove to be invalid or ineffective for any reason.</w:t>
      </w:r>
    </w:p>
    <w:p>
      <w:pPr>
        <w:spacing w:after="0" w:line="166" w:lineRule="exact"/>
        <w:rPr>
          <w:sz w:val="20"/>
          <w:szCs w:val="20"/>
          <w:color w:val="auto"/>
        </w:rPr>
      </w:pPr>
    </w:p>
    <w:p>
      <w:pPr>
        <w:ind w:right="700" w:firstLine="228"/>
        <w:spacing w:after="0" w:line="268" w:lineRule="auto"/>
        <w:tabs>
          <w:tab w:leader="none" w:pos="51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Applicability of ISP98. Unless otherwise expressly agreed by the Issuer and the Company when a Credit is issued (including any such agreement applicable to an Existing Credit), the rules of the ISP shall apply to each Credit.</w:t>
      </w:r>
    </w:p>
    <w:p>
      <w:pPr>
        <w:spacing w:after="0" w:line="185" w:lineRule="exact"/>
        <w:rPr>
          <w:rFonts w:ascii="Arial" w:cs="Arial" w:eastAsia="Arial" w:hAnsi="Arial"/>
          <w:sz w:val="18"/>
          <w:szCs w:val="18"/>
          <w:color w:val="auto"/>
        </w:rPr>
      </w:pPr>
    </w:p>
    <w:p>
      <w:pPr>
        <w:ind w:right="580" w:firstLine="228"/>
        <w:spacing w:after="0" w:line="268" w:lineRule="auto"/>
        <w:tabs>
          <w:tab w:leader="none" w:pos="51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Issuer Documents. In the event of any conflict between the terms hereof, the terms of any Request for Credit Extension and the terms of any Issuer Document (other than any Credit), the terms hereof shall control.</w:t>
      </w:r>
    </w:p>
    <w:p>
      <w:pPr>
        <w:spacing w:after="0" w:line="185" w:lineRule="exact"/>
        <w:rPr>
          <w:rFonts w:ascii="Arial" w:cs="Arial" w:eastAsia="Arial" w:hAnsi="Arial"/>
          <w:sz w:val="18"/>
          <w:szCs w:val="18"/>
          <w:color w:val="auto"/>
        </w:rPr>
      </w:pPr>
    </w:p>
    <w:p>
      <w:pPr>
        <w:ind w:left="480" w:hanging="252"/>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Existing Credits. The Company and the Issuer certify that Schedule 1.01 accurately and completely sets forth the Existing Credits.</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Interest on Credit-Linked Deposit; Repayment of Credit-Linked Deposit.</w:t>
      </w:r>
    </w:p>
    <w:p>
      <w:pPr>
        <w:spacing w:after="0" w:line="225" w:lineRule="exact"/>
        <w:rPr>
          <w:rFonts w:ascii="Arial" w:cs="Arial" w:eastAsia="Arial" w:hAnsi="Arial"/>
          <w:sz w:val="18"/>
          <w:szCs w:val="18"/>
          <w:color w:val="auto"/>
        </w:rPr>
      </w:pPr>
    </w:p>
    <w:p>
      <w:pPr>
        <w:ind w:firstLine="447"/>
        <w:spacing w:after="0" w:line="291" w:lineRule="auto"/>
        <w:tabs>
          <w:tab w:leader="none" w:pos="64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Administrative Agent hereby agrees to cause Bank of America to pay interest to the Administrative Agent, as holder of the Credit-Linked Deposit Account, and the Administrative Agent, as holder of the Credit-Linked Deposit Account, agrees to distribute to each Lender, from such interest payments received from Bank of America, such Lender’s Pro Rata Share of interest on the outstanding amount of the Credit-Linked Deposits in the Credit-Linked Deposit Account at the rate per annum set forth on Schedule A annexed hereto. Such interest will be distributed to the Lenders by the Administrative Agent quarterly in arrears on the first Business Day following the end of each Interest Period relating to the Credit-Linked Deposits. The Administrative Agent shall compute all amounts due under this Section 2.01(j)(i) and shall notify the Company and such Lender of each such amount due.</w:t>
      </w:r>
    </w:p>
    <w:p>
      <w:pPr>
        <w:spacing w:after="0" w:line="174" w:lineRule="exact"/>
        <w:rPr>
          <w:rFonts w:ascii="Arial" w:cs="Arial" w:eastAsia="Arial" w:hAnsi="Arial"/>
          <w:sz w:val="16"/>
          <w:szCs w:val="16"/>
          <w:color w:val="auto"/>
        </w:rPr>
      </w:pPr>
    </w:p>
    <w:p>
      <w:pPr>
        <w:ind w:right="320" w:firstLine="447"/>
        <w:spacing w:after="0" w:line="268" w:lineRule="auto"/>
        <w:tabs>
          <w:tab w:leader="none" w:pos="69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Subject to, and to the extent of, the Company’s compliance with the cash-collateralization requirements set forth in Section 2.02, the Administrative Agent shall distribute the aggregate amount of any remaining Credit-Linked Deposits to the Lenders on the Maturity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6" w:name="page207"/>
    <w:bookmarkEnd w:id="206"/>
    <w:p>
      <w:pPr>
        <w:ind w:right="20"/>
        <w:spacing w:after="0" w:line="256" w:lineRule="auto"/>
        <w:rPr>
          <w:sz w:val="20"/>
          <w:szCs w:val="20"/>
          <w:color w:val="auto"/>
        </w:rPr>
      </w:pPr>
      <w:r>
        <w:rPr>
          <w:rFonts w:ascii="Arial" w:cs="Arial" w:eastAsia="Arial" w:hAnsi="Arial"/>
          <w:sz w:val="18"/>
          <w:szCs w:val="18"/>
          <w:color w:val="auto"/>
        </w:rPr>
        <w:t>Date to the extent of the amount credited to the Credit-Linked Deposit Account. The Credit-Linked Deposit Account is a deposit account in the name of the Administrative Agent under its sole dominion and control, and held by it with Bank of America subject to the terms and conditions of this Agreement. No Lender, whether upon the receivership or liquidation of such Lender or otherwise, shall be entitled to its Credit-Linked Deposit other than as expressly provided in this Agreement.</w:t>
      </w:r>
    </w:p>
    <w:p>
      <w:pPr>
        <w:spacing w:after="0" w:line="197" w:lineRule="exact"/>
        <w:rPr>
          <w:sz w:val="20"/>
          <w:szCs w:val="20"/>
          <w:color w:val="auto"/>
        </w:rPr>
      </w:pPr>
    </w:p>
    <w:p>
      <w:pPr>
        <w:ind w:right="20" w:firstLine="447"/>
        <w:spacing w:after="0" w:line="294" w:lineRule="auto"/>
        <w:tabs>
          <w:tab w:leader="none" w:pos="74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shall have no right, title or interest in or to the Credit-Linked Deposits or the Credit-Linked Deposit Account and no obligations with respect thereto, it being acknowledged and agreed by the parties hereto that the making of the Credit-Linked Deposits by the Lenders, the deposit by the Administrative Agent of the Credit-Linked Deposits in the Credit-Linked Deposit Account, the provisions of this Section 2.01(j) and the application of the Credit-Linked Deposits in the manner contemplated by Section 2.01(c) constitute agreements among the Administrative Agent, the Issuer and each Lender in respect of the funding obligations of each Lender in respect of its Participation in Credits, and do not constitute any loan or extension of credit to the Company.</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 Cash Collateral</w:t>
      </w:r>
    </w:p>
    <w:p>
      <w:pPr>
        <w:spacing w:after="0" w:line="231" w:lineRule="exact"/>
        <w:rPr>
          <w:sz w:val="20"/>
          <w:szCs w:val="20"/>
          <w:color w:val="auto"/>
        </w:rPr>
      </w:pPr>
    </w:p>
    <w:p>
      <w:pPr>
        <w:ind w:right="60" w:firstLine="228"/>
        <w:spacing w:after="0" w:line="290" w:lineRule="auto"/>
        <w:tabs>
          <w:tab w:leader="none" w:pos="50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Upon the request of the Administrative Agent, (i) if, as of the Credit Expiration Date, (A) any Credit for any reason remains outstanding and partially or wholly undrawn or (B) any amount remains available to be drawn under any Credit by reason of the operation of Rule 3.14 of the ISP, or (ii) upon the occurrence of the circumstances described in Section 8.02(c) requiring the Company to Cash Collateralize Credits, the Company shall within two Business Days after receipt of such request Cash Collateralize the then Outstanding Amount of all Credits (in an amount equal to the Outstanding Amount thereof). For purposes hereof, “Cash Collateralize” means to pledge and deposit with or deliver to the Administrative Agent, for the benefit of the Issuer and the Lenders, as collateral for the Credit Obligations, cash or deposit account balances (“Cash Collateral”) pursuant to documentation in form and substance reasonably satisfactory to the Administrative Agent (which documents are hereby consented to by the Lenders). Derivatives of such term have corresponding meanings.</w:t>
      </w:r>
    </w:p>
    <w:p>
      <w:pPr>
        <w:spacing w:after="0" w:line="172" w:lineRule="exact"/>
        <w:rPr>
          <w:rFonts w:ascii="Arial" w:cs="Arial" w:eastAsia="Arial" w:hAnsi="Arial"/>
          <w:sz w:val="16"/>
          <w:szCs w:val="16"/>
          <w:color w:val="auto"/>
        </w:rPr>
      </w:pPr>
    </w:p>
    <w:p>
      <w:pPr>
        <w:ind w:right="260" w:firstLine="228"/>
        <w:spacing w:after="0" w:line="256" w:lineRule="auto"/>
        <w:tabs>
          <w:tab w:leader="none" w:pos="51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 hereby grants the Administrative Agent, for the benefit of the Issuer and the Lenders, a security interest in all such Cash Collateral. Cash Collateral shall be maintained in blocked, non-interest bearing deposit accounts at Bank of America and shall be subject to such Lien documentation as the Administrative Agent shall reasonably request. The Company hereby authorizes the filing by the Administrative Agent of any UCC-1 financing statements in connection therewith.</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2.03 Reduction of Total Credit-Linked Deposits; Conversion to Funded Term Loans</w:t>
      </w:r>
      <w:r>
        <w:rPr>
          <w:rFonts w:ascii="Arial" w:cs="Arial" w:eastAsia="Arial" w:hAnsi="Arial"/>
          <w:sz w:val="18"/>
          <w:szCs w:val="18"/>
          <w:color w:val="auto"/>
        </w:rPr>
        <w:t>.</w:t>
      </w:r>
    </w:p>
    <w:p>
      <w:pPr>
        <w:spacing w:after="0" w:line="231" w:lineRule="exact"/>
        <w:rPr>
          <w:sz w:val="20"/>
          <w:szCs w:val="20"/>
          <w:color w:val="auto"/>
        </w:rPr>
      </w:pPr>
    </w:p>
    <w:p>
      <w:pPr>
        <w:ind w:right="360" w:firstLine="228"/>
        <w:spacing w:after="0" w:line="306" w:lineRule="auto"/>
        <w:tabs>
          <w:tab w:leader="none" w:pos="50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Reduction. The Company may, on or after the second anniversary of the Closing Date, upon notice from the Company to the Administrative Agent, permanently reduce the available amount of the Total Credit-Linked Deposit to an amount not less than the sum of the then Outstanding Amount of all Credit Obligations (other than Advances and Term Loans); provided that (i) any such notice shall be received by the Administrative Agent not later than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7" w:name="page208"/>
    <w:bookmarkEnd w:id="207"/>
    <w:p>
      <w:pPr>
        <w:ind w:right="120"/>
        <w:spacing w:after="0" w:line="289" w:lineRule="auto"/>
        <w:rPr>
          <w:sz w:val="20"/>
          <w:szCs w:val="20"/>
          <w:color w:val="auto"/>
        </w:rPr>
      </w:pPr>
      <w:r>
        <w:rPr>
          <w:rFonts w:ascii="Arial" w:cs="Arial" w:eastAsia="Arial" w:hAnsi="Arial"/>
          <w:sz w:val="16"/>
          <w:szCs w:val="16"/>
          <w:color w:val="auto"/>
        </w:rPr>
        <w:t>1:00 p.m., Dallas time, ten Business Days prior to the date of termination or reduction, and (ii) any such partial reduction shall be in an aggregate amount of $10,000,000 or any whole multiple of $1,000,000 in excess thereof, or such lesser amount as would reduce the Total Credit-Linked Deposit to $0. Such notice shall specify the proposed effective date of such reduction. The Administrative Agent will promptly notify the Lenders of any such notice of reduction of the Total Credit-Linked Deposit. Once reduced in accordance with this Section, the Total Credit-Linked Deposit may not be increased. Any reduction of the Total Credit-Linked Deposit shall be applied to each Lender according to its Pro Rata Share. All Facility Fees and Fronting Fees shall accrue until the effective date of any reduction of the Total Credit-Linked Deposit and shall be paid on the effective date of such reduction if the Total Credit-Linked Deposit is $0 after giving effect to such reduction. Upon any such reduction, the Administrative Agent shall promptly remit to each Lender its Pro Rata Share of the amount of the reduction in the Total Credit-Linked Deposit.</w:t>
      </w:r>
    </w:p>
    <w:p>
      <w:pPr>
        <w:spacing w:after="0" w:line="172" w:lineRule="exact"/>
        <w:rPr>
          <w:sz w:val="20"/>
          <w:szCs w:val="20"/>
          <w:color w:val="auto"/>
        </w:rPr>
      </w:pPr>
    </w:p>
    <w:p>
      <w:pPr>
        <w:ind w:left="520" w:hanging="292"/>
        <w:spacing w:after="0"/>
        <w:tabs>
          <w:tab w:leader="none" w:pos="5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Conversion to Funded Term Loans.</w:t>
      </w:r>
    </w:p>
    <w:p>
      <w:pPr>
        <w:spacing w:after="0" w:line="225" w:lineRule="exact"/>
        <w:rPr>
          <w:rFonts w:ascii="Arial" w:cs="Arial" w:eastAsia="Arial" w:hAnsi="Arial"/>
          <w:sz w:val="18"/>
          <w:szCs w:val="18"/>
          <w:color w:val="auto"/>
        </w:rPr>
      </w:pPr>
    </w:p>
    <w:p>
      <w:pPr>
        <w:ind w:firstLine="447"/>
        <w:spacing w:after="0" w:line="312" w:lineRule="auto"/>
        <w:tabs>
          <w:tab w:leader="none" w:pos="649" w:val="left"/>
        </w:tabs>
        <w:numPr>
          <w:ilvl w:val="1"/>
          <w:numId w:val="228"/>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(including satisfaction of the applicable conditions specified in Sections 4.02 and 4.03), the Company may elect to (A) cause the Lenders to make, and each Lender agrees to make, funded loans (“Term Loans”) to the Company in an aggregate principal amount up to the excess of (x) the Total Credit-Linked Deposit over (y) the Outstanding Amount of all Credit Obligations (other than Advances and Term Loans) (the amount of such excess being the “Unused Amount”), or (B) cause the Lenders to make, and each Lender agrees to make, one or more funded Term Loans in an aggregate principal amount up to the amount of a forthcoming drawing on any Credit, or (C) cause the Lenders to make, and each Lender agrees to make, one or more funded Term Loans in the aggregate amount of any Advances then outstanding by converting such Advances to Term Loans; in each case in accordance with the procedures set forth in this Section 2.03(b). Any Term Loans made under this Section 2.03(b) and subsequently repaid or prepaid may not be reborrowed.</w:t>
      </w:r>
    </w:p>
    <w:p>
      <w:pPr>
        <w:spacing w:after="0" w:line="159" w:lineRule="exact"/>
        <w:rPr>
          <w:rFonts w:ascii="Arial" w:cs="Arial" w:eastAsia="Arial" w:hAnsi="Arial"/>
          <w:sz w:val="15"/>
          <w:szCs w:val="15"/>
          <w:color w:val="auto"/>
        </w:rPr>
      </w:pPr>
    </w:p>
    <w:p>
      <w:pPr>
        <w:ind w:right="80" w:firstLine="447"/>
        <w:spacing w:after="0" w:line="288" w:lineRule="auto"/>
        <w:tabs>
          <w:tab w:leader="none" w:pos="69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Company may irrevocably request the making of one or more Term Loans in an aggregate amount up to the Unused Amount or in an aggregate amount up to the anticipated drawing on a Credit from the proceeds of Credit-Linked Deposits, or in an aggregate amount up to the aggregate amount of Advances then outstanding by converting such Advances to Term Loans, as applicable, by delivering a Request for Term Loans therefor to the Administrative Agent, appropriately completed and signed by a Responsible Officer or Authorized Representative of the Company, not later than 10 Business Days prior to the proposed date of making of the Term Loans; provided that the Term Loans requested pursuant to Section 2.03(b)(i)(A) shall only be made on a day which is the last day of an Interest Period with respect to the Credit-Linked Deposits and the Company shall in any event pay the amounts, if any, payable under Section 3.04; and provided further that the minimum aggregate amount of Term Loans made on any date shall be (A) $25,000,000, in the case of Term Loans requested pursuant to Section 2.03(b)(i)(A), and (B) $10,000,000, in the case of Term Loans requested pursuant to Sections 2.03(b)(i)(B) and 2.03(b)(i)(C), or in each case of clauses (A) and (B) of this clause (ii), such lesser amount which, when added to the applicable Outstanding Amount of</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all (x) Credits and (y) the Unreimbursed Amounts for which Advances have not been made would equal the Total Credit-Linked Deposit.</w:t>
      </w:r>
    </w:p>
    <w:p>
      <w:pPr>
        <w:spacing w:after="0" w:line="225" w:lineRule="exact"/>
        <w:rPr>
          <w:sz w:val="20"/>
          <w:szCs w:val="20"/>
          <w:color w:val="auto"/>
        </w:rPr>
      </w:pPr>
    </w:p>
    <w:p>
      <w:pPr>
        <w:ind w:right="20" w:firstLine="447"/>
        <w:spacing w:after="0" w:line="286" w:lineRule="auto"/>
        <w:tabs>
          <w:tab w:leader="none" w:pos="74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Following receipt of a Request for Term Loans, the Administrative Agent shall promptly notify each Lender of its Pro Rata Share thereof. Upon satisfaction of the applicable conditions set forth in Sections 4.02 and 4.03, the Administrative Agent shall (A) in the case of Term Loans made pursuant to Section 2.03(b)(i)(A), debit the Credit-Linked Deposit Account in an amount equal to the aggregate amount of the proposed Term Loans (but not exceeding the Unused Amount) and shall make such funds available to the Company either by (i) crediting the account of the Company on the books of Bank of America with the amount of such funds or (ii) wire transferring such funds, in each case in accordance with instructions provided to (and reasonably acceptable to) the Administrative Agent by the Company, (B) in the case of Term Loans made pursuant to Section 2.03(b)(i)(B), debit the Credit-Linked Deposit Account in an amount equal to the aggregate amount of the proposed Term Loans and transfer such funds to the Issuer in reimbursement of the applicable drawing on a Credit, and (C) in the case of Term Loans made pursuant to Section 2.03(b)(i)(C), record in its books and records and on the Register the conversion of the applicable Advances into Term Loans, which credit or transfer or recordation, as applicable, shall be deemed to be the making of the Term Loans by the Lenders hereunder, and such date shall be the “Term Loan Issuance Date” (and the Administrative Agent shall forthwith deliver a notice to each Lender informing such Lender of the applicable Term Loan Issuance Date). Each Lender hereby irrevocably authorizes the Administrative Agent to charge the Credit-Linked Deposit Account for such purpose. No Lender shall have any obligation to make Term Loans to the Company other than from the proceeds of its Credit-Linked Deposits.</w:t>
      </w:r>
    </w:p>
    <w:p>
      <w:pPr>
        <w:spacing w:after="0" w:line="178" w:lineRule="exact"/>
        <w:rPr>
          <w:rFonts w:ascii="Arial" w:cs="Arial" w:eastAsia="Arial" w:hAnsi="Arial"/>
          <w:sz w:val="16"/>
          <w:szCs w:val="16"/>
          <w:color w:val="auto"/>
        </w:rPr>
      </w:pPr>
    </w:p>
    <w:p>
      <w:pPr>
        <w:ind w:left="740" w:hanging="293"/>
        <w:spacing w:after="0"/>
        <w:tabs>
          <w:tab w:leader="none" w:pos="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on Term Loans.</w:t>
      </w:r>
    </w:p>
    <w:p>
      <w:pPr>
        <w:spacing w:after="0" w:line="225" w:lineRule="exact"/>
        <w:rPr>
          <w:rFonts w:ascii="Arial" w:cs="Arial" w:eastAsia="Arial" w:hAnsi="Arial"/>
          <w:sz w:val="18"/>
          <w:szCs w:val="18"/>
          <w:color w:val="auto"/>
        </w:rPr>
      </w:pPr>
    </w:p>
    <w:p>
      <w:pPr>
        <w:ind w:left="360" w:right="280" w:firstLine="219"/>
        <w:spacing w:after="0" w:line="268" w:lineRule="auto"/>
        <w:tabs>
          <w:tab w:leader="none" w:pos="86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Subject to the provisions of subsection (B) below, each Term Loan shall bear interest on the outstanding principal amount thereof for each Interest Period at a rate per annum equal to the LIBO Rate for such Interest Period plus the Applicable Rate.</w:t>
      </w:r>
    </w:p>
    <w:p>
      <w:pPr>
        <w:spacing w:after="0" w:line="185" w:lineRule="exact"/>
        <w:rPr>
          <w:rFonts w:ascii="Arial" w:cs="Arial" w:eastAsia="Arial" w:hAnsi="Arial"/>
          <w:sz w:val="18"/>
          <w:szCs w:val="18"/>
          <w:color w:val="auto"/>
        </w:rPr>
      </w:pPr>
    </w:p>
    <w:p>
      <w:pPr>
        <w:ind w:left="360" w:right="80" w:firstLine="219"/>
        <w:spacing w:after="0" w:line="256" w:lineRule="auto"/>
        <w:tabs>
          <w:tab w:leader="none" w:pos="85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any amount of the Term Loans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 Accrued and unpaid interest on past due amounts (including interest on past due interest) shall be due and payable upon demand.</w:t>
      </w:r>
    </w:p>
    <w:p>
      <w:pPr>
        <w:spacing w:after="0" w:line="197" w:lineRule="exact"/>
        <w:rPr>
          <w:rFonts w:ascii="Arial" w:cs="Arial" w:eastAsia="Arial" w:hAnsi="Arial"/>
          <w:sz w:val="18"/>
          <w:szCs w:val="18"/>
          <w:color w:val="auto"/>
        </w:rPr>
      </w:pPr>
    </w:p>
    <w:p>
      <w:pPr>
        <w:ind w:left="360" w:right="100" w:firstLine="219"/>
        <w:spacing w:after="0" w:line="256" w:lineRule="auto"/>
        <w:tabs>
          <w:tab w:leader="none" w:pos="85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Interest on each Term Loan shall be due and payable in arrears on the first Business Day following the end of each Interest Period applicable thereto, at such other times as may be specified herein and on the Maturity Date. To the fullest extent permitted by applicable Law, interest hereunder shall be due and payable in accordance with the terms hereof before and after judgment, and before and after the commencement of any proceeding under any Debtor Relief Law.</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09" w:name="page210"/>
    <w:bookmarkEnd w:id="209"/>
    <w:p>
      <w:pPr>
        <w:ind w:right="300" w:firstLine="447"/>
        <w:spacing w:after="0" w:line="268" w:lineRule="auto"/>
        <w:tabs>
          <w:tab w:leader="none" w:pos="6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Repayment of Term Loans. The Company shall repay to the Administrative Agent for the account of the Lenders on the Maturity Date the aggregate principal amount of the Term Loans outstanding on such date.</w:t>
      </w:r>
    </w:p>
    <w:p>
      <w:pPr>
        <w:spacing w:after="0" w:line="185" w:lineRule="exact"/>
        <w:rPr>
          <w:rFonts w:ascii="Arial" w:cs="Arial" w:eastAsia="Arial" w:hAnsi="Arial"/>
          <w:sz w:val="18"/>
          <w:szCs w:val="18"/>
          <w:color w:val="auto"/>
        </w:rPr>
      </w:pPr>
    </w:p>
    <w:p>
      <w:pPr>
        <w:ind w:right="40" w:firstLine="447"/>
        <w:spacing w:after="0" w:line="288" w:lineRule="auto"/>
        <w:tabs>
          <w:tab w:leader="none" w:pos="73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Optional Prepayment of Term Loans. The Company may, on or after the second anniversary of the Closing Date, at its option, upon notice to the Administrative Agent as provided below, prepay on any Business Day all, or from time to time any part of, the Term Loans (subject to the limitations sets forth below); provided that (i) any such notice shall be received by the Administrative Agent not later than 1:00 p.m., Dallas time, ten Business Days prior to the date of prepayment, and (ii) any such partial prepayment shall be in an aggregate amount of $1,000,000 or any whole multiple of $1,000,000 in excess thereof, or such lesser amount as would reduce the Term Loans to $0. Such notice shall specify the proposed effective date of such prepayment, the aggregate principal amount of the Term Notes to be prepaid on such date, the interest to be paid on the prepayment date with respect to such principal amount being prepaid, which shall be the last day of the Interest Period therefor. The Administrative Agent will promptly notify the Lenders of any such notice of prepayment of the Term Loans. Once prepaid in accordance with this Section, such Term Loans may not be reborrowed. Upon any such prepayment, the Administrative Agent shall promptly remit to each Lender its Pro Rata Share of the amount of the prepayment of the Term Loans.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2.04 Interest on Borrowings Other Than Term Loans</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305" w:lineRule="auto"/>
        <w:tabs>
          <w:tab w:leader="none" w:pos="502" w:val="left"/>
        </w:tabs>
        <w:numPr>
          <w:ilvl w:val="1"/>
          <w:numId w:val="231"/>
        </w:numPr>
        <w:rPr>
          <w:rFonts w:ascii="Arial" w:cs="Arial" w:eastAsia="Arial" w:hAnsi="Arial"/>
          <w:sz w:val="15"/>
          <w:szCs w:val="15"/>
          <w:color w:val="auto"/>
        </w:rPr>
      </w:pPr>
      <w:r>
        <w:rPr>
          <w:rFonts w:ascii="Arial" w:cs="Arial" w:eastAsia="Arial" w:hAnsi="Arial"/>
          <w:sz w:val="15"/>
          <w:szCs w:val="15"/>
          <w:color w:val="auto"/>
        </w:rPr>
        <w:t>Each Borrowing (other than the Term Loans) shall bear interest on the outstanding principal amount thereof (i) from and including the applicable Borrowing date to and excluding the date six Business Days thereafter at an interest rate per annum equal at all times to the Base Rate plus 1.00% per annum, and</w:t>
      </w:r>
    </w:p>
    <w:p>
      <w:pPr>
        <w:ind w:left="260" w:hanging="252"/>
        <w:spacing w:after="0"/>
        <w:tabs>
          <w:tab w:leader="none" w:pos="2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from and including the sixth Business Day after the applicable Borrowing date at an interest rate per annum equal at all times to the Default Rate.</w:t>
      </w:r>
    </w:p>
    <w:p>
      <w:pPr>
        <w:spacing w:after="0" w:line="241" w:lineRule="exact"/>
        <w:rPr>
          <w:rFonts w:ascii="Arial" w:cs="Arial" w:eastAsia="Arial" w:hAnsi="Arial"/>
          <w:sz w:val="16"/>
          <w:szCs w:val="16"/>
          <w:color w:val="auto"/>
        </w:rPr>
      </w:pPr>
    </w:p>
    <w:p>
      <w:pPr>
        <w:ind w:right="20" w:firstLine="228"/>
        <w:spacing w:after="0" w:line="259" w:lineRule="auto"/>
        <w:tabs>
          <w:tab w:leader="none" w:pos="51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any other amount payable by the Company under any Credit Document is not paid when due (without regard to any applicable grace periods) whether at stated maturity, by acceleration or otherwise, each such amount shall thereafter bear interest at an interest rate per annum at all times equal to the Default Rate to the fullest extent permitted by applicable Law.</w:t>
      </w:r>
    </w:p>
    <w:p>
      <w:pPr>
        <w:spacing w:after="0" w:line="194" w:lineRule="exact"/>
        <w:rPr>
          <w:rFonts w:ascii="Arial" w:cs="Arial" w:eastAsia="Arial" w:hAnsi="Arial"/>
          <w:sz w:val="18"/>
          <w:szCs w:val="18"/>
          <w:color w:val="auto"/>
        </w:rPr>
      </w:pPr>
    </w:p>
    <w:p>
      <w:pPr>
        <w:ind w:left="520" w:hanging="292"/>
        <w:spacing w:after="0"/>
        <w:tabs>
          <w:tab w:leader="none" w:pos="5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Accrued and unpaid interest on all such unpaid amounts (including interest on past due interest) shall be due and payable upon demand.</w:t>
      </w:r>
    </w:p>
    <w:p>
      <w:pPr>
        <w:spacing w:after="0" w:line="225" w:lineRule="exact"/>
        <w:rPr>
          <w:rFonts w:ascii="Arial" w:cs="Arial" w:eastAsia="Arial" w:hAnsi="Arial"/>
          <w:sz w:val="18"/>
          <w:szCs w:val="18"/>
          <w:color w:val="auto"/>
        </w:rPr>
      </w:pPr>
    </w:p>
    <w:p>
      <w:pPr>
        <w:ind w:right="40" w:firstLine="228"/>
        <w:spacing w:after="0" w:line="268" w:lineRule="auto"/>
        <w:tabs>
          <w:tab w:leader="none" w:pos="51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2.05 Fees and Other Charges</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306" w:lineRule="auto"/>
        <w:tabs>
          <w:tab w:leader="none" w:pos="50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Facility Fee. The Company shall pay to the Administrative Agent for the account of each Lender in accordance with its Pro Rata Share, a fee (the “Facility Fee”) equal to the Applicable Rate, expressed on a daily basis, times the actual daily amount of such Lender’s Credit-Linked Deposit. The Facility Fee shall accrue effective as of the Closing Date and shall be calculated quarterly in arrears by the Administrative Agent. If there is any change in the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0" w:name="page211"/>
    <w:bookmarkEnd w:id="210"/>
    <w:p>
      <w:pPr>
        <w:ind w:right="120"/>
        <w:spacing w:after="0" w:line="290" w:lineRule="auto"/>
        <w:rPr>
          <w:sz w:val="20"/>
          <w:szCs w:val="20"/>
          <w:color w:val="auto"/>
        </w:rPr>
      </w:pPr>
      <w:r>
        <w:rPr>
          <w:rFonts w:ascii="Arial" w:cs="Arial" w:eastAsia="Arial" w:hAnsi="Arial"/>
          <w:sz w:val="16"/>
          <w:szCs w:val="16"/>
          <w:color w:val="auto"/>
        </w:rPr>
        <w:t>Applicable Rate during any quarter, the actual daily Credit-Linked Deposit amount shall be computed and multiplied by the Applicable Rate separately for each period during such quarter that such Applicable Rate was in effect. The Facility Fee shall be due and payable quarterly in arrears on the first Business Day following the end of each Interest Period relating to the Credit-Linked Deposits, commencing with the first such date to occur after the Closing Date, and on the Maturity Date; provided that, in connection with any reduction of the Total Credit-Linked Deposit under Section 2.03, the accrued Facility Fee calculated for the period ending on such date shall also be paid on the date of such reduction, and the following quarterly payment shall be calculated on the basis of the period from such reduction date to such quarterly payment date. The Facility Fee shall accrue at all times, including at any time during which one or more of the conditions in Article IV is not met.</w:t>
      </w:r>
    </w:p>
    <w:p>
      <w:pPr>
        <w:spacing w:after="0" w:line="172" w:lineRule="exact"/>
        <w:rPr>
          <w:sz w:val="20"/>
          <w:szCs w:val="20"/>
          <w:color w:val="auto"/>
        </w:rPr>
      </w:pPr>
    </w:p>
    <w:p>
      <w:pPr>
        <w:ind w:right="20" w:firstLine="228"/>
        <w:spacing w:after="0" w:line="289" w:lineRule="auto"/>
        <w:tabs>
          <w:tab w:leader="none" w:pos="51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Fronting Fee. The Company shall pay directly to the Issuer for its own account, a fee (the “Fronting Fee”) equal to the rate per annum set forth in the letter agreement dated May 8, 2003 (the “Fee Letter”), among the Company, BAS and the Administrative Agent, times the daily amount of the Total Credit-Linked Deposit, due and payable quarterly in arrears on the first Business Day immediately following the last Business Day of each March, June, September and December, commencing with the first such date to occur after the Closing Date, and on the Maturity Date; provided that, in connection with any reduction of the Total Credit-Linked Deposit under Section 2.03, the accrued Fronting Fee calculated for the period ending on such date shall also be paid on the date of such reduction, and the following quarterly payment shall be calculated on the basis of the period from such reduction date to such quarterly payment date. At any time that an Event of Default exists, the Fronting Fee shall be increased by adding 2% to the amount thereof determined as provided in the Fee Letter. The Fronting Fee shall accrue at all times, including at any time during which one or more of the conditions in Article IV is not met.</w:t>
      </w:r>
    </w:p>
    <w:p>
      <w:pPr>
        <w:spacing w:after="0" w:line="172" w:lineRule="exact"/>
        <w:rPr>
          <w:rFonts w:ascii="Arial" w:cs="Arial" w:eastAsia="Arial" w:hAnsi="Arial"/>
          <w:sz w:val="16"/>
          <w:szCs w:val="16"/>
          <w:color w:val="auto"/>
        </w:rPr>
      </w:pPr>
    </w:p>
    <w:p>
      <w:pPr>
        <w:ind w:right="340" w:firstLine="228"/>
        <w:spacing w:after="0" w:line="256" w:lineRule="auto"/>
        <w:tabs>
          <w:tab w:leader="none" w:pos="5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Documentary and Processing Charges Payable to Issuer. The Company shall pay directly to the Issuer for its own account the customary and standard issuance, commission, presentation, amendment and other processing fees, and other standard costs and charges (if any), of the Issuer or any Affiliate of the Issuer, relating to its Credits as from time to time in effect and agreed upon between the Company and the Issuer. Such customary fees and standard costs and charges are due and payable on demand and are nonrefundable.</w:t>
      </w:r>
    </w:p>
    <w:p>
      <w:pPr>
        <w:spacing w:after="0" w:line="197" w:lineRule="exact"/>
        <w:rPr>
          <w:rFonts w:ascii="Arial" w:cs="Arial" w:eastAsia="Arial" w:hAnsi="Arial"/>
          <w:sz w:val="18"/>
          <w:szCs w:val="18"/>
          <w:color w:val="auto"/>
        </w:rPr>
      </w:pPr>
    </w:p>
    <w:p>
      <w:pPr>
        <w:ind w:right="140" w:firstLine="228"/>
        <w:spacing w:after="0" w:line="306" w:lineRule="auto"/>
        <w:tabs>
          <w:tab w:leader="none" w:pos="51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Placement and Administrative Fees. The Company shall pay a placement fee to BAS, and shall pay an administrative fee to the Administrative Agent for the Administrative Agent’s own account, in the amounts and at the times specified in the Fee Letter, and if a successor Administrative Agent is appointed pursuant to Section 9.09 hereof, the Company shall pay the administrative fees of such successor Administrative Agent.</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2.06 Computation of Interest and Fees</w:t>
      </w:r>
      <w:r>
        <w:rPr>
          <w:rFonts w:ascii="Arial" w:cs="Arial" w:eastAsia="Arial" w:hAnsi="Arial"/>
          <w:sz w:val="18"/>
          <w:szCs w:val="18"/>
          <w:color w:val="auto"/>
        </w:rPr>
        <w:t>.</w:t>
      </w:r>
    </w:p>
    <w:p>
      <w:pPr>
        <w:spacing w:after="0" w:line="231" w:lineRule="exact"/>
        <w:rPr>
          <w:sz w:val="20"/>
          <w:szCs w:val="20"/>
          <w:color w:val="auto"/>
        </w:rPr>
      </w:pPr>
    </w:p>
    <w:p>
      <w:pPr>
        <w:ind w:right="100" w:firstLine="228"/>
        <w:spacing w:after="0" w:line="305" w:lineRule="auto"/>
        <w:tabs>
          <w:tab w:leader="none" w:pos="50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All computations of interest when the Base Rate is determined by reference to Bank of America’s “prime rate” shall be made on the basis of a year of 365 or 366 days, as the case may be, and actual days elapsed. Computation of all other types of interest and all fees shall be calculated on the basis of a year of</w:t>
      </w:r>
    </w:p>
    <w:p>
      <w:pPr>
        <w:ind w:right="220"/>
        <w:spacing w:after="0" w:line="261" w:lineRule="auto"/>
        <w:rPr>
          <w:rFonts w:ascii="Arial" w:cs="Arial" w:eastAsia="Arial" w:hAnsi="Arial"/>
          <w:sz w:val="15"/>
          <w:szCs w:val="15"/>
          <w:color w:val="auto"/>
        </w:rPr>
      </w:pPr>
      <w:r>
        <w:rPr>
          <w:rFonts w:ascii="Arial" w:cs="Arial" w:eastAsia="Arial" w:hAnsi="Arial"/>
          <w:sz w:val="18"/>
          <w:szCs w:val="18"/>
          <w:color w:val="auto"/>
        </w:rPr>
        <w:t>360 days, and actual days elapsed (which results in more fees or interest, as applicable, being paid than if computed on the basis of a 365-day or 366-day year). Interest shall accrue on each Advance or Term Loan for the day on which the Advance or</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1" w:name="page212"/>
    <w:bookmarkEnd w:id="211"/>
    <w:p>
      <w:pPr>
        <w:ind w:right="40"/>
        <w:spacing w:after="0" w:line="332" w:lineRule="auto"/>
        <w:rPr>
          <w:sz w:val="20"/>
          <w:szCs w:val="20"/>
          <w:color w:val="auto"/>
        </w:rPr>
      </w:pPr>
      <w:r>
        <w:rPr>
          <w:rFonts w:ascii="Arial" w:cs="Arial" w:eastAsia="Arial" w:hAnsi="Arial"/>
          <w:sz w:val="16"/>
          <w:szCs w:val="16"/>
          <w:color w:val="auto"/>
        </w:rPr>
        <w:t>Term Loan is made, and shall not accrue on an Advance or Term Loan, or any portion thereof, for the day on which the Advance, such Term Loan or such portion is paid, provided that any Advance or Term Loan that is repaid on the same day on which it is made shall bear interest for one day.</w:t>
      </w:r>
    </w:p>
    <w:p>
      <w:pPr>
        <w:spacing w:after="0" w:line="139" w:lineRule="exact"/>
        <w:rPr>
          <w:sz w:val="20"/>
          <w:szCs w:val="20"/>
          <w:color w:val="auto"/>
        </w:rPr>
      </w:pPr>
    </w:p>
    <w:p>
      <w:pPr>
        <w:ind w:right="20" w:firstLine="228"/>
        <w:spacing w:after="0" w:line="298" w:lineRule="auto"/>
        <w:tabs>
          <w:tab w:leader="none" w:pos="51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Company and the Lenders of the LIBO Rate applicable to any Interest Period upon determination of such interest rate. The determination of LIBO Rate by the Administrative Agent shall be conclusive in the absence of manifest error. At any time that Advances or Term Loans accruing interest based on the Base Rate are outstanding, the Administrative Agent shall notify the Company and the Lenders of any change in Bank of America’s prime rate used in determining the Base Rate promptly following the public announcement of such change.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2.07 Evidence of Debt</w:t>
      </w:r>
      <w:r>
        <w:rPr>
          <w:rFonts w:ascii="Arial" w:cs="Arial" w:eastAsia="Arial" w:hAnsi="Arial"/>
          <w:sz w:val="18"/>
          <w:szCs w:val="18"/>
          <w:color w:val="auto"/>
        </w:rPr>
        <w:t>.</w:t>
      </w:r>
    </w:p>
    <w:p>
      <w:pPr>
        <w:spacing w:after="0" w:line="231" w:lineRule="exact"/>
        <w:rPr>
          <w:sz w:val="20"/>
          <w:szCs w:val="20"/>
          <w:color w:val="auto"/>
        </w:rPr>
      </w:pPr>
    </w:p>
    <w:p>
      <w:pPr>
        <w:ind w:right="120" w:firstLine="228"/>
        <w:spacing w:after="0" w:line="289" w:lineRule="auto"/>
        <w:tabs>
          <w:tab w:leader="none" w:pos="50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Credit-Linked Deposits, the Credit Extensions made by the Issuer, the participations of each Lender therein and any Advances and Term Loans made by each Lender shall be evidenced by one or more accounts or records maintained by the Issuer, such Lender and by the Administrative Agent in the ordinary course of business. The accounts or records maintained by the Issuer, the Administrative Agent and each Lender shall be conclusive absent manifest error of the amount of the Credit-Linked Deposits, the Credit Extensions made by the Issuer and any Advances and Term Loans made by each Lender and the interest and payments thereon. Any failure to so record or any error in doing so shall not, however, limit or otherwise affect the obligation of the Company hereunder to pay any amount owing with respect to the Credit Obligations. In the event of any conflict between the accounts and records maintained by the Issuer or any Lender and the accounts and records of the Administrative Agent in respect of such matters, the accounts and records of the Administrative Agent shall control in the absence of manifest error.</w:t>
      </w:r>
    </w:p>
    <w:p>
      <w:pPr>
        <w:spacing w:after="0" w:line="172" w:lineRule="exact"/>
        <w:rPr>
          <w:rFonts w:ascii="Arial" w:cs="Arial" w:eastAsia="Arial" w:hAnsi="Arial"/>
          <w:sz w:val="16"/>
          <w:szCs w:val="16"/>
          <w:color w:val="auto"/>
        </w:rPr>
      </w:pPr>
    </w:p>
    <w:p>
      <w:pPr>
        <w:jc w:val="both"/>
        <w:ind w:right="80" w:firstLine="228"/>
        <w:spacing w:after="0" w:line="256" w:lineRule="auto"/>
        <w:tabs>
          <w:tab w:leader="none" w:pos="5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(i) the Credit-Linked Deposit of, and the obligation of the Company to pay Advances to, each Lender shall be evidenced by a Letter of Credit Linked Note in the form of Exhibit D attached hereto (a “Letter of Credit Linked Note”), executed by the Administrative Agent and by the Company, and (ii) the Term Loans of a Lender shall be evidenced by a Term Note in the form of Exhibit F attached hereto (a “Term Note”), executed by the Company.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2.08 Payments Generally</w:t>
      </w:r>
      <w:r>
        <w:rPr>
          <w:rFonts w:ascii="Arial" w:cs="Arial" w:eastAsia="Arial" w:hAnsi="Arial"/>
          <w:sz w:val="18"/>
          <w:szCs w:val="18"/>
          <w:color w:val="auto"/>
        </w:rPr>
        <w:t>.</w:t>
      </w:r>
    </w:p>
    <w:p>
      <w:pPr>
        <w:spacing w:after="0" w:line="231" w:lineRule="exact"/>
        <w:rPr>
          <w:sz w:val="20"/>
          <w:szCs w:val="20"/>
          <w:color w:val="auto"/>
        </w:rPr>
      </w:pPr>
    </w:p>
    <w:p>
      <w:pPr>
        <w:ind w:right="160" w:firstLine="228"/>
        <w:spacing w:after="0" w:line="291" w:lineRule="auto"/>
        <w:tabs>
          <w:tab w:leader="none" w:pos="50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All payments to be made by the Company to any Lender, the Administrative Agent, the Issuer or any other Person hereunder shall be made without condition or deduction for any counterclaim, defense, recoupment or setoff. Except as otherwise expressly provided herein, all payments by the Company hereunder to be made directly to the Issuer shall be made to the Issuer in accordance with its payment instructions in Dollars and in immediately available funds not later than the times and on the dates specified herein. Except as otherwise expressly provided herein and except with respect to such payments to be made directly to the Issuer, all payments by the Company hereunder shall be made to the Administrative Agent, for the account of the respective Lenders or the Issuer to which such payment is owed, at the Administrative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12" w:name="page213"/>
    <w:bookmarkEnd w:id="212"/>
    <w:p>
      <w:pPr>
        <w:ind w:right="240"/>
        <w:spacing w:after="0" w:line="294" w:lineRule="auto"/>
        <w:rPr>
          <w:sz w:val="20"/>
          <w:szCs w:val="20"/>
          <w:color w:val="auto"/>
        </w:rPr>
      </w:pPr>
      <w:r>
        <w:rPr>
          <w:rFonts w:ascii="Arial" w:cs="Arial" w:eastAsia="Arial" w:hAnsi="Arial"/>
          <w:sz w:val="16"/>
          <w:szCs w:val="16"/>
          <w:color w:val="auto"/>
        </w:rPr>
        <w:t>Agent’s Office in Dollars and in immediately available funds not later than 1:00 p.m., Dallas time, on the date specified herein. The Administrative Agent will promptly distribute to the Issuer its applicable share as provided herein, or to each Lender its Pro Rata Share (or other applicable share as provided herein), of such payment in like funds as received by wire transfer to the Issuer in accordance with its payment instructions or to such Lender at its Lending Office. All payments received by the Administrative Agent after 1:00 p.m., Dallas time, or by the Issuer after the time specified herein or in any Issuer Document, shall be deemed received on the next succeeding Business Day and any applicable interest or fee shall continue to accrue.</w:t>
      </w:r>
    </w:p>
    <w:p>
      <w:pPr>
        <w:spacing w:after="0" w:line="170" w:lineRule="exact"/>
        <w:rPr>
          <w:sz w:val="20"/>
          <w:szCs w:val="20"/>
          <w:color w:val="auto"/>
        </w:rPr>
      </w:pPr>
    </w:p>
    <w:p>
      <w:pPr>
        <w:ind w:right="120" w:firstLine="228"/>
        <w:spacing w:after="0" w:line="306" w:lineRule="auto"/>
        <w:tabs>
          <w:tab w:leader="none" w:pos="51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If any payment to be made by the Company shall come due on a day other than a Business Day, or any other date specified hereunder would otherwise occur on a day other than a Business Day, then except as otherwise provided herein, such payment shall be made, or other date shall occur, on the next following Business Day, and such extension of time shall be reflected in computing interest or fees, as the case may be.</w:t>
      </w:r>
    </w:p>
    <w:p>
      <w:pPr>
        <w:spacing w:after="0" w:line="160" w:lineRule="exact"/>
        <w:rPr>
          <w:rFonts w:ascii="Arial" w:cs="Arial" w:eastAsia="Arial" w:hAnsi="Arial"/>
          <w:sz w:val="16"/>
          <w:szCs w:val="16"/>
          <w:color w:val="auto"/>
        </w:rPr>
      </w:pPr>
    </w:p>
    <w:p>
      <w:pPr>
        <w:jc w:val="both"/>
        <w:ind w:right="180" w:firstLine="228"/>
        <w:spacing w:after="0" w:line="259" w:lineRule="auto"/>
        <w:tabs>
          <w:tab w:leader="none" w:pos="50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obligations of the Lenders hereunder to fund Participations in Credits are several and not joint. The failure of any Lender to fund its Participation on the Closing Date with its Credit-Linked Deposit shall not relieve any other Lender of its corresponding obligation to do so on such date, and no Lender shall be responsible for the failure of any other Lender to so purchase its Participation.</w:t>
      </w:r>
    </w:p>
    <w:p>
      <w:pPr>
        <w:spacing w:after="0" w:line="194" w:lineRule="exact"/>
        <w:rPr>
          <w:rFonts w:ascii="Arial" w:cs="Arial" w:eastAsia="Arial" w:hAnsi="Arial"/>
          <w:sz w:val="18"/>
          <w:szCs w:val="18"/>
          <w:color w:val="auto"/>
        </w:rPr>
      </w:pPr>
    </w:p>
    <w:p>
      <w:pPr>
        <w:ind w:right="80" w:firstLine="228"/>
        <w:spacing w:after="0" w:line="332" w:lineRule="auto"/>
        <w:tabs>
          <w:tab w:leader="none" w:pos="51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the Credit-Linked Deposit in any particular place or manner or to constitute a representation by any Lender that it has obtained or will obtain the funds for the Credit-Linked Deposit in any particular place or manner.</w:t>
      </w:r>
    </w:p>
    <w:p>
      <w:pPr>
        <w:spacing w:after="0" w:line="133" w:lineRule="exact"/>
        <w:rPr>
          <w:sz w:val="20"/>
          <w:szCs w:val="20"/>
          <w:color w:val="auto"/>
        </w:rPr>
      </w:pPr>
    </w:p>
    <w:p>
      <w:pPr>
        <w:ind w:right="40" w:firstLine="220"/>
        <w:spacing w:after="0" w:line="306" w:lineRule="auto"/>
        <w:rPr>
          <w:sz w:val="20"/>
          <w:szCs w:val="20"/>
          <w:color w:val="auto"/>
        </w:rPr>
      </w:pPr>
      <w:r>
        <w:rPr>
          <w:rFonts w:ascii="Arial" w:cs="Arial" w:eastAsia="Arial" w:hAnsi="Arial"/>
          <w:sz w:val="15"/>
          <w:szCs w:val="15"/>
          <w:b w:val="1"/>
          <w:bCs w:val="1"/>
          <w:color w:val="auto"/>
        </w:rPr>
        <w:t>2.09 Sharing of Payments</w:t>
      </w:r>
      <w:r>
        <w:rPr>
          <w:rFonts w:ascii="Arial" w:cs="Arial" w:eastAsia="Arial" w:hAnsi="Arial"/>
          <w:sz w:val="15"/>
          <w:szCs w:val="15"/>
          <w:color w:val="auto"/>
        </w:rPr>
        <w:t>. If, other than as expressly provided elsewhere herein, any Lender shall obtain on account of the Term Loans or Advances made by</w:t>
      </w:r>
      <w:r>
        <w:rPr>
          <w:rFonts w:ascii="Arial" w:cs="Arial" w:eastAsia="Arial" w:hAnsi="Arial"/>
          <w:sz w:val="15"/>
          <w:szCs w:val="15"/>
          <w:b w:val="1"/>
          <w:bCs w:val="1"/>
          <w:color w:val="auto"/>
        </w:rPr>
        <w:t xml:space="preserve"> </w:t>
      </w:r>
      <w:r>
        <w:rPr>
          <w:rFonts w:ascii="Arial" w:cs="Arial" w:eastAsia="Arial" w:hAnsi="Arial"/>
          <w:sz w:val="15"/>
          <w:szCs w:val="15"/>
          <w:color w:val="auto"/>
        </w:rPr>
        <w:t>it or participations in Credit Obligations held by it, any payment (whether voluntary, involuntary, through the exercise of any right of set-off, or otherwise) in excess of its Pro Rata Share (or other share contemplated hereunder) thereof, such Lender shall immediately (a) notify the Administrative Agent of such fact, and</w:t>
      </w:r>
    </w:p>
    <w:p>
      <w:pPr>
        <w:spacing w:after="0" w:line="1" w:lineRule="exact"/>
        <w:rPr>
          <w:sz w:val="20"/>
          <w:szCs w:val="20"/>
          <w:color w:val="auto"/>
        </w:rPr>
      </w:pPr>
    </w:p>
    <w:p>
      <w:pPr>
        <w:ind w:right="20" w:firstLine="8"/>
        <w:spacing w:after="0" w:line="287" w:lineRule="auto"/>
        <w:tabs>
          <w:tab w:leader="none" w:pos="24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purchase from the other Lenders such subparticipations in the Term Loans or Advances made by them or in the participations in Credit Obligations held by them as shall be necessary to cause such purchasing Lender to share the excess payment in respect thereof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each of them; provided, however,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Company agrees that any Lender so purchasing a subparticipation from another Lender may, to the fullest extent permitted by law, exercise all its rights of payment (including the right of set-off) with respect to such subparticipation as fully as if such Lender were the direct creditor of the Company in the amount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3" w:name="page214"/>
    <w:bookmarkEnd w:id="213"/>
    <w:p>
      <w:pPr>
        <w:ind w:right="120"/>
        <w:spacing w:after="0" w:line="255" w:lineRule="auto"/>
        <w:rPr>
          <w:sz w:val="20"/>
          <w:szCs w:val="20"/>
          <w:color w:val="auto"/>
        </w:rPr>
      </w:pPr>
      <w:r>
        <w:rPr>
          <w:rFonts w:ascii="Arial" w:cs="Arial" w:eastAsia="Arial" w:hAnsi="Arial"/>
          <w:sz w:val="18"/>
          <w:szCs w:val="18"/>
          <w:color w:val="auto"/>
        </w:rPr>
        <w:t>of such subparticipation. The Administrative Agent will keep records (which shall be conclusive and binding in the absence of manifest error) of subparticipations purchased under this Section and will in each case notify the Lenders following any such purchases or repayments. Each Lender that purchases a subparticipation pursuant to this Section shall from and after such purchase have the right to give all notices, requests, demands, directions and other communications under this Agreement with respect to the portion of the Credit Obligations purchased to the same extent as though the purchasing Lender were the original owner of the Credit Obligations purchased.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YIELD PROTECTION</w:t>
      </w:r>
    </w:p>
    <w:p>
      <w:pPr>
        <w:spacing w:after="0" w:line="213"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b w:val="1"/>
          <w:bCs w:val="1"/>
          <w:color w:val="auto"/>
        </w:rPr>
        <w:t>3.01 Taxes</w:t>
      </w:r>
      <w:r>
        <w:rPr>
          <w:rFonts w:ascii="Arial" w:cs="Arial" w:eastAsia="Arial" w:hAnsi="Arial"/>
          <w:sz w:val="16"/>
          <w:szCs w:val="16"/>
          <w:color w:val="auto"/>
        </w:rPr>
        <w:t>. (a) Subject to Section 10.15(a)(iii), any and all payments by the Company to or for the account of the Administrative Agent, the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under any Credit Document shall be made free and clear of and without deduction for any and all present or future taxes, duties, levies, imposts, deductions, assessments, fees, withholdings or similar charges, and all liabilities with respect thereto, excluding, in the case of the Administrative Agent, the Issuer and each Lender, taxes imposed on or measured by its overall net income, and franchise taxes imposed on it (in lieu of net income taxes), by the jurisdiction (or any political subdivision thereof) under the Laws of which the Administrative Agent, the Issuer or such Lender, as the case may be, is organized or maintains a lending office (all such non-excluded taxes, duties, levies, imposts, deductions, assessments, fees, withholdings or similar charges, and liabilities being hereinafter referred to as “Taxes”). If the Company shall be required by any Laws to deduct any Taxes from or in respect of any sum payable under any Credit Document to the Administrative Agent, the Issuer or any Lender, (i) the sum payable shall be increased as necessary so that after making all required deductions (including deductions applicable to additional sums payable under this Section), the Administrative Agent, the Issuer or such Lender receives an amount equal to the sum it would have received had no such deductions been made, (ii) the Company shall make such deductions, (iii) the Company shall pay the full amount deducted to the relevant taxation authority or other authority in accordance with applicable Laws, and (iv) within 30 days after the date of such payment, the Company shall furnish to the Administrative Agent (which shall promptly forward the same to the Issuer or such Lender) the original or a certified copy of a receipt evidencing payment thereof.</w:t>
      </w:r>
    </w:p>
    <w:p>
      <w:pPr>
        <w:spacing w:after="0" w:line="181" w:lineRule="exact"/>
        <w:rPr>
          <w:sz w:val="20"/>
          <w:szCs w:val="20"/>
          <w:color w:val="auto"/>
        </w:rPr>
      </w:pPr>
    </w:p>
    <w:p>
      <w:pPr>
        <w:ind w:right="60" w:firstLine="228"/>
        <w:spacing w:after="0" w:line="259" w:lineRule="auto"/>
        <w:tabs>
          <w:tab w:leader="none" w:pos="51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addition, the Company agrees to pay any and all present or future stamp, court or documentary taxes and any other excise or property taxes or charges or similar levies which arise from any payment made under any Credit Document or from the execution, delivery, performance, enforcement or registration of, or otherwise with respect to, any Credit Document (hereinafter referred to as “Other Taxes”).</w:t>
      </w:r>
    </w:p>
    <w:p>
      <w:pPr>
        <w:spacing w:after="0" w:line="194" w:lineRule="exact"/>
        <w:rPr>
          <w:rFonts w:ascii="Arial" w:cs="Arial" w:eastAsia="Arial" w:hAnsi="Arial"/>
          <w:sz w:val="18"/>
          <w:szCs w:val="18"/>
          <w:color w:val="auto"/>
        </w:rPr>
      </w:pPr>
    </w:p>
    <w:p>
      <w:pPr>
        <w:ind w:firstLine="228"/>
        <w:spacing w:after="0" w:line="256" w:lineRule="auto"/>
        <w:tabs>
          <w:tab w:leader="none" w:pos="5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the Company shall be required to deduct or pay any Taxes or Other Taxes from or in respect of any sum payable under any Credit Document to the Administrative Agent, the Issuer or any Lender, the Company shall also pay to the Administrative Agent or to such Lender, as the case may be, at the time interest is paid, such additional amount that the Administrative Agent, the Issuer or any Lender specifies as necessary to preserve the after-tax yield (after factoring in all taxes, including taxes imposed on or measured by net income) that the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Administrative Agent, the Issuer or any Lender would have received if such Taxes or Other Taxes had not been imposed.</w:t>
      </w:r>
    </w:p>
    <w:p>
      <w:pPr>
        <w:spacing w:after="0" w:line="225" w:lineRule="exact"/>
        <w:rPr>
          <w:sz w:val="20"/>
          <w:szCs w:val="20"/>
          <w:color w:val="auto"/>
        </w:rPr>
      </w:pPr>
    </w:p>
    <w:p>
      <w:pPr>
        <w:ind w:right="200" w:firstLine="228"/>
        <w:spacing w:after="0" w:line="294" w:lineRule="auto"/>
        <w:tabs>
          <w:tab w:leader="none" w:pos="51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Company agrees to indemnify the Administrative Agent, the Issuer and each Lender for (i) the full amount of Taxes and Other Taxes (including any Taxes or Other Taxes imposed or asserted by any jurisdiction on amounts payable under this Section) paid by the Administrative Agent, the Issuer and such Lender, (ii) amounts payable under Section 3.01(c) and (iii) any liability (including additions to tax, penalties, interest and expenses) arising therefrom or with respect thereto, in each case whether or not such Taxes or Other Taxes were correctly or legally imposed or asserted by the relevant Governmental Authority. Payment under this subsection (d) shall be made within 30 days after the date the Issuer, such Lender or the Administrative Agent makes a demand therefor.</w:t>
      </w:r>
    </w:p>
    <w:p>
      <w:pPr>
        <w:spacing w:after="0" w:line="164" w:lineRule="exact"/>
        <w:rPr>
          <w:sz w:val="20"/>
          <w:szCs w:val="20"/>
          <w:color w:val="auto"/>
        </w:rPr>
      </w:pPr>
    </w:p>
    <w:p>
      <w:pPr>
        <w:ind w:firstLine="220"/>
        <w:spacing w:after="0" w:line="309" w:lineRule="auto"/>
        <w:rPr>
          <w:sz w:val="20"/>
          <w:szCs w:val="20"/>
          <w:color w:val="auto"/>
        </w:rPr>
      </w:pPr>
      <w:r>
        <w:rPr>
          <w:rFonts w:ascii="Arial" w:cs="Arial" w:eastAsia="Arial" w:hAnsi="Arial"/>
          <w:sz w:val="15"/>
          <w:szCs w:val="15"/>
          <w:b w:val="1"/>
          <w:bCs w:val="1"/>
          <w:color w:val="auto"/>
        </w:rPr>
        <w:t>3.02 Increased Cost and Reduced Return; Capital Adequacy or Risk-Based Capital</w:t>
      </w:r>
      <w:r>
        <w:rPr>
          <w:rFonts w:ascii="Arial" w:cs="Arial" w:eastAsia="Arial" w:hAnsi="Arial"/>
          <w:sz w:val="15"/>
          <w:szCs w:val="15"/>
          <w:color w:val="auto"/>
        </w:rPr>
        <w:t>. (a) If the Issuer or any Lender determines that as a result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introduction of or any change in or in the interpretation of any Law, or the Issuer’s or such Lender’s compliance therewith, there shall be any increase in the cost to the Issuer or such Lender of issuing or participating in Credits or the funding or maintaining Term Loans or Advances, or a reduction in the amount received or receivable by the Issuer or such Lender in connection with the foregoing (excluding for purposes of this subsection (a) any such increased costs or reduction in amount resulting from (i) Taxes or Other Taxes (as to which Section 3.01 shall govern), or (ii) changes in the basis of taxation of overall net income or overall gross income by the United States or any foreign jurisdiction or any political subdivision of either thereof under the Laws of which the Issuer or such Lender is organized or has its Lending Office), then from time to time upon demand of the Issuer or such Lender (with a copy of such demand to the Administrative Agent), the Company shall pay to the Issuer or such Lender such additional amounts as will compensate the Issuer or such Lender for such increased cost or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62" w:lineRule="exact"/>
        <w:rPr>
          <w:sz w:val="20"/>
          <w:szCs w:val="20"/>
          <w:color w:val="auto"/>
        </w:rPr>
      </w:pPr>
    </w:p>
    <w:p>
      <w:pPr>
        <w:ind w:right="40" w:firstLine="228"/>
        <w:spacing w:after="0" w:line="288" w:lineRule="auto"/>
        <w:tabs>
          <w:tab w:leader="none" w:pos="51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the Issuer or any Lender determines that the introduction of any Law regarding capital adequacy or risk-based capital or any change therein or in the interpretation thereof, or compliance by the Issuer or such Lender (or its Lending Office) therewith, has the effect of reducing the rate of return on the capital of the Issuer or such Lender or any corporation controlling the Issuer or such Lender as a consequence of the Issuer’s or such Lender’s obligations (for avoidance of doubt not including outstanding Term Loans and Advances) hereunder (taking into consideration its policies with respect to capital adequacy or risk-based capital and the Issuer’s or such Lender’s desired return on capital), then from time to time upon demand of the Issuer or such Lender (with a copy of such demand to the Administrative Agent), the Company shall pay to the Issuer or such Lender such additional amounts as will compensate the Issuer or such Lender for such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5" w:name="page216"/>
    <w:bookmarkEnd w:id="215"/>
    <w:p>
      <w:pPr>
        <w:ind w:right="200" w:firstLine="220"/>
        <w:spacing w:after="0" w:line="290" w:lineRule="auto"/>
        <w:rPr>
          <w:sz w:val="20"/>
          <w:szCs w:val="20"/>
          <w:color w:val="auto"/>
        </w:rPr>
      </w:pPr>
      <w:r>
        <w:rPr>
          <w:rFonts w:ascii="Arial" w:cs="Arial" w:eastAsia="Arial" w:hAnsi="Arial"/>
          <w:sz w:val="16"/>
          <w:szCs w:val="16"/>
          <w:b w:val="1"/>
          <w:bCs w:val="1"/>
          <w:color w:val="auto"/>
        </w:rPr>
        <w:t>3.03 Illegality</w:t>
      </w:r>
      <w:r>
        <w:rPr>
          <w:rFonts w:ascii="Arial" w:cs="Arial" w:eastAsia="Arial" w:hAnsi="Arial"/>
          <w:sz w:val="16"/>
          <w:szCs w:val="16"/>
          <w:color w:val="auto"/>
        </w:rPr>
        <w:t>. If any Lender determines that any Law has made it unlawful, or that any Governmental Authority has asserted that it is unlawful,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to make, maintain or fund LIBO Rate Term Loans, or to determine or charge interest rates based upon the LIBO Rate, then, on notice thereof by such Lender to the Company through the Administrative Agent, any obligation of such Lender to make or continue LIBO Rate Term Loans shall be suspended until such Lender notifies the Administrative Agent and the Company that the circumstances giving rise to such determination no longer exist. Upon receipt of such notice, the Company shall, upon demand from such Lender (with a copy to the Administrative Agent), prepay the Term Loans of such Lender, either on the last day of the Interest Period therefor, if such Lender may lawfully continue to maintain such LIBO Rate Term Loans to such day, or immediately, if such Lender may not lawfully continue to maintain such LIBO Rate Term Loans. Upon any such prepayment, the Company shall also pay accrued interest on the amount so prepaid.</w:t>
      </w:r>
    </w:p>
    <w:p>
      <w:pPr>
        <w:spacing w:after="0" w:line="166" w:lineRule="exact"/>
        <w:rPr>
          <w:sz w:val="20"/>
          <w:szCs w:val="20"/>
          <w:color w:val="auto"/>
        </w:rPr>
      </w:pPr>
    </w:p>
    <w:p>
      <w:pPr>
        <w:ind w:right="120" w:firstLine="220"/>
        <w:spacing w:after="0" w:line="262" w:lineRule="auto"/>
        <w:rPr>
          <w:sz w:val="20"/>
          <w:szCs w:val="20"/>
          <w:color w:val="auto"/>
        </w:rPr>
      </w:pPr>
      <w:r>
        <w:rPr>
          <w:rFonts w:ascii="Arial" w:cs="Arial" w:eastAsia="Arial" w:hAnsi="Arial"/>
          <w:sz w:val="18"/>
          <w:szCs w:val="18"/>
          <w:b w:val="1"/>
          <w:bCs w:val="1"/>
          <w:color w:val="auto"/>
        </w:rPr>
        <w:t xml:space="preserve">3.04 Funding Losses. </w:t>
      </w:r>
      <w:r>
        <w:rPr>
          <w:rFonts w:ascii="Arial" w:cs="Arial" w:eastAsia="Arial" w:hAnsi="Arial"/>
          <w:sz w:val="18"/>
          <w:szCs w:val="18"/>
          <w:color w:val="auto"/>
        </w:rPr>
        <w:t>Upon demand of any Lender (with a copy to the Administrative Agent), or demand of the Administrative Agent,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compensate such Lender or the Administrative Agent, as applicable, for and hold such Lender or the Administrative Agent harmless from any loss, cost or expense incurred by it as a result of:</w:t>
      </w:r>
    </w:p>
    <w:p>
      <w:pPr>
        <w:spacing w:after="0" w:line="192" w:lineRule="exact"/>
        <w:rPr>
          <w:sz w:val="20"/>
          <w:szCs w:val="20"/>
          <w:color w:val="auto"/>
        </w:rPr>
      </w:pPr>
    </w:p>
    <w:p>
      <w:pPr>
        <w:ind w:right="580" w:firstLine="228"/>
        <w:spacing w:after="0" w:line="268" w:lineRule="auto"/>
        <w:tabs>
          <w:tab w:leader="none" w:pos="50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payment or prepayment of any LIBO Rate Term Loan or Advance on a day other than the last day of the Interest Period for such Term Loan or Advance (whether voluntary, mandatory, automatic, by reason of acceleration, or otherwise);</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reduction of the Total Credit-Linked Deposits on a day other than the last day of an Interest Period therefor;</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failure by the Company to prepay or borrow any Term Loan on the date or in the amount notified by the Company; or</w:t>
      </w:r>
    </w:p>
    <w:p>
      <w:pPr>
        <w:spacing w:after="0" w:line="225" w:lineRule="exact"/>
        <w:rPr>
          <w:rFonts w:ascii="Arial" w:cs="Arial" w:eastAsia="Arial" w:hAnsi="Arial"/>
          <w:sz w:val="18"/>
          <w:szCs w:val="18"/>
          <w:color w:val="auto"/>
        </w:rPr>
      </w:pPr>
    </w:p>
    <w:p>
      <w:pPr>
        <w:ind w:right="40" w:firstLine="228"/>
        <w:spacing w:after="0" w:line="268" w:lineRule="auto"/>
        <w:tabs>
          <w:tab w:leader="none" w:pos="51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assignment of a LIBO Rate Term Loan on a day other than the last day of the Interest Period therefor as a result of a request by the Company pursuant to Section 3.07;</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Term Loan or from fees payable to terminate the deposits from which such funds were obtained; provided, however, that such Lender shall use commercially reasonable efforts to mitigate any such loss, cost or expense.</w:t>
      </w:r>
    </w:p>
    <w:p>
      <w:pPr>
        <w:spacing w:after="0" w:line="194"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For purposes of calculating amounts payable by the Company to the Lenders under this Section 3.04, each Lender shall be deemed to have funded each LIBO Rate Term Loan made by it at the LIBO Rate used in determining the LIBO Rate for such Term Loan by a matching deposit or other borrowing in the London interbank LIBOR market for a comparable amount and for a comparable period, whether or not such LIBO Rate Term Loan was in fact so funded.</w:t>
      </w:r>
    </w:p>
    <w:p>
      <w:pPr>
        <w:spacing w:after="0" w:line="155" w:lineRule="exact"/>
        <w:rPr>
          <w:sz w:val="20"/>
          <w:szCs w:val="20"/>
          <w:color w:val="auto"/>
        </w:rPr>
      </w:pPr>
    </w:p>
    <w:p>
      <w:pPr>
        <w:ind w:right="380" w:firstLine="220"/>
        <w:spacing w:after="0" w:line="310" w:lineRule="auto"/>
        <w:rPr>
          <w:sz w:val="20"/>
          <w:szCs w:val="20"/>
          <w:color w:val="auto"/>
        </w:rPr>
      </w:pPr>
      <w:r>
        <w:rPr>
          <w:rFonts w:ascii="Arial" w:cs="Arial" w:eastAsia="Arial" w:hAnsi="Arial"/>
          <w:sz w:val="16"/>
          <w:szCs w:val="16"/>
          <w:b w:val="1"/>
          <w:bCs w:val="1"/>
          <w:color w:val="auto"/>
        </w:rPr>
        <w:t>3.05 Matters Applicable to All Requests for Compensation</w:t>
      </w:r>
      <w:r>
        <w:rPr>
          <w:rFonts w:ascii="Arial" w:cs="Arial" w:eastAsia="Arial" w:hAnsi="Arial"/>
          <w:sz w:val="16"/>
          <w:szCs w:val="16"/>
          <w:color w:val="auto"/>
        </w:rPr>
        <w:t>. A certificate of the Administrative Agent, the Issuer or any Lender claiming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Article III and setting forth the additional amount or amounts to be paid to it hereunder shall be conclusive in the absence of manifest error. In determining such amount, the Administrative Agent, the Issuer or any Lender may use any reasonable averaging and attribution methods.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6" w:name="page217"/>
    <w:bookmarkEnd w:id="216"/>
    <w:p>
      <w:pPr>
        <w:ind w:right="180" w:firstLine="220"/>
        <w:spacing w:after="0" w:line="262" w:lineRule="auto"/>
        <w:rPr>
          <w:sz w:val="20"/>
          <w:szCs w:val="20"/>
          <w:color w:val="auto"/>
        </w:rPr>
      </w:pPr>
      <w:r>
        <w:rPr>
          <w:rFonts w:ascii="Arial" w:cs="Arial" w:eastAsia="Arial" w:hAnsi="Arial"/>
          <w:sz w:val="18"/>
          <w:szCs w:val="18"/>
          <w:b w:val="1"/>
          <w:bCs w:val="1"/>
          <w:color w:val="auto"/>
        </w:rPr>
        <w:t>3.06 Survival</w:t>
      </w:r>
      <w:r>
        <w:rPr>
          <w:rFonts w:ascii="Arial" w:cs="Arial" w:eastAsia="Arial" w:hAnsi="Arial"/>
          <w:sz w:val="18"/>
          <w:szCs w:val="18"/>
          <w:color w:val="auto"/>
        </w:rPr>
        <w:t>. All of the Company’s obligations under this Article III shall survive termination of the Credit-Linked Deposits and repayment of all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all other amounts due hereunder for a period of one (1) year; provided, however, any and all of the Company’s obligations under this Article III related to Taxes shall survive for a period of three (3) years.</w:t>
      </w:r>
    </w:p>
    <w:p>
      <w:pPr>
        <w:spacing w:after="0" w:line="186" w:lineRule="exact"/>
        <w:rPr>
          <w:sz w:val="20"/>
          <w:szCs w:val="20"/>
          <w:color w:val="auto"/>
        </w:rPr>
      </w:pPr>
    </w:p>
    <w:p>
      <w:pPr>
        <w:ind w:right="40" w:firstLine="220"/>
        <w:spacing w:after="0" w:line="302" w:lineRule="auto"/>
        <w:rPr>
          <w:sz w:val="20"/>
          <w:szCs w:val="20"/>
          <w:color w:val="auto"/>
        </w:rPr>
      </w:pPr>
      <w:r>
        <w:rPr>
          <w:rFonts w:ascii="Arial" w:cs="Arial" w:eastAsia="Arial" w:hAnsi="Arial"/>
          <w:sz w:val="15"/>
          <w:szCs w:val="15"/>
          <w:b w:val="1"/>
          <w:bCs w:val="1"/>
          <w:color w:val="auto"/>
        </w:rPr>
        <w:t>3.07 Replacement of Lenders</w:t>
      </w:r>
      <w:r>
        <w:rPr>
          <w:rFonts w:ascii="Arial" w:cs="Arial" w:eastAsia="Arial" w:hAnsi="Arial"/>
          <w:sz w:val="15"/>
          <w:szCs w:val="15"/>
          <w:color w:val="auto"/>
        </w:rPr>
        <w:t>. On each occasion that a Lender either makes a demand for compensation pursuant to Section 3.02 in an amount in excess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amount that the Company would have had to pay pursuant to such Section if such Lender’s Credit-Linked Deposit or Term Loan was held by a Lender with respect to which no such amounts would then be payable pursuant to such Section, the Company may, upon at least ten Business Days’ prior written notice to the Issuer, each such Lender and the Administrative Agent, in whole permanently replace the Credit-Linked Deposit or Term Loan of such Lender; provided that, the Company shall replace such Credit-Linked Deposit or Term Loan with the Credit-Linked Deposit or Term Loan of (a) any other Lender, or, if no other Lender shall agree to replace such Lender (within 30 days after being offered such option), (b) a substitute lending institution which is an Eligible Assignee (in each case, a “Replacement Lender”). Such Replacement Lender shall, upon the effective date of replacement, purchase the Credit-Linked Deposit or Term Loan of, and the Credit Obligations owed to, such replaced Lender for the aggregate amount thereof and shall thereupon for all purposes become a “Lender” hereunder. Such notice from the Company shall specify an effective date for the replacement of such Lender, which date shall not be earlier than the tenth day after the day such notice is given. On the effective date of any replacement of such Lender pursuant to this Section 3.07 and in accordance with the terms of Section 10.07, the Company shall pay to the Administrative Agent for the account of such Lender (i) any fees or other amounts due to such Lender to the date of such replacement,</w:t>
      </w:r>
    </w:p>
    <w:p>
      <w:pPr>
        <w:spacing w:after="0" w:line="2" w:lineRule="exact"/>
        <w:rPr>
          <w:sz w:val="20"/>
          <w:szCs w:val="20"/>
          <w:color w:val="auto"/>
        </w:rPr>
      </w:pPr>
    </w:p>
    <w:p>
      <w:pPr>
        <w:ind w:right="120" w:firstLine="8"/>
        <w:spacing w:after="0" w:line="300" w:lineRule="auto"/>
        <w:tabs>
          <w:tab w:leader="none" w:pos="258"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accrued interest on the principal amount of outstanding Borrowings and the Credit-Linked Deposit or Term Loan held by such Lender to the date of such replacement and (iii) any other amount or amounts payable to such Lender pursuant to this Section 3.07. Upon the effective date of replacement of any Lender pursuant to this Section 3.07, such Lender shall cease to be a “Lender” hereunder, without any other or further act or deed on the part of any other Lender. No such replacement of any such Lender, the purchase of such Lender’s Borrowings, Credit-Linked Deposit or Term Loans pursuant to this Section 3.07 shall affect</w:t>
      </w:r>
    </w:p>
    <w:p>
      <w:pPr>
        <w:spacing w:after="0" w:line="1" w:lineRule="exact"/>
        <w:rPr>
          <w:rFonts w:ascii="Arial" w:cs="Arial" w:eastAsia="Arial" w:hAnsi="Arial"/>
          <w:sz w:val="15"/>
          <w:szCs w:val="15"/>
          <w:color w:val="auto"/>
        </w:rPr>
      </w:pPr>
    </w:p>
    <w:p>
      <w:pPr>
        <w:ind w:right="200" w:firstLine="8"/>
        <w:spacing w:after="0" w:line="261" w:lineRule="auto"/>
        <w:tabs>
          <w:tab w:leader="none" w:pos="24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liability or obligation of the Company or any other Lender to such replaced Lender which accrued on or prior to the date of such termination or (y) such replaced Lender’s rights hereunder in respect of any such liability or obligation.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13" w:lineRule="exact"/>
        <w:rPr>
          <w:sz w:val="20"/>
          <w:szCs w:val="20"/>
          <w:color w:val="auto"/>
        </w:rPr>
      </w:pPr>
    </w:p>
    <w:p>
      <w:pPr>
        <w:ind w:right="740" w:firstLine="220"/>
        <w:spacing w:after="0" w:line="339" w:lineRule="auto"/>
        <w:rPr>
          <w:sz w:val="20"/>
          <w:szCs w:val="20"/>
          <w:color w:val="auto"/>
        </w:rPr>
      </w:pPr>
      <w:r>
        <w:rPr>
          <w:rFonts w:ascii="Arial" w:cs="Arial" w:eastAsia="Arial" w:hAnsi="Arial"/>
          <w:sz w:val="16"/>
          <w:szCs w:val="16"/>
          <w:b w:val="1"/>
          <w:bCs w:val="1"/>
          <w:color w:val="auto"/>
        </w:rPr>
        <w:t>4.01 Conditions of Credit-Linked Deposits and Initial Credit Extension</w:t>
      </w:r>
      <w:r>
        <w:rPr>
          <w:rFonts w:ascii="Arial" w:cs="Arial" w:eastAsia="Arial" w:hAnsi="Arial"/>
          <w:sz w:val="16"/>
          <w:szCs w:val="16"/>
          <w:color w:val="auto"/>
        </w:rPr>
        <w:t>. The obligation of each Lender to fund its Credit-Linked Deposit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the Issuer to make its initial Credit Extension hereunder are subject to satisfaction or waiver of the following conditions precedent:</w:t>
      </w:r>
    </w:p>
    <w:p>
      <w:pPr>
        <w:spacing w:after="0" w:line="134" w:lineRule="exact"/>
        <w:rPr>
          <w:sz w:val="20"/>
          <w:szCs w:val="20"/>
          <w:color w:val="auto"/>
        </w:rPr>
      </w:pPr>
    </w:p>
    <w:p>
      <w:pPr>
        <w:ind w:right="160" w:firstLine="228"/>
        <w:spacing w:after="0" w:line="268" w:lineRule="auto"/>
        <w:tabs>
          <w:tab w:leader="none" w:pos="50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Administrative Agent’s and Lenders’ special counsel’s receipt of the following, each of which shall be originals or facsimiles (followed promptly by originals) unless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7" w:name="page218"/>
    <w:bookmarkEnd w:id="217"/>
    <w:p>
      <w:pPr>
        <w:ind w:right="140"/>
        <w:spacing w:after="0" w:line="259" w:lineRule="auto"/>
        <w:rPr>
          <w:sz w:val="20"/>
          <w:szCs w:val="20"/>
          <w:color w:val="auto"/>
        </w:rPr>
      </w:pPr>
      <w:r>
        <w:rPr>
          <w:rFonts w:ascii="Arial" w:cs="Arial" w:eastAsia="Arial" w:hAnsi="Arial"/>
          <w:sz w:val="18"/>
          <w:szCs w:val="18"/>
          <w:color w:val="auto"/>
        </w:rPr>
        <w:t>otherwise specified, each properly executed by a Responsible Officer or Secretary or assistant Secretary, as applicable of the signing Credit Party, each dated the Closing Date (or, in the case of certificates of governmental officials, a recent date before the Closing Date) and each in form and substance reasonably satisfactory to the Administrative Agent, the Issuer, the Lenders and their respective legal counsel:</w:t>
      </w:r>
    </w:p>
    <w:p>
      <w:pPr>
        <w:spacing w:after="0" w:line="194" w:lineRule="exact"/>
        <w:rPr>
          <w:sz w:val="20"/>
          <w:szCs w:val="20"/>
          <w:color w:val="auto"/>
        </w:rPr>
      </w:pPr>
    </w:p>
    <w:p>
      <w:pPr>
        <w:ind w:left="660" w:hanging="213"/>
        <w:spacing w:after="0"/>
        <w:tabs>
          <w:tab w:leader="none" w:pos="6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the Issuer, each Lender and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8" w:lineRule="exact"/>
        <w:rPr>
          <w:rFonts w:ascii="Arial" w:cs="Arial" w:eastAsia="Arial" w:hAnsi="Arial"/>
          <w:sz w:val="16"/>
          <w:szCs w:val="16"/>
          <w:color w:val="auto"/>
        </w:rPr>
      </w:pPr>
    </w:p>
    <w:p>
      <w:pPr>
        <w:ind w:right="20" w:firstLine="447"/>
        <w:spacing w:after="0" w:line="268" w:lineRule="auto"/>
        <w:tabs>
          <w:tab w:leader="none" w:pos="6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certified copies of the certificate or articles of incorporation (including all amendments thereto) of each Credit Party, certified as of a recent date prior to the Closing Date by the Secretary of State of the respective states of incorporation of such Credit Party;</w:t>
      </w:r>
    </w:p>
    <w:p>
      <w:pPr>
        <w:spacing w:after="0" w:line="185" w:lineRule="exact"/>
        <w:rPr>
          <w:rFonts w:ascii="Arial" w:cs="Arial" w:eastAsia="Arial" w:hAnsi="Arial"/>
          <w:sz w:val="18"/>
          <w:szCs w:val="18"/>
          <w:color w:val="auto"/>
        </w:rPr>
      </w:pPr>
    </w:p>
    <w:p>
      <w:pPr>
        <w:ind w:right="100" w:firstLine="447"/>
        <w:spacing w:after="0" w:line="268" w:lineRule="auto"/>
        <w:tabs>
          <w:tab w:leader="none" w:pos="7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copies of the bylaws (including all amendments thereto) of each Credit Party, certified as of the Closing Date by the Secretary or assistant Secretary of such Credit Party;</w:t>
      </w:r>
    </w:p>
    <w:p>
      <w:pPr>
        <w:spacing w:after="0" w:line="185" w:lineRule="exact"/>
        <w:rPr>
          <w:rFonts w:ascii="Arial" w:cs="Arial" w:eastAsia="Arial" w:hAnsi="Arial"/>
          <w:sz w:val="18"/>
          <w:szCs w:val="18"/>
          <w:color w:val="auto"/>
        </w:rPr>
      </w:pPr>
    </w:p>
    <w:p>
      <w:pPr>
        <w:jc w:val="both"/>
        <w:ind w:right="120" w:firstLine="447"/>
        <w:spacing w:after="0" w:line="259" w:lineRule="auto"/>
        <w:tabs>
          <w:tab w:leader="none" w:pos="7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incumbency certificates of the Secretary or assistant Secretary of each Credit Party evidencing the identity, authority and capacity of each Responsible Officer or Authorized Representative thereof authorized to act as a Responsible Officer or Authorized Representative in connection with this Agreement and the other Credit Documents to which such Credit Party is a party;</w:t>
      </w:r>
    </w:p>
    <w:p>
      <w:pPr>
        <w:spacing w:after="0" w:line="194" w:lineRule="exact"/>
        <w:rPr>
          <w:rFonts w:ascii="Arial" w:cs="Arial" w:eastAsia="Arial" w:hAnsi="Arial"/>
          <w:sz w:val="18"/>
          <w:szCs w:val="18"/>
          <w:color w:val="auto"/>
        </w:rPr>
      </w:pPr>
    </w:p>
    <w:p>
      <w:pPr>
        <w:ind w:right="80" w:firstLine="447"/>
        <w:spacing w:after="0" w:line="298" w:lineRule="auto"/>
        <w:tabs>
          <w:tab w:leader="none" w:pos="68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certificates of the Secretary of State or other appropriate official of the respective states of incorporation of each the Credit Party, certifying as of a recent date prior to the Closing Date that such Credit Party is duly organized or formed and validly existing and in good standing in the jurisdiction of its organization or formation as of such date, and certificates of the Secretary of State or other appropriate official of the State of Texas, certifying as of a recent date prior to the Closing Date that such Credit Party is in good standing and qualified to engage in business in the State of Texas;</w:t>
      </w:r>
    </w:p>
    <w:p>
      <w:pPr>
        <w:spacing w:after="0" w:line="166" w:lineRule="exact"/>
        <w:rPr>
          <w:rFonts w:ascii="Arial" w:cs="Arial" w:eastAsia="Arial" w:hAnsi="Arial"/>
          <w:sz w:val="16"/>
          <w:szCs w:val="16"/>
          <w:color w:val="auto"/>
        </w:rPr>
      </w:pPr>
    </w:p>
    <w:p>
      <w:pPr>
        <w:ind w:right="80" w:firstLine="447"/>
        <w:spacing w:after="0" w:line="255" w:lineRule="auto"/>
        <w:tabs>
          <w:tab w:leader="none" w:pos="7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true and correct copies of the resolutions adopted by the respective boards of directors of each Credit Party, duly certified as of the Closing Date by the Secretary or assistant Secretary of such Credit Party, (i) approving the transactions contemplated by (and the form of) this Agreement and the other Credit Documents and all other documents to be entered into in connection with this Agreement to be delivered by such Credit Party hereunder and (ii) authorizing the officers of such Credit Party, and each of them, acting individually or together, to execute and deliver each such document with such changes as such officer or officers shall approve;</w:t>
      </w:r>
    </w:p>
    <w:p>
      <w:pPr>
        <w:spacing w:after="0" w:line="196" w:lineRule="exact"/>
        <w:rPr>
          <w:rFonts w:ascii="Arial" w:cs="Arial" w:eastAsia="Arial" w:hAnsi="Arial"/>
          <w:sz w:val="18"/>
          <w:szCs w:val="18"/>
          <w:color w:val="auto"/>
        </w:rPr>
      </w:pPr>
    </w:p>
    <w:p>
      <w:pPr>
        <w:ind w:right="100" w:firstLine="447"/>
        <w:spacing w:after="0" w:line="256" w:lineRule="auto"/>
        <w:tabs>
          <w:tab w:leader="none" w:pos="78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Company certifying that (a) the representations and warranties contained in Article V, or any other Credit Document are true and correct, (b) no Default or Event of Default has occurred and is continuing, and (c) since the date of the Audited Financial Statements, no event or circumstance that either individually or in the aggregate has resulted in or could reasonably be expected to result in a Material Adverse Effect;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8" w:name="page219"/>
    <w:bookmarkEnd w:id="218"/>
    <w:p>
      <w:pPr>
        <w:ind w:right="120" w:firstLine="447"/>
        <w:spacing w:after="0" w:line="370" w:lineRule="auto"/>
        <w:tabs>
          <w:tab w:leader="none" w:pos="834" w:val="left"/>
        </w:tabs>
        <w:numPr>
          <w:ilvl w:val="1"/>
          <w:numId w:val="249"/>
        </w:numPr>
        <w:rPr>
          <w:rFonts w:ascii="Arial" w:cs="Arial" w:eastAsia="Arial" w:hAnsi="Arial"/>
          <w:sz w:val="15"/>
          <w:szCs w:val="15"/>
          <w:color w:val="auto"/>
        </w:rPr>
      </w:pPr>
      <w:r>
        <w:rPr>
          <w:rFonts w:ascii="Arial" w:cs="Arial" w:eastAsia="Arial" w:hAnsi="Arial"/>
          <w:sz w:val="15"/>
          <w:szCs w:val="15"/>
          <w:color w:val="auto"/>
        </w:rPr>
        <w:t>opinions of counsel to each Credit Party, addressed to the Administrative Agent, the Issuer and each Lender, as to the matters set forth in Exhibit C-1 and such other matters concerning the Credit Parties and the Credit Documents as the Issuer or the Required Credit-Linked Lenders may reasonably request;</w:t>
      </w:r>
    </w:p>
    <w:p>
      <w:pPr>
        <w:spacing w:after="0" w:line="116" w:lineRule="exact"/>
        <w:rPr>
          <w:rFonts w:ascii="Arial" w:cs="Arial" w:eastAsia="Arial" w:hAnsi="Arial"/>
          <w:sz w:val="15"/>
          <w:szCs w:val="15"/>
          <w:color w:val="auto"/>
        </w:rPr>
      </w:pPr>
    </w:p>
    <w:p>
      <w:pPr>
        <w:ind w:right="60" w:firstLine="447"/>
        <w:spacing w:after="0" w:line="332" w:lineRule="auto"/>
        <w:tabs>
          <w:tab w:leader="none" w:pos="73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opinions of counsel to the Administrative Agent and the Issuer, addressed to the Administrative Agent, the Issuer and each Lender, as to the matters set forth in Exhibit C-2 and Exhibit C-3 and such other matters as the Required Credit-Linked Lenders may reasonably request; and</w:t>
      </w:r>
    </w:p>
    <w:p>
      <w:pPr>
        <w:spacing w:after="0" w:line="139" w:lineRule="exact"/>
        <w:rPr>
          <w:rFonts w:ascii="Arial" w:cs="Arial" w:eastAsia="Arial" w:hAnsi="Arial"/>
          <w:sz w:val="16"/>
          <w:szCs w:val="16"/>
          <w:color w:val="auto"/>
        </w:rPr>
      </w:pPr>
    </w:p>
    <w:p>
      <w:pPr>
        <w:ind w:right="300" w:firstLine="447"/>
        <w:spacing w:after="0" w:line="268" w:lineRule="auto"/>
        <w:tabs>
          <w:tab w:leader="none" w:pos="68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opinion of special counsel to the Lenders, addressed to each Lender, as to the matters set forth in Exhibit C-4 and such other matters as the Required Credit-Linked Lenders may reasonably request.</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225" w:lineRule="exact"/>
        <w:rPr>
          <w:rFonts w:ascii="Arial" w:cs="Arial" w:eastAsia="Arial" w:hAnsi="Arial"/>
          <w:sz w:val="18"/>
          <w:szCs w:val="18"/>
          <w:color w:val="auto"/>
        </w:rPr>
      </w:pPr>
    </w:p>
    <w:p>
      <w:pPr>
        <w:ind w:right="80" w:firstLine="228"/>
        <w:spacing w:after="0" w:line="268" w:lineRule="auto"/>
        <w:tabs>
          <w:tab w:leader="none" w:pos="50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shall have paid all reasonable Attorney Costs of (i) the Administrative Agent, and (ii) the special counsel to the Lenders, in each case to the extent invoiced prior to or on the Closing Date.</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Closing Date shall have occurred on or prior to June 30, 2003.</w:t>
      </w:r>
    </w:p>
    <w:p>
      <w:pPr>
        <w:spacing w:after="0" w:line="225" w:lineRule="exact"/>
        <w:rPr>
          <w:rFonts w:ascii="Arial" w:cs="Arial" w:eastAsia="Arial" w:hAnsi="Arial"/>
          <w:sz w:val="18"/>
          <w:szCs w:val="18"/>
          <w:color w:val="auto"/>
        </w:rPr>
      </w:pPr>
    </w:p>
    <w:p>
      <w:pPr>
        <w:ind w:right="60" w:firstLine="228"/>
        <w:spacing w:after="0" w:line="289" w:lineRule="auto"/>
        <w:tabs>
          <w:tab w:leader="none" w:pos="50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On the Closing Date, each Lender’s purchase of its Participation shall (i) be permitted by the laws and regulations of each jurisdiction to which such Lender is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such Lender to any tax, penalty or liability under or pursuant to any applicable law or regulation, which law or regulation was not in effect on the date hereof. If requested by each Lender, such Lender shall have received an Officer’s Certificate certifying as to such matters of fact as such Lender may reasonably specify to enable such Lender to determine whether such purchase is so permitted. The wire transfer of funds on the Closing Date by each Lender in the amount of its Credit-Linked Deposit to the Administrative Agent shall constitute its confirmation as to satisfaction of this condition with respect to such Lender.</w:t>
      </w:r>
    </w:p>
    <w:p>
      <w:pPr>
        <w:spacing w:after="0" w:line="172" w:lineRule="exact"/>
        <w:rPr>
          <w:rFonts w:ascii="Arial" w:cs="Arial" w:eastAsia="Arial" w:hAnsi="Arial"/>
          <w:sz w:val="16"/>
          <w:szCs w:val="16"/>
          <w:color w:val="auto"/>
        </w:rPr>
      </w:pPr>
    </w:p>
    <w:p>
      <w:pPr>
        <w:ind w:right="340" w:firstLine="228"/>
        <w:spacing w:after="0" w:line="306" w:lineRule="auto"/>
        <w:tabs>
          <w:tab w:leader="none" w:pos="48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 Private Placement number issued by Standard &amp; Poor’s CUSIP Service Bureau (in cooperation with the Securities Valuation Office of the National Association of Insurance Commissioners) shall have been obtained for (i) the Letter of Credit Linked Notes and (ii) the Term Notes, which Private Placement number shall not be in the series of numbers issued to Bank of America Corporation and its affiliates, including but not limited to Bank of America.</w:t>
      </w:r>
    </w:p>
    <w:p>
      <w:pPr>
        <w:spacing w:after="0" w:line="160" w:lineRule="exact"/>
        <w:rPr>
          <w:rFonts w:ascii="Arial" w:cs="Arial" w:eastAsia="Arial" w:hAnsi="Arial"/>
          <w:sz w:val="16"/>
          <w:szCs w:val="16"/>
          <w:color w:val="auto"/>
        </w:rPr>
      </w:pPr>
    </w:p>
    <w:p>
      <w:pPr>
        <w:ind w:left="520" w:hanging="292"/>
        <w:spacing w:after="0"/>
        <w:tabs>
          <w:tab w:leader="none" w:pos="52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Issuer shall have received evidence satisfactory to it that each Lender, in respect of its Participation hereunder, has funded its Credit-Linked Deposit.</w:t>
      </w:r>
    </w:p>
    <w:p>
      <w:pPr>
        <w:spacing w:after="0" w:line="248" w:lineRule="exact"/>
        <w:rPr>
          <w:rFonts w:ascii="Arial" w:cs="Arial" w:eastAsia="Arial" w:hAnsi="Arial"/>
          <w:sz w:val="16"/>
          <w:szCs w:val="16"/>
          <w:color w:val="auto"/>
        </w:rPr>
      </w:pPr>
    </w:p>
    <w:p>
      <w:pPr>
        <w:ind w:left="520" w:hanging="292"/>
        <w:spacing w:after="0"/>
        <w:tabs>
          <w:tab w:leader="none" w:pos="52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and the Administrative Agent shall have executed and delivered to each Lender such Lender’s Letter of Credit Linked Note.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19" w:name="page220"/>
    <w:bookmarkEnd w:id="219"/>
    <w:p>
      <w:pPr>
        <w:ind w:right="20" w:firstLine="228"/>
        <w:spacing w:after="0" w:line="268" w:lineRule="auto"/>
        <w:tabs>
          <w:tab w:leader="none" w:pos="47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Administrative Agent and Bank of America in its capacity as depository shall have executed and delivered the Money Market Account Agreement and special counsel for the Lenders shall have received a copy thereof.</w:t>
      </w:r>
    </w:p>
    <w:p>
      <w:pPr>
        <w:spacing w:after="0" w:line="180" w:lineRule="exact"/>
        <w:rPr>
          <w:sz w:val="20"/>
          <w:szCs w:val="20"/>
          <w:color w:val="auto"/>
        </w:rPr>
      </w:pPr>
    </w:p>
    <w:p>
      <w:pPr>
        <w:ind w:right="20" w:firstLine="220"/>
        <w:spacing w:after="0" w:line="275" w:lineRule="auto"/>
        <w:rPr>
          <w:sz w:val="20"/>
          <w:szCs w:val="20"/>
          <w:color w:val="auto"/>
        </w:rPr>
      </w:pPr>
      <w:r>
        <w:rPr>
          <w:rFonts w:ascii="Arial" w:cs="Arial" w:eastAsia="Arial" w:hAnsi="Arial"/>
          <w:sz w:val="18"/>
          <w:szCs w:val="18"/>
          <w:b w:val="1"/>
          <w:bCs w:val="1"/>
          <w:color w:val="auto"/>
        </w:rPr>
        <w:t>4.02 Conditions to all Credit Extensions by the Issuer</w:t>
      </w:r>
      <w:r>
        <w:rPr>
          <w:rFonts w:ascii="Arial" w:cs="Arial" w:eastAsia="Arial" w:hAnsi="Arial"/>
          <w:sz w:val="18"/>
          <w:szCs w:val="18"/>
          <w:color w:val="auto"/>
        </w:rPr>
        <w:t>. The obligation of the Issuer to make any Credit Extension or honor any Request for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following conditions precedent:</w:t>
      </w:r>
    </w:p>
    <w:p>
      <w:pPr>
        <w:spacing w:after="0" w:line="180" w:lineRule="exact"/>
        <w:rPr>
          <w:sz w:val="20"/>
          <w:szCs w:val="20"/>
          <w:color w:val="auto"/>
        </w:rPr>
      </w:pPr>
    </w:p>
    <w:p>
      <w:pPr>
        <w:ind w:right="20" w:firstLine="228"/>
        <w:spacing w:after="0" w:line="255" w:lineRule="auto"/>
        <w:tabs>
          <w:tab w:leader="none" w:pos="5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each other Credit Party contained in Article V, or any other Credit Document, or which are contained in any document furnished at any time under or in connection herewith or therewith, shall be true and correct on and as of the date of such Credit Extension, except to the extent that such representations and warranties relate expressly and solely to an earlier date, and except to the extent of changes resulting from transactions contemplated or permitted by the Credit Documents and changes occurring in the ordinary course of business which either individually or in the aggregate do not result in a Material Adverse Effect.</w:t>
      </w:r>
    </w:p>
    <w:p>
      <w:pPr>
        <w:spacing w:after="0" w:line="196" w:lineRule="exact"/>
        <w:rPr>
          <w:rFonts w:ascii="Arial" w:cs="Arial" w:eastAsia="Arial" w:hAnsi="Arial"/>
          <w:sz w:val="18"/>
          <w:szCs w:val="18"/>
          <w:color w:val="auto"/>
        </w:rPr>
      </w:pPr>
    </w:p>
    <w:p>
      <w:pPr>
        <w:ind w:left="520" w:hanging="292"/>
        <w:spacing w:after="0"/>
        <w:tabs>
          <w:tab w:leader="none" w:pos="5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Credit Extension.</w:t>
      </w:r>
    </w:p>
    <w:p>
      <w:pPr>
        <w:spacing w:after="0" w:line="225" w:lineRule="exact"/>
        <w:rPr>
          <w:rFonts w:ascii="Arial" w:cs="Arial" w:eastAsia="Arial" w:hAnsi="Arial"/>
          <w:sz w:val="18"/>
          <w:szCs w:val="18"/>
          <w:color w:val="auto"/>
        </w:rPr>
      </w:pPr>
    </w:p>
    <w:p>
      <w:pPr>
        <w:ind w:right="100" w:firstLine="228"/>
        <w:spacing w:after="0" w:line="268" w:lineRule="auto"/>
        <w:tabs>
          <w:tab w:leader="none" w:pos="5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 has occurred since the date of the Audited Financial Statements, no event or circumstance that either individually or in the aggregate has resulted in or could reasonably be expected to result in a Material Adverse Effect.</w:t>
      </w:r>
    </w:p>
    <w:p>
      <w:pPr>
        <w:spacing w:after="0" w:line="185" w:lineRule="exact"/>
        <w:rPr>
          <w:rFonts w:ascii="Arial" w:cs="Arial" w:eastAsia="Arial" w:hAnsi="Arial"/>
          <w:sz w:val="18"/>
          <w:szCs w:val="18"/>
          <w:color w:val="auto"/>
        </w:rPr>
      </w:pPr>
    </w:p>
    <w:p>
      <w:pPr>
        <w:ind w:right="1020" w:firstLine="228"/>
        <w:spacing w:after="0" w:line="332" w:lineRule="auto"/>
        <w:tabs>
          <w:tab w:leader="none" w:pos="51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Except in the case of any automatic renewal of any Auto-Renewal Credit or any automatic reinstatement of any Auto-Reinstating Credit, the Administrative Agent and the Issuer shall have received a Request for Credit Extension in accordance with the requirements hereof.</w:t>
      </w:r>
    </w:p>
    <w:p>
      <w:pPr>
        <w:spacing w:after="0" w:line="139" w:lineRule="exact"/>
        <w:rPr>
          <w:rFonts w:ascii="Arial" w:cs="Arial" w:eastAsia="Arial" w:hAnsi="Arial"/>
          <w:sz w:val="16"/>
          <w:szCs w:val="16"/>
          <w:color w:val="auto"/>
        </w:rPr>
      </w:pPr>
    </w:p>
    <w:p>
      <w:pPr>
        <w:ind w:right="20" w:firstLine="228"/>
        <w:spacing w:after="0" w:line="268" w:lineRule="auto"/>
        <w:tabs>
          <w:tab w:leader="none" w:pos="5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satisfactory to it, such other assurances, certificates, documents or consents related to the foregoing as the Administrative Agent, the Issuer or the Required Lenders reasonably may require.</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Each Request for Credit Extension submitted by the Company shall be deemed to be a representation and warranty that the conditions specified in Sections 4.02(a), (b) and (c) have been satisfied on and as of the date of the applicable Credit Extension.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4.03 Conditions to Term Loans</w:t>
      </w:r>
      <w:r>
        <w:rPr>
          <w:rFonts w:ascii="Arial" w:cs="Arial" w:eastAsia="Arial" w:hAnsi="Arial"/>
          <w:sz w:val="18"/>
          <w:szCs w:val="18"/>
          <w:color w:val="auto"/>
        </w:rPr>
        <w:t>. The obligation of the Lenders to make any Term Loans is subject to the following conditions precedent:</w:t>
      </w:r>
    </w:p>
    <w:p>
      <w:pPr>
        <w:spacing w:after="0" w:line="231" w:lineRule="exact"/>
        <w:rPr>
          <w:sz w:val="20"/>
          <w:szCs w:val="20"/>
          <w:color w:val="auto"/>
        </w:rPr>
      </w:pPr>
    </w:p>
    <w:p>
      <w:pPr>
        <w:ind w:left="520" w:hanging="292"/>
        <w:spacing w:after="0"/>
        <w:tabs>
          <w:tab w:leader="none" w:pos="5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Administrative Agent shall have received in accordance with the provisions of Section 2.03(b) hereof an originally executed Request for Term Loans.</w:t>
      </w:r>
    </w:p>
    <w:p>
      <w:pPr>
        <w:spacing w:after="0" w:line="248" w:lineRule="exact"/>
        <w:rPr>
          <w:rFonts w:ascii="Arial" w:cs="Arial" w:eastAsia="Arial" w:hAnsi="Arial"/>
          <w:sz w:val="16"/>
          <w:szCs w:val="16"/>
          <w:color w:val="auto"/>
        </w:rPr>
      </w:pPr>
    </w:p>
    <w:p>
      <w:pPr>
        <w:ind w:right="240" w:firstLine="228"/>
        <w:spacing w:after="0" w:line="259" w:lineRule="auto"/>
        <w:tabs>
          <w:tab w:leader="none" w:pos="51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 by a duly authorized Senior Responsible Officer, shall have executed and delivered to the Administrative Agent on the applicable Term Loan Issuance Date, for delivery to the Lenders, Term Notes to evidence such Term Loans, dated as of the Term Loan Issuance Date, in the aggregate principal amount of the Term Loans and with other appropriate insertions.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0" w:name="page221"/>
    <w:bookmarkEnd w:id="220"/>
    <w:p>
      <w:pPr>
        <w:ind w:right="280" w:firstLine="228"/>
        <w:spacing w:after="0" w:line="268" w:lineRule="auto"/>
        <w:tabs>
          <w:tab w:leader="none" w:pos="50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Administrative Agent shall have received an opinion of in-house counsel of the Company, addressed to the Administrative Agent and each Lender, substantially in the form of Exhibit H attached hereto.</w:t>
      </w:r>
    </w:p>
    <w:p>
      <w:pPr>
        <w:spacing w:after="0" w:line="185" w:lineRule="exact"/>
        <w:rPr>
          <w:rFonts w:ascii="Arial" w:cs="Arial" w:eastAsia="Arial" w:hAnsi="Arial"/>
          <w:sz w:val="18"/>
          <w:szCs w:val="18"/>
          <w:color w:val="auto"/>
        </w:rPr>
      </w:pPr>
    </w:p>
    <w:p>
      <w:pPr>
        <w:ind w:right="320" w:firstLine="228"/>
        <w:spacing w:after="0" w:line="259" w:lineRule="auto"/>
        <w:tabs>
          <w:tab w:leader="none" w:pos="51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Conditions Satisfied. The Company shall have delivered to the Administrative Agent an Officer’s Certificate, dated as of the applicable Term Loan Issuance Date, in form and substance satisfactory to the Administrative Agent, certifying that all conditions precedent set forth in Sections 4.02(a) and (b) and 4.03 have been satisfied on and as of the applicable Term Loan Issuance Date.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Request for Term Loans submitted by the Company shall be deemed to be a representation and warranty that the conditions specified in Sections 4.02(a) and (b) have been satisfied on and as of the date of the applicable Term Loan Issuance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5.01 Organization; Power and Authority</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254" w:lineRule="auto"/>
        <w:tabs>
          <w:tab w:leader="none" w:pos="50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Credit Documents to which it is a party and to perform the provisions hereof and thereof.</w:t>
      </w:r>
    </w:p>
    <w:p>
      <w:pPr>
        <w:spacing w:after="0" w:line="198" w:lineRule="exact"/>
        <w:rPr>
          <w:rFonts w:ascii="Arial" w:cs="Arial" w:eastAsia="Arial" w:hAnsi="Arial"/>
          <w:sz w:val="18"/>
          <w:szCs w:val="18"/>
          <w:color w:val="auto"/>
        </w:rPr>
      </w:pPr>
    </w:p>
    <w:p>
      <w:pPr>
        <w:ind w:right="20" w:firstLine="228"/>
        <w:spacing w:after="0" w:line="254" w:lineRule="auto"/>
        <w:tabs>
          <w:tab w:leader="none" w:pos="51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Holdings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on Holdings and its Subsidiaries, taken as a whole. Holdings has the corporate power and authority to own or hold under lease the properties it purports to own or hold under lease, to transact the business it transacts and proposes to transact, to execute and deliver this Agreement and the Credit Documents to which it is a party and to perform the provisions hereof and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5.02 Authorization, etc</w:t>
      </w:r>
      <w:r>
        <w:rPr>
          <w:rFonts w:ascii="Arial" w:cs="Arial" w:eastAsia="Arial" w:hAnsi="Arial"/>
          <w:sz w:val="18"/>
          <w:szCs w:val="18"/>
          <w:color w:val="auto"/>
        </w:rPr>
        <w:t>.</w:t>
      </w:r>
    </w:p>
    <w:p>
      <w:pPr>
        <w:spacing w:after="0" w:line="231" w:lineRule="exact"/>
        <w:rPr>
          <w:sz w:val="20"/>
          <w:szCs w:val="20"/>
          <w:color w:val="auto"/>
        </w:rPr>
      </w:pPr>
    </w:p>
    <w:p>
      <w:pPr>
        <w:ind w:right="140" w:firstLine="228"/>
        <w:spacing w:after="0" w:line="259" w:lineRule="auto"/>
        <w:tabs>
          <w:tab w:leader="none" w:pos="50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This Agreement and each other Credit Document have been duly authorized by all necessary corporate action on the part of the Company, and this Agreement constitutes, and each other Credit Document to which the Company is a party when executed and delivered will constitute, a legal, valid and binding obligation of the Company enforceable against the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1" w:name="page222"/>
    <w:bookmarkEnd w:id="221"/>
    <w:p>
      <w:pPr>
        <w:ind w:right="40"/>
        <w:spacing w:after="0" w:line="259" w:lineRule="auto"/>
        <w:rPr>
          <w:sz w:val="20"/>
          <w:szCs w:val="20"/>
          <w:color w:val="auto"/>
        </w:rPr>
      </w:pPr>
      <w:r>
        <w:rPr>
          <w:rFonts w:ascii="Arial" w:cs="Arial" w:eastAsia="Arial" w:hAnsi="Arial"/>
          <w:sz w:val="18"/>
          <w:szCs w:val="18"/>
          <w:color w:val="auto"/>
        </w:rPr>
        <w:t>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94" w:lineRule="exact"/>
        <w:rPr>
          <w:sz w:val="20"/>
          <w:szCs w:val="20"/>
          <w:color w:val="auto"/>
        </w:rPr>
      </w:pPr>
    </w:p>
    <w:p>
      <w:pPr>
        <w:ind w:right="80" w:firstLine="228"/>
        <w:spacing w:after="0" w:line="255" w:lineRule="auto"/>
        <w:tabs>
          <w:tab w:leader="none" w:pos="51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This Agreement and each other Credit Document have been duly authorized by all necessary corporate action on the part of Holdings, and this Agreement constitutes, and each other Credit Document to which Holdings is a party when executed and delivered will constitute, a legal, valid and binding obligation of Holdings enforceable against Holdings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96" w:lineRule="exact"/>
        <w:rPr>
          <w:rFonts w:ascii="Arial" w:cs="Arial" w:eastAsia="Arial" w:hAnsi="Arial"/>
          <w:sz w:val="18"/>
          <w:szCs w:val="18"/>
          <w:color w:val="auto"/>
        </w:rPr>
      </w:pPr>
    </w:p>
    <w:p>
      <w:pPr>
        <w:ind w:right="460" w:firstLine="228"/>
        <w:spacing w:after="0" w:line="332" w:lineRule="auto"/>
        <w:tabs>
          <w:tab w:leader="none" w:pos="50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the extent Credits are being issued for the account of Subsidiaries, at the time of each such Credit Extension, such Credits do and will inure to the benefit of the Company, and the Company’s business derives and will derive substantial benefits from the businesses of such Subsidiaries.</w:t>
      </w:r>
    </w:p>
    <w:p>
      <w:pPr>
        <w:spacing w:after="0" w:line="133"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b w:val="1"/>
          <w:bCs w:val="1"/>
          <w:color w:val="auto"/>
        </w:rPr>
        <w:t>5.03 Disclosure</w:t>
      </w:r>
      <w:r>
        <w:rPr>
          <w:rFonts w:ascii="Arial" w:cs="Arial" w:eastAsia="Arial" w:hAnsi="Arial"/>
          <w:sz w:val="16"/>
          <w:szCs w:val="16"/>
          <w:color w:val="auto"/>
        </w:rPr>
        <w:t>. The Company, through its agent, BAS, has delivered to each Lender a copy of a Private Placement Memorandum, dated May 2003 (the</w:t>
      </w:r>
      <w:r>
        <w:rPr>
          <w:rFonts w:ascii="Arial" w:cs="Arial" w:eastAsia="Arial" w:hAnsi="Arial"/>
          <w:sz w:val="16"/>
          <w:szCs w:val="16"/>
          <w:b w:val="1"/>
          <w:bCs w:val="1"/>
          <w:color w:val="auto"/>
        </w:rPr>
        <w:t xml:space="preserve"> </w:t>
      </w:r>
      <w:r>
        <w:rPr>
          <w:rFonts w:ascii="Arial" w:cs="Arial" w:eastAsia="Arial" w:hAnsi="Arial"/>
          <w:sz w:val="16"/>
          <w:szCs w:val="16"/>
          <w:color w:val="auto"/>
        </w:rPr>
        <w:t>“Memorandum”), relating to the transactions contemplated hereby. As of its date, the Memorandum fairly describes, in all material respects, the general nature of the business and principal properties of the Company and its Subsidiaries. As of the Closing Date, this Agreement, the Memorandum, the documents, certificates or other writings delivered to the Lenders by or on behalf of the Company in connection with the transactions contemplated hereby and the financial statements listed in Schedule 5.05, taken as a whole, do not contain any untrue statement of a material fact or omit to state any material fact necessary to make the statements therein not misleading in light of the circumstances under which they were made. Since December 31, 2002, there has been no change in the financial condition, operations, business or properties of the Company or any Subsidiary except changes that individually or in the aggregate could not reasonably be expected to have a Material Adverse Effect. There is no fact known to the Company that could reasonably be expected to have a Material Adverse Effect that has not been disclosed herein or in the Memorandum, in the Disclosure Documents, or in the other documents, certificates and other writings delivered to the Lenders by or on behalf of the Company specifically for use in connection with the transactions contemplated hereby.</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5.04 Organization and Ownership of Shares of Subsidiaries; Affiliates</w:t>
      </w:r>
      <w:r>
        <w:rPr>
          <w:rFonts w:ascii="Arial" w:cs="Arial" w:eastAsia="Arial" w:hAnsi="Arial"/>
          <w:sz w:val="18"/>
          <w:szCs w:val="18"/>
          <w:color w:val="auto"/>
        </w:rPr>
        <w:t>.</w:t>
      </w:r>
    </w:p>
    <w:p>
      <w:pPr>
        <w:spacing w:after="0" w:line="231" w:lineRule="exact"/>
        <w:rPr>
          <w:sz w:val="20"/>
          <w:szCs w:val="20"/>
          <w:color w:val="auto"/>
        </w:rPr>
      </w:pPr>
    </w:p>
    <w:p>
      <w:pPr>
        <w:ind w:right="300" w:firstLine="228"/>
        <w:spacing w:after="0" w:line="306" w:lineRule="auto"/>
        <w:tabs>
          <w:tab w:leader="none" w:pos="50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Schedule 5.04 contains (except as noted therein) complete and correct lists as of the Closing Date of (i) each of the Company’s Restricted Subsidiaries, showing, as to each Restricted Subsidiary, the correct name thereof and the jurisdiction of its organization, (ii) each of the Company’s Affiliates, and (iii) the Company’s directors and Senior Responsible Officers. As of the Closing Date, there are no Unrestricted Subsidiaries.</w:t>
      </w:r>
    </w:p>
    <w:p>
      <w:pPr>
        <w:spacing w:after="0" w:line="160" w:lineRule="exact"/>
        <w:rPr>
          <w:rFonts w:ascii="Arial" w:cs="Arial" w:eastAsia="Arial" w:hAnsi="Arial"/>
          <w:sz w:val="16"/>
          <w:szCs w:val="16"/>
          <w:color w:val="auto"/>
        </w:rPr>
      </w:pPr>
    </w:p>
    <w:p>
      <w:pPr>
        <w:ind w:right="160" w:firstLine="228"/>
        <w:spacing w:after="0" w:line="268" w:lineRule="auto"/>
        <w:tabs>
          <w:tab w:leader="none" w:pos="51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 of the Closing Date, all of the outstanding shares of capital stock or similar equity interests of each Restricted Subsidiary owned by the Company and its Subsidiaries have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2" w:name="page223"/>
    <w:bookmarkEnd w:id="222"/>
    <w:p>
      <w:pPr>
        <w:ind w:right="200"/>
        <w:spacing w:after="0" w:line="268" w:lineRule="auto"/>
        <w:rPr>
          <w:sz w:val="20"/>
          <w:szCs w:val="20"/>
          <w:color w:val="auto"/>
        </w:rPr>
      </w:pPr>
      <w:r>
        <w:rPr>
          <w:rFonts w:ascii="Arial" w:cs="Arial" w:eastAsia="Arial" w:hAnsi="Arial"/>
          <w:sz w:val="18"/>
          <w:szCs w:val="18"/>
          <w:color w:val="auto"/>
        </w:rPr>
        <w:t>been validly issued, are fully paid and nonassessable and are owned by the Company or another Subsidiary free and clear of any Lien (except for any Permitted Lien or as otherwise disclosed in Schedule 5.04).</w:t>
      </w:r>
    </w:p>
    <w:p>
      <w:pPr>
        <w:spacing w:after="0" w:line="186" w:lineRule="exact"/>
        <w:rPr>
          <w:sz w:val="20"/>
          <w:szCs w:val="20"/>
          <w:color w:val="auto"/>
        </w:rPr>
      </w:pPr>
    </w:p>
    <w:p>
      <w:pPr>
        <w:ind w:right="180" w:firstLine="228"/>
        <w:spacing w:after="0" w:line="294" w:lineRule="auto"/>
        <w:tabs>
          <w:tab w:leader="none" w:pos="50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Each Subsidiary identified on Schedule 5.04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69" w:lineRule="exact"/>
        <w:rPr>
          <w:rFonts w:ascii="Arial" w:cs="Arial" w:eastAsia="Arial" w:hAnsi="Arial"/>
          <w:sz w:val="16"/>
          <w:szCs w:val="16"/>
          <w:color w:val="auto"/>
        </w:rPr>
      </w:pPr>
    </w:p>
    <w:p>
      <w:pPr>
        <w:ind w:right="120" w:firstLine="228"/>
        <w:spacing w:after="0" w:line="256" w:lineRule="auto"/>
        <w:tabs>
          <w:tab w:leader="none" w:pos="51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As of the Closing Date, no Subsidiary is a party to, or otherwise subject to any legal restriction or any agreement (other than the agreements listed on Schedule 5.04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5.05 Financial Statements</w:t>
      </w:r>
      <w:r>
        <w:rPr>
          <w:rFonts w:ascii="Arial" w:cs="Arial" w:eastAsia="Arial" w:hAnsi="Arial"/>
          <w:sz w:val="18"/>
          <w:szCs w:val="18"/>
          <w:color w:val="auto"/>
        </w:rPr>
        <w:t>.</w:t>
      </w:r>
    </w:p>
    <w:p>
      <w:pPr>
        <w:spacing w:after="0" w:line="231" w:lineRule="exact"/>
        <w:rPr>
          <w:sz w:val="20"/>
          <w:szCs w:val="20"/>
          <w:color w:val="auto"/>
        </w:rPr>
      </w:pPr>
    </w:p>
    <w:p>
      <w:pPr>
        <w:ind w:right="180" w:firstLine="216"/>
        <w:spacing w:after="0" w:line="294" w:lineRule="auto"/>
        <w:rPr>
          <w:sz w:val="20"/>
          <w:szCs w:val="20"/>
          <w:color w:val="auto"/>
        </w:rPr>
      </w:pPr>
      <w:r>
        <w:rPr>
          <w:rFonts w:ascii="Arial" w:cs="Arial" w:eastAsia="Arial" w:hAnsi="Arial"/>
          <w:sz w:val="16"/>
          <w:szCs w:val="16"/>
          <w:color w:val="auto"/>
        </w:rPr>
        <w:t>The Company has delivered to the Issuer and each Lender the financial statements of the Company and its Subsidiaries listed on Schedule 5.05. All of said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5.06 Compliance with Laws, Other Instruments, etc</w:t>
      </w:r>
      <w:r>
        <w:rPr>
          <w:rFonts w:ascii="Arial" w:cs="Arial" w:eastAsia="Arial" w:hAnsi="Arial"/>
          <w:sz w:val="18"/>
          <w:szCs w:val="18"/>
          <w:color w:val="auto"/>
        </w:rPr>
        <w:t>.</w:t>
      </w:r>
    </w:p>
    <w:p>
      <w:pPr>
        <w:spacing w:after="0" w:line="231" w:lineRule="exact"/>
        <w:rPr>
          <w:sz w:val="20"/>
          <w:szCs w:val="20"/>
          <w:color w:val="auto"/>
        </w:rPr>
      </w:pPr>
    </w:p>
    <w:p>
      <w:pPr>
        <w:ind w:firstLine="228"/>
        <w:spacing w:after="0" w:line="283" w:lineRule="auto"/>
        <w:tabs>
          <w:tab w:leader="none" w:pos="50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the Letter of Credit Linked Notes and the Term Notes will not (i) contravene, result in any breach of, or constitute a default under, or result in the creation of any Lien in respect of any property of the Company or any Subsidiary under, any indenture, mortgage, deed of trust, loan, note purchase or credit agreement, or lease, its corporate charter or by-laws, or any other agreement or instrument to which the Company or any Subsidiary is bound or by which the Company or any Subsidiary or any of their respective properties may be bound or affected,</w:t>
      </w:r>
    </w:p>
    <w:p>
      <w:pPr>
        <w:spacing w:after="0" w:line="2" w:lineRule="exact"/>
        <w:rPr>
          <w:rFonts w:ascii="Arial" w:cs="Arial" w:eastAsia="Arial" w:hAnsi="Arial"/>
          <w:sz w:val="16"/>
          <w:szCs w:val="16"/>
          <w:color w:val="auto"/>
        </w:rPr>
      </w:pPr>
    </w:p>
    <w:p>
      <w:pPr>
        <w:ind w:right="60" w:firstLine="8"/>
        <w:spacing w:after="0" w:line="255" w:lineRule="auto"/>
        <w:tabs>
          <w:tab w:leader="none" w:pos="25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3" w:name="page224"/>
    <w:bookmarkEnd w:id="223"/>
    <w:p>
      <w:pPr>
        <w:ind w:right="100" w:firstLine="228"/>
        <w:spacing w:after="0" w:line="254" w:lineRule="auto"/>
        <w:tabs>
          <w:tab w:leader="none" w:pos="51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execution, delivery and performance by Holdings of this Agreement will not (i) contravene, result in any breach of, or constitute a default under, or result in the creation of any Lien in respect of any property of Holdings under, any indenture, mortgage, deed of trust, loan, note purchase or credit agreement, lease, corporate charter or by-laws, or any agreement or instrument to which Holdings is bound or by which Holdings or any of its properties may be bound or affected, (ii) conflict with or result in a breach of any of the terms, conditions or provisions of any order, judgment, decree, or ruling of any court, arbitrator or Governmental Authority applicable to Holdings, or (iii) violate any provision of any statute or other rule or regulation of any Governmental Authority applicable to Holdings.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5.07 Governmental Authorizations, etc</w:t>
      </w:r>
      <w:r>
        <w:rPr>
          <w:rFonts w:ascii="Arial" w:cs="Arial" w:eastAsia="Arial" w:hAnsi="Arial"/>
          <w:sz w:val="18"/>
          <w:szCs w:val="18"/>
          <w:color w:val="auto"/>
        </w:rPr>
        <w:t>.</w:t>
      </w:r>
    </w:p>
    <w:p>
      <w:pPr>
        <w:spacing w:after="0" w:line="231" w:lineRule="exact"/>
        <w:rPr>
          <w:sz w:val="20"/>
          <w:szCs w:val="20"/>
          <w:color w:val="auto"/>
        </w:rPr>
      </w:pPr>
    </w:p>
    <w:p>
      <w:pPr>
        <w:ind w:right="640" w:firstLine="228"/>
        <w:spacing w:after="0" w:line="332" w:lineRule="auto"/>
        <w:tabs>
          <w:tab w:leader="none" w:pos="50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 consent, approval or authorization of, or registration, filing or declaration with, any Governmental Authority is required in connection with the execution, delivery or performance by the Company of this Agreement, the Letter of Credit Linked Notes or the Term Notes.</w:t>
      </w:r>
    </w:p>
    <w:p>
      <w:pPr>
        <w:spacing w:after="0" w:line="139" w:lineRule="exact"/>
        <w:rPr>
          <w:rFonts w:ascii="Arial" w:cs="Arial" w:eastAsia="Arial" w:hAnsi="Arial"/>
          <w:sz w:val="16"/>
          <w:szCs w:val="16"/>
          <w:color w:val="auto"/>
        </w:rPr>
      </w:pPr>
    </w:p>
    <w:p>
      <w:pPr>
        <w:ind w:right="620" w:firstLine="228"/>
        <w:spacing w:after="0" w:line="268" w:lineRule="auto"/>
        <w:tabs>
          <w:tab w:leader="none" w:pos="51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consent, approval or authorization of, or registration, filing or declaration with, any Governmental Authority is required in connection with the execution, delivery or performance by Holdings of this Agreement.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5.08 Litigation; Observance of Agreements, Statutes and Orders</w:t>
      </w:r>
      <w:r>
        <w:rPr>
          <w:rFonts w:ascii="Arial" w:cs="Arial" w:eastAsia="Arial" w:hAnsi="Arial"/>
          <w:sz w:val="18"/>
          <w:szCs w:val="18"/>
          <w:color w:val="auto"/>
        </w:rPr>
        <w:t>.</w:t>
      </w:r>
    </w:p>
    <w:p>
      <w:pPr>
        <w:spacing w:after="0" w:line="231" w:lineRule="exact"/>
        <w:rPr>
          <w:sz w:val="20"/>
          <w:szCs w:val="20"/>
          <w:color w:val="auto"/>
        </w:rPr>
      </w:pPr>
    </w:p>
    <w:p>
      <w:pPr>
        <w:ind w:right="120" w:firstLine="228"/>
        <w:spacing w:after="0" w:line="256" w:lineRule="auto"/>
        <w:tabs>
          <w:tab w:leader="none" w:pos="50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Except as disclosed in Schedule 5.08 or in the Disclosure Documents, there are no actions, suits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could reasonably be expected, after offset for claims against insurers, to have a Material Adverse Effect.</w:t>
      </w:r>
    </w:p>
    <w:p>
      <w:pPr>
        <w:spacing w:after="0" w:line="197" w:lineRule="exact"/>
        <w:rPr>
          <w:rFonts w:ascii="Arial" w:cs="Arial" w:eastAsia="Arial" w:hAnsi="Arial"/>
          <w:sz w:val="18"/>
          <w:szCs w:val="18"/>
          <w:color w:val="auto"/>
        </w:rPr>
      </w:pPr>
    </w:p>
    <w:p>
      <w:pPr>
        <w:ind w:right="60" w:firstLine="228"/>
        <w:spacing w:after="0" w:line="298" w:lineRule="auto"/>
        <w:tabs>
          <w:tab w:leader="none" w:pos="51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disclosed in Schedule 5.08 or in the Disclosure Documents, neither the Company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61"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b w:val="1"/>
          <w:bCs w:val="1"/>
          <w:color w:val="auto"/>
        </w:rPr>
        <w:t>5.09 Taxes</w:t>
      </w:r>
      <w:r>
        <w:rPr>
          <w:rFonts w:ascii="Arial" w:cs="Arial" w:eastAsia="Arial" w:hAnsi="Arial"/>
          <w:sz w:val="18"/>
          <w:szCs w:val="18"/>
          <w:color w:val="auto"/>
        </w:rPr>
        <w:t>. The Company and its Subsidiaries have filed all tax returns that are required to have been filed in any jurisdiction, and have paid all taxes shown</w:t>
      </w:r>
      <w:r>
        <w:rPr>
          <w:rFonts w:ascii="Arial" w:cs="Arial" w:eastAsia="Arial" w:hAnsi="Arial"/>
          <w:sz w:val="18"/>
          <w:szCs w:val="18"/>
          <w:b w:val="1"/>
          <w:bCs w:val="1"/>
          <w:color w:val="auto"/>
        </w:rPr>
        <w:t xml:space="preserve"> </w:t>
      </w:r>
      <w:r>
        <w:rPr>
          <w:rFonts w:ascii="Arial" w:cs="Arial" w:eastAsia="Arial" w:hAnsi="Arial"/>
          <w:sz w:val="18"/>
          <w:szCs w:val="18"/>
          <w:color w:val="auto"/>
        </w:rPr>
        <w:t>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4" w:name="page225"/>
    <w:bookmarkEnd w:id="224"/>
    <w:p>
      <w:pPr>
        <w:jc w:val="both"/>
        <w:ind w:right="600"/>
        <w:spacing w:after="0" w:line="335" w:lineRule="auto"/>
        <w:rPr>
          <w:sz w:val="20"/>
          <w:szCs w:val="20"/>
          <w:color w:val="auto"/>
        </w:rPr>
      </w:pPr>
      <w:r>
        <w:rPr>
          <w:rFonts w:ascii="Arial" w:cs="Arial" w:eastAsia="Arial" w:hAnsi="Arial"/>
          <w:sz w:val="15"/>
          <w:szCs w:val="15"/>
          <w:color w:val="auto"/>
        </w:rPr>
        <w:t>assessment that could reasonably be expected to have a Material Adverse Effect. The charges, accruals and reserves on the books of the Company and its Subsidiaries in respect of federal, state or other taxes for all fiscal periods are adequate in accordance with GAAP. The federal income tax liabilities of the Company and its Subsidiaries have been determined by the IRS and paid for all fiscal years up to and including the fiscal year ended December 31, 1987.</w:t>
      </w:r>
    </w:p>
    <w:p>
      <w:pPr>
        <w:spacing w:after="0" w:line="136" w:lineRule="exact"/>
        <w:rPr>
          <w:sz w:val="20"/>
          <w:szCs w:val="20"/>
          <w:color w:val="auto"/>
        </w:rPr>
      </w:pPr>
    </w:p>
    <w:p>
      <w:pPr>
        <w:ind w:right="20" w:firstLine="220"/>
        <w:spacing w:after="0" w:line="296" w:lineRule="auto"/>
        <w:rPr>
          <w:sz w:val="20"/>
          <w:szCs w:val="20"/>
          <w:color w:val="auto"/>
        </w:rPr>
      </w:pPr>
      <w:r>
        <w:rPr>
          <w:rFonts w:ascii="Arial" w:cs="Arial" w:eastAsia="Arial" w:hAnsi="Arial"/>
          <w:sz w:val="16"/>
          <w:szCs w:val="16"/>
          <w:b w:val="1"/>
          <w:bCs w:val="1"/>
          <w:color w:val="auto"/>
        </w:rPr>
        <w:t xml:space="preserve">5.10 Title to Property; Leases. </w:t>
      </w:r>
      <w:r>
        <w:rPr>
          <w:rFonts w:ascii="Arial" w:cs="Arial" w:eastAsia="Arial" w:hAnsi="Arial"/>
          <w:sz w:val="16"/>
          <w:szCs w:val="16"/>
          <w:color w:val="auto"/>
        </w:rPr>
        <w:t>The Company and its Restricted Subsidiaries have good and sufficient title to their respective properties that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Subsidiaries own or purport to own that individually or in the aggregate are Material, including all such properties reflected in the most recent audited balance sheet referred to in Section 5.05 or purported to have been acquired by the Company or any Restricted Subsidiary after said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5.11 Licenses, Permits, etc</w:t>
      </w:r>
      <w:r>
        <w:rPr>
          <w:rFonts w:ascii="Arial" w:cs="Arial" w:eastAsia="Arial" w:hAnsi="Arial"/>
          <w:sz w:val="18"/>
          <w:szCs w:val="18"/>
          <w:color w:val="auto"/>
        </w:rPr>
        <w:t>. Except as disclosed in Schedule 5.11,</w:t>
      </w:r>
    </w:p>
    <w:p>
      <w:pPr>
        <w:spacing w:after="0" w:line="231" w:lineRule="exact"/>
        <w:rPr>
          <w:sz w:val="20"/>
          <w:szCs w:val="20"/>
          <w:color w:val="auto"/>
        </w:rPr>
      </w:pPr>
    </w:p>
    <w:p>
      <w:pPr>
        <w:ind w:right="40" w:firstLine="228"/>
        <w:spacing w:after="0" w:line="332" w:lineRule="auto"/>
        <w:tabs>
          <w:tab w:leader="none" w:pos="50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Company and its Restricted Subsidiaries own or possess all licenses, permits, franchises, authorizations, patents, copyrights, service marks, trademarks and trade names, or rights thereto, that individually or in the aggregate are Material, without known material conflict with the rights of others;</w:t>
      </w:r>
    </w:p>
    <w:p>
      <w:pPr>
        <w:spacing w:after="0" w:line="139" w:lineRule="exact"/>
        <w:rPr>
          <w:rFonts w:ascii="Arial" w:cs="Arial" w:eastAsia="Arial" w:hAnsi="Arial"/>
          <w:sz w:val="16"/>
          <w:szCs w:val="16"/>
          <w:color w:val="auto"/>
        </w:rPr>
      </w:pPr>
    </w:p>
    <w:p>
      <w:pPr>
        <w:ind w:right="440" w:firstLine="228"/>
        <w:spacing w:after="0" w:line="332" w:lineRule="auto"/>
        <w:tabs>
          <w:tab w:leader="none" w:pos="51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to the best knowledge of the Company, no product of the Company or any of its Restricted Subsidiaries infringes in any Material respect any license, permit, franchise, authorization, patent, copyright, service mark, trademark, trade name or other right owned by any other Person; and</w:t>
      </w:r>
    </w:p>
    <w:p>
      <w:pPr>
        <w:spacing w:after="0" w:line="139" w:lineRule="exact"/>
        <w:rPr>
          <w:rFonts w:ascii="Arial" w:cs="Arial" w:eastAsia="Arial" w:hAnsi="Arial"/>
          <w:sz w:val="16"/>
          <w:szCs w:val="16"/>
          <w:color w:val="auto"/>
        </w:rPr>
      </w:pPr>
    </w:p>
    <w:p>
      <w:pPr>
        <w:ind w:right="100" w:firstLine="228"/>
        <w:spacing w:after="0" w:line="332" w:lineRule="auto"/>
        <w:tabs>
          <w:tab w:leader="none" w:pos="50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to the best knowledge of the Company, there is no Material violation by any Person of any right of the Company or any of its Restricted Subsidiaries with respect to any patent, copyright, service mark, trademark, trade name or other right owned or used by the Company or any of its Restricted Subsidiaries.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5.12 Compliance with ERISA</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290" w:lineRule="auto"/>
        <w:tabs>
          <w:tab w:leader="none" w:pos="50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5" w:name="page226"/>
    <w:bookmarkEnd w:id="225"/>
    <w:p>
      <w:pPr>
        <w:ind w:right="20" w:firstLine="228"/>
        <w:spacing w:after="0" w:line="294" w:lineRule="auto"/>
        <w:tabs>
          <w:tab w:leader="none" w:pos="51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present value of the aggregate accrued benefits under each of the Plans that are subject to Title IV of ERISA (other than Multiemployer Plans), determined as of the valuation date for the most recently ended plan year on the basis of the actuarial assumptions specified for funding purposes in such Plan’s most recent actuarial valuation report, did not exceed the aggregate current value of the assets of such Plan allocable to such benefits (i) in the case of any single Plan, by an amount which, if said amount were immediately contributed to the Plan, could have a Material Adverse Effect, and (ii) in the case of all said Plans, by an amount which, if said amount were immediately contributed to the Plans, could have a Material Adverse Effect.</w:t>
      </w:r>
    </w:p>
    <w:p>
      <w:pPr>
        <w:spacing w:after="0" w:line="169" w:lineRule="exact"/>
        <w:rPr>
          <w:rFonts w:ascii="Arial" w:cs="Arial" w:eastAsia="Arial" w:hAnsi="Arial"/>
          <w:sz w:val="16"/>
          <w:szCs w:val="16"/>
          <w:color w:val="auto"/>
        </w:rPr>
      </w:pPr>
    </w:p>
    <w:p>
      <w:pPr>
        <w:ind w:left="520" w:hanging="292"/>
        <w:spacing w:after="0"/>
        <w:tabs>
          <w:tab w:leader="none" w:pos="5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Company and its ERISA Affiliates have not incurred withdrawal liabilities (and are not subject to contingent withdrawal liabilities)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4201 or 4204 of ERISA in respect of Multiemployer Plans that individually or in the aggregate are Material.</w:t>
      </w:r>
    </w:p>
    <w:p>
      <w:pPr>
        <w:spacing w:after="0" w:line="219" w:lineRule="exact"/>
        <w:rPr>
          <w:sz w:val="20"/>
          <w:szCs w:val="20"/>
          <w:color w:val="auto"/>
        </w:rPr>
      </w:pPr>
    </w:p>
    <w:p>
      <w:pPr>
        <w:ind w:right="80" w:firstLine="228"/>
        <w:spacing w:after="0" w:line="306" w:lineRule="auto"/>
        <w:tabs>
          <w:tab w:leader="none" w:pos="51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expected obligation for postretirement benefits other than pensions (determined as of the last day of the Company’s most recently ended fiscal year in accordance with Financial Accounting Standards Board Statement No. 106, without regard to liabilities attributable to continuation coverage mandated by Section 4980B of the Code and after taking into account any governmental reimbursements) of the Company and its Subsidiaries is not Material.</w:t>
      </w:r>
    </w:p>
    <w:p>
      <w:pPr>
        <w:spacing w:after="0" w:line="160" w:lineRule="exact"/>
        <w:rPr>
          <w:rFonts w:ascii="Arial" w:cs="Arial" w:eastAsia="Arial" w:hAnsi="Arial"/>
          <w:sz w:val="16"/>
          <w:szCs w:val="16"/>
          <w:color w:val="auto"/>
        </w:rPr>
      </w:pPr>
    </w:p>
    <w:p>
      <w:pPr>
        <w:ind w:right="80" w:firstLine="228"/>
        <w:spacing w:after="0" w:line="298" w:lineRule="auto"/>
        <w:tabs>
          <w:tab w:leader="none" w:pos="50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issuance and sale of the Letter of Credit Linked Notes and the Term Notes will not involve any transaction that is subject to the prohibitions of Section 406 of ERISA or in connection with which a tax could be imposed pursuant to Section 4975(c)(1)(A)-(D) of the Code. The representations by the Company in the first sentence of this Section 5.12(e) are made in reliance upon and subject to the accuracy of each Lender’s representations in Section 10.10(b) as to the sources of the funds used to pay the purchase price of its Participation under this Agreement.</w:t>
      </w:r>
    </w:p>
    <w:p>
      <w:pPr>
        <w:spacing w:after="0" w:line="161" w:lineRule="exact"/>
        <w:rPr>
          <w:sz w:val="20"/>
          <w:szCs w:val="20"/>
          <w:color w:val="auto"/>
        </w:rPr>
      </w:pPr>
    </w:p>
    <w:p>
      <w:pPr>
        <w:ind w:right="40" w:firstLine="220"/>
        <w:spacing w:after="0" w:line="296" w:lineRule="auto"/>
        <w:rPr>
          <w:sz w:val="20"/>
          <w:szCs w:val="20"/>
          <w:color w:val="auto"/>
        </w:rPr>
      </w:pPr>
      <w:r>
        <w:rPr>
          <w:rFonts w:ascii="Arial" w:cs="Arial" w:eastAsia="Arial" w:hAnsi="Arial"/>
          <w:sz w:val="16"/>
          <w:szCs w:val="16"/>
          <w:b w:val="1"/>
          <w:bCs w:val="1"/>
          <w:color w:val="auto"/>
        </w:rPr>
        <w:t>5.13 Private Offering by Company</w:t>
      </w:r>
      <w:r>
        <w:rPr>
          <w:rFonts w:ascii="Arial" w:cs="Arial" w:eastAsia="Arial" w:hAnsi="Arial"/>
          <w:sz w:val="16"/>
          <w:szCs w:val="16"/>
          <w:color w:val="auto"/>
        </w:rPr>
        <w:t>. Neither the Company nor anyone acting on its behalf has offered the Letter of Credit Linked Notes or Term Notes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Securities for sale to, or solicited any offer to buy any of the same from, or otherwise approached or negotiated in respect thereof with, any Person other than the Lenders and not more than seventeen (17) other Institutional Investors, each of which has been offered the Letter of Credit Linked Notes and Term Notes at a private sale for investment. Neither the Company nor anyone acting on its behalf has taken, or will take, any action that would subject the issuance or sale of the Letter of Credit Linked Notes or Term Notes to the registration requirements of Section 5 of the Securities Act.</w:t>
      </w:r>
    </w:p>
    <w:p>
      <w:pPr>
        <w:spacing w:after="0" w:line="162" w:lineRule="exact"/>
        <w:rPr>
          <w:sz w:val="20"/>
          <w:szCs w:val="20"/>
          <w:color w:val="auto"/>
        </w:rPr>
      </w:pPr>
    </w:p>
    <w:p>
      <w:pPr>
        <w:ind w:right="20" w:firstLine="220"/>
        <w:spacing w:after="0" w:line="296" w:lineRule="auto"/>
        <w:rPr>
          <w:sz w:val="20"/>
          <w:szCs w:val="20"/>
          <w:color w:val="auto"/>
        </w:rPr>
      </w:pPr>
      <w:r>
        <w:rPr>
          <w:rFonts w:ascii="Arial" w:cs="Arial" w:eastAsia="Arial" w:hAnsi="Arial"/>
          <w:sz w:val="16"/>
          <w:szCs w:val="16"/>
          <w:b w:val="1"/>
          <w:bCs w:val="1"/>
          <w:color w:val="auto"/>
        </w:rPr>
        <w:t>5.14 Use of Proceeds; Margin Regulations</w:t>
      </w:r>
      <w:r>
        <w:rPr>
          <w:rFonts w:ascii="Arial" w:cs="Arial" w:eastAsia="Arial" w:hAnsi="Arial"/>
          <w:sz w:val="16"/>
          <w:szCs w:val="16"/>
          <w:color w:val="auto"/>
        </w:rPr>
        <w:t>. The Company will apply the proceeds from the Advances and the Term Loans hereunder for general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Company and its Subsidiaries. No part of the proceeds from the Credit Extensions hereunder will be used, directly or indirectly, for the purpose of buying or carrying any margin stock within the meaning of Regulation U of the FRB (12 CFR 221), or for the purpose of buying or carrying or trading in any Securities under such circumstances as to involve the Company in a violation of Regulation X of said Board (12 CFR 224) or to involve any broker or dealer in a violation of Regulation T of the FRB (12 CFR 220). Margin stock does not constitute more than 5.0% of the</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6" w:name="page227"/>
    <w:bookmarkEnd w:id="226"/>
    <w:p>
      <w:pPr>
        <w:jc w:val="both"/>
        <w:ind w:right="100"/>
        <w:spacing w:after="0" w:line="259" w:lineRule="auto"/>
        <w:rPr>
          <w:sz w:val="20"/>
          <w:szCs w:val="20"/>
          <w:color w:val="auto"/>
        </w:rPr>
      </w:pPr>
      <w:r>
        <w:rPr>
          <w:rFonts w:ascii="Arial" w:cs="Arial" w:eastAsia="Arial" w:hAnsi="Arial"/>
          <w:sz w:val="18"/>
          <w:szCs w:val="18"/>
          <w:color w:val="auto"/>
        </w:rPr>
        <w:t>value of the consolidated assets of the Company and its Subsidiaries and the Company does not have any present intention that margin stock will constitute more than 5.0% of the value of such assets. As used in this Section, the terms “margin stock” and “purpose of buying or carrying” shall have the meanings assigned to them in said Regulation U.</w:t>
      </w:r>
    </w:p>
    <w:p>
      <w:pPr>
        <w:spacing w:after="0" w:line="188" w:lineRule="exact"/>
        <w:rPr>
          <w:sz w:val="20"/>
          <w:szCs w:val="20"/>
          <w:color w:val="auto"/>
        </w:rPr>
      </w:pPr>
    </w:p>
    <w:p>
      <w:pPr>
        <w:ind w:right="100" w:firstLine="220"/>
        <w:spacing w:after="0" w:line="313" w:lineRule="auto"/>
        <w:rPr>
          <w:sz w:val="20"/>
          <w:szCs w:val="20"/>
          <w:color w:val="auto"/>
        </w:rPr>
      </w:pPr>
      <w:r>
        <w:rPr>
          <w:rFonts w:ascii="Arial" w:cs="Arial" w:eastAsia="Arial" w:hAnsi="Arial"/>
          <w:sz w:val="15"/>
          <w:szCs w:val="15"/>
          <w:b w:val="1"/>
          <w:bCs w:val="1"/>
          <w:color w:val="auto"/>
        </w:rPr>
        <w:t>5.15 Existing Indebtedness</w:t>
      </w:r>
      <w:r>
        <w:rPr>
          <w:rFonts w:ascii="Arial" w:cs="Arial" w:eastAsia="Arial" w:hAnsi="Arial"/>
          <w:sz w:val="15"/>
          <w:szCs w:val="15"/>
          <w:color w:val="auto"/>
        </w:rPr>
        <w:t>. Except as described therein, Schedule 5.15 sets forth a complete and correct list of all outstanding Indebtedness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its Restricted Subsidiaries as of March 31, 2003, specifying whether such Indebtedness is secured or unsecured. From March 31, 2003 to the Closing Date, there has been no material change in the amounts, interest rates, sinking funds, installment payments or maturities of such Indebtedness of the Company or its Restricted Subsidiaries. As of the Closing Date, neither the Company nor any Restricted Subsidiary is in default and no waiver of default is currently in effect, in the payment of any principal or interest on any such Indebtedness of the Company or such Restricted Subsidiary, and no event or condition exists with respect to any such Indebtedness of the Company or any Restricted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54" w:lineRule="exact"/>
        <w:rPr>
          <w:sz w:val="20"/>
          <w:szCs w:val="20"/>
          <w:color w:val="auto"/>
        </w:rPr>
      </w:pPr>
    </w:p>
    <w:p>
      <w:pPr>
        <w:ind w:right="60" w:firstLine="220"/>
        <w:spacing w:after="0" w:line="309" w:lineRule="auto"/>
        <w:rPr>
          <w:sz w:val="20"/>
          <w:szCs w:val="20"/>
          <w:color w:val="auto"/>
        </w:rPr>
      </w:pPr>
      <w:r>
        <w:rPr>
          <w:rFonts w:ascii="Arial" w:cs="Arial" w:eastAsia="Arial" w:hAnsi="Arial"/>
          <w:sz w:val="15"/>
          <w:szCs w:val="15"/>
          <w:b w:val="1"/>
          <w:bCs w:val="1"/>
          <w:color w:val="auto"/>
        </w:rPr>
        <w:t>5.16 Foreign Assets Control Regulations, etc</w:t>
      </w:r>
      <w:r>
        <w:rPr>
          <w:rFonts w:ascii="Arial" w:cs="Arial" w:eastAsia="Arial" w:hAnsi="Arial"/>
          <w:sz w:val="15"/>
          <w:szCs w:val="15"/>
          <w:color w:val="auto"/>
        </w:rPr>
        <w:t>. Neither any Credit Extension to the Company hereunder nor its use of the proceeds thereof will violate the</w:t>
      </w:r>
      <w:r>
        <w:rPr>
          <w:rFonts w:ascii="Arial" w:cs="Arial" w:eastAsia="Arial" w:hAnsi="Arial"/>
          <w:sz w:val="15"/>
          <w:szCs w:val="15"/>
          <w:b w:val="1"/>
          <w:bCs w:val="1"/>
          <w:color w:val="auto"/>
        </w:rPr>
        <w:t xml:space="preserve"> </w:t>
      </w:r>
      <w:r>
        <w:rPr>
          <w:rFonts w:ascii="Arial" w:cs="Arial" w:eastAsia="Arial" w:hAnsi="Arial"/>
          <w:sz w:val="15"/>
          <w:szCs w:val="15"/>
          <w:color w:val="auto"/>
        </w:rPr>
        <w:t>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or its Affiliates (a) is or will become a Person whose property or interests in property are blocked pursuant to Section 1 of Executive Order 13224 of September 23, 2001 Blocking Property and Prohibiting Transactions With Persons Who Commit, Threaten to Commit, or Support Terrorism (66 Fed. Reg. 49079 (2001)) or (b) engages or will engage in any dealings or transactions, or be otherwise associated, with any such Person. The Company and its Subsidiaries and its Affiliates are in compliance, in all Material respects, with the Uniting And Strengthening America By Providing Appropriate Tools Required To Intercept And Obstruct Terrorism (USA Patriot Act of 2001). No part of the proceeds from any Credit Extension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56" w:lineRule="exact"/>
        <w:rPr>
          <w:sz w:val="20"/>
          <w:szCs w:val="20"/>
          <w:color w:val="auto"/>
        </w:rPr>
      </w:pPr>
    </w:p>
    <w:p>
      <w:pPr>
        <w:ind w:right="60" w:firstLine="220"/>
        <w:spacing w:after="0" w:line="339" w:lineRule="auto"/>
        <w:rPr>
          <w:sz w:val="20"/>
          <w:szCs w:val="20"/>
          <w:color w:val="auto"/>
        </w:rPr>
      </w:pPr>
      <w:r>
        <w:rPr>
          <w:rFonts w:ascii="Arial" w:cs="Arial" w:eastAsia="Arial" w:hAnsi="Arial"/>
          <w:sz w:val="16"/>
          <w:szCs w:val="16"/>
          <w:b w:val="1"/>
          <w:bCs w:val="1"/>
          <w:color w:val="auto"/>
        </w:rPr>
        <w:t>5.17 Status under Certain Statutes</w:t>
      </w:r>
      <w:r>
        <w:rPr>
          <w:rFonts w:ascii="Arial" w:cs="Arial" w:eastAsia="Arial" w:hAnsi="Arial"/>
          <w:sz w:val="16"/>
          <w:szCs w:val="16"/>
          <w:color w:val="auto"/>
        </w:rPr>
        <w:t>. Neither the Company nor any Restricted Subsidiary is subject to regulation under the Investment Company Act of 1940,</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the Public Utility Holding Company Act of 1935, as amended, or, except as disclosed in Schedule 5.17, the Federal Power Act, as amended.</w:t>
      </w:r>
    </w:p>
    <w:p>
      <w:pPr>
        <w:spacing w:after="0" w:line="128" w:lineRule="exact"/>
        <w:rPr>
          <w:sz w:val="20"/>
          <w:szCs w:val="20"/>
          <w:color w:val="auto"/>
        </w:rPr>
      </w:pPr>
    </w:p>
    <w:p>
      <w:pPr>
        <w:ind w:right="120" w:firstLine="220"/>
        <w:spacing w:after="0" w:line="262" w:lineRule="auto"/>
        <w:rPr>
          <w:sz w:val="20"/>
          <w:szCs w:val="20"/>
          <w:color w:val="auto"/>
        </w:rPr>
      </w:pPr>
      <w:r>
        <w:rPr>
          <w:rFonts w:ascii="Arial" w:cs="Arial" w:eastAsia="Arial" w:hAnsi="Arial"/>
          <w:sz w:val="18"/>
          <w:szCs w:val="18"/>
          <w:b w:val="1"/>
          <w:bCs w:val="1"/>
          <w:color w:val="auto"/>
        </w:rPr>
        <w:t>5.18 Environmental Matters</w:t>
      </w:r>
      <w:r>
        <w:rPr>
          <w:rFonts w:ascii="Arial" w:cs="Arial" w:eastAsia="Arial" w:hAnsi="Arial"/>
          <w:sz w:val="18"/>
          <w:szCs w:val="18"/>
          <w:color w:val="auto"/>
        </w:rPr>
        <w:t>. Except as disclosed in the Disclosure Documents, neither the Company nor any Restricted Subsidiary has knowledge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claim or has received any notice of any Material claim, and no proceeding has been instituted raising any Material claim against the Company or any of its Restricted Subsidiaries or any of their</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7" w:name="page228"/>
    <w:bookmarkEnd w:id="227"/>
    <w:p>
      <w:pPr>
        <w:jc w:val="both"/>
        <w:ind w:right="80"/>
        <w:spacing w:after="0" w:line="259" w:lineRule="auto"/>
        <w:rPr>
          <w:sz w:val="20"/>
          <w:szCs w:val="20"/>
          <w:color w:val="auto"/>
        </w:rPr>
      </w:pPr>
      <w:r>
        <w:rPr>
          <w:rFonts w:ascii="Arial" w:cs="Arial" w:eastAsia="Arial" w:hAnsi="Arial"/>
          <w:sz w:val="18"/>
          <w:szCs w:val="18"/>
          <w:color w:val="auto"/>
        </w:rPr>
        <w:t>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each Lender in writing,</w:t>
      </w:r>
    </w:p>
    <w:p>
      <w:pPr>
        <w:spacing w:after="0" w:line="194" w:lineRule="exact"/>
        <w:rPr>
          <w:sz w:val="20"/>
          <w:szCs w:val="20"/>
          <w:color w:val="auto"/>
        </w:rPr>
      </w:pPr>
    </w:p>
    <w:p>
      <w:pPr>
        <w:jc w:val="both"/>
        <w:ind w:right="480" w:firstLine="228"/>
        <w:spacing w:after="0" w:line="335" w:lineRule="auto"/>
        <w:tabs>
          <w:tab w:leader="none" w:pos="502" w:val="left"/>
        </w:tabs>
        <w:numPr>
          <w:ilvl w:val="0"/>
          <w:numId w:val="269"/>
        </w:numPr>
        <w:rPr>
          <w:rFonts w:ascii="Arial" w:cs="Arial" w:eastAsia="Arial" w:hAnsi="Arial"/>
          <w:sz w:val="15"/>
          <w:szCs w:val="15"/>
          <w:color w:val="auto"/>
        </w:rPr>
      </w:pPr>
      <w:r>
        <w:rPr>
          <w:rFonts w:ascii="Arial" w:cs="Arial" w:eastAsia="Arial" w:hAnsi="Arial"/>
          <w:sz w:val="15"/>
          <w:szCs w:val="15"/>
          <w:color w:val="auto"/>
        </w:rPr>
        <w:t>neither the Company nor any Restricted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142" w:lineRule="exact"/>
        <w:rPr>
          <w:rFonts w:ascii="Arial" w:cs="Arial" w:eastAsia="Arial" w:hAnsi="Arial"/>
          <w:sz w:val="15"/>
          <w:szCs w:val="15"/>
          <w:color w:val="auto"/>
        </w:rPr>
      </w:pPr>
    </w:p>
    <w:p>
      <w:pPr>
        <w:ind w:right="540" w:firstLine="228"/>
        <w:spacing w:after="0" w:line="306" w:lineRule="auto"/>
        <w:tabs>
          <w:tab w:leader="none" w:pos="51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neither the Company nor any of its Restricted Subsidiaries has stored any Hazardous Materials on real properties now or formerly owned, leased or operated by any of them in a manner contrary to any Environmental Laws and has not disposed of any Hazardous Materials in a manner contrary to any Environmental Laws, in each case in any manner that could reasonably be expected to result in a Material Adverse Effect; and</w:t>
      </w:r>
    </w:p>
    <w:p>
      <w:pPr>
        <w:spacing w:after="0" w:line="160" w:lineRule="exact"/>
        <w:rPr>
          <w:rFonts w:ascii="Arial" w:cs="Arial" w:eastAsia="Arial" w:hAnsi="Arial"/>
          <w:sz w:val="16"/>
          <w:szCs w:val="16"/>
          <w:color w:val="auto"/>
        </w:rPr>
      </w:pPr>
    </w:p>
    <w:p>
      <w:pPr>
        <w:ind w:right="160" w:firstLine="228"/>
        <w:spacing w:after="0" w:line="332" w:lineRule="auto"/>
        <w:tabs>
          <w:tab w:leader="none" w:pos="50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buildings on all real properties now owned, leased or operated by the Company or any of its Restricted Subsidiaries are in compliance with applicable Environmental Laws, except where failure to comply could not reasonably be expected to result in a Material Adverse Effect.</w:t>
      </w:r>
    </w:p>
    <w:p>
      <w:pPr>
        <w:spacing w:after="0" w:line="133" w:lineRule="exact"/>
        <w:rPr>
          <w:sz w:val="20"/>
          <w:szCs w:val="20"/>
          <w:color w:val="auto"/>
        </w:rPr>
      </w:pPr>
    </w:p>
    <w:p>
      <w:pPr>
        <w:ind w:right="140" w:firstLine="220"/>
        <w:spacing w:after="0" w:line="275" w:lineRule="auto"/>
        <w:rPr>
          <w:sz w:val="20"/>
          <w:szCs w:val="20"/>
          <w:color w:val="auto"/>
        </w:rPr>
      </w:pPr>
      <w:r>
        <w:rPr>
          <w:rFonts w:ascii="Arial" w:cs="Arial" w:eastAsia="Arial" w:hAnsi="Arial"/>
          <w:sz w:val="18"/>
          <w:szCs w:val="18"/>
          <w:b w:val="1"/>
          <w:bCs w:val="1"/>
          <w:color w:val="auto"/>
        </w:rPr>
        <w:t>5.19 Compliance With Issuance Limits</w:t>
      </w:r>
      <w:r>
        <w:rPr>
          <w:rFonts w:ascii="Arial" w:cs="Arial" w:eastAsia="Arial" w:hAnsi="Arial"/>
          <w:sz w:val="18"/>
          <w:szCs w:val="18"/>
          <w:color w:val="auto"/>
        </w:rPr>
        <w:t>. Both before and after giving effect to any Credit Extension, all Credits issued and outstanding hereunder are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Issuance Limits.</w:t>
      </w:r>
    </w:p>
    <w:p>
      <w:pPr>
        <w:spacing w:after="0" w:line="174" w:lineRule="exact"/>
        <w:rPr>
          <w:sz w:val="20"/>
          <w:szCs w:val="20"/>
          <w:color w:val="auto"/>
        </w:rPr>
      </w:pPr>
    </w:p>
    <w:p>
      <w:pPr>
        <w:ind w:right="260" w:firstLine="220"/>
        <w:spacing w:after="0" w:line="275" w:lineRule="auto"/>
        <w:rPr>
          <w:sz w:val="20"/>
          <w:szCs w:val="20"/>
          <w:color w:val="auto"/>
        </w:rPr>
      </w:pPr>
      <w:r>
        <w:rPr>
          <w:rFonts w:ascii="Arial" w:cs="Arial" w:eastAsia="Arial" w:hAnsi="Arial"/>
          <w:sz w:val="18"/>
          <w:szCs w:val="18"/>
          <w:b w:val="1"/>
          <w:bCs w:val="1"/>
          <w:color w:val="auto"/>
        </w:rPr>
        <w:t>5.20 Tax Shelter Regulations</w:t>
      </w:r>
      <w:r>
        <w:rPr>
          <w:rFonts w:ascii="Arial" w:cs="Arial" w:eastAsia="Arial" w:hAnsi="Arial"/>
          <w:sz w:val="18"/>
          <w:szCs w:val="18"/>
          <w:color w:val="auto"/>
        </w:rPr>
        <w:t>. The Company does not intend to treat the Advances, Term Loans and Credits and related transactions as being a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(within the meaning of Treasury Regulation Section 1.6011-4).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9" w:lineRule="exact"/>
        <w:rPr>
          <w:sz w:val="20"/>
          <w:szCs w:val="20"/>
          <w:color w:val="auto"/>
        </w:rPr>
      </w:pPr>
    </w:p>
    <w:p>
      <w:pPr>
        <w:ind w:right="480" w:firstLine="220"/>
        <w:spacing w:after="0" w:line="268" w:lineRule="auto"/>
        <w:rPr>
          <w:sz w:val="20"/>
          <w:szCs w:val="20"/>
          <w:color w:val="auto"/>
        </w:rPr>
      </w:pPr>
      <w:r>
        <w:rPr>
          <w:rFonts w:ascii="Arial" w:cs="Arial" w:eastAsia="Arial" w:hAnsi="Arial"/>
          <w:sz w:val="18"/>
          <w:szCs w:val="18"/>
          <w:color w:val="auto"/>
        </w:rPr>
        <w:t>So long as any Lender shall have any Credit-Linked Deposit, Letter of Credit Linked Note or Term Note hereunder or any Credit hereunder shall remain outstanding:</w:t>
      </w:r>
    </w:p>
    <w:p>
      <w:pPr>
        <w:spacing w:after="0" w:line="180" w:lineRule="exact"/>
        <w:rPr>
          <w:sz w:val="20"/>
          <w:szCs w:val="20"/>
          <w:color w:val="auto"/>
        </w:rPr>
      </w:pPr>
    </w:p>
    <w:p>
      <w:pPr>
        <w:ind w:right="160" w:firstLine="220"/>
        <w:spacing w:after="0" w:line="275" w:lineRule="auto"/>
        <w:rPr>
          <w:sz w:val="20"/>
          <w:szCs w:val="20"/>
          <w:color w:val="auto"/>
        </w:rPr>
      </w:pPr>
      <w:r>
        <w:rPr>
          <w:rFonts w:ascii="Arial" w:cs="Arial" w:eastAsia="Arial" w:hAnsi="Arial"/>
          <w:sz w:val="18"/>
          <w:szCs w:val="18"/>
          <w:b w:val="1"/>
          <w:bCs w:val="1"/>
          <w:color w:val="auto"/>
        </w:rPr>
        <w:t>6.01 Financial and Business Information</w:t>
      </w:r>
      <w:r>
        <w:rPr>
          <w:rFonts w:ascii="Arial" w:cs="Arial" w:eastAsia="Arial" w:hAnsi="Arial"/>
          <w:sz w:val="18"/>
          <w:szCs w:val="18"/>
          <w:color w:val="auto"/>
        </w:rPr>
        <w:t>. The Company shall deliver to the Administrative Agent, the Issuer and to each of the Lenders, in form and detail</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Administrative Agent, the Issuer and the Required Credit-Linked Lenders:</w:t>
      </w:r>
    </w:p>
    <w:p>
      <w:pPr>
        <w:spacing w:after="0" w:line="180" w:lineRule="exact"/>
        <w:rPr>
          <w:sz w:val="20"/>
          <w:szCs w:val="20"/>
          <w:color w:val="auto"/>
        </w:rPr>
      </w:pPr>
    </w:p>
    <w:p>
      <w:pPr>
        <w:ind w:right="100" w:firstLine="228"/>
        <w:spacing w:after="0" w:line="268" w:lineRule="auto"/>
        <w:tabs>
          <w:tab w:leader="none" w:pos="5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Quarterly Statements — within 60 days after the end of each quarterly fiscal period in each fiscal year of the Company (other than the last quarterly fiscal period of each such fiscal year), duplicate copies of,</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quarter, and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8" w:name="page229"/>
    <w:bookmarkEnd w:id="228"/>
    <w:p>
      <w:pPr>
        <w:ind w:right="320" w:firstLine="447"/>
        <w:spacing w:after="0" w:line="268" w:lineRule="auto"/>
        <w:tabs>
          <w:tab w:leader="none" w:pos="69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 if applicable, shall be deemed to satisfy the requirements of this Section 6.01(a) so long as such Quarterly Report on Form 10-Q includes the financial statements identified in clauses (i) and (ii) above;</w:t>
      </w:r>
    </w:p>
    <w:p>
      <w:pPr>
        <w:spacing w:after="0" w:line="174" w:lineRule="exact"/>
        <w:rPr>
          <w:sz w:val="20"/>
          <w:szCs w:val="20"/>
          <w:color w:val="auto"/>
        </w:rPr>
      </w:pPr>
    </w:p>
    <w:p>
      <w:pPr>
        <w:ind w:left="520" w:hanging="292"/>
        <w:spacing w:after="0"/>
        <w:tabs>
          <w:tab w:leader="none" w:pos="5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Annual Statements — within 100 days after the end of each fiscal year of the Company, duplicate copies of,</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consolidated statements of income, shareholder’s equity and cash flows of the Company and its Subsidiaries, for such year,</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 if applicable, shall be deemed to satisfy the requirements of this Section 6.01(b) so long as such Annual Report on Form 10-K includes the financial statements identified in clauses (i) and (ii) above;</w:t>
      </w:r>
    </w:p>
    <w:p>
      <w:pPr>
        <w:spacing w:after="0" w:line="174" w:lineRule="exact"/>
        <w:rPr>
          <w:sz w:val="20"/>
          <w:szCs w:val="20"/>
          <w:color w:val="auto"/>
        </w:rPr>
      </w:pPr>
    </w:p>
    <w:p>
      <w:pPr>
        <w:ind w:right="280" w:firstLine="228"/>
        <w:spacing w:after="0" w:line="268" w:lineRule="auto"/>
        <w:tabs>
          <w:tab w:leader="none" w:pos="50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SEC and Other Reports — promptly, following the filing or mailing thereof, copies of all material of a financial nature filed with the SEC or sent to the Company’s and its Subsidiaries’ stockholders generally;</w:t>
      </w:r>
    </w:p>
    <w:p>
      <w:pPr>
        <w:spacing w:after="0" w:line="185" w:lineRule="exact"/>
        <w:rPr>
          <w:rFonts w:ascii="Arial" w:cs="Arial" w:eastAsia="Arial" w:hAnsi="Arial"/>
          <w:sz w:val="18"/>
          <w:szCs w:val="18"/>
          <w:color w:val="auto"/>
        </w:rPr>
      </w:pPr>
    </w:p>
    <w:p>
      <w:pPr>
        <w:ind w:right="460" w:firstLine="228"/>
        <w:spacing w:after="0" w:line="268" w:lineRule="auto"/>
        <w:tabs>
          <w:tab w:leader="none" w:pos="51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Outstanding Credits – not later than five (5) Business Days after the end of each quarter, the information with respect to the outstanding Credits as is required under Section 2.01(j);</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29" w:name="page230"/>
    <w:bookmarkEnd w:id="229"/>
    <w:p>
      <w:pPr>
        <w:ind w:left="520" w:hanging="292"/>
        <w:spacing w:after="0"/>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400" w:firstLine="228"/>
        <w:spacing w:after="0" w:line="259" w:lineRule="auto"/>
        <w:tabs>
          <w:tab w:leader="none" w:pos="48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Notice of Default or Event of Default – promptly, and in any event within five (5) Business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94" w:lineRule="exact"/>
        <w:rPr>
          <w:rFonts w:ascii="Arial" w:cs="Arial" w:eastAsia="Arial" w:hAnsi="Arial"/>
          <w:sz w:val="18"/>
          <w:szCs w:val="18"/>
          <w:color w:val="auto"/>
        </w:rPr>
      </w:pPr>
    </w:p>
    <w:p>
      <w:pPr>
        <w:ind w:right="40" w:firstLine="228"/>
        <w:spacing w:after="0" w:line="332" w:lineRule="auto"/>
        <w:tabs>
          <w:tab w:leader="none" w:pos="51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ERISA Matters — promptly, and in any event within five (5) Business Days after a Responsible Officer becoming aware of any of the following, a written notice setting forth the nature thereof and the action, if any, that the Company or an ERISA Affiliate proposes to take with respect thereto:</w:t>
      </w:r>
    </w:p>
    <w:p>
      <w:pPr>
        <w:spacing w:after="0" w:line="139" w:lineRule="exact"/>
        <w:rPr>
          <w:rFonts w:ascii="Arial" w:cs="Arial" w:eastAsia="Arial" w:hAnsi="Arial"/>
          <w:sz w:val="16"/>
          <w:szCs w:val="16"/>
          <w:color w:val="auto"/>
        </w:rPr>
      </w:pPr>
    </w:p>
    <w:p>
      <w:pPr>
        <w:ind w:right="160" w:firstLine="447"/>
        <w:spacing w:after="0" w:line="268" w:lineRule="auto"/>
        <w:tabs>
          <w:tab w:leader="none" w:pos="64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85" w:lineRule="exact"/>
        <w:rPr>
          <w:rFonts w:ascii="Arial" w:cs="Arial" w:eastAsia="Arial" w:hAnsi="Arial"/>
          <w:sz w:val="18"/>
          <w:szCs w:val="18"/>
          <w:color w:val="auto"/>
        </w:rPr>
      </w:pPr>
    </w:p>
    <w:p>
      <w:pPr>
        <w:ind w:right="240" w:firstLine="447"/>
        <w:spacing w:after="0" w:line="259" w:lineRule="auto"/>
        <w:tabs>
          <w:tab w:leader="none" w:pos="69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94" w:lineRule="exact"/>
        <w:rPr>
          <w:rFonts w:ascii="Arial" w:cs="Arial" w:eastAsia="Arial" w:hAnsi="Arial"/>
          <w:sz w:val="18"/>
          <w:szCs w:val="18"/>
          <w:color w:val="auto"/>
        </w:rPr>
      </w:pPr>
    </w:p>
    <w:p>
      <w:pPr>
        <w:ind w:right="120" w:firstLine="447"/>
        <w:spacing w:after="0" w:line="298" w:lineRule="auto"/>
        <w:tabs>
          <w:tab w:leader="none" w:pos="74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event, transaction or condition that would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66" w:lineRule="exact"/>
        <w:rPr>
          <w:rFonts w:ascii="Arial" w:cs="Arial" w:eastAsia="Arial" w:hAnsi="Arial"/>
          <w:sz w:val="16"/>
          <w:szCs w:val="16"/>
          <w:color w:val="auto"/>
        </w:rPr>
      </w:pPr>
    </w:p>
    <w:p>
      <w:pPr>
        <w:ind w:right="40" w:firstLine="228"/>
        <w:spacing w:after="0" w:line="259" w:lineRule="auto"/>
        <w:tabs>
          <w:tab w:leader="none" w:pos="5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Notices from Governmental Authority — promptly, and in any event within 30 days of receipt thereof, copies of any notice to the Company or any Subsidiary from any federal or state Governmental Authority relating to any order, ruling, statute or other law or regulation that the Company reasonably believes could have a Material Adverse Effect;</w:t>
      </w:r>
    </w:p>
    <w:p>
      <w:pPr>
        <w:spacing w:after="0" w:line="194" w:lineRule="exact"/>
        <w:rPr>
          <w:rFonts w:ascii="Arial" w:cs="Arial" w:eastAsia="Arial" w:hAnsi="Arial"/>
          <w:sz w:val="18"/>
          <w:szCs w:val="18"/>
          <w:color w:val="auto"/>
        </w:rPr>
      </w:pPr>
    </w:p>
    <w:p>
      <w:pPr>
        <w:ind w:right="60" w:firstLine="228"/>
        <w:spacing w:after="0" w:line="254" w:lineRule="auto"/>
        <w:tabs>
          <w:tab w:leader="none" w:pos="47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Additional Reporting Requirement — in the event that Unrestricted Subsidiaries account for more than 10% of the Consolidated Total Assets of the Company and its Subsidiaries, or more than 10% of the consolidated revenue of the Company and its Subsidiaries, in each case as of the last day of the fiscal quarter or fiscal year for which the Company is delivering financial information pursuant to Sections 6.01(a) and (b), then each such set of financial information delivered pursuant to Sections 6.01(a) and (b) shall be accompanied by unaudited financial statements for all Unrestricted Subsidiaries of the Company taken as a group, together with consolidating statements reflecting eliminations or adjustments required to reconcile such group statements to the consolidated financial statements of the Company and its Subsidiaries;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0" w:name="page231"/>
    <w:bookmarkEnd w:id="230"/>
    <w:p>
      <w:pPr>
        <w:ind w:right="180" w:firstLine="228"/>
        <w:spacing w:after="0" w:line="294" w:lineRule="auto"/>
        <w:tabs>
          <w:tab w:leader="none" w:pos="47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Requested Information — with reasonable promptness, such other data and information relating to the business, operations, affairs, financial condition, assets or properties of the Company or any its Subsidiaries or relating to the ability of the Company to perform its obligations hereunder, under the Letter of Credit Linked Notes and under the Term Notes or the ability of Holdings to perform its obligations hereunder as from time to time may be reasonably requested by any Lender, including without limitation and subject to Section 10.07, such information as is required by SEC Rule 144A under the Securities Act to be delivered to a prospective transferee of the Letter of Credit Linked Notes or Term Notes.</w:t>
      </w:r>
    </w:p>
    <w:p>
      <w:pPr>
        <w:spacing w:after="0" w:line="164" w:lineRule="exact"/>
        <w:rPr>
          <w:sz w:val="20"/>
          <w:szCs w:val="20"/>
          <w:color w:val="auto"/>
        </w:rPr>
      </w:pPr>
    </w:p>
    <w:p>
      <w:pPr>
        <w:ind w:right="180" w:firstLine="220"/>
        <w:spacing w:after="0" w:line="275" w:lineRule="auto"/>
        <w:rPr>
          <w:sz w:val="20"/>
          <w:szCs w:val="20"/>
          <w:color w:val="auto"/>
        </w:rPr>
      </w:pPr>
      <w:r>
        <w:rPr>
          <w:rFonts w:ascii="Arial" w:cs="Arial" w:eastAsia="Arial" w:hAnsi="Arial"/>
          <w:sz w:val="18"/>
          <w:szCs w:val="18"/>
          <w:b w:val="1"/>
          <w:bCs w:val="1"/>
          <w:color w:val="auto"/>
        </w:rPr>
        <w:t>6.02 Officer’s Certificate</w:t>
      </w:r>
      <w:r>
        <w:rPr>
          <w:rFonts w:ascii="Arial" w:cs="Arial" w:eastAsia="Arial" w:hAnsi="Arial"/>
          <w:sz w:val="18"/>
          <w:szCs w:val="18"/>
          <w:color w:val="auto"/>
        </w:rPr>
        <w:t>. Each set of financial statements delivered to a Lender pursuant to Section 6.01(a) or Section 6.01(b) hereof shall be accompanied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certificate of a Senior Financial Officer setting forth:</w:t>
      </w:r>
    </w:p>
    <w:p>
      <w:pPr>
        <w:spacing w:after="0" w:line="180" w:lineRule="exact"/>
        <w:rPr>
          <w:sz w:val="20"/>
          <w:szCs w:val="20"/>
          <w:color w:val="auto"/>
        </w:rPr>
      </w:pPr>
    </w:p>
    <w:p>
      <w:pPr>
        <w:ind w:right="200" w:firstLine="228"/>
        <w:spacing w:after="0" w:line="298" w:lineRule="auto"/>
        <w:tabs>
          <w:tab w:leader="none" w:pos="50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Covenant Compliance — the information (including reasonably detailed calculations) required in order to establish whether the Company was in compliance with the requirements of Sections 7.02(c)(iv), 7.03(m), 7.04 and 7.05,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66" w:lineRule="exact"/>
        <w:rPr>
          <w:rFonts w:ascii="Arial" w:cs="Arial" w:eastAsia="Arial" w:hAnsi="Arial"/>
          <w:sz w:val="16"/>
          <w:szCs w:val="16"/>
          <w:color w:val="auto"/>
        </w:rPr>
      </w:pPr>
    </w:p>
    <w:p>
      <w:pPr>
        <w:ind w:right="20" w:firstLine="228"/>
        <w:spacing w:after="0" w:line="291" w:lineRule="auto"/>
        <w:tabs>
          <w:tab w:leader="none" w:pos="51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6.03 Inspection</w:t>
      </w:r>
      <w:r>
        <w:rPr>
          <w:rFonts w:ascii="Arial" w:cs="Arial" w:eastAsia="Arial" w:hAnsi="Arial"/>
          <w:sz w:val="18"/>
          <w:szCs w:val="18"/>
          <w:color w:val="auto"/>
        </w:rPr>
        <w:t>. The Company shall permit the representatives of each Lender:</w:t>
      </w:r>
    </w:p>
    <w:p>
      <w:pPr>
        <w:spacing w:after="0" w:line="231" w:lineRule="exact"/>
        <w:rPr>
          <w:sz w:val="20"/>
          <w:szCs w:val="20"/>
          <w:color w:val="auto"/>
        </w:rPr>
      </w:pPr>
    </w:p>
    <w:p>
      <w:pPr>
        <w:ind w:right="100" w:firstLine="228"/>
        <w:spacing w:after="0" w:line="259" w:lineRule="auto"/>
        <w:tabs>
          <w:tab w:leader="none" w:pos="50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Default — if no Default or Event of Default then exists, at the expense of such Lender, to visit the principal executive office of the Company and to discuss the affairs, finances and accounts of the Company and its Restricted Subsidiaries with the Company’s officers, all at such reasonable times during normal business hours and as often as may be reasonably requested in writing; and</w:t>
      </w:r>
    </w:p>
    <w:p>
      <w:pPr>
        <w:spacing w:after="0" w:line="194" w:lineRule="exact"/>
        <w:rPr>
          <w:rFonts w:ascii="Arial" w:cs="Arial" w:eastAsia="Arial" w:hAnsi="Arial"/>
          <w:sz w:val="18"/>
          <w:szCs w:val="18"/>
          <w:color w:val="auto"/>
        </w:rPr>
      </w:pPr>
    </w:p>
    <w:p>
      <w:pPr>
        <w:ind w:right="40" w:firstLine="228"/>
        <w:spacing w:after="0" w:line="323" w:lineRule="auto"/>
        <w:tabs>
          <w:tab w:leader="none" w:pos="512" w:val="left"/>
        </w:tabs>
        <w:numPr>
          <w:ilvl w:val="0"/>
          <w:numId w:val="277"/>
        </w:numPr>
        <w:rPr>
          <w:rFonts w:ascii="Arial" w:cs="Arial" w:eastAsia="Arial" w:hAnsi="Arial"/>
          <w:sz w:val="15"/>
          <w:szCs w:val="15"/>
          <w:color w:val="auto"/>
        </w:rPr>
      </w:pPr>
      <w:r>
        <w:rPr>
          <w:rFonts w:ascii="Arial" w:cs="Arial" w:eastAsia="Arial" w:hAnsi="Arial"/>
          <w:sz w:val="15"/>
          <w:szCs w:val="15"/>
          <w:color w:val="auto"/>
        </w:rPr>
        <w:t>Default — if a Default or Event of Default then exists, at the expense of the Company and upon reasonable prior notice, to visit the principal executive office of the Company, to examine all relevant books of account, records, reports and other papers relating to the Company’s and Holdings’ performance of their respective obligations under this Agreement, the Letter of Credit Linked Notes and the Term Notes and to make copies and abstracts therefrom, and to discuss the Company’s and its Restricted Subsidiaries’ affairs, finances and accounts with the Company’s officers and independent public accountants (and by this provision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1" w:name="page232"/>
    <w:bookmarkEnd w:id="231"/>
    <w:p>
      <w:pPr>
        <w:ind w:right="400"/>
        <w:spacing w:after="0" w:line="268" w:lineRule="auto"/>
        <w:rPr>
          <w:sz w:val="20"/>
          <w:szCs w:val="20"/>
          <w:color w:val="auto"/>
        </w:rPr>
      </w:pPr>
      <w:r>
        <w:rPr>
          <w:rFonts w:ascii="Arial" w:cs="Arial" w:eastAsia="Arial" w:hAnsi="Arial"/>
          <w:sz w:val="18"/>
          <w:szCs w:val="18"/>
          <w:color w:val="auto"/>
        </w:rPr>
        <w:t>the Company authorizes said accountants to discuss the affairs, finances and accounts of the Company and its Restricted Subsidiaries), all at such reasonable times during normal business hours and as often as may be reasonably requested.</w:t>
      </w:r>
    </w:p>
    <w:p>
      <w:pPr>
        <w:spacing w:after="0" w:line="180" w:lineRule="exact"/>
        <w:rPr>
          <w:sz w:val="20"/>
          <w:szCs w:val="20"/>
          <w:color w:val="auto"/>
        </w:rPr>
      </w:pPr>
    </w:p>
    <w:p>
      <w:pPr>
        <w:ind w:right="220" w:firstLine="220"/>
        <w:spacing w:after="0" w:line="293" w:lineRule="auto"/>
        <w:rPr>
          <w:sz w:val="20"/>
          <w:szCs w:val="20"/>
          <w:color w:val="auto"/>
        </w:rPr>
      </w:pPr>
      <w:r>
        <w:rPr>
          <w:rFonts w:ascii="Arial" w:cs="Arial" w:eastAsia="Arial" w:hAnsi="Arial"/>
          <w:sz w:val="16"/>
          <w:szCs w:val="16"/>
          <w:b w:val="1"/>
          <w:bCs w:val="1"/>
          <w:color w:val="auto"/>
        </w:rPr>
        <w:t>6.04 Compliance with Laws</w:t>
      </w:r>
      <w:r>
        <w:rPr>
          <w:rFonts w:ascii="Arial" w:cs="Arial" w:eastAsia="Arial" w:hAnsi="Arial"/>
          <w:sz w:val="16"/>
          <w:szCs w:val="16"/>
          <w:color w:val="auto"/>
        </w:rPr>
        <w:t>. The Company will, and will cause each of its Subsidiaries to, comply with all laws, ordinances or governmental rules or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65" w:lineRule="exact"/>
        <w:rPr>
          <w:sz w:val="20"/>
          <w:szCs w:val="20"/>
          <w:color w:val="auto"/>
        </w:rPr>
      </w:pPr>
    </w:p>
    <w:p>
      <w:pPr>
        <w:ind w:right="280" w:firstLine="220"/>
        <w:spacing w:after="0" w:line="262" w:lineRule="auto"/>
        <w:rPr>
          <w:sz w:val="20"/>
          <w:szCs w:val="20"/>
          <w:color w:val="auto"/>
        </w:rPr>
      </w:pPr>
      <w:r>
        <w:rPr>
          <w:rFonts w:ascii="Arial" w:cs="Arial" w:eastAsia="Arial" w:hAnsi="Arial"/>
          <w:sz w:val="18"/>
          <w:szCs w:val="18"/>
          <w:b w:val="1"/>
          <w:bCs w:val="1"/>
          <w:color w:val="auto"/>
        </w:rPr>
        <w:t>6.05 Insurance</w:t>
      </w:r>
      <w:r>
        <w:rPr>
          <w:rFonts w:ascii="Arial" w:cs="Arial" w:eastAsia="Arial" w:hAnsi="Arial"/>
          <w:sz w:val="18"/>
          <w:szCs w:val="18"/>
          <w:color w:val="auto"/>
        </w:rPr>
        <w:t>. The Company will, and will cause each of its Restricted Subsidiaries to, maintain, with financially sound and reputable insurers,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their respective properties and businesses against such risks, of such types, on such terms and in such amounts as is customary in the case of entities of established reputations engaged in the same or a similar business and similarly situated.</w:t>
      </w:r>
    </w:p>
    <w:p>
      <w:pPr>
        <w:spacing w:after="0" w:line="186" w:lineRule="exact"/>
        <w:rPr>
          <w:sz w:val="20"/>
          <w:szCs w:val="20"/>
          <w:color w:val="auto"/>
        </w:rPr>
      </w:pPr>
    </w:p>
    <w:p>
      <w:pPr>
        <w:ind w:right="180" w:firstLine="220"/>
        <w:spacing w:after="0" w:line="296" w:lineRule="auto"/>
        <w:rPr>
          <w:sz w:val="20"/>
          <w:szCs w:val="20"/>
          <w:color w:val="auto"/>
        </w:rPr>
      </w:pPr>
      <w:r>
        <w:rPr>
          <w:rFonts w:ascii="Arial" w:cs="Arial" w:eastAsia="Arial" w:hAnsi="Arial"/>
          <w:sz w:val="16"/>
          <w:szCs w:val="16"/>
          <w:b w:val="1"/>
          <w:bCs w:val="1"/>
          <w:color w:val="auto"/>
        </w:rPr>
        <w:t>6.06 Maintenance of Properties</w:t>
      </w:r>
      <w:r>
        <w:rPr>
          <w:rFonts w:ascii="Arial" w:cs="Arial" w:eastAsia="Arial" w:hAnsi="Arial"/>
          <w:sz w:val="16"/>
          <w:szCs w:val="16"/>
          <w:color w:val="auto"/>
        </w:rPr>
        <w:t>. The Company will, and will cause each of its Restricted Subsidiaries to, maintain and keep, or cause to be maintained and</w:t>
      </w:r>
      <w:r>
        <w:rPr>
          <w:rFonts w:ascii="Arial" w:cs="Arial" w:eastAsia="Arial" w:hAnsi="Arial"/>
          <w:sz w:val="16"/>
          <w:szCs w:val="16"/>
          <w:b w:val="1"/>
          <w:bCs w:val="1"/>
          <w:color w:val="auto"/>
        </w:rPr>
        <w:t xml:space="preserve"> </w:t>
      </w:r>
      <w:r>
        <w:rPr>
          <w:rFonts w:ascii="Arial" w:cs="Arial" w:eastAsia="Arial" w:hAnsi="Arial"/>
          <w:sz w:val="16"/>
          <w:szCs w:val="16"/>
          <w:color w:val="auto"/>
        </w:rPr>
        <w:t>kept, their respective properties in good repair, working order and condition (other than ordinary wear and tear), so that the business carried on in connection therewith may be properly conducted at all times, provided that this Section shall not prevent the Company or any Restricted Subsidiary from discontinuing the operation and the maintenance of any of its properties or failing to carry on any such business if the Company has concluded that such discontinuance or failure could not, individually or in the aggregate, reasonably be expected to have a Material Adverse Effect.</w:t>
      </w:r>
    </w:p>
    <w:p>
      <w:pPr>
        <w:spacing w:after="0" w:line="162" w:lineRule="exact"/>
        <w:rPr>
          <w:sz w:val="20"/>
          <w:szCs w:val="20"/>
          <w:color w:val="auto"/>
        </w:rPr>
      </w:pPr>
    </w:p>
    <w:p>
      <w:pPr>
        <w:ind w:right="40" w:firstLine="220"/>
        <w:spacing w:after="0" w:line="304" w:lineRule="auto"/>
        <w:rPr>
          <w:sz w:val="20"/>
          <w:szCs w:val="20"/>
          <w:color w:val="auto"/>
        </w:rPr>
      </w:pPr>
      <w:r>
        <w:rPr>
          <w:rFonts w:ascii="Arial" w:cs="Arial" w:eastAsia="Arial" w:hAnsi="Arial"/>
          <w:sz w:val="15"/>
          <w:szCs w:val="15"/>
          <w:b w:val="1"/>
          <w:bCs w:val="1"/>
          <w:color w:val="auto"/>
        </w:rPr>
        <w:t xml:space="preserve">6.07 Payment of Taxes and Claims. </w:t>
      </w:r>
      <w:r>
        <w:rPr>
          <w:rFonts w:ascii="Arial" w:cs="Arial" w:eastAsia="Arial" w:hAnsi="Arial"/>
          <w:sz w:val="15"/>
          <w:szCs w:val="15"/>
          <w:color w:val="auto"/>
        </w:rPr>
        <w:t>The Company will, and will cause each of its Subsidiaries to, file all income tax and similar tax returns required to be</w:t>
      </w:r>
      <w:r>
        <w:rPr>
          <w:rFonts w:ascii="Arial" w:cs="Arial" w:eastAsia="Arial" w:hAnsi="Arial"/>
          <w:sz w:val="15"/>
          <w:szCs w:val="15"/>
          <w:b w:val="1"/>
          <w:bCs w:val="1"/>
          <w:color w:val="auto"/>
        </w:rPr>
        <w:t xml:space="preserve"> </w:t>
      </w:r>
      <w:r>
        <w:rPr>
          <w:rFonts w:ascii="Arial" w:cs="Arial" w:eastAsia="Arial" w:hAnsi="Arial"/>
          <w:sz w:val="15"/>
          <w:szCs w:val="15"/>
          <w:color w:val="auto"/>
        </w:rPr>
        <w:t>filed in any jurisdiction and to pay and discharge all taxes shown to be due and payable on such returns and pay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provided that neither the Company nor any Subsidiary need file any such returns or pay any such tax or assessment or claims</w:t>
      </w:r>
    </w:p>
    <w:p>
      <w:pPr>
        <w:ind w:right="80" w:firstLine="8"/>
        <w:spacing w:after="0" w:line="295" w:lineRule="auto"/>
        <w:tabs>
          <w:tab w:leader="none" w:pos="21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the amount, applicability or validity thereof is contested by the Company or such Subsidiary on a timely basis in good faith and in appropriate proceedings, diligently conducted, and the Company or a Subsidiary has established adequate reserves therefor in accordance with GAAP on the books of the Company or such Subsidiary, or (ii) to the extent that the failure to file such returns and the nonpayment of all such taxes, assessments and claims, either individually or in the aggregate, could not reasonably be expected to have a Material Adverse Effect.</w:t>
      </w:r>
    </w:p>
    <w:p>
      <w:pPr>
        <w:spacing w:after="0" w:line="163" w:lineRule="exact"/>
        <w:rPr>
          <w:sz w:val="20"/>
          <w:szCs w:val="20"/>
          <w:color w:val="auto"/>
        </w:rPr>
      </w:pPr>
    </w:p>
    <w:p>
      <w:pPr>
        <w:ind w:right="220" w:firstLine="220"/>
        <w:spacing w:after="0" w:line="275" w:lineRule="auto"/>
        <w:rPr>
          <w:sz w:val="20"/>
          <w:szCs w:val="20"/>
          <w:color w:val="auto"/>
        </w:rPr>
      </w:pPr>
      <w:r>
        <w:rPr>
          <w:rFonts w:ascii="Arial" w:cs="Arial" w:eastAsia="Arial" w:hAnsi="Arial"/>
          <w:sz w:val="18"/>
          <w:szCs w:val="18"/>
          <w:b w:val="1"/>
          <w:bCs w:val="1"/>
          <w:color w:val="auto"/>
        </w:rPr>
        <w:t>6.08 Corporate Existence, Etc</w:t>
      </w:r>
      <w:r>
        <w:rPr>
          <w:rFonts w:ascii="Arial" w:cs="Arial" w:eastAsia="Arial" w:hAnsi="Arial"/>
          <w:sz w:val="18"/>
          <w:szCs w:val="18"/>
          <w:color w:val="auto"/>
        </w:rPr>
        <w:t>. Subject to Section 7.02, the Company will at all times preserve and keep in full force and effect its corporate existence,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at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2" w:name="page233"/>
    <w:bookmarkEnd w:id="232"/>
    <w:p>
      <w:pPr>
        <w:ind w:right="80"/>
        <w:spacing w:after="0" w:line="256" w:lineRule="auto"/>
        <w:rPr>
          <w:sz w:val="20"/>
          <w:szCs w:val="20"/>
          <w:color w:val="auto"/>
        </w:rPr>
      </w:pPr>
      <w:r>
        <w:rPr>
          <w:rFonts w:ascii="Arial" w:cs="Arial" w:eastAsia="Arial" w:hAnsi="Arial"/>
          <w:sz w:val="18"/>
          <w:szCs w:val="18"/>
          <w:color w:val="auto"/>
        </w:rPr>
        <w:t>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91" w:lineRule="exact"/>
        <w:rPr>
          <w:sz w:val="20"/>
          <w:szCs w:val="20"/>
          <w:color w:val="auto"/>
        </w:rPr>
      </w:pPr>
    </w:p>
    <w:p>
      <w:pPr>
        <w:ind w:right="100" w:firstLine="220"/>
        <w:spacing w:after="0" w:line="301" w:lineRule="auto"/>
        <w:rPr>
          <w:sz w:val="20"/>
          <w:szCs w:val="20"/>
          <w:color w:val="auto"/>
        </w:rPr>
      </w:pPr>
      <w:r>
        <w:rPr>
          <w:rFonts w:ascii="Arial" w:cs="Arial" w:eastAsia="Arial" w:hAnsi="Arial"/>
          <w:sz w:val="16"/>
          <w:szCs w:val="16"/>
          <w:b w:val="1"/>
          <w:bCs w:val="1"/>
          <w:color w:val="auto"/>
        </w:rPr>
        <w:t>6.09 Books and Records</w:t>
      </w:r>
      <w:r>
        <w:rPr>
          <w:rFonts w:ascii="Arial" w:cs="Arial" w:eastAsia="Arial" w:hAnsi="Arial"/>
          <w:sz w:val="16"/>
          <w:szCs w:val="16"/>
          <w:color w:val="auto"/>
        </w:rPr>
        <w:t>. The Company will, and will cause each Restricted Subsidiary to, (a) maintain proper books of record and account, in which full,</w:t>
      </w:r>
      <w:r>
        <w:rPr>
          <w:rFonts w:ascii="Arial" w:cs="Arial" w:eastAsia="Arial" w:hAnsi="Arial"/>
          <w:sz w:val="16"/>
          <w:szCs w:val="16"/>
          <w:b w:val="1"/>
          <w:bCs w:val="1"/>
          <w:color w:val="auto"/>
        </w:rPr>
        <w:t xml:space="preserve"> </w:t>
      </w:r>
      <w:r>
        <w:rPr>
          <w:rFonts w:ascii="Arial" w:cs="Arial" w:eastAsia="Arial" w:hAnsi="Arial"/>
          <w:sz w:val="16"/>
          <w:szCs w:val="16"/>
          <w:color w:val="auto"/>
        </w:rPr>
        <w:t>true and correct entries in conformity with GAAP consistently applied shall be made of all financial transactions and matters involving the assets and business of the Company or such Restricted Subsidiary, as the case may be; and (b) maintain such books of record and account in material conformity with all applicable requirements of any Governmental Authority having regulatory jurisdiction over the Company or such Restricted Subsidiary, as the case may be.</w:t>
      </w:r>
    </w:p>
    <w:p>
      <w:pPr>
        <w:spacing w:after="0" w:line="15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b w:val="1"/>
          <w:bCs w:val="1"/>
          <w:color w:val="auto"/>
        </w:rPr>
        <w:t>6.10 Purpose of Credits</w:t>
      </w:r>
      <w:r>
        <w:rPr>
          <w:rFonts w:ascii="Arial" w:cs="Arial" w:eastAsia="Arial" w:hAnsi="Arial"/>
          <w:sz w:val="18"/>
          <w:szCs w:val="18"/>
          <w:color w:val="auto"/>
        </w:rPr>
        <w:t>. Each Credit shall be used directly or indirectly to cover (a) a default in the performance of any non-financial or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contracts or the payment of any financial contractual obligation, or (b) the payment of any financial contractual obligation of the Company or any Subsidiary.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9" w:lineRule="exact"/>
        <w:rPr>
          <w:sz w:val="20"/>
          <w:szCs w:val="20"/>
          <w:color w:val="auto"/>
        </w:rPr>
      </w:pPr>
    </w:p>
    <w:p>
      <w:pPr>
        <w:ind w:right="640" w:firstLine="220"/>
        <w:spacing w:after="0" w:line="268" w:lineRule="auto"/>
        <w:rPr>
          <w:sz w:val="20"/>
          <w:szCs w:val="20"/>
          <w:color w:val="auto"/>
        </w:rPr>
      </w:pPr>
      <w:r>
        <w:rPr>
          <w:rFonts w:ascii="Arial" w:cs="Arial" w:eastAsia="Arial" w:hAnsi="Arial"/>
          <w:sz w:val="18"/>
          <w:szCs w:val="18"/>
          <w:color w:val="auto"/>
        </w:rPr>
        <w:t>So long as any Lender shall have any Credit-Linked Deposit, any Letter of Credit Linked Note or any Term Note hereunder or any Credit shall remain outstanding:</w:t>
      </w:r>
    </w:p>
    <w:p>
      <w:pPr>
        <w:spacing w:after="0" w:line="180" w:lineRule="exact"/>
        <w:rPr>
          <w:sz w:val="20"/>
          <w:szCs w:val="20"/>
          <w:color w:val="auto"/>
        </w:rPr>
      </w:pPr>
    </w:p>
    <w:p>
      <w:pPr>
        <w:ind w:right="120" w:firstLine="220"/>
        <w:spacing w:after="0" w:line="296" w:lineRule="auto"/>
        <w:rPr>
          <w:sz w:val="20"/>
          <w:szCs w:val="20"/>
          <w:color w:val="auto"/>
        </w:rPr>
      </w:pPr>
      <w:r>
        <w:rPr>
          <w:rFonts w:ascii="Arial" w:cs="Arial" w:eastAsia="Arial" w:hAnsi="Arial"/>
          <w:sz w:val="16"/>
          <w:szCs w:val="16"/>
          <w:b w:val="1"/>
          <w:bCs w:val="1"/>
          <w:color w:val="auto"/>
        </w:rPr>
        <w:t>7.01 Transactions with Affiliates</w:t>
      </w:r>
      <w:r>
        <w:rPr>
          <w:rFonts w:ascii="Arial" w:cs="Arial" w:eastAsia="Arial" w:hAnsi="Arial"/>
          <w:sz w:val="16"/>
          <w:szCs w:val="16"/>
          <w:color w:val="auto"/>
        </w:rPr>
        <w:t>. The Company will not, and will not permit any Restricted Subsidiary to, enter into directly or indirectly 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or Material group of related transactions (including without limitation the purchase, lease, sale or exchange of properties of any kind or the rendering of any service) with any Affiliate (other than the Company or another Restricted Subsidiary), except in the ordinary course and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7.02 Merger, Consolidation, Sale of Assets, etc</w:t>
      </w:r>
      <w:r>
        <w:rPr>
          <w:rFonts w:ascii="Arial" w:cs="Arial" w:eastAsia="Arial" w:hAnsi="Arial"/>
          <w:sz w:val="18"/>
          <w:szCs w:val="18"/>
          <w:color w:val="auto"/>
        </w:rPr>
        <w:t>.</w:t>
      </w:r>
    </w:p>
    <w:p>
      <w:pPr>
        <w:spacing w:after="0" w:line="231" w:lineRule="exact"/>
        <w:rPr>
          <w:sz w:val="20"/>
          <w:szCs w:val="20"/>
          <w:color w:val="auto"/>
        </w:rPr>
      </w:pPr>
    </w:p>
    <w:p>
      <w:pPr>
        <w:ind w:right="120" w:firstLine="228"/>
        <w:spacing w:after="0" w:line="268" w:lineRule="auto"/>
        <w:tabs>
          <w:tab w:leader="none" w:pos="50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consolidate with or merge with any other Person unless immediately after giving effect to any consolidation or merger no Default or Event of Default would exist and:</w:t>
      </w:r>
    </w:p>
    <w:p>
      <w:pPr>
        <w:spacing w:after="0" w:line="185" w:lineRule="exact"/>
        <w:rPr>
          <w:rFonts w:ascii="Arial" w:cs="Arial" w:eastAsia="Arial" w:hAnsi="Arial"/>
          <w:sz w:val="18"/>
          <w:szCs w:val="18"/>
          <w:color w:val="auto"/>
        </w:rPr>
      </w:pPr>
    </w:p>
    <w:p>
      <w:pPr>
        <w:ind w:right="700" w:firstLine="447"/>
        <w:spacing w:after="0" w:line="268" w:lineRule="auto"/>
        <w:tabs>
          <w:tab w:leader="none" w:pos="64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in the case of a consolidation or merger of a Restricted Subsidiary, either (x) the surviving or continuing corporation is the Company or another Restricted Subsidiary or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3" w:name="page234"/>
    <w:bookmarkEnd w:id="233"/>
    <w:p>
      <w:pPr>
        <w:ind w:left="300" w:hanging="292"/>
        <w:spacing w:after="0"/>
        <w:tabs>
          <w:tab w:leader="none" w:pos="30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such consolidation or merger, if considered as the sale of the assets of such Restricted Subsidiary to such other Person, would be permitted by Section 7.02(c);</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218" w:lineRule="exact"/>
        <w:rPr>
          <w:rFonts w:ascii="Arial" w:cs="Arial" w:eastAsia="Arial" w:hAnsi="Arial"/>
          <w:sz w:val="15"/>
          <w:szCs w:val="15"/>
          <w:color w:val="auto"/>
        </w:rPr>
      </w:pPr>
    </w:p>
    <w:p>
      <w:pPr>
        <w:ind w:right="60" w:firstLine="447"/>
        <w:spacing w:after="0" w:line="289" w:lineRule="auto"/>
        <w:tabs>
          <w:tab w:leader="none" w:pos="697" w:val="left"/>
        </w:tabs>
        <w:numPr>
          <w:ilvl w:val="2"/>
          <w:numId w:val="280"/>
        </w:numPr>
        <w:rPr>
          <w:rFonts w:ascii="Arial" w:cs="Arial" w:eastAsia="Arial" w:hAnsi="Arial"/>
          <w:sz w:val="16"/>
          <w:szCs w:val="16"/>
          <w:color w:val="auto"/>
        </w:rPr>
      </w:pPr>
      <w:r>
        <w:rPr>
          <w:rFonts w:ascii="Arial" w:cs="Arial" w:eastAsia="Arial" w:hAnsi="Arial"/>
          <w:sz w:val="16"/>
          <w:szCs w:val="16"/>
          <w:color w:val="auto"/>
        </w:rPr>
        <w:t>in the case of a consolidation or merger of the Company, the successor corporation which results from such consolidation or merger (the “surviving corporation”), if not the Company,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72" w:lineRule="exact"/>
        <w:rPr>
          <w:rFonts w:ascii="Arial" w:cs="Arial" w:eastAsia="Arial" w:hAnsi="Arial"/>
          <w:sz w:val="16"/>
          <w:szCs w:val="16"/>
          <w:color w:val="auto"/>
        </w:rPr>
      </w:pPr>
    </w:p>
    <w:p>
      <w:pPr>
        <w:ind w:right="160" w:firstLine="228"/>
        <w:spacing w:after="0" w:line="268" w:lineRule="auto"/>
        <w:tabs>
          <w:tab w:leader="none" w:pos="51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Company will not sell, lease (as lessor) or otherwise transfer all or substantially all of its assets in a single transaction or series of transactions to any Person unless:</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25" w:lineRule="exact"/>
        <w:rPr>
          <w:sz w:val="20"/>
          <w:szCs w:val="20"/>
          <w:color w:val="auto"/>
        </w:rPr>
      </w:pPr>
    </w:p>
    <w:p>
      <w:pPr>
        <w:ind w:right="60" w:firstLine="447"/>
        <w:spacing w:after="0" w:line="289" w:lineRule="auto"/>
        <w:tabs>
          <w:tab w:leader="none" w:pos="69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successor corporation to which all or substantially all of the Company’s assets have been sold, leased or transferred (the “successor corporation”)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 agreement of the successor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72"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No such conveyance, transfer or lease of all or substantially all of the assets of the Company shall have the effect of releasing the Company or any successor corporation that shall theretofore have become such in the manner prescribed in this Section 7.02 from its liability under this Agreement or the Credit Documents.</w:t>
      </w:r>
    </w:p>
    <w:p>
      <w:pPr>
        <w:spacing w:after="0" w:line="139" w:lineRule="exact"/>
        <w:rPr>
          <w:sz w:val="20"/>
          <w:szCs w:val="20"/>
          <w:color w:val="auto"/>
        </w:rPr>
      </w:pPr>
    </w:p>
    <w:p>
      <w:pPr>
        <w:ind w:right="160" w:firstLine="228"/>
        <w:spacing w:after="0" w:line="259" w:lineRule="auto"/>
        <w:tabs>
          <w:tab w:leader="none" w:pos="50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sell, lease (as lessor), transfer, abandon or otherwise dispose of (collectively, a “Disposition”) any assets in one or a series of transactions (including, without limitation, in any sale-leaseback transaction), other than those assets consisting of accounts receivable sold through any Permitted Receivables Transaction, to any Person other than:</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4" w:name="page235"/>
    <w:bookmarkEnd w:id="234"/>
    <w:p>
      <w:pPr>
        <w:ind w:right="380" w:firstLine="447"/>
        <w:spacing w:after="0" w:line="268" w:lineRule="auto"/>
        <w:tabs>
          <w:tab w:leader="none" w:pos="649"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Dispositions in the ordinary course of business of inventory or of equipment, fixtures, supplies or materials no longer required in the business of the Company or any of its Restricted Subsidiaries or that is obsolete;</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Dispositions by the Company to a Restricted Subsidiary or by a Restricted Subsidiary to the Company or to another Restricted Subsidiary;</w:t>
      </w:r>
    </w:p>
    <w:p>
      <w:pPr>
        <w:spacing w:after="0" w:line="248" w:lineRule="exact"/>
        <w:rPr>
          <w:rFonts w:ascii="Arial" w:cs="Arial" w:eastAsia="Arial" w:hAnsi="Arial"/>
          <w:sz w:val="16"/>
          <w:szCs w:val="16"/>
          <w:color w:val="auto"/>
        </w:rPr>
      </w:pPr>
    </w:p>
    <w:p>
      <w:pPr>
        <w:ind w:left="760" w:hanging="313"/>
        <w:spacing w:after="0"/>
        <w:tabs>
          <w:tab w:leader="none" w:pos="7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sale of assets for cash or other property if all of the following conditions are met:</w:t>
      </w:r>
    </w:p>
    <w:p>
      <w:pPr>
        <w:spacing w:after="0" w:line="225" w:lineRule="exact"/>
        <w:rPr>
          <w:rFonts w:ascii="Arial" w:cs="Arial" w:eastAsia="Arial" w:hAnsi="Arial"/>
          <w:sz w:val="18"/>
          <w:szCs w:val="18"/>
          <w:color w:val="auto"/>
        </w:rPr>
      </w:pPr>
    </w:p>
    <w:p>
      <w:pPr>
        <w:ind w:left="1100" w:hanging="292"/>
        <w:spacing w:after="0"/>
        <w:tabs>
          <w:tab w:leader="none" w:pos="1100" w:val="left"/>
        </w:tabs>
        <w:numPr>
          <w:ilvl w:val="2"/>
          <w:numId w:val="284"/>
        </w:numPr>
        <w:rPr>
          <w:rFonts w:ascii="Arial" w:cs="Arial" w:eastAsia="Arial" w:hAnsi="Arial"/>
          <w:sz w:val="16"/>
          <w:szCs w:val="16"/>
          <w:color w:val="auto"/>
        </w:rPr>
      </w:pPr>
      <w:r>
        <w:rPr>
          <w:rFonts w:ascii="Arial" w:cs="Arial" w:eastAsia="Arial" w:hAnsi="Arial"/>
          <w:sz w:val="16"/>
          <w:szCs w:val="16"/>
          <w:color w:val="auto"/>
        </w:rPr>
        <w:t>such assets (valued at book value) do not constitute a “substantial part” of the assets of the Company and its Restricted Subsidiaries;</w:t>
      </w:r>
    </w:p>
    <w:p>
      <w:pPr>
        <w:spacing w:after="0" w:line="248" w:lineRule="exact"/>
        <w:rPr>
          <w:rFonts w:ascii="Arial" w:cs="Arial" w:eastAsia="Arial" w:hAnsi="Arial"/>
          <w:sz w:val="16"/>
          <w:szCs w:val="16"/>
          <w:color w:val="auto"/>
        </w:rPr>
      </w:pPr>
    </w:p>
    <w:p>
      <w:pPr>
        <w:ind w:left="1080" w:hanging="272"/>
        <w:spacing w:after="0"/>
        <w:tabs>
          <w:tab w:leader="none" w:pos="108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in the opinion of a Responsible Officer of the Company, the sale is for fair value and is in the best interests of the Company; and</w:t>
      </w:r>
    </w:p>
    <w:p>
      <w:pPr>
        <w:spacing w:after="0" w:line="225" w:lineRule="exact"/>
        <w:rPr>
          <w:rFonts w:ascii="Arial" w:cs="Arial" w:eastAsia="Arial" w:hAnsi="Arial"/>
          <w:sz w:val="18"/>
          <w:szCs w:val="18"/>
          <w:color w:val="auto"/>
        </w:rPr>
      </w:pPr>
    </w:p>
    <w:p>
      <w:pPr>
        <w:ind w:left="1080" w:hanging="272"/>
        <w:spacing w:after="0"/>
        <w:tabs>
          <w:tab w:leader="none" w:pos="1080" w:val="left"/>
        </w:tabs>
        <w:numPr>
          <w:ilvl w:val="2"/>
          <w:numId w:val="28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 and after giving effect thereto, no Default or Event of Default would exist; or</w:t>
      </w:r>
    </w:p>
    <w:p>
      <w:pPr>
        <w:spacing w:after="0" w:line="248" w:lineRule="exact"/>
        <w:rPr>
          <w:rFonts w:ascii="Arial" w:cs="Arial" w:eastAsia="Arial" w:hAnsi="Arial"/>
          <w:sz w:val="16"/>
          <w:szCs w:val="16"/>
          <w:color w:val="auto"/>
        </w:rPr>
      </w:pPr>
    </w:p>
    <w:p>
      <w:pPr>
        <w:ind w:right="80" w:firstLine="447"/>
        <w:spacing w:after="0" w:line="288" w:lineRule="auto"/>
        <w:tabs>
          <w:tab w:leader="none" w:pos="7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sale of assets meeting the conditions set forth in clauses (B) and (C) of clause (iii) above, as long as the cash proceeds from such sale in excess of a substantial part of the assets of the Company and its Restricted Subsidiaries (net of expenses of sale and an amount reasonably estimated by the Company to represent incremental income taxes due as a result of such sale) are (i) applied within 365 days of the date of receipt to the acquisition of productive assets useful and intended to be used in the operation or expansion of the business of the Company or its Restricted Subsidiaries, and/or (ii) used to repay any Indebtedness of the Company or its Restricted Subsidiaries (other than (x) Indebtedness that is in any manner subordinated in right of payment in any respect to Indebtedness arising or incurred under this Agreement, (y) Indebtedness owing to the Company, any of its Subsidiaries or any Affiliate, and (z) Indebtedness in respect of any revolving credit or similar credit facility providing the Company or any of its Restricted Subsidiaries with the right to obtain loans or other extensions of credit from time to time, except to the extent that in connection with such payment of Indebtedness the availability of credit under such credit facility is permanently reduced by an amount not less than the amount of such proceeds applied to the payment of such Indebtedness).</w:t>
      </w:r>
    </w:p>
    <w:p>
      <w:pPr>
        <w:spacing w:after="0" w:line="173" w:lineRule="exact"/>
        <w:rPr>
          <w:rFonts w:ascii="Arial" w:cs="Arial" w:eastAsia="Arial" w:hAnsi="Arial"/>
          <w:sz w:val="16"/>
          <w:szCs w:val="16"/>
          <w:color w:val="auto"/>
        </w:rPr>
      </w:pPr>
    </w:p>
    <w:p>
      <w:pPr>
        <w:ind w:right="60" w:firstLine="228"/>
        <w:spacing w:after="0" w:line="291" w:lineRule="auto"/>
        <w:tabs>
          <w:tab w:leader="none" w:pos="51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For purposes of Section 7.02(c), a sale of assets will be deemed to involve a “substantial part” of the assets of the Company and its Restricted Subsidiaries if the book value of such assets, together with all other assets sold, including mergers effected pursuant to Section 7.02(a)(i)(y) and the issuance, sale, transfer or disposition of stock or other Securities of Restricted Subsidiaries (except to the Company or another Restricted Subsidiary) effected pursuant to Section 7.02(e), during the same fiscal year (except (1) those assets sold pursuant to clauses (i) and (ii) of Section 7.02(c), and (2) those assets consisting of receivables sold through any Permitted Receivables Transaction permitted under Section 7.03(i)) equals at least 15.00% of the Consolidated Total Assets of the Company and its Restricted Subsidiaries determined as of the end of the immediately preceding fiscal year.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5" w:name="page236"/>
    <w:bookmarkEnd w:id="235"/>
    <w:p>
      <w:pPr>
        <w:ind w:right="20" w:firstLine="228"/>
        <w:spacing w:after="0" w:line="255" w:lineRule="auto"/>
        <w:tabs>
          <w:tab w:leader="none" w:pos="50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will not permit any Restricted Subsidiary to issue shares of stock or other Securities to any Person other than the Company or another Restricted Subsidiary. The Company will not, and will not permit any Restricted Subsidiary to, issue, sell, transfer or otherwise dispose of its interest in any stock or any other Securities (or any options or warrants to purchase stock or other Securities exchangeable for or convertible into stock or other Securities) of any Restricted Subsidiary (except to the Company or another Restricted Subsidiary) unless such issuance, sale, transfer or disposition (valued at book value) would be permitted under Section 7.02(c).</w:t>
      </w:r>
    </w:p>
    <w:p>
      <w:pPr>
        <w:spacing w:after="0" w:line="191" w:lineRule="exact"/>
        <w:rPr>
          <w:sz w:val="20"/>
          <w:szCs w:val="20"/>
          <w:color w:val="auto"/>
        </w:rPr>
      </w:pPr>
    </w:p>
    <w:p>
      <w:pPr>
        <w:ind w:right="60" w:firstLine="220"/>
        <w:spacing w:after="0" w:line="262" w:lineRule="auto"/>
        <w:rPr>
          <w:sz w:val="20"/>
          <w:szCs w:val="20"/>
          <w:color w:val="auto"/>
        </w:rPr>
      </w:pPr>
      <w:r>
        <w:rPr>
          <w:rFonts w:ascii="Arial" w:cs="Arial" w:eastAsia="Arial" w:hAnsi="Arial"/>
          <w:sz w:val="18"/>
          <w:szCs w:val="18"/>
          <w:b w:val="1"/>
          <w:bCs w:val="1"/>
          <w:color w:val="auto"/>
        </w:rPr>
        <w:t>7.03 Liens</w:t>
      </w:r>
      <w:r>
        <w:rPr>
          <w:rFonts w:ascii="Arial" w:cs="Arial" w:eastAsia="Arial" w:hAnsi="Arial"/>
          <w:sz w:val="18"/>
          <w:szCs w:val="18"/>
          <w:color w:val="auto"/>
        </w:rPr>
        <w:t>. The Company will not, and will not permit any of its Restricted Subsidiaries to, directly or indirectly create, incur, assume or permit to exist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happening of a contingency or otherwise) any Lien on or with respect to any of its properties or assets, whether now owned or hereafter acquired, except for the following (which are collectively referred to as “Permitted Liens”):</w:t>
      </w:r>
    </w:p>
    <w:p>
      <w:pPr>
        <w:spacing w:after="0" w:line="192" w:lineRule="exact"/>
        <w:rPr>
          <w:sz w:val="20"/>
          <w:szCs w:val="20"/>
          <w:color w:val="auto"/>
        </w:rPr>
      </w:pPr>
    </w:p>
    <w:p>
      <w:pPr>
        <w:ind w:right="640" w:firstLine="228"/>
        <w:spacing w:after="0" w:line="268" w:lineRule="auto"/>
        <w:tabs>
          <w:tab w:leader="none" w:pos="50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Mechanics’, materialmen’s, carriers’ or other like liens arising in the ordinary course of business (including construction of facilities) in respect of obligations that are not due or which are being contested in good faith;</w:t>
      </w:r>
    </w:p>
    <w:p>
      <w:pPr>
        <w:spacing w:after="0" w:line="185" w:lineRule="exact"/>
        <w:rPr>
          <w:rFonts w:ascii="Arial" w:cs="Arial" w:eastAsia="Arial" w:hAnsi="Arial"/>
          <w:sz w:val="18"/>
          <w:szCs w:val="18"/>
          <w:color w:val="auto"/>
        </w:rPr>
      </w:pPr>
    </w:p>
    <w:p>
      <w:pPr>
        <w:ind w:right="240" w:firstLine="228"/>
        <w:spacing w:after="0" w:line="298" w:lineRule="auto"/>
        <w:tabs>
          <w:tab w:leader="none" w:pos="5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Liens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Lien arising by reason of one or more letters of credit in connection with any international waste management contract to be performed by the Company or any of its Subsidiaries or their respective Affiliates);</w:t>
      </w:r>
    </w:p>
    <w:p>
      <w:pPr>
        <w:spacing w:after="0" w:line="166" w:lineRule="exact"/>
        <w:rPr>
          <w:rFonts w:ascii="Arial" w:cs="Arial" w:eastAsia="Arial" w:hAnsi="Arial"/>
          <w:sz w:val="16"/>
          <w:szCs w:val="16"/>
          <w:color w:val="auto"/>
        </w:rPr>
      </w:pPr>
    </w:p>
    <w:p>
      <w:pPr>
        <w:ind w:firstLine="228"/>
        <w:spacing w:after="0" w:line="268" w:lineRule="auto"/>
        <w:tabs>
          <w:tab w:leader="none" w:pos="50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not yet delinquent or Liens for taxes, assessments or governmental charges or levies already delinquent but the validity of which is being contested in good faith;</w:t>
      </w:r>
    </w:p>
    <w:p>
      <w:pPr>
        <w:spacing w:after="0" w:line="185" w:lineRule="exact"/>
        <w:rPr>
          <w:rFonts w:ascii="Arial" w:cs="Arial" w:eastAsia="Arial" w:hAnsi="Arial"/>
          <w:sz w:val="18"/>
          <w:szCs w:val="18"/>
          <w:color w:val="auto"/>
        </w:rPr>
      </w:pPr>
    </w:p>
    <w:p>
      <w:pPr>
        <w:ind w:right="320" w:firstLine="228"/>
        <w:spacing w:after="0" w:line="268" w:lineRule="auto"/>
        <w:tabs>
          <w:tab w:leader="none" w:pos="5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(including judgment liens) arising in connection with legal proceedings so long as such proceedings are being contested in good faith and, in the case of judgment liens, execution thereon is stayed;</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Landlords’ liens on fixtures located on premises leased by the Company or any Restricted Subsidiary in the ordinary course of business;</w:t>
      </w:r>
    </w:p>
    <w:p>
      <w:pPr>
        <w:spacing w:after="0" w:line="225" w:lineRule="exact"/>
        <w:rPr>
          <w:rFonts w:ascii="Arial" w:cs="Arial" w:eastAsia="Arial" w:hAnsi="Arial"/>
          <w:sz w:val="18"/>
          <w:szCs w:val="18"/>
          <w:color w:val="auto"/>
        </w:rPr>
      </w:pPr>
    </w:p>
    <w:p>
      <w:pPr>
        <w:ind w:left="500" w:hanging="272"/>
        <w:spacing w:after="0"/>
        <w:tabs>
          <w:tab w:leader="none" w:pos="5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20" w:firstLine="228"/>
        <w:spacing w:after="0" w:line="268" w:lineRule="auto"/>
        <w:tabs>
          <w:tab w:leader="none" w:pos="5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arising by reason of deposits to qualify the Company or any Restricted Subsidiary to conduct business, to maintain self-insurance, or to obtain the benefit of, or comply with, Laws;</w:t>
      </w:r>
    </w:p>
    <w:p>
      <w:pPr>
        <w:spacing w:after="0" w:line="185" w:lineRule="exact"/>
        <w:rPr>
          <w:rFonts w:ascii="Arial" w:cs="Arial" w:eastAsia="Arial" w:hAnsi="Arial"/>
          <w:sz w:val="18"/>
          <w:szCs w:val="18"/>
          <w:color w:val="auto"/>
        </w:rPr>
      </w:pPr>
    </w:p>
    <w:p>
      <w:pPr>
        <w:ind w:right="180" w:firstLine="228"/>
        <w:spacing w:after="0" w:line="268" w:lineRule="auto"/>
        <w:tabs>
          <w:tab w:leader="none" w:pos="5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that secure any Indebtedness of a Restricted Subsidiary owing to the Company or another Restricted Subsidiary or by the Company to a Restricted Subsidiary;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6" w:name="page237"/>
    <w:bookmarkEnd w:id="236"/>
    <w:p>
      <w:pPr>
        <w:ind w:right="120" w:firstLine="228"/>
        <w:spacing w:after="0" w:line="291" w:lineRule="auto"/>
        <w:tabs>
          <w:tab w:leader="none" w:pos="47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Restricted Subsidiaries, as lessors or sublessors) from time to time purporting to secure the payment by the obligors describing the collateral securing such trade receivables (together with any financing statements signed by such obligors describing the collateral securing such trade receivables) pursuant to such Permitted Receivables Transactions;</w:t>
      </w:r>
    </w:p>
    <w:p>
      <w:pPr>
        <w:spacing w:after="0" w:line="174" w:lineRule="exact"/>
        <w:rPr>
          <w:rFonts w:ascii="Arial" w:cs="Arial" w:eastAsia="Arial" w:hAnsi="Arial"/>
          <w:sz w:val="16"/>
          <w:szCs w:val="16"/>
          <w:color w:val="auto"/>
        </w:rPr>
      </w:pPr>
    </w:p>
    <w:p>
      <w:pPr>
        <w:ind w:left="480" w:hanging="252"/>
        <w:spacing w:after="0"/>
        <w:tabs>
          <w:tab w:leader="none" w:pos="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Liens existing at Closing and reflected on Schedule 7.03 hereto;</w:t>
      </w:r>
    </w:p>
    <w:p>
      <w:pPr>
        <w:spacing w:after="0" w:line="225" w:lineRule="exact"/>
        <w:rPr>
          <w:rFonts w:ascii="Arial" w:cs="Arial" w:eastAsia="Arial" w:hAnsi="Arial"/>
          <w:sz w:val="18"/>
          <w:szCs w:val="18"/>
          <w:color w:val="auto"/>
        </w:rPr>
      </w:pPr>
    </w:p>
    <w:p>
      <w:pPr>
        <w:ind w:right="60" w:firstLine="228"/>
        <w:spacing w:after="0" w:line="285" w:lineRule="auto"/>
        <w:tabs>
          <w:tab w:leader="none" w:pos="51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 Liens upon property or assets which are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Lien secures or provides for the payment, financing or refinancing, directly or indirectly, of all or any part of the acquisition cost of such property or assets or the cost of construction, development or improvement thereof; or (ii) any Lien upon property or assets existing at the time of the acquisition thereof, which Lien secures obligations assumed by the Company or any Restricted Subsidiary; or (iii) any conditional sales agreement or other title retention agreement with respect to any property or assets acquired by the Company or any Restricted Subsidiary; or (iv) any Lien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(v) any Lien existing on the property, assets or shares of stock of any successor which shall have become the Company in accordance with the provisions set forth in Section 7.02; provided, in each case, that any such Lien described in the foregoing clauses (ii), (iii), (iv) or (v) does not attach to or affect property or assets owned by the Company or any Restricted Subsidiary prior to the event referred to in such clauses; provided further (for avoidance of doubt) that any such Lien described in the foregoing clauses (i), (ii) or (iii) may be created in favor of any Governmental Authority.</w:t>
      </w:r>
    </w:p>
    <w:p>
      <w:pPr>
        <w:spacing w:after="0" w:line="182" w:lineRule="exact"/>
        <w:rPr>
          <w:rFonts w:ascii="Arial" w:cs="Arial" w:eastAsia="Arial" w:hAnsi="Arial"/>
          <w:sz w:val="16"/>
          <w:szCs w:val="16"/>
          <w:color w:val="auto"/>
        </w:rPr>
      </w:pPr>
    </w:p>
    <w:p>
      <w:pPr>
        <w:ind w:left="480" w:hanging="252"/>
        <w:spacing w:after="0"/>
        <w:tabs>
          <w:tab w:leader="none" w:pos="4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extension, renewal or refunding (or successive extensions, renewals or refundings) in whole or in part of any Indebtedness secured by any Lien</w:t>
      </w:r>
    </w:p>
    <w:p>
      <w:pPr>
        <w:spacing w:after="0" w:line="38"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referred to in the foregoing clauses, inclusive, provided that the principal amount of the Indebtedness secured is not increased or the maturity thereof reduced and the Lien securing such Indebtedness shall be limited to the property or assets that, immediately prior to such extension, renewal or refunding, secured such Indebtedness and additions to such property or assets; and</w:t>
      </w:r>
    </w:p>
    <w:p>
      <w:pPr>
        <w:spacing w:after="0" w:line="198" w:lineRule="exact"/>
        <w:rPr>
          <w:rFonts w:ascii="Arial" w:cs="Arial" w:eastAsia="Arial" w:hAnsi="Arial"/>
          <w:sz w:val="16"/>
          <w:szCs w:val="16"/>
          <w:color w:val="auto"/>
        </w:rPr>
      </w:pPr>
    </w:p>
    <w:p>
      <w:pPr>
        <w:ind w:right="600" w:firstLine="228"/>
        <w:spacing w:after="0" w:line="268" w:lineRule="auto"/>
        <w:tabs>
          <w:tab w:leader="none" w:pos="56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Liens securing Priority Debt, provided that Priority Debt shall not at any time exceed 15.00% of Consolidated Tangible Assets as of the then most recently ended fiscal quarter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or fiscal year of the Company for which financial information is reportable pursuant to Sections 6.01(a) and (b).</w:t>
      </w:r>
    </w:p>
    <w:p>
      <w:pPr>
        <w:spacing w:after="0" w:line="219" w:lineRule="exact"/>
        <w:rPr>
          <w:sz w:val="20"/>
          <w:szCs w:val="20"/>
          <w:color w:val="auto"/>
        </w:rPr>
      </w:pPr>
    </w:p>
    <w:p>
      <w:pPr>
        <w:ind w:right="220" w:firstLine="220"/>
        <w:spacing w:after="0" w:line="275" w:lineRule="auto"/>
        <w:rPr>
          <w:sz w:val="20"/>
          <w:szCs w:val="20"/>
          <w:color w:val="auto"/>
        </w:rPr>
      </w:pPr>
      <w:r>
        <w:rPr>
          <w:rFonts w:ascii="Arial" w:cs="Arial" w:eastAsia="Arial" w:hAnsi="Arial"/>
          <w:sz w:val="18"/>
          <w:szCs w:val="18"/>
          <w:b w:val="1"/>
          <w:bCs w:val="1"/>
          <w:color w:val="auto"/>
        </w:rPr>
        <w:t>7.04 Limitation on Consolidated Debt</w:t>
      </w:r>
      <w:r>
        <w:rPr>
          <w:rFonts w:ascii="Arial" w:cs="Arial" w:eastAsia="Arial" w:hAnsi="Arial"/>
          <w:sz w:val="18"/>
          <w:szCs w:val="18"/>
          <w:color w:val="auto"/>
        </w:rPr>
        <w:t>. The Company will not permit at any time the ratio of (a) Consolidated Debt to (b) Adjusted Consolidated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most recently ended period of four consecutive fiscal quarters of the Company to be greater than 3.75 to 1.00.</w:t>
      </w:r>
    </w:p>
    <w:p>
      <w:pPr>
        <w:spacing w:after="0" w:line="174" w:lineRule="exact"/>
        <w:rPr>
          <w:sz w:val="20"/>
          <w:szCs w:val="20"/>
          <w:color w:val="auto"/>
        </w:rPr>
      </w:pPr>
    </w:p>
    <w:p>
      <w:pPr>
        <w:ind w:right="60" w:firstLine="220"/>
        <w:spacing w:after="0" w:line="339" w:lineRule="auto"/>
        <w:rPr>
          <w:sz w:val="20"/>
          <w:szCs w:val="20"/>
          <w:color w:val="auto"/>
        </w:rPr>
      </w:pPr>
      <w:r>
        <w:rPr>
          <w:rFonts w:ascii="Arial" w:cs="Arial" w:eastAsia="Arial" w:hAnsi="Arial"/>
          <w:sz w:val="16"/>
          <w:szCs w:val="16"/>
          <w:b w:val="1"/>
          <w:bCs w:val="1"/>
          <w:color w:val="auto"/>
        </w:rPr>
        <w:t>7.05 Limitation on Priority Debt</w:t>
      </w:r>
      <w:r>
        <w:rPr>
          <w:rFonts w:ascii="Arial" w:cs="Arial" w:eastAsia="Arial" w:hAnsi="Arial"/>
          <w:sz w:val="16"/>
          <w:szCs w:val="16"/>
          <w:color w:val="auto"/>
        </w:rPr>
        <w:t>. The Company will not permit Priority Debt at any time to exceed 15.00% of Consolidated Tangible Assets as of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most recently ended fiscal quarter or fiscal year of the Company for which financial information is reportable pursuant to Sections 6.01(a) and (b).</w:t>
      </w:r>
    </w:p>
    <w:p>
      <w:pPr>
        <w:spacing w:after="0" w:line="128" w:lineRule="exact"/>
        <w:rPr>
          <w:sz w:val="20"/>
          <w:szCs w:val="20"/>
          <w:color w:val="auto"/>
        </w:rPr>
      </w:pPr>
    </w:p>
    <w:p>
      <w:pPr>
        <w:ind w:right="20" w:firstLine="220"/>
        <w:spacing w:after="0" w:line="339" w:lineRule="auto"/>
        <w:rPr>
          <w:sz w:val="20"/>
          <w:szCs w:val="20"/>
          <w:color w:val="auto"/>
        </w:rPr>
      </w:pPr>
      <w:r>
        <w:rPr>
          <w:rFonts w:ascii="Arial" w:cs="Arial" w:eastAsia="Arial" w:hAnsi="Arial"/>
          <w:sz w:val="15"/>
          <w:szCs w:val="15"/>
          <w:b w:val="1"/>
          <w:bCs w:val="1"/>
          <w:color w:val="auto"/>
        </w:rPr>
        <w:t>7.06 Nature of Business</w:t>
      </w:r>
      <w:r>
        <w:rPr>
          <w:rFonts w:ascii="Arial" w:cs="Arial" w:eastAsia="Arial" w:hAnsi="Arial"/>
          <w:sz w:val="15"/>
          <w:szCs w:val="15"/>
          <w:color w:val="auto"/>
        </w:rPr>
        <w:t>. The Company will not, and will not permit any Restricted Subsidiary to, engage in any business if, as a result, the general nature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business of the Company and its Restricted Subsidiaries, taken as a whole, which would then be engaged in by the Company and its Restricted Subsidiaries would be substantially changed from the nature of the business engaged in by the Company and its Restricted Subsidiaries, taken as a whole, on the Closing Date.</w:t>
      </w:r>
    </w:p>
    <w:p>
      <w:pPr>
        <w:spacing w:after="0" w:line="133"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b w:val="1"/>
          <w:bCs w:val="1"/>
          <w:color w:val="auto"/>
        </w:rPr>
        <w:t>7.07 Designation of Unrestricted Subsidiaries</w:t>
      </w:r>
      <w:r>
        <w:rPr>
          <w:rFonts w:ascii="Arial" w:cs="Arial" w:eastAsia="Arial" w:hAnsi="Arial"/>
          <w:sz w:val="16"/>
          <w:szCs w:val="16"/>
          <w:color w:val="auto"/>
        </w:rPr>
        <w:t>. The Company may designate any newly-formed or newly-acquired Subsidiary as a Restricted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an Unrestricted Subsidiary; provided that if the Company shall fail to so designate by the end of the fiscal quarter in which such Subsidiary is formed or acquired, such Subsidiary shall be deemed to be a Restricted Subsidiary. In addition, the Company may designate any Restricted Subsidiary as an Unrestricted Subsidiary and any Unrestricted Subsidiary as a Restricted Subsidiary; provided that, (a) if such Subsidiary initially is a Restricted Subsidiary, then such Restricted Subsidiary may be subsequently redesignated as an Unrestricted Subsidiary and such Unrestricted Subsidiary may be subsequently designated as a Restricted Subsidiary, but no further changes in designation may be made; (b) if such Subsidiary initially is an Unrestricted Subsidiary, then such Unrestricted Subsidiary may be subsequently designated as a Restricted Subsidiary and such Restricted Subsidiary may be subsequently redesignated as an Unrestricted Subsidiary, but no further changes in designation may be made; (c) immediately before and after designation of a Restricted Subsidiary as an Unrestricted Subsidiary or of an Unrestricted Subsidiary as a Restricted Subsidiary there exists no Default or Event of Default; and (d) Holdings may not be designated as an Unrestricted Subsidiary.</w:t>
      </w:r>
    </w:p>
    <w:p>
      <w:pPr>
        <w:spacing w:after="0" w:line="169" w:lineRule="exact"/>
        <w:rPr>
          <w:sz w:val="20"/>
          <w:szCs w:val="20"/>
          <w:color w:val="auto"/>
        </w:rPr>
      </w:pPr>
    </w:p>
    <w:p>
      <w:pPr>
        <w:ind w:right="580" w:firstLine="220"/>
        <w:spacing w:after="0" w:line="275" w:lineRule="auto"/>
        <w:rPr>
          <w:sz w:val="20"/>
          <w:szCs w:val="20"/>
          <w:color w:val="auto"/>
        </w:rPr>
      </w:pPr>
      <w:r>
        <w:rPr>
          <w:rFonts w:ascii="Arial" w:cs="Arial" w:eastAsia="Arial" w:hAnsi="Arial"/>
          <w:sz w:val="18"/>
          <w:szCs w:val="18"/>
          <w:b w:val="1"/>
          <w:bCs w:val="1"/>
          <w:color w:val="auto"/>
        </w:rPr>
        <w:t>7.08 Margin Stock</w:t>
      </w:r>
      <w:r>
        <w:rPr>
          <w:rFonts w:ascii="Arial" w:cs="Arial" w:eastAsia="Arial" w:hAnsi="Arial"/>
          <w:sz w:val="18"/>
          <w:szCs w:val="18"/>
          <w:color w:val="auto"/>
        </w:rPr>
        <w:t>. The Company shall not use the Credits, the Advances or the Term Loans, whether directly or indirectly, and whether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incidentally or ultimately, to purchase or carry margin stock with in the meaning of Regulation U of the FRB.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8.01 Events of Default</w:t>
      </w:r>
      <w:r>
        <w:rPr>
          <w:rFonts w:ascii="Arial" w:cs="Arial" w:eastAsia="Arial" w:hAnsi="Arial"/>
          <w:sz w:val="18"/>
          <w:szCs w:val="18"/>
          <w:color w:val="auto"/>
        </w:rPr>
        <w:t>. Any of the following shall constitute an Event of Default:</w:t>
      </w:r>
    </w:p>
    <w:p>
      <w:pPr>
        <w:spacing w:after="0" w:line="231" w:lineRule="exact"/>
        <w:rPr>
          <w:sz w:val="20"/>
          <w:szCs w:val="20"/>
          <w:color w:val="auto"/>
        </w:rPr>
      </w:pPr>
    </w:p>
    <w:p>
      <w:pPr>
        <w:ind w:right="380" w:firstLine="228"/>
        <w:spacing w:after="0" w:line="268" w:lineRule="auto"/>
        <w:tabs>
          <w:tab w:leader="none" w:pos="50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Non-Payment of Drawing or Principal Amount. The Company fails to pay when and as required to be paid herein or in any other Credit Document (i) within six Business Days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8" w:name="page239"/>
    <w:bookmarkEnd w:id="238"/>
    <w:p>
      <w:pPr>
        <w:ind w:right="40"/>
        <w:spacing w:after="0" w:line="256" w:lineRule="auto"/>
        <w:rPr>
          <w:sz w:val="20"/>
          <w:szCs w:val="20"/>
          <w:color w:val="auto"/>
        </w:rPr>
      </w:pPr>
      <w:r>
        <w:rPr>
          <w:rFonts w:ascii="Arial" w:cs="Arial" w:eastAsia="Arial" w:hAnsi="Arial"/>
          <w:sz w:val="18"/>
          <w:szCs w:val="18"/>
          <w:color w:val="auto"/>
        </w:rPr>
        <w:t>after the applicable Reimbursement Date of any drawing under any Credit, the amount of such drawing (unless within such six Business Day period a Request for Term Loans has been received pursuant to Section 2.03(b), and such Term Loans are made in accordance with the terms and conditions of Sections 2.03, 4.02 and 4.03 within 15 Business Days of the receipt by the Administrative Agent of such Request for Term Loans), or (ii) on the Maturity Date, the aggregate principal amount of any Term Loan or Advances outstanding; or</w:t>
      </w:r>
    </w:p>
    <w:p>
      <w:pPr>
        <w:spacing w:after="0" w:line="197" w:lineRule="exact"/>
        <w:rPr>
          <w:sz w:val="20"/>
          <w:szCs w:val="20"/>
          <w:color w:val="auto"/>
        </w:rPr>
      </w:pPr>
    </w:p>
    <w:p>
      <w:pPr>
        <w:jc w:val="both"/>
        <w:ind w:firstLine="228"/>
        <w:spacing w:after="0" w:line="259" w:lineRule="auto"/>
        <w:tabs>
          <w:tab w:leader="none" w:pos="51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Non-Payment of Interest and Other Amounts. The Company defaults in the payment of any interest on any Letter of Credit Linked Note or Term Note, any Facility Fee or Fronting Fee due hereunder, or other amount payable hereunder or under any other Credit Document for more than five (5) Business Days after the same becomes due and payable; or</w:t>
      </w:r>
    </w:p>
    <w:p>
      <w:pPr>
        <w:spacing w:after="0" w:line="194" w:lineRule="exact"/>
        <w:rPr>
          <w:rFonts w:ascii="Arial" w:cs="Arial" w:eastAsia="Arial" w:hAnsi="Arial"/>
          <w:sz w:val="18"/>
          <w:szCs w:val="18"/>
          <w:color w:val="auto"/>
        </w:rPr>
      </w:pPr>
    </w:p>
    <w:p>
      <w:pPr>
        <w:ind w:right="500" w:firstLine="228"/>
        <w:spacing w:after="0" w:line="332" w:lineRule="auto"/>
        <w:tabs>
          <w:tab w:leader="none" w:pos="50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Specific Covenants. The Company defaults in the performance of or compliance with (i) Section 7.05, which default is not remedied within ten (10) Business Days after a Responsible Officer obtaining actual knowledge of such default, or (ii) Sections 7.02, 7.03, or 7.04; or</w:t>
      </w:r>
    </w:p>
    <w:p>
      <w:pPr>
        <w:spacing w:after="0" w:line="139" w:lineRule="exact"/>
        <w:rPr>
          <w:rFonts w:ascii="Arial" w:cs="Arial" w:eastAsia="Arial" w:hAnsi="Arial"/>
          <w:sz w:val="16"/>
          <w:szCs w:val="16"/>
          <w:color w:val="auto"/>
        </w:rPr>
      </w:pPr>
    </w:p>
    <w:p>
      <w:pPr>
        <w:ind w:left="520" w:hanging="292"/>
        <w:spacing w:after="0"/>
        <w:tabs>
          <w:tab w:leader="none" w:pos="52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Other Defaults. The Company defaults in the performance of or compliance with any term contained herein (other than those referred to in paragraphs (a),</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and (c) of this Section 8.01) and such default is not remedied within thirty (30) days after a Responsible Officer obtaining actual knowledge of such default; or</w:t>
      </w:r>
    </w:p>
    <w:p>
      <w:pPr>
        <w:spacing w:after="0" w:line="241" w:lineRule="exact"/>
        <w:rPr>
          <w:rFonts w:ascii="Arial" w:cs="Arial" w:eastAsia="Arial" w:hAnsi="Arial"/>
          <w:sz w:val="16"/>
          <w:szCs w:val="16"/>
          <w:color w:val="auto"/>
        </w:rPr>
      </w:pPr>
    </w:p>
    <w:p>
      <w:pPr>
        <w:ind w:right="420" w:firstLine="228"/>
        <w:spacing w:after="0" w:line="259" w:lineRule="auto"/>
        <w:tabs>
          <w:tab w:leader="none" w:pos="50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Representations and Warranties. Any representation or warranty made in writing by or on behalf of the Company or Holdings or by any officer of the Company or Holdings in this Agreement or in any writing furnished in connection with the transactions contemplated hereby proves to have been false or incorrect in any material respect on the date as of which made; or</w:t>
      </w:r>
    </w:p>
    <w:p>
      <w:pPr>
        <w:spacing w:after="0" w:line="194" w:lineRule="exact"/>
        <w:rPr>
          <w:rFonts w:ascii="Arial" w:cs="Arial" w:eastAsia="Arial" w:hAnsi="Arial"/>
          <w:sz w:val="18"/>
          <w:szCs w:val="18"/>
          <w:color w:val="auto"/>
        </w:rPr>
      </w:pPr>
    </w:p>
    <w:p>
      <w:pPr>
        <w:ind w:right="120" w:firstLine="228"/>
        <w:spacing w:after="0" w:line="289" w:lineRule="auto"/>
        <w:tabs>
          <w:tab w:leader="none" w:pos="483" w:val="left"/>
        </w:tabs>
        <w:numPr>
          <w:ilvl w:val="1"/>
          <w:numId w:val="291"/>
        </w:numPr>
        <w:rPr>
          <w:rFonts w:ascii="Arial" w:cs="Arial" w:eastAsia="Arial" w:hAnsi="Arial"/>
          <w:sz w:val="16"/>
          <w:szCs w:val="16"/>
          <w:color w:val="auto"/>
        </w:rPr>
      </w:pPr>
      <w:r>
        <w:rPr>
          <w:rFonts w:ascii="Arial" w:cs="Arial" w:eastAsia="Arial" w:hAnsi="Arial"/>
          <w:sz w:val="16"/>
          <w:szCs w:val="16"/>
          <w:color w:val="auto"/>
        </w:rPr>
        <w:t>Cross-Defaults. (i) A default in the payment of any principal of or premium or make-whole amount or interest on any Material Debt has occurred and continues beyond any period of grace provided with respect thereto, or (ii) any other default in the performance of or compliance with any term of any evidence of any Material Debt or of any mortgage, indenture or other agreement relating thereto exists, and as a consequence of such default such Material Debt has become, or has been declared (or one or more Persons are entitled to declare such Material Debt to be), due and payable before its stated maturity or before its regularly scheduled dates of payment, or (iii) as a consequence of the occurrence or continuation of any event, (x) the Company or any Restricted Subsidiary has become obligated to purchase or repay any Material Debt before its regular maturity or before its regularly scheduled dates of payment, or (y) one or more Persons have the right to require the Company or any Restricted Subsidiary so to purchase or repay any Material Debt, or (iv) an event or condition shall occur which results in an “Event of Default” under the Seven Year Agreement or the Ten Year Agreement; or</w:t>
      </w:r>
    </w:p>
    <w:p>
      <w:pPr>
        <w:spacing w:after="0" w:line="172" w:lineRule="exact"/>
        <w:rPr>
          <w:rFonts w:ascii="Arial" w:cs="Arial" w:eastAsia="Arial" w:hAnsi="Arial"/>
          <w:sz w:val="16"/>
          <w:szCs w:val="16"/>
          <w:color w:val="auto"/>
        </w:rPr>
      </w:pPr>
    </w:p>
    <w:p>
      <w:pPr>
        <w:ind w:right="380" w:firstLine="228"/>
        <w:spacing w:after="0" w:line="306" w:lineRule="auto"/>
        <w:tabs>
          <w:tab w:leader="none" w:pos="512" w:val="left"/>
        </w:tabs>
        <w:numPr>
          <w:ilvl w:val="1"/>
          <w:numId w:val="291"/>
        </w:numPr>
        <w:rPr>
          <w:rFonts w:ascii="Arial" w:cs="Arial" w:eastAsia="Arial" w:hAnsi="Arial"/>
          <w:sz w:val="16"/>
          <w:szCs w:val="16"/>
          <w:color w:val="auto"/>
        </w:rPr>
      </w:pPr>
      <w:r>
        <w:rPr>
          <w:rFonts w:ascii="Arial" w:cs="Arial" w:eastAsia="Arial" w:hAnsi="Arial"/>
          <w:sz w:val="16"/>
          <w:szCs w:val="16"/>
          <w:color w:val="auto"/>
        </w:rPr>
        <w:t>Failure to Pay Debts; Voluntary Proceedings. The Company, any Restricted Subsidiary or Holdings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39" w:name="page240"/>
    <w:bookmarkEnd w:id="239"/>
    <w:p>
      <w:pPr>
        <w:ind w:right="140"/>
        <w:spacing w:after="0" w:line="286" w:lineRule="auto"/>
        <w:rPr>
          <w:sz w:val="20"/>
          <w:szCs w:val="20"/>
          <w:color w:val="auto"/>
        </w:rPr>
      </w:pPr>
      <w:r>
        <w:rPr>
          <w:rFonts w:ascii="Arial" w:cs="Arial" w:eastAsia="Arial" w:hAnsi="Arial"/>
          <w:sz w:val="16"/>
          <w:szCs w:val="16"/>
          <w:color w:val="auto"/>
        </w:rPr>
        <w:t>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w:t>
      </w:r>
    </w:p>
    <w:p>
      <w:pPr>
        <w:ind w:left="300" w:hanging="292"/>
        <w:spacing w:after="0"/>
        <w:tabs>
          <w:tab w:leader="none" w:pos="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takes corporate action for the purpose of any of the foregoing; or</w:t>
      </w:r>
    </w:p>
    <w:p>
      <w:pPr>
        <w:spacing w:after="0" w:line="218" w:lineRule="exact"/>
        <w:rPr>
          <w:rFonts w:ascii="Arial" w:cs="Arial" w:eastAsia="Arial" w:hAnsi="Arial"/>
          <w:sz w:val="18"/>
          <w:szCs w:val="18"/>
          <w:color w:val="auto"/>
        </w:rPr>
      </w:pPr>
    </w:p>
    <w:p>
      <w:pPr>
        <w:ind w:right="120" w:firstLine="228"/>
        <w:spacing w:after="0" w:line="254" w:lineRule="auto"/>
        <w:tabs>
          <w:tab w:leader="none" w:pos="5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Involuntary Proceedings. A court or governmental authority of competent jurisdiction enters an order appointing, without consent by the Company, any Restricted Subsidiary or Holdings, as applicable,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any Restricted Subsidiary or Holdings, or any such petition shall be filed against the Company, any Restricted Subsidiary or Holdings and such petition shall not be dismissed within 60 days; or</w:t>
      </w:r>
    </w:p>
    <w:p>
      <w:pPr>
        <w:spacing w:after="0" w:line="198" w:lineRule="exact"/>
        <w:rPr>
          <w:rFonts w:ascii="Arial" w:cs="Arial" w:eastAsia="Arial" w:hAnsi="Arial"/>
          <w:sz w:val="18"/>
          <w:szCs w:val="18"/>
          <w:color w:val="auto"/>
        </w:rPr>
      </w:pPr>
    </w:p>
    <w:p>
      <w:pPr>
        <w:ind w:right="40" w:firstLine="228"/>
        <w:spacing w:after="0" w:line="259" w:lineRule="auto"/>
        <w:tabs>
          <w:tab w:leader="none" w:pos="47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Judgments. A final judgment or judgments for the payment of money aggregating in excess of 10.00% of Consolidated Net Worth are rendered against one or more of the Company, any Restricted Subsidiary or Holdings and which judgments are not, within 60 days after entry thereof, bonded, discharged or stayed pending appeal, or are not discharged within 60 days after the expiration of such stay; or</w:t>
      </w:r>
    </w:p>
    <w:p>
      <w:pPr>
        <w:spacing w:after="0" w:line="194" w:lineRule="exact"/>
        <w:rPr>
          <w:rFonts w:ascii="Arial" w:cs="Arial" w:eastAsia="Arial" w:hAnsi="Arial"/>
          <w:sz w:val="18"/>
          <w:szCs w:val="18"/>
          <w:color w:val="auto"/>
        </w:rPr>
      </w:pPr>
    </w:p>
    <w:p>
      <w:pPr>
        <w:ind w:right="120" w:firstLine="228"/>
        <w:spacing w:after="0" w:line="298" w:lineRule="auto"/>
        <w:tabs>
          <w:tab w:leader="none" w:pos="473"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Invalidity of Holdings Guaranty. If for any reason (other than payment in full of all obligations under this Agreement, the Letter of Credit Linked Notes and the Term Notes) the Holdings Guaranty shall cease to be in full force and effect (other than as expressly provided in Section 11.09 of this Agreement), or the Company or Holdings (or any other Person on behalf of the Company or Holdings) shall contest the validity or enforceability of such Holdings Guaranty, deny that Holdings has any further liability hereunder, or seek to revoke such Holdings Guaranty; or</w:t>
      </w:r>
    </w:p>
    <w:p>
      <w:pPr>
        <w:spacing w:after="0" w:line="166" w:lineRule="exact"/>
        <w:rPr>
          <w:rFonts w:ascii="Arial" w:cs="Arial" w:eastAsia="Arial" w:hAnsi="Arial"/>
          <w:sz w:val="16"/>
          <w:szCs w:val="16"/>
          <w:color w:val="auto"/>
        </w:rPr>
      </w:pPr>
    </w:p>
    <w:p>
      <w:pPr>
        <w:ind w:right="40" w:firstLine="228"/>
        <w:spacing w:after="0" w:line="287" w:lineRule="auto"/>
        <w:tabs>
          <w:tab w:leader="none" w:pos="51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ERISA.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benefit liabilities” (within the meaning of Section 4001(a)(18) of ERISA) under all Plans, determined in accordance with Title IV of ERISA, shall exceed 10.00% of Consolidated Net Worth,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either individually or together with any other such event or events, could reasonably be expected to have a Material Adverse Effect; or</w:t>
      </w:r>
    </w:p>
    <w:p>
      <w:pPr>
        <w:spacing w:after="0" w:line="225" w:lineRule="exact"/>
        <w:rPr>
          <w:sz w:val="20"/>
          <w:szCs w:val="20"/>
          <w:color w:val="auto"/>
        </w:rPr>
      </w:pPr>
    </w:p>
    <w:p>
      <w:pPr>
        <w:ind w:right="40" w:firstLine="228"/>
        <w:spacing w:after="0" w:line="291" w:lineRule="auto"/>
        <w:tabs>
          <w:tab w:leader="none" w:pos="47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Change in Control. At any time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Company; or during any period of twelve consecutive calendar months, individuals who were directors of the Company on the first day of such period (together with any new directors whose election by such board or whose nomination for election by the shareholders of the Company was approved by a vote of a majority of the directors still in office who were either directors at the beginning of such period or whose election or nomination for election was previously so approved) shall cease to constitute a majority of the board of directors of the Company.</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used in Section 8.01(k), the terms “employee benefit plan” and “employee welfare benefit plan” shall have the respective meanings assigned to such terms in Section 3 of ERISA.</w:t>
      </w:r>
    </w:p>
    <w:p>
      <w:pPr>
        <w:spacing w:after="0" w:line="180" w:lineRule="exact"/>
        <w:rPr>
          <w:sz w:val="20"/>
          <w:szCs w:val="20"/>
          <w:color w:val="auto"/>
        </w:rPr>
      </w:pPr>
    </w:p>
    <w:p>
      <w:pPr>
        <w:jc w:val="both"/>
        <w:ind w:right="220" w:firstLine="220"/>
        <w:spacing w:after="0" w:line="26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Required Credit-Linked Lenders, take any or all of the following actions, which actions shall be taken simultaneously under this Agreement, the Seven Year Agreement and the Ten Year Agreement:</w:t>
      </w:r>
    </w:p>
    <w:p>
      <w:pPr>
        <w:spacing w:after="0" w:line="192" w:lineRule="exact"/>
        <w:rPr>
          <w:sz w:val="20"/>
          <w:szCs w:val="20"/>
          <w:color w:val="auto"/>
        </w:rPr>
      </w:pPr>
    </w:p>
    <w:p>
      <w:pPr>
        <w:ind w:right="200" w:firstLine="228"/>
        <w:spacing w:after="0" w:line="268" w:lineRule="auto"/>
        <w:tabs>
          <w:tab w:leader="none" w:pos="50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declare any obligation of the Issuer to make Credit Extensions and the obligations of the Lenders to make Term Loans to be terminated, whereupon such commitments and obligation shall be terminated;</w:t>
      </w:r>
    </w:p>
    <w:p>
      <w:pPr>
        <w:spacing w:after="0" w:line="185" w:lineRule="exact"/>
        <w:rPr>
          <w:rFonts w:ascii="Arial" w:cs="Arial" w:eastAsia="Arial" w:hAnsi="Arial"/>
          <w:sz w:val="18"/>
          <w:szCs w:val="18"/>
          <w:color w:val="auto"/>
        </w:rPr>
      </w:pPr>
    </w:p>
    <w:p>
      <w:pPr>
        <w:ind w:right="220" w:firstLine="228"/>
        <w:spacing w:after="0" w:line="268" w:lineRule="auto"/>
        <w:tabs>
          <w:tab w:leader="none" w:pos="51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declare all amounts owing or payable hereunder or under any other Credit Document to be immediately due and payable, without presentment, demand, protest or other notice of any kind, all of which are hereby expressly waived by the Company;</w:t>
      </w:r>
    </w:p>
    <w:p>
      <w:pPr>
        <w:spacing w:after="0" w:line="185" w:lineRule="exact"/>
        <w:rPr>
          <w:rFonts w:ascii="Arial" w:cs="Arial" w:eastAsia="Arial" w:hAnsi="Arial"/>
          <w:sz w:val="18"/>
          <w:szCs w:val="18"/>
          <w:color w:val="auto"/>
        </w:rPr>
      </w:pPr>
    </w:p>
    <w:p>
      <w:pPr>
        <w:ind w:firstLine="228"/>
        <w:spacing w:after="0" w:line="268" w:lineRule="auto"/>
        <w:tabs>
          <w:tab w:leader="none" w:pos="50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require that the Company Cash Collateralize the Credit Obligations (other than Advances and Term Loans) (in an amount equal to the Outstanding Amount thereof, as such amount may vary from time to time); and</w:t>
      </w:r>
    </w:p>
    <w:p>
      <w:pPr>
        <w:spacing w:after="0" w:line="185" w:lineRule="exact"/>
        <w:rPr>
          <w:rFonts w:ascii="Arial" w:cs="Arial" w:eastAsia="Arial" w:hAnsi="Arial"/>
          <w:sz w:val="18"/>
          <w:szCs w:val="18"/>
          <w:color w:val="auto"/>
        </w:rPr>
      </w:pPr>
    </w:p>
    <w:p>
      <w:pPr>
        <w:ind w:right="320" w:firstLine="228"/>
        <w:spacing w:after="0" w:line="268" w:lineRule="auto"/>
        <w:tabs>
          <w:tab w:leader="none" w:pos="51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exercise on behalf of itself, the Issuer and the Lenders all rights and remedies available to it, the Issuer and the Lenders under the Credit Documents or applicable law;</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however, that upon the occurrence of an Event of Default pursuant to Sections 8.01(g) or (h), any obligation of the Issuer or the Lenders to make Credit Extensions shall automatically terminate, all unpaid amounts as aforesaid shall automatically become due and payable, and the obligation of the Company to Cash Collateralize the Credit Obligations (other than Advances and Term Loans) as aforesaid shall automatically become effective, in each case without further act of the Administrative Agent or any Lender.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Thereafter, at the request of the Required Lenders, the Administrative Agent shall (x)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41" w:name="page242"/>
    <w:bookmarkEnd w:id="241"/>
    <w:p>
      <w:pPr>
        <w:ind w:right="240"/>
        <w:spacing w:after="0" w:line="255" w:lineRule="auto"/>
        <w:rPr>
          <w:sz w:val="20"/>
          <w:szCs w:val="20"/>
          <w:color w:val="auto"/>
        </w:rPr>
      </w:pPr>
      <w:r>
        <w:rPr>
          <w:rFonts w:ascii="Arial" w:cs="Arial" w:eastAsia="Arial" w:hAnsi="Arial"/>
          <w:sz w:val="18"/>
          <w:szCs w:val="18"/>
          <w:color w:val="auto"/>
        </w:rPr>
        <w:t>withdraw from the Credit-Linked Deposit Account and distribute to the Lenders an amount equal to the excess of the Total Credit-Linked Deposit over the Outstanding Amount of the Credit Obligations (other than Advances and Term Loans), and (y) subject to, and to the extent of, the Company’s compliance with any Cash Collateralization requirements as aforesaid, withdraw from the Credit-Linked Deposit Account and distribute to the Lenders the aggregate amount of any remaining Credit-Linked Deposits to the extent of the amount credited to the Credit-Linked Deposit Account; in each case subject to any notice required pursuant to the Money Market Account Agreement.</w:t>
      </w:r>
    </w:p>
    <w:p>
      <w:pPr>
        <w:spacing w:after="0" w:line="191" w:lineRule="exact"/>
        <w:rPr>
          <w:sz w:val="20"/>
          <w:szCs w:val="20"/>
          <w:color w:val="auto"/>
        </w:rPr>
      </w:pPr>
    </w:p>
    <w:p>
      <w:pPr>
        <w:ind w:right="40" w:firstLine="220"/>
        <w:spacing w:after="0" w:line="258"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 Section 8.02 (or after the obligations of the Issuer to make Credit Extensions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automatically terminated and the Credit Obligations have automatically been required to be Cash Collateralized as set forth in the proviso to Section 8.02), any amounts received by the Administrative Agent, the Issuer or the Lenders on account of the Credit Obligations shall be applied by the Administrative Agent in the following order:</w:t>
      </w:r>
    </w:p>
    <w:p>
      <w:pPr>
        <w:spacing w:after="0" w:line="19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First, to payment of fees, indemnities, expenses and other amounts (including interest thereon, Attorney Costs and amounts payable under Article III) payable to the Administrative Agent in its capacity as such;</w:t>
      </w:r>
    </w:p>
    <w:p>
      <w:pPr>
        <w:spacing w:after="0" w:line="186"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Second, to payment of fees, indemnities and other amounts (excluding principal and interest on any Borrowings but including interest, if any, on any such fees, indemnities and other amounts) payable to the Issuer and the Lenders (including Attorney Costs and amounts payable under Article III), ratably among them in proportion to the amounts described in this clause Second payable to them;</w:t>
      </w:r>
    </w:p>
    <w:p>
      <w:pPr>
        <w:spacing w:after="0" w:line="194"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Third, to payment of that portion of the Credit Obligations constituting accrued and unpaid interest on the Borrowings, to the Issuer and ratably among the Lenders in proportion to the respective amounts described in this clause Third payable to them;</w:t>
      </w:r>
    </w:p>
    <w:p>
      <w:pPr>
        <w:spacing w:after="0" w:line="186"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Fourth, to payment of that portion of the Credit Obligations constituting unpaid principal of the Borrowings, to the Issuer and ratably among the Lenders in proportion to the respective amounts described in this clause Fourth held by them;</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Fifth, to the Administrative Agent for the account of the Issuer, to Cash Collateralize that portion of Credit Obligations comprised of the aggregate undrawn amount of Credits;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Last, the balance, if any, after all of the Credit Obligations have been paid in full, to the Company or as otherwise required by Law.</w:t>
      </w:r>
    </w:p>
    <w:p>
      <w:pPr>
        <w:spacing w:after="0" w:line="225" w:lineRule="exact"/>
        <w:rPr>
          <w:sz w:val="20"/>
          <w:szCs w:val="20"/>
          <w:color w:val="auto"/>
        </w:rPr>
      </w:pPr>
    </w:p>
    <w:p>
      <w:pPr>
        <w:ind w:right="180" w:firstLine="220"/>
        <w:spacing w:after="0" w:line="306" w:lineRule="auto"/>
        <w:rPr>
          <w:sz w:val="20"/>
          <w:szCs w:val="20"/>
          <w:color w:val="auto"/>
        </w:rPr>
      </w:pPr>
      <w:r>
        <w:rPr>
          <w:rFonts w:ascii="Arial" w:cs="Arial" w:eastAsia="Arial" w:hAnsi="Arial"/>
          <w:sz w:val="16"/>
          <w:szCs w:val="16"/>
          <w:color w:val="auto"/>
        </w:rPr>
        <w:t>Subject to Section 2.01(c), amounts used to Cash Collateralize the aggregate undrawn amount of Credits pursuant to clause Fifth above shall be applied to satisfy drawings under such Credits as they occur. If any amount remains on deposit as Cash Collateral after all Credits have either been fully drawn or expired, such remaining amount shall be applied to the other Credit Obligations, if any, in the order set forth above.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13"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b w:val="1"/>
          <w:bCs w:val="1"/>
          <w:color w:val="auto"/>
        </w:rPr>
        <w:t xml:space="preserve">9.01 Appointment and Authorization of Administrative Agent. </w:t>
      </w:r>
      <w:r>
        <w:rPr>
          <w:rFonts w:ascii="Arial" w:cs="Arial" w:eastAsia="Arial" w:hAnsi="Arial"/>
          <w:sz w:val="16"/>
          <w:szCs w:val="16"/>
          <w:color w:val="auto"/>
        </w:rPr>
        <w:t>(a) Each of the Lenders and the Issuer hereby irrevocably appoints, designates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the Administrative Agent to take such action on its behalf under the provisions of this Agreement and each other Credit Document and to exercise such powers and perform such duties as are expressly delegated to it by the terms of this Agreement or any other Credit Document, together with such powers as are reasonably incidental thereto. Notwithstanding any provision to the contrary contained elsewhere herein or in any other Credit Document, the Administrative Agent shall not have any duties or responsibilities, except those expressly set forth herein, nor shall the Administrative Agent have or be deemed to have any fiduciary relationship with the Issuer, any Lender or participant, and no implied covenants, functions, responsibilities, duties, obligations or liabilities shall be read into this Agreement or any other Credit Document or otherwise exist against the Administrative Agent. Without limiting the generality of the foregoing sentence, the use of the term “agent” herein and in the other Credit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5" w:lineRule="exact"/>
        <w:rPr>
          <w:sz w:val="20"/>
          <w:szCs w:val="20"/>
          <w:color w:val="auto"/>
        </w:rPr>
      </w:pPr>
    </w:p>
    <w:p>
      <w:pPr>
        <w:ind w:right="20" w:firstLine="228"/>
        <w:spacing w:after="0" w:line="294" w:lineRule="auto"/>
        <w:tabs>
          <w:tab w:leader="none" w:pos="51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Issuer shall act on behalf of the Lenders with respect to any Credits issued by it and the Issuer Documents associated therewith, and the Issuer shall have all of the benefits and immunities (i) provided to the Administrative Agent in this Article IX (other than Section 9.07) with respect to any acts taken or omissions suffered by the Issuer in connection with Credits issued by it or proposed to be issued by it and the Issuer Documents pertaining to such Credits as fully as if the term “Administrative Agent” as used in this Article IX and in the definition of “Agent-Related Person” included the Issuer with respect to such acts or omissions, and (ii) as additionally provided herein with respect to the Issuer.</w:t>
      </w:r>
    </w:p>
    <w:p>
      <w:pPr>
        <w:spacing w:after="0" w:line="164" w:lineRule="exact"/>
        <w:rPr>
          <w:sz w:val="20"/>
          <w:szCs w:val="20"/>
          <w:color w:val="auto"/>
        </w:rPr>
      </w:pPr>
    </w:p>
    <w:p>
      <w:pPr>
        <w:ind w:right="60" w:firstLine="220"/>
        <w:spacing w:after="0" w:line="258" w:lineRule="auto"/>
        <w:rPr>
          <w:sz w:val="20"/>
          <w:szCs w:val="20"/>
          <w:color w:val="auto"/>
        </w:rPr>
      </w:pPr>
      <w:r>
        <w:rPr>
          <w:rFonts w:ascii="Arial" w:cs="Arial" w:eastAsia="Arial" w:hAnsi="Arial"/>
          <w:sz w:val="18"/>
          <w:szCs w:val="18"/>
          <w:b w:val="1"/>
          <w:bCs w:val="1"/>
          <w:color w:val="auto"/>
        </w:rPr>
        <w:t>9.02 Delegation of Duties</w:t>
      </w:r>
      <w:r>
        <w:rPr>
          <w:rFonts w:ascii="Arial" w:cs="Arial" w:eastAsia="Arial" w:hAnsi="Arial"/>
          <w:sz w:val="18"/>
          <w:szCs w:val="18"/>
          <w:color w:val="auto"/>
        </w:rPr>
        <w:t>. The Administrative Agent may execute any of its duties under this Agreement or any other Credit Document by or through agents,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90"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b w:val="1"/>
          <w:bCs w:val="1"/>
          <w:color w:val="auto"/>
        </w:rPr>
        <w:t>9.03 Liability of Administrative Agent</w:t>
      </w:r>
      <w:r>
        <w:rPr>
          <w:rFonts w:ascii="Arial" w:cs="Arial" w:eastAsia="Arial" w:hAnsi="Arial"/>
          <w:sz w:val="18"/>
          <w:szCs w:val="18"/>
          <w:color w:val="auto"/>
        </w:rPr>
        <w:t>. No Agent-Related Person shall (a) be liable for any action taken or omitted to be taken by any of them 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or any other Credit Document or the transactions contemplated hereby (except for its own gross negligence or willful misconduct in connection with its duties expressly set forth herein), or (b) be responsible in any manner to any Lender or participant for any recital, statement, representation or warranty made by any Credit Party or any officer thereof, contained herein or in any other Credit Document, or in any certificate, report, statement or other document referred to or provided for in, or received by the Administrative Agent under or in connection with, this Agreement or any other Credit Document, or the validity, effectiveness, genuineness,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3" w:name="page244"/>
    <w:bookmarkEnd w:id="243"/>
    <w:p>
      <w:pPr>
        <w:ind w:right="80"/>
        <w:spacing w:after="0" w:line="256" w:lineRule="auto"/>
        <w:rPr>
          <w:sz w:val="20"/>
          <w:szCs w:val="20"/>
          <w:color w:val="auto"/>
        </w:rPr>
      </w:pPr>
      <w:r>
        <w:rPr>
          <w:rFonts w:ascii="Arial" w:cs="Arial" w:eastAsia="Arial" w:hAnsi="Arial"/>
          <w:sz w:val="18"/>
          <w:szCs w:val="18"/>
          <w:color w:val="auto"/>
        </w:rPr>
        <w:t>enforceability or sufficiency of this Agreement or any other Credit Document, or for any failure of any Credit Party or any other party to any Credit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Credit Document, or to inspect the properties, books or records of any Credit Party or any Affiliate thereof.</w:t>
      </w:r>
    </w:p>
    <w:p>
      <w:pPr>
        <w:spacing w:after="0" w:line="191" w:lineRule="exact"/>
        <w:rPr>
          <w:sz w:val="20"/>
          <w:szCs w:val="20"/>
          <w:color w:val="auto"/>
        </w:rPr>
      </w:pPr>
    </w:p>
    <w:p>
      <w:pPr>
        <w:ind w:right="120" w:firstLine="220"/>
        <w:spacing w:after="0" w:line="288"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(a) The Administrative Agent shall be entitled to rely, and shall be fully protected in relying, upon any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Credit Party), independent accountants and other experts selected by the Administrative Agent. The Administrative Agent shall be fully justified in failing or refusing to take any action under any Credit Document unless it shall first receive such advice or concurrence of the Required Credit-Linked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Credit Document in accordance with a request or consent of the Required Lenders or Required Credit-Linked Lenders, as applicable (or such greater number of Lenders as may be expressly required hereby in any instance) and such request and any action taken or failure to act pursuant thereto shall be binding upon all the Lenders.</w:t>
      </w:r>
    </w:p>
    <w:p>
      <w:pPr>
        <w:spacing w:after="0" w:line="175" w:lineRule="exact"/>
        <w:rPr>
          <w:sz w:val="20"/>
          <w:szCs w:val="20"/>
          <w:color w:val="auto"/>
        </w:rPr>
      </w:pPr>
    </w:p>
    <w:p>
      <w:pPr>
        <w:ind w:right="60" w:firstLine="228"/>
        <w:spacing w:after="0" w:line="256" w:lineRule="auto"/>
        <w:tabs>
          <w:tab w:leader="none" w:pos="51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1"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b w:val="1"/>
          <w:bCs w:val="1"/>
          <w:color w:val="auto"/>
        </w:rPr>
        <w:t>9.05 Notice of Default</w:t>
      </w:r>
      <w:r>
        <w:rPr>
          <w:rFonts w:ascii="Arial" w:cs="Arial" w:eastAsia="Arial" w:hAnsi="Arial"/>
          <w:sz w:val="18"/>
          <w:szCs w:val="18"/>
          <w:color w:val="auto"/>
        </w:rPr>
        <w:t>. The Administrative Agent shall not be deemed to have knowledge or notice of the occurrence of any Default or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with respect to defaults in the payment of principal, interest and fees required to be paid to the Administrative Agent for the account of the Lenders, unless the Administrative Agent shall have received written notice from the Issuer, a Lender or the Company referring to this Agreement, describing such Default or Event of Default and stating that such notice is a “notice of default.” The Administrative Agent will notify the Lenders of its receipt of any such notice. The Administrative Agent shall take such action with respect to such Default or Event of Default as may be directed by the Required Credit-Linked Lenders in accordance with Article VIII; provided, however,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Lenders.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44" w:name="page245"/>
    <w:bookmarkEnd w:id="244"/>
    <w:p>
      <w:pPr>
        <w:ind w:firstLine="220"/>
        <w:spacing w:after="0" w:line="285" w:lineRule="auto"/>
        <w:rPr>
          <w:sz w:val="20"/>
          <w:szCs w:val="20"/>
          <w:color w:val="auto"/>
        </w:rPr>
      </w:pPr>
      <w:r>
        <w:rPr>
          <w:rFonts w:ascii="Arial" w:cs="Arial" w:eastAsia="Arial" w:hAnsi="Arial"/>
          <w:sz w:val="16"/>
          <w:szCs w:val="16"/>
          <w:b w:val="1"/>
          <w:bCs w:val="1"/>
          <w:color w:val="auto"/>
        </w:rPr>
        <w:t>9.06 Credit Decision; Disclosure of Information by Administrative Agent</w:t>
      </w:r>
      <w:r>
        <w:rPr>
          <w:rFonts w:ascii="Arial" w:cs="Arial" w:eastAsia="Arial" w:hAnsi="Arial"/>
          <w:sz w:val="16"/>
          <w:szCs w:val="16"/>
          <w:color w:val="auto"/>
        </w:rPr>
        <w:t>. Each Lender and the Issuer acknowledges that no Agent-Related Person has</w:t>
      </w:r>
      <w:r>
        <w:rPr>
          <w:rFonts w:ascii="Arial" w:cs="Arial" w:eastAsia="Arial" w:hAnsi="Arial"/>
          <w:sz w:val="16"/>
          <w:szCs w:val="16"/>
          <w:b w:val="1"/>
          <w:bCs w:val="1"/>
          <w:color w:val="auto"/>
        </w:rPr>
        <w:t xml:space="preserve"> </w:t>
      </w:r>
      <w:r>
        <w:rPr>
          <w:rFonts w:ascii="Arial" w:cs="Arial" w:eastAsia="Arial" w:hAnsi="Arial"/>
          <w:sz w:val="16"/>
          <w:szCs w:val="16"/>
          <w:color w:val="auto"/>
        </w:rPr>
        <w:t>made any representation or warranty to it, and that no act by the Administrative Agent hereafter taken, including any consent to and acceptance of any assignment or review of the affairs of any Credit Party or any Affiliate thereof, shall be deemed to constitute any representation or warranty by any Agent-Related Person to any Lender as to any matter, including whether Agent-Related Persons have disclosed material information in their possession. Each Lender and the Issuer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Credit Parties and their respective Subsidiaries, and made its own decision to enter into this Agreement and to extend credit to the Company and any other Credit Parties hereunder. Each Lender and the Issuer hereby acknowledge that it has not relied on any Agent-Related Person (other than as a recipient of legal opinions of counsel to the Administrative Agent delivered pursuant to Section 4.01(a)(vi)) with respect to any bank or other regulatory Laws relating to the transactions contemplated hereby. Each Lender and the Issuer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Credit Documents, and to make such investigations as it deems necessary to inform itself as to the business, prospects, operations, property, financial and other condition and creditworthiness of the Company and the other Credit Parties. Except for notices, reports and other documents expressly required to be furnished to the Issuer and the Lenders by the Administrative Agent herein, the Administrative Agent shall not have any duty or responsibility to provide the Issuer or any Lender with any credit or other information concerning the business, prospects, operations, property, financial and other condition or creditworthiness of any of the Credit Parties or any of their respective Affiliates which may come into the possession of any Agent-Related Person.</w:t>
      </w:r>
    </w:p>
    <w:p>
      <w:pPr>
        <w:spacing w:after="0" w:line="175" w:lineRule="exact"/>
        <w:rPr>
          <w:sz w:val="20"/>
          <w:szCs w:val="20"/>
          <w:color w:val="auto"/>
        </w:rPr>
      </w:pPr>
    </w:p>
    <w:p>
      <w:pPr>
        <w:ind w:firstLine="220"/>
        <w:spacing w:after="0" w:line="309" w:lineRule="auto"/>
        <w:rPr>
          <w:sz w:val="20"/>
          <w:szCs w:val="20"/>
          <w:color w:val="auto"/>
        </w:rPr>
      </w:pPr>
      <w:r>
        <w:rPr>
          <w:rFonts w:ascii="Arial" w:cs="Arial" w:eastAsia="Arial" w:hAnsi="Arial"/>
          <w:sz w:val="15"/>
          <w:szCs w:val="15"/>
          <w:b w:val="1"/>
          <w:bCs w:val="1"/>
          <w:color w:val="auto"/>
        </w:rPr>
        <w:t>9.07 Indemnification of Administrative Agent</w:t>
      </w:r>
      <w:r>
        <w:rPr>
          <w:rFonts w:ascii="Arial" w:cs="Arial" w:eastAsia="Arial" w:hAnsi="Arial"/>
          <w:sz w:val="15"/>
          <w:szCs w:val="15"/>
          <w:color w:val="auto"/>
        </w:rPr>
        <w:t>. The Lenders shall indemnify upon demand, in Dollars, the Administrative Agent, in its capacity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Administrative Agent, and the Affiliates (to the extent such Affiliates are acting for the Administrative Agent in such capacity), officers, directors, employees, agents and attorneys-in-fact thereof who are acting for or on behalf of the Administrative Agent (pursuant to the express authorization of, or by express delegation from, the Administrative Agent) in connection with this Agreement (to the extent not reimbursed by or on behalf of any Credit Party and without limiting the obligation of any Credit Party to do so),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in accordance with its Pro Rata Share, and hold harmless each such Person from and against any and all liabilities, obligations, losses, damages, penalties, claims, demands, actions, judgments, suits, costs, expenses and disbursements (including reasonable Attorney Costs) of any kind or nature whatsoever which may at any time be imposed on, incurred by or asserted against any such Person in any way relating to or arising out of or in connection with (before or after the Closing Date) the execution, delivery, enforcement, performance or administration of any Credit Document or any other agreement, letter or instrument delivered in connection with the transactions contemplated thereby or the consummation of the transactions contemplated thereby (the “Agent Indemnified Liabilities”), incurred by any such Person in connection with the Administrative Agent’s exercise of powers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5" w:name="page246"/>
    <w:bookmarkEnd w:id="245"/>
    <w:p>
      <w:pPr>
        <w:ind w:right="40"/>
        <w:spacing w:after="0" w:line="304" w:lineRule="auto"/>
        <w:rPr>
          <w:sz w:val="20"/>
          <w:szCs w:val="20"/>
          <w:color w:val="auto"/>
        </w:rPr>
      </w:pPr>
      <w:r>
        <w:rPr>
          <w:rFonts w:ascii="Arial" w:cs="Arial" w:eastAsia="Arial" w:hAnsi="Arial"/>
          <w:sz w:val="15"/>
          <w:szCs w:val="15"/>
          <w:color w:val="auto"/>
        </w:rPr>
        <w:t>and performance of duties expressly provided for under this Agreement; provided, however, that no Lender shall be liable for the payment to any such Person of any portion of such Agent Indemnified Liabilities resulting from such Person’s own gross negligence or willful misconduct; and provided further, however, that no action taken in accordance with the directions of the Required Lenders or Required Credit-Linked Lenders, as applicable, shall be deemed to constitute gross negligence or willful misconduct for purposes of this Section; and provided further, however, that the Agent Indemnified Liability was incurred by or asserted against the Administrative Agent in its capacity as such, or such Affiliate or other Person acting for the Administrative Agent in such capacity. Without limitation of the foregoing, each Lender shall reimburse the Administrative Agent upon demand for such Lender’s Pro Rata Share of any costs or out-of-pocket expenses (including reasonable Attorney Costs) incurred by the Administrative Agent (i) in connection with any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or (ii) otherwise, while an Event of Default exists, to the extent that the Administrative Agent is not reimbursed for such expenses by or on behalf of the Company within 30 days after demand therefor; provided in each case that such cost or expense was incurred by the Administrative Agent in its capacity as such; and provided, however, in each case that before making any demand on the Lenders for reimbursement of any such cost or expense, the Administrative Agent shall have first requested the Company to pay such amounts and made a good faith determination that the Company will not honor such request. Notwithstanding the foregoing, no Lender shall be liable for any indirect, special, punitive or consequential damages claimed by any Person under this Section 9.07 (other than such damages claimed by such Person as a result of such damages being claimed against such Person by a third party). The undertaking in this Section shall survive termination of the Credit-Linked Deposits, the payment of all other Credit Obligations and other amounts due hereunder and the resignation of the Administrative Agent. Notwithstanding the foregoing, (a) no Lender shall be obligated to reimburse or indemnify the Administrative Agent, in its capacity as Administrative Agent, and the Affiliates (to the extent such Affiliates are acting for the Administrative Agent in such capacity), officers, directors, employees, agents and attorneys-in-fact thereof, in respect of the transactions contemplated by Section 10.19 resulting from a Deposit Account Interest Non-Payment Event or in respect of any other nonpayment of funds owing to the Lenders, if such other nonpayment results solely from the Administrative Agent’s nonperformance of its paying agency duties hereunder (and not from any action or inaction of the Company or any other unrelated Person), and (b) no Lender shall be obligated to reimburse or indemnify BAS.</w:t>
      </w:r>
    </w:p>
    <w:p>
      <w:pPr>
        <w:spacing w:after="0" w:line="378" w:lineRule="exact"/>
        <w:rPr>
          <w:sz w:val="20"/>
          <w:szCs w:val="20"/>
          <w:color w:val="auto"/>
        </w:rPr>
      </w:pPr>
    </w:p>
    <w:p>
      <w:pPr>
        <w:ind w:right="80" w:firstLine="220"/>
        <w:spacing w:after="0" w:line="296" w:lineRule="auto"/>
        <w:rPr>
          <w:sz w:val="20"/>
          <w:szCs w:val="20"/>
          <w:color w:val="auto"/>
        </w:rPr>
      </w:pPr>
      <w:r>
        <w:rPr>
          <w:rFonts w:ascii="Arial" w:cs="Arial" w:eastAsia="Arial" w:hAnsi="Arial"/>
          <w:sz w:val="16"/>
          <w:szCs w:val="16"/>
          <w:b w:val="1"/>
          <w:bCs w:val="1"/>
          <w:color w:val="auto"/>
        </w:rPr>
        <w:t>9.08 Administrative Agent in its Individual Capacity</w:t>
      </w:r>
      <w:r>
        <w:rPr>
          <w:rFonts w:ascii="Arial" w:cs="Arial" w:eastAsia="Arial" w:hAnsi="Arial"/>
          <w:sz w:val="16"/>
          <w:szCs w:val="16"/>
          <w:color w:val="auto"/>
        </w:rPr>
        <w:t>. Bank of America and its Affiliates may make loans to, issue letters of credit and guarantees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undertakings for the account of, accept deposits from, acquire equity interests in and generally engage in any kind of banking, trust, financial advisory, underwriting or other business with each of the Credit Parties and their respective Affiliates as though Bank of America were not the Administrative Agent or the Issuer hereunder and without notice to or consent of the Lenders. The Lenders acknowledge that, pursuant to such activities, Bank of America or its Affiliates may receive information regarding any Credit Party or its Affiliates (including information that may be subject to</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46" w:name="page247"/>
    <w:bookmarkEnd w:id="246"/>
    <w:p>
      <w:pPr>
        <w:ind w:right="100"/>
        <w:spacing w:after="0" w:line="268" w:lineRule="auto"/>
        <w:rPr>
          <w:sz w:val="20"/>
          <w:szCs w:val="20"/>
          <w:color w:val="auto"/>
        </w:rPr>
      </w:pPr>
      <w:r>
        <w:rPr>
          <w:rFonts w:ascii="Arial" w:cs="Arial" w:eastAsia="Arial" w:hAnsi="Arial"/>
          <w:sz w:val="18"/>
          <w:szCs w:val="18"/>
          <w:color w:val="auto"/>
        </w:rPr>
        <w:t>confidentiality obligations in favor of such Credit Party or such Affiliate) and acknowledge that the Administrative Agent shall be under no obligation to provide such information to them.</w:t>
      </w:r>
    </w:p>
    <w:p>
      <w:pPr>
        <w:spacing w:after="0" w:line="180"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b w:val="1"/>
          <w:bCs w:val="1"/>
          <w:color w:val="auto"/>
        </w:rPr>
        <w:t>9.09 Successor Administrative Agent</w:t>
      </w:r>
      <w:r>
        <w:rPr>
          <w:rFonts w:ascii="Arial" w:cs="Arial" w:eastAsia="Arial" w:hAnsi="Arial"/>
          <w:sz w:val="16"/>
          <w:szCs w:val="16"/>
          <w:color w:val="auto"/>
        </w:rPr>
        <w:t>. The Administrative Agent may resign as Administrative Agent upon 30 days’ notice to the Lenders; provided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by Bank of America shall also constitute its resignation as Issuer under this Agreement; provided, however, the Administrative Agent may not resign if (i) it is the Issuer of any outstanding Credits under this Agreement or (ii) any Credit-Linked Deposits of any Lender exist. If the Administrative Agent resigns under this Agreement, the Required Credit-Linked Lenders shall appoint a successor administrative agent for the Lenders which successor administrative agent shall require the consent of the Company at all times other than during the existence of any Default or Event of Default (which consent of the Company shall not be unreasonably withheld or delayed). If no successor administrative agent is appointed prior to the effective date of the resignation of the Administrative Agent, the Administrative Agent may appoint, after consulting with the Credit-Linked Lenders and the Company, a successor administrative agent from among the Credit-Linked Lenders with the consent of such Credit-Linked Lender and the consent of the Company (which consent of the Company shall be required at all times other than during the existence of any Default or Event of Default and shall not be unreasonably withheld or delayed). The successor administrative agent under this Agreement, the Seven Year Agreement and the Ten Year Agreement shall at all times be the same Person. Upon the acceptance of its appointment as successor administrative agent hereunder, the Person acting as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Article IX and Sections 10.04 and 10.05 shall inure to its benefit as to any actions taken or omitted to be taken by it while it was Administrative Agent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right="60" w:firstLine="220"/>
        <w:spacing w:after="0" w:line="289" w:lineRule="auto"/>
        <w:rPr>
          <w:sz w:val="20"/>
          <w:szCs w:val="20"/>
          <w:color w:val="auto"/>
        </w:rPr>
      </w:pPr>
      <w:r>
        <w:rPr>
          <w:rFonts w:ascii="Arial" w:cs="Arial" w:eastAsia="Arial" w:hAnsi="Arial"/>
          <w:sz w:val="16"/>
          <w:szCs w:val="16"/>
          <w:b w:val="1"/>
          <w:bCs w:val="1"/>
          <w:color w:val="auto"/>
        </w:rPr>
        <w:t>10.01 Amendments, Etc</w:t>
      </w:r>
      <w:r>
        <w:rPr>
          <w:rFonts w:ascii="Arial" w:cs="Arial" w:eastAsia="Arial" w:hAnsi="Arial"/>
          <w:sz w:val="16"/>
          <w:szCs w:val="16"/>
          <w:color w:val="auto"/>
        </w:rPr>
        <w:t>. No amendment or waiver of any provision of this Agreement or any other Credit Document (other than Issuer Documents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Section 2.01(b)), and no consent to any departure by the Company or any other Credit Party therefrom (other than a departure of Holdings pursuant to Section 11.09 of this Agreement), shall be effective unless (A) in writing signed by the Required Credit-Linked Lenders and the Company or the applicable Credit Party, as the case may be, and acknowledged by the Administrative Agent and (B) a corresponding amendment, waiver or consent under (i) the Seven Year Agreement and (ii) the Ten Year Agreement is also effective (it being understood that the same terms and conditions with respect to such amendment, waiver or consent shall apply to all Credit-Linked Lenders), and each such waiver or consent shall be effective only in the specific instance and for the specific purpose for which given; provided, however, that no such amendment, waiver or consent shall, without the written consent of each Lender with Credit Obligations directly affected (whose consent shall be required for any such amendment, waiver or consent in addition to that of the Required Credit-Linked Lenders):</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7" w:name="page248"/>
    <w:bookmarkEnd w:id="247"/>
    <w:p>
      <w:pPr>
        <w:ind w:left="520" w:hanging="292"/>
        <w:spacing w:after="0"/>
        <w:tabs>
          <w:tab w:leader="none" w:pos="5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waive any condition set forth in Section 4.01;</w:t>
      </w:r>
    </w:p>
    <w:p>
      <w:pPr>
        <w:spacing w:after="0" w:line="225" w:lineRule="exact"/>
        <w:rPr>
          <w:rFonts w:ascii="Arial" w:cs="Arial" w:eastAsia="Arial" w:hAnsi="Arial"/>
          <w:sz w:val="18"/>
          <w:szCs w:val="18"/>
          <w:color w:val="auto"/>
        </w:rPr>
      </w:pPr>
    </w:p>
    <w:p>
      <w:pPr>
        <w:ind w:right="120" w:firstLine="228"/>
        <w:spacing w:after="0" w:line="268" w:lineRule="auto"/>
        <w:tabs>
          <w:tab w:leader="none" w:pos="51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extend the Maturity Date or increase the Credit-Linked Deposit of any Lender (or reinstate any obligation to make Credit Extensions terminated pursuant to Section 8.02 in which such Lender participates);</w:t>
      </w:r>
    </w:p>
    <w:p>
      <w:pPr>
        <w:spacing w:after="0" w:line="185" w:lineRule="exact"/>
        <w:rPr>
          <w:rFonts w:ascii="Arial" w:cs="Arial" w:eastAsia="Arial" w:hAnsi="Arial"/>
          <w:sz w:val="18"/>
          <w:szCs w:val="18"/>
          <w:color w:val="auto"/>
        </w:rPr>
      </w:pPr>
    </w:p>
    <w:p>
      <w:pPr>
        <w:ind w:right="60" w:firstLine="228"/>
        <w:spacing w:after="0" w:line="259" w:lineRule="auto"/>
        <w:tabs>
          <w:tab w:leader="none" w:pos="50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Credit Document (other than Issuer Documents to the extent permitted by Section 2.01(b)) for any payment of principal, interest, fees or other amounts due to the Lenders (or any of them) hereunder or under any other Credit Document (other than Issuer Documents to the extent permitted by Section 2.01(b));</w:t>
      </w:r>
    </w:p>
    <w:p>
      <w:pPr>
        <w:spacing w:after="0" w:line="194" w:lineRule="exact"/>
        <w:rPr>
          <w:rFonts w:ascii="Arial" w:cs="Arial" w:eastAsia="Arial" w:hAnsi="Arial"/>
          <w:sz w:val="18"/>
          <w:szCs w:val="18"/>
          <w:color w:val="auto"/>
        </w:rPr>
      </w:pPr>
    </w:p>
    <w:p>
      <w:pPr>
        <w:jc w:val="both"/>
        <w:ind w:right="20" w:firstLine="228"/>
        <w:spacing w:after="0" w:line="283" w:lineRule="auto"/>
        <w:tabs>
          <w:tab w:leader="none" w:pos="51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reduce the principal of, or the rate of interest specified herein on, any Borrowing, or (subject to clause (iii) of the proviso below) any fees or other amounts payable hereunder or under any other Credit Document (other than Issuer Documents to the extent permitted by Section 2.01(b)); provided, however, that only the consent of the Required Credit-Linked Lenders shall be necessary to amend the definition of “Default Rate,” the amount of any increase in the Applicable Rate pursuant to the definition thereof during the existence of any Event of Default, or the interest rate applicable from time to time to Borrowings under</w:t>
      </w:r>
    </w:p>
    <w:p>
      <w:pPr>
        <w:spacing w:after="0" w:line="2" w:lineRule="exact"/>
        <w:rPr>
          <w:rFonts w:ascii="Arial" w:cs="Arial" w:eastAsia="Arial" w:hAnsi="Arial"/>
          <w:sz w:val="16"/>
          <w:szCs w:val="16"/>
          <w:color w:val="auto"/>
        </w:rPr>
      </w:pP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Section 2.04(a)(ii), or to waive any obligation of the Company to pay interest at the Default Rate or at the rate set forth in Section 2.04(a)(ii), or to increase the Applicable Rate during the existence of an Event of Default;</w:t>
      </w:r>
    </w:p>
    <w:p>
      <w:pPr>
        <w:spacing w:after="0" w:line="191" w:lineRule="exact"/>
        <w:rPr>
          <w:rFonts w:ascii="Arial" w:cs="Arial" w:eastAsia="Arial" w:hAnsi="Arial"/>
          <w:sz w:val="16"/>
          <w:szCs w:val="16"/>
          <w:color w:val="auto"/>
        </w:rPr>
      </w:pPr>
    </w:p>
    <w:p>
      <w:pPr>
        <w:ind w:left="520" w:hanging="292"/>
        <w:spacing w:after="0"/>
        <w:tabs>
          <w:tab w:leader="none" w:pos="5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change Section 2.08 or Section 8.03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w:t>
      </w:r>
    </w:p>
    <w:p>
      <w:pPr>
        <w:spacing w:after="0" w:line="225" w:lineRule="exact"/>
        <w:rPr>
          <w:rFonts w:ascii="Arial" w:cs="Arial" w:eastAsia="Arial" w:hAnsi="Arial"/>
          <w:sz w:val="18"/>
          <w:szCs w:val="18"/>
          <w:color w:val="auto"/>
        </w:rPr>
      </w:pPr>
    </w:p>
    <w:p>
      <w:pPr>
        <w:jc w:val="both"/>
        <w:ind w:right="440" w:firstLine="228"/>
        <w:spacing w:after="0" w:line="259" w:lineRule="auto"/>
        <w:tabs>
          <w:tab w:leader="none" w:pos="48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change any provision of this Section 10.01, or the definition of “Required Credit-Linked Lenders”, “Required Lenders” or any other provision hereof specifying the number or percentage of Lenders required to amend, waive or otherwise modify any rights hereunder or make any determination or grant any consent hereunder; or</w:t>
      </w:r>
    </w:p>
    <w:p>
      <w:pPr>
        <w:spacing w:after="0" w:line="194" w:lineRule="exact"/>
        <w:rPr>
          <w:rFonts w:ascii="Arial" w:cs="Arial" w:eastAsia="Arial" w:hAnsi="Arial"/>
          <w:sz w:val="18"/>
          <w:szCs w:val="18"/>
          <w:color w:val="auto"/>
        </w:rPr>
      </w:pPr>
    </w:p>
    <w:p>
      <w:pPr>
        <w:ind w:right="740" w:firstLine="228"/>
        <w:spacing w:after="0" w:line="268" w:lineRule="auto"/>
        <w:tabs>
          <w:tab w:leader="none" w:pos="51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release Holdings from any of the Guaranteed Obligations under the Holdings Guaranty (other than as expressly provided in Section 11.09 of this Agreement);</w:t>
      </w:r>
    </w:p>
    <w:p>
      <w:pPr>
        <w:spacing w:after="0" w:line="18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and, provided further, that (i) no amendment, waiver or consent shall, unless in writing and signed by the Issuer in addition to the Lenders required above, modify or waive any provision of Section 2.01(a) (including defined terms used therein) or otherwise affect the rights or duties of the Issuer under this Agreement or any Issuer Document relating to any Credit issued or to be issued by it; (ii) no amendment, waiver or consent shall, unless in writing and signed by the Administrative Agent in addition to the Lenders required above, affect the rights or duties of the Administrative Agent under this Agreement or any other Credit Document; and (iii) the Fee Letter may be amended, or rights or privileges thereunder waived, in a writing executed only by the respective parties thereto.</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10.02 Notices and Other Communications; Facsimile Copies.</w:t>
      </w:r>
    </w:p>
    <w:p>
      <w:pPr>
        <w:spacing w:after="0" w:line="231" w:lineRule="exact"/>
        <w:rPr>
          <w:sz w:val="20"/>
          <w:szCs w:val="20"/>
          <w:color w:val="auto"/>
        </w:rPr>
      </w:pPr>
    </w:p>
    <w:p>
      <w:pPr>
        <w:ind w:right="520" w:firstLine="228"/>
        <w:spacing w:after="0" w:line="268" w:lineRule="auto"/>
        <w:tabs>
          <w:tab w:leader="none" w:pos="50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General. Unless otherwise expressly provided herein, all notices and other communications provided for hereunder shall be in writing (including by facsimile transmission).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48" w:name="page249"/>
    <w:bookmarkEnd w:id="248"/>
    <w:p>
      <w:pPr>
        <w:ind w:right="200"/>
        <w:spacing w:after="0" w:line="259" w:lineRule="auto"/>
        <w:rPr>
          <w:sz w:val="20"/>
          <w:szCs w:val="20"/>
          <w:color w:val="auto"/>
        </w:rPr>
      </w:pPr>
      <w:r>
        <w:rPr>
          <w:rFonts w:ascii="Arial" w:cs="Arial" w:eastAsia="Arial" w:hAnsi="Arial"/>
          <w:sz w:val="18"/>
          <w:szCs w:val="18"/>
          <w:color w:val="auto"/>
        </w:rPr>
        <w:t>All such written notices shall be mailed, faxed or delivered to the applicable address, facsimile number or (subject to subsection (c) below) electronic mail address, and all notices and other communications expressly permitted hereunder to be given by telephone shall be made to the applicable telephone number, as follows:</w:t>
      </w:r>
    </w:p>
    <w:p>
      <w:pPr>
        <w:spacing w:after="0" w:line="194" w:lineRule="exact"/>
        <w:rPr>
          <w:sz w:val="20"/>
          <w:szCs w:val="20"/>
          <w:color w:val="auto"/>
        </w:rPr>
      </w:pPr>
    </w:p>
    <w:p>
      <w:pPr>
        <w:ind w:right="280" w:firstLine="447"/>
        <w:spacing w:after="0" w:line="259" w:lineRule="auto"/>
        <w:tabs>
          <w:tab w:leader="none" w:pos="64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to the Company, Holdings, the Administrative Agent or the Issuer,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w:t>
      </w:r>
    </w:p>
    <w:p>
      <w:pPr>
        <w:spacing w:after="0" w:line="194" w:lineRule="exact"/>
        <w:rPr>
          <w:rFonts w:ascii="Arial" w:cs="Arial" w:eastAsia="Arial" w:hAnsi="Arial"/>
          <w:sz w:val="18"/>
          <w:szCs w:val="18"/>
          <w:color w:val="auto"/>
        </w:rPr>
      </w:pPr>
    </w:p>
    <w:p>
      <w:pPr>
        <w:ind w:right="60" w:firstLine="447"/>
        <w:spacing w:after="0" w:line="259" w:lineRule="auto"/>
        <w:tabs>
          <w:tab w:leader="none" w:pos="69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Company, the Administrative Agent and the Issuer.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38" w:lineRule="exact"/>
        <w:rPr>
          <w:sz w:val="20"/>
          <w:szCs w:val="20"/>
          <w:color w:val="auto"/>
        </w:rPr>
      </w:pPr>
    </w:p>
    <w:p>
      <w:pPr>
        <w:ind w:right="20" w:firstLine="8"/>
        <w:spacing w:after="0" w:line="253" w:lineRule="auto"/>
        <w:tabs>
          <w:tab w:leader="none" w:pos="2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if delivered by hand or by courier, when signed for by or on behalf of the relevant party hereto; (B) if delivered by mail, four Business Days after deposit in the mails, postage prepaid; (C) if delivered by facsimile, when sent and receipt has been confirmed by telephone; and (D) if delivered by electronic mail (which form of delivery is subject to the provisions of subsection (c) below), when delivered; provided, however, that notices and other communications to the Administrative Agent and the Issuer pursuant to Article II shall not be effective until actually received by any such Person. In no event shall a voicemail message be effective as a notice, communication or confirmation hereunder.</w:t>
      </w:r>
    </w:p>
    <w:p>
      <w:pPr>
        <w:spacing w:after="0" w:line="199" w:lineRule="exact"/>
        <w:rPr>
          <w:rFonts w:ascii="Arial" w:cs="Arial" w:eastAsia="Arial" w:hAnsi="Arial"/>
          <w:sz w:val="18"/>
          <w:szCs w:val="18"/>
          <w:color w:val="auto"/>
        </w:rPr>
      </w:pPr>
    </w:p>
    <w:p>
      <w:pPr>
        <w:ind w:right="100" w:firstLine="228"/>
        <w:spacing w:after="0" w:line="255" w:lineRule="auto"/>
        <w:tabs>
          <w:tab w:leader="none" w:pos="51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Effectiveness of Facsimile Documents and Signatures. Credit Documents may be transmitted and/or signed by facsimile. The effectiveness of any such documents and signatures shall, subject to applicable Law, have the same force and effect as manually-signed originals and shall be binding on all Credit Parties, the Administrative Agent, the Issuer and the Lenders. The Administrative Agent may also require that any such documents and signatures be confirmed by a manually-signed original thereof; provided, however, that the failure to request or deliver the same shall not limit the effectiveness of any facsimile document or signature.</w:t>
      </w:r>
    </w:p>
    <w:p>
      <w:pPr>
        <w:spacing w:after="0" w:line="196" w:lineRule="exact"/>
        <w:rPr>
          <w:rFonts w:ascii="Arial" w:cs="Arial" w:eastAsia="Arial" w:hAnsi="Arial"/>
          <w:sz w:val="18"/>
          <w:szCs w:val="18"/>
          <w:color w:val="auto"/>
        </w:rPr>
      </w:pPr>
    </w:p>
    <w:p>
      <w:pPr>
        <w:jc w:val="both"/>
        <w:ind w:right="380" w:firstLine="228"/>
        <w:spacing w:after="0" w:line="259" w:lineRule="auto"/>
        <w:tabs>
          <w:tab w:leader="none" w:pos="50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Limited Use of Electronic Mail. Electronic mail and Internet and intranet websites may be used only to distribute routine communications, other than financial statements and other similar information, and to distribute Credit Documents for execution by the parties thereto, and may not be used for any other purpose.</w:t>
      </w:r>
    </w:p>
    <w:p>
      <w:pPr>
        <w:spacing w:after="0" w:line="194" w:lineRule="exact"/>
        <w:rPr>
          <w:rFonts w:ascii="Arial" w:cs="Arial" w:eastAsia="Arial" w:hAnsi="Arial"/>
          <w:sz w:val="18"/>
          <w:szCs w:val="18"/>
          <w:color w:val="auto"/>
        </w:rPr>
      </w:pPr>
    </w:p>
    <w:p>
      <w:pPr>
        <w:ind w:right="80" w:firstLine="228"/>
        <w:spacing w:after="0" w:line="294" w:lineRule="auto"/>
        <w:tabs>
          <w:tab w:leader="none" w:pos="51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Reliance by Administrative Agent, the Issuer and Lenders. The Administrative Agent, the Issuer and the Lenders shall be entitled to rely and act upon any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Agent-Related Person, each Issuer-Related Person and each Lender from all losses, costs, expenses and liabilities resulting from the reliance by such Person on each notice purportedly given by or on behalf of the Company. 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49" w:name="page250"/>
    <w:bookmarkEnd w:id="249"/>
    <w:p>
      <w:pPr>
        <w:ind w:right="460"/>
        <w:spacing w:after="0" w:line="268" w:lineRule="auto"/>
        <w:rPr>
          <w:sz w:val="20"/>
          <w:szCs w:val="20"/>
          <w:color w:val="auto"/>
        </w:rPr>
      </w:pPr>
      <w:r>
        <w:rPr>
          <w:rFonts w:ascii="Arial" w:cs="Arial" w:eastAsia="Arial" w:hAnsi="Arial"/>
          <w:sz w:val="18"/>
          <w:szCs w:val="18"/>
          <w:color w:val="auto"/>
        </w:rPr>
        <w:t>telephonic notices to and other communications with the Administrative Agent may be recorded by the Administrative Agent, and each of the parties hereto hereby consents to such recording.</w:t>
      </w:r>
    </w:p>
    <w:p>
      <w:pPr>
        <w:spacing w:after="0" w:line="180" w:lineRule="exact"/>
        <w:rPr>
          <w:sz w:val="20"/>
          <w:szCs w:val="20"/>
          <w:color w:val="auto"/>
        </w:rPr>
      </w:pPr>
    </w:p>
    <w:p>
      <w:pPr>
        <w:jc w:val="both"/>
        <w:ind w:right="180" w:firstLine="220"/>
        <w:spacing w:after="0" w:line="301" w:lineRule="auto"/>
        <w:rPr>
          <w:sz w:val="20"/>
          <w:szCs w:val="20"/>
          <w:color w:val="auto"/>
        </w:rPr>
      </w:pPr>
      <w:r>
        <w:rPr>
          <w:rFonts w:ascii="Arial" w:cs="Arial" w:eastAsia="Arial" w:hAnsi="Arial"/>
          <w:sz w:val="16"/>
          <w:szCs w:val="16"/>
          <w:b w:val="1"/>
          <w:bCs w:val="1"/>
          <w:color w:val="auto"/>
        </w:rPr>
        <w:t>10.03 No Waiver; Cumulative Remedies</w:t>
      </w:r>
      <w:r>
        <w:rPr>
          <w:rFonts w:ascii="Arial" w:cs="Arial" w:eastAsia="Arial" w:hAnsi="Arial"/>
          <w:sz w:val="16"/>
          <w:szCs w:val="16"/>
          <w:color w:val="auto"/>
        </w:rPr>
        <w:t>. No failure by any Lender, the Issuer or the Administrative Agent to exercise, and no delay by any such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57" w:lineRule="exact"/>
        <w:rPr>
          <w:sz w:val="20"/>
          <w:szCs w:val="20"/>
          <w:color w:val="auto"/>
        </w:rPr>
      </w:pPr>
    </w:p>
    <w:p>
      <w:pPr>
        <w:ind w:right="60" w:firstLine="220"/>
        <w:spacing w:after="0" w:line="285" w:lineRule="auto"/>
        <w:rPr>
          <w:sz w:val="20"/>
          <w:szCs w:val="20"/>
          <w:color w:val="auto"/>
        </w:rPr>
      </w:pPr>
      <w:r>
        <w:rPr>
          <w:rFonts w:ascii="Arial" w:cs="Arial" w:eastAsia="Arial" w:hAnsi="Arial"/>
          <w:sz w:val="16"/>
          <w:szCs w:val="16"/>
          <w:b w:val="1"/>
          <w:bCs w:val="1"/>
          <w:color w:val="auto"/>
        </w:rPr>
        <w:t>10.04 Attorney Costs, Expenses and Taxes</w:t>
      </w:r>
      <w:r>
        <w:rPr>
          <w:rFonts w:ascii="Arial" w:cs="Arial" w:eastAsia="Arial" w:hAnsi="Arial"/>
          <w:sz w:val="16"/>
          <w:szCs w:val="16"/>
          <w:color w:val="auto"/>
        </w:rPr>
        <w:t>. The Company agrees (a) (i) to pay or reimburse each of the Administrative Agent, the Issuer and special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Lenders for all reasonable costs and expenses incurred in connection with the development, preparation, negotiation and execution of this Agreement and the other Credit Documents (whether or not the transactions contemplated hereby are consummated), and the consummation and administration of the transactions contemplated hereby, including all reasonable Attorney Costs, expenses and disbursements and (ii) to pay or reimburse each of the Administrative Agent, the Issuer and each Lender for all reasonable costs and expenses incurred in connection with any amendment, waiver, consent or other modification of the provisions of this Agreement and the other Credit Documents (whether or not the transactions contemplated thereby are consummated), including without limitation any out-of-pocket costs and expenses incurred in connection with the transactions contemplated by Section 10.19 of this Agreement, and the consummation and administration of the transactions contemplated thereby, including all reasonable Attorney Costs, expenses and disbursements, but excluding any such costs, expenses, attorneys’ fees, and disbursements of the Issuer and the Administrative Agent in connection with the transactions contemplated in Section 10.19 resulting from a Deposit Account Interest Non-Payment Event; and (b) to pay or reimburse the Administrative Agent, the Issuer and each Lender for all costs and expenses incurred in connection with the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including all Attorney Costs.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the Administrative Agent, the Issuer or any Lender. All amounts due under this Section 10.04 shall be payable within ten Business Days after demand therefor. The agreements in this Section 10.04 shall survive the termination of the Credit-Linked Deposits and repayment of all Credit Obligations and all other amounts due hereunder.</w:t>
      </w:r>
    </w:p>
    <w:p>
      <w:pPr>
        <w:spacing w:after="0" w:line="175" w:lineRule="exact"/>
        <w:rPr>
          <w:sz w:val="20"/>
          <w:szCs w:val="20"/>
          <w:color w:val="auto"/>
        </w:rPr>
      </w:pPr>
    </w:p>
    <w:p>
      <w:pPr>
        <w:ind w:right="160" w:firstLine="220"/>
        <w:spacing w:after="0" w:line="310" w:lineRule="auto"/>
        <w:rPr>
          <w:sz w:val="20"/>
          <w:szCs w:val="20"/>
          <w:color w:val="auto"/>
        </w:rPr>
      </w:pPr>
      <w:r>
        <w:rPr>
          <w:rFonts w:ascii="Arial" w:cs="Arial" w:eastAsia="Arial" w:hAnsi="Arial"/>
          <w:sz w:val="16"/>
          <w:szCs w:val="16"/>
          <w:b w:val="1"/>
          <w:bCs w:val="1"/>
          <w:color w:val="auto"/>
        </w:rPr>
        <w:t>10.05 Indemnification by the Company</w:t>
      </w:r>
      <w:r>
        <w:rPr>
          <w:rFonts w:ascii="Arial" w:cs="Arial" w:eastAsia="Arial" w:hAnsi="Arial"/>
          <w:sz w:val="16"/>
          <w:szCs w:val="16"/>
          <w:color w:val="auto"/>
        </w:rPr>
        <w:t>. Whether or not the transactions contemplated hereby are consummated, the Company shall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each Agent-Related Person, each Issuer-Related Person, each Lender and their respective Affiliates, directors, officers, employees, counsel, agents and attorneys-in-fact (collectively, the “Indemnitees”) from and against any and all liabilities, obligations, losses, damages, penalties,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0" w:name="page251"/>
    <w:bookmarkEnd w:id="250"/>
    <w:p>
      <w:pPr>
        <w:ind w:right="20"/>
        <w:spacing w:after="0" w:line="284" w:lineRule="auto"/>
        <w:rPr>
          <w:sz w:val="20"/>
          <w:szCs w:val="20"/>
          <w:color w:val="auto"/>
        </w:rPr>
      </w:pPr>
      <w:r>
        <w:rPr>
          <w:rFonts w:ascii="Arial" w:cs="Arial" w:eastAsia="Arial" w:hAnsi="Arial"/>
          <w:sz w:val="16"/>
          <w:szCs w:val="16"/>
          <w:color w:val="auto"/>
        </w:rPr>
        <w:t>claims, demands, actions, judgments, suits, costs, expenses and disbursements (including reasonable Attorney Costs) of any kind or nature whatsoever which may at any time be imposed on, incurred by or asserted against any such Indemnitee in any way relating to or arising out of or in connection with (before or after the Closing Date) (a) the execution, delivery, enforcement, performance or administration of any Credit Document or any other agreement, letter or instrument delivered in connection with the transactions contemplated thereby or the consummation of the transactions contemplated thereby, including without limitation the transactions contemplated by Section 10.19 of this Agreement but excluding any such liabilities, obligations, losses, damages, penalties, claims, demands, actions, judgments, suits, costs, expenses and disbursements of the Issuer and the Administrative Agent in connection with the transactions contemplated in Section 10.19 resulting from a Deposit Account Interest Non-Payment Event, (b) any Credit-Linked Deposit, Credit or the use or proposed use of the proceeds therefrom (including any refusal by the Issuer to honor a demand for payment under a Credit if the documents presented in connection with such demand do not strictly comply with the terms of such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“Indemnified Liabilities”), in all cases, whether or not caused by or arising, in whole or in part, out of the negligence of the Indemnitee; provided that such indemnity shall not, as to any Indemnitee, be available to the extent that such liabilities, obligations, losses, damages, penalties, claims, demands, actions, judgments, suits, costs, expenses or disbursements are determined by a court of competent jurisdiction by final and nonappealable judgment to have resulted from the gross negligence or willful misconduct of such Indemnitee. No Indemnitee shall be liable for any indirect, special, punitive or consequential damages relating to this Agreement or any other Credit Document or arising out of its activities in connection herewith or therewith (whether before or after the Closing Date). Notwithstanding the foregoing, the Company shall not be liable for any indirect, special, punitive or consequential damages claimed by an Indemnitee in connection with the transactions contemplated by Section 10.19 of this Agreement (other than such damages claimed by an Indemnitee as a result of such damages being claimed against such Indemnitee by a third party). All amounts due under this Section 10.05 shall be payable within ten Business Days after demand therefor. The agreements in this Section shall survive the resignation of the Administrative Agent, the replacement of any Lender, the termination of the Credit-Linked Deposits and the repayment, satisfaction or discharge of all the other Credit Obligations.</w:t>
      </w:r>
    </w:p>
    <w:p>
      <w:pPr>
        <w:spacing w:after="0" w:line="176" w:lineRule="exact"/>
        <w:rPr>
          <w:sz w:val="20"/>
          <w:szCs w:val="20"/>
          <w:color w:val="auto"/>
        </w:rPr>
      </w:pPr>
    </w:p>
    <w:p>
      <w:pPr>
        <w:ind w:right="40" w:firstLine="220"/>
        <w:spacing w:after="0" w:line="293" w:lineRule="auto"/>
        <w:rPr>
          <w:sz w:val="20"/>
          <w:szCs w:val="20"/>
          <w:color w:val="auto"/>
        </w:rPr>
      </w:pPr>
      <w:r>
        <w:rPr>
          <w:rFonts w:ascii="Arial" w:cs="Arial" w:eastAsia="Arial" w:hAnsi="Arial"/>
          <w:sz w:val="16"/>
          <w:szCs w:val="16"/>
          <w:b w:val="1"/>
          <w:bCs w:val="1"/>
          <w:color w:val="auto"/>
        </w:rPr>
        <w:t>10.06 Payments Set Aside</w:t>
      </w:r>
      <w:r>
        <w:rPr>
          <w:rFonts w:ascii="Arial" w:cs="Arial" w:eastAsia="Arial" w:hAnsi="Arial"/>
          <w:sz w:val="16"/>
          <w:szCs w:val="16"/>
          <w:color w:val="auto"/>
        </w:rPr>
        <w:t>. To the extent that any payment by or on behalf of the Company is made to the Administrative Agent, the Issuer or any Lender,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the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the Issuer and each Lender severally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1" w:name="page252"/>
    <w:bookmarkEnd w:id="251"/>
    <w:p>
      <w:pPr>
        <w:jc w:val="both"/>
        <w:ind w:right="260"/>
        <w:spacing w:after="0" w:line="259" w:lineRule="auto"/>
        <w:rPr>
          <w:sz w:val="20"/>
          <w:szCs w:val="20"/>
          <w:color w:val="auto"/>
        </w:rPr>
      </w:pPr>
      <w:r>
        <w:rPr>
          <w:rFonts w:ascii="Arial" w:cs="Arial" w:eastAsia="Arial" w:hAnsi="Arial"/>
          <w:sz w:val="18"/>
          <w:szCs w:val="18"/>
          <w:color w:val="auto"/>
        </w:rPr>
        <w:t>agree to pay to the Administrative Agent upon demand its applicable share of any amount so recovered from or paid by the Administrative Agent, plus interest thereon from the date of such demand to the date such payment is made at a rate per annum equal to the Federal Funds Rate from time to time in effect, in the applicable currency of such recovery or payment.</w:t>
      </w:r>
    </w:p>
    <w:p>
      <w:pPr>
        <w:spacing w:after="0" w:line="188" w:lineRule="exact"/>
        <w:rPr>
          <w:sz w:val="20"/>
          <w:szCs w:val="20"/>
          <w:color w:val="auto"/>
        </w:rPr>
      </w:pPr>
    </w:p>
    <w:p>
      <w:pPr>
        <w:ind w:right="40" w:firstLine="220"/>
        <w:spacing w:after="0" w:line="304" w:lineRule="auto"/>
        <w:rPr>
          <w:sz w:val="20"/>
          <w:szCs w:val="20"/>
          <w:color w:val="auto"/>
        </w:rPr>
      </w:pPr>
      <w:r>
        <w:rPr>
          <w:rFonts w:ascii="Arial" w:cs="Arial" w:eastAsia="Arial" w:hAnsi="Arial"/>
          <w:sz w:val="15"/>
          <w:szCs w:val="15"/>
          <w:b w:val="1"/>
          <w:bCs w:val="1"/>
          <w:color w:val="auto"/>
        </w:rPr>
        <w:t>10.07 Successors and Assigns</w:t>
      </w:r>
      <w:r>
        <w:rPr>
          <w:rFonts w:ascii="Arial" w:cs="Arial" w:eastAsia="Arial" w:hAnsi="Arial"/>
          <w:sz w:val="15"/>
          <w:szCs w:val="15"/>
          <w:color w:val="auto"/>
        </w:rPr>
        <w:t>. (a) The provisions of this Agreement shall be binding upon and inure to the benefit of the parties hereto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assigns permitted hereby, except that the Company may not assign or otherwise transfer any of its rights or obligations hereunder without the prior written consent of the Issuer and each Lender and no Lender may assign or otherwise transfer any of its rights or obligations hereunder except (i) to an Eligible Assignee in accordance with the provisions of subsection (b) of this Section 10.07, (ii) by way of participation in accordance with the provisions of subsection</w:t>
      </w:r>
    </w:p>
    <w:p>
      <w:pPr>
        <w:spacing w:after="0" w:line="3" w:lineRule="exact"/>
        <w:rPr>
          <w:sz w:val="20"/>
          <w:szCs w:val="20"/>
          <w:color w:val="auto"/>
        </w:rPr>
      </w:pPr>
    </w:p>
    <w:p>
      <w:pPr>
        <w:ind w:right="60" w:firstLine="8"/>
        <w:spacing w:after="0" w:line="253" w:lineRule="auto"/>
        <w:tabs>
          <w:tab w:leader="none" w:pos="24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of this Section 10.07, (iii) by way of pledge or assignment of a security interest subject to the restrictions of subsection (f) of this Section 10.07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10.07 and, to the extent expressly contemplated hereby, the Indemnitees) any legal or equitable right, remedy or claim under or by reason of this Agreement.</w:t>
      </w:r>
    </w:p>
    <w:p>
      <w:pPr>
        <w:spacing w:after="0" w:line="199" w:lineRule="exact"/>
        <w:rPr>
          <w:rFonts w:ascii="Arial" w:cs="Arial" w:eastAsia="Arial" w:hAnsi="Arial"/>
          <w:sz w:val="18"/>
          <w:szCs w:val="18"/>
          <w:color w:val="auto"/>
        </w:rPr>
      </w:pPr>
    </w:p>
    <w:p>
      <w:pPr>
        <w:ind w:right="20" w:firstLine="228"/>
        <w:spacing w:after="0" w:line="285" w:lineRule="auto"/>
        <w:tabs>
          <w:tab w:leader="none" w:pos="512" w:val="left"/>
        </w:tabs>
        <w:numPr>
          <w:ilvl w:val="1"/>
          <w:numId w:val="301"/>
        </w:numPr>
        <w:rPr>
          <w:rFonts w:ascii="Arial" w:cs="Arial" w:eastAsia="Arial" w:hAnsi="Arial"/>
          <w:sz w:val="16"/>
          <w:szCs w:val="16"/>
          <w:color w:val="auto"/>
        </w:rPr>
      </w:pPr>
      <w:r>
        <w:rPr>
          <w:rFonts w:ascii="Arial" w:cs="Arial" w:eastAsia="Arial" w:hAnsi="Arial"/>
          <w:sz w:val="16"/>
          <w:szCs w:val="16"/>
          <w:color w:val="auto"/>
        </w:rPr>
        <w:t>Any Lender may at any time assign to another Lender or to one or more Eligible Assignees all or a portion of its rights and obligations under this Agreement (including all or a portion of its Credit-Linked Deposit and Credit Obligations at the time owing to it); provided that unless such assignment is to another Lender (i) upon such assignment, the aggregate principal amount of the Credit-Linked Deposit and Credit Obligations held by the assignee, determined as of the date the Assignment and Assumption with respect to such assignment is delivered to the Administrative Agent or, if “Trade Date” is specified in the Assignment and Assumption, as of the Trade Date, shall not be less than $5,000,000; (ii) each partial assignment shall be made as an assignment of a proportionate part of all the assigning Lender’s rights and obligations under this Agreement with respect to the Credit Obligations and the Credit-Linked Deposit assigned; and (iii) the parties to each assignment shall execute and deliver to the Administrative Agent an Assignment and Assumption. Subject to acceptance and recording thereof by the Administrative Agent pursuant to subsection (c) of this Section 10.07,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3.02, 3.03, 10.04 and 10.05 with respect to facts and circumstances occurring prior to the effective date of such assignment). Upon request, the Company (at its expense) shall execute and deliver a Letter of Credit Linked Note and one or more Term Notes to the assignee Lender. Any assignment or transfer by a Lender of rights or obligations under this Agreement that does not comply with this subsection shall be treated for</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purposes of this Agreement as a sale by such Lender of a Participation in such rights and obligations in accordance with subsection (d) of this Section 10.07.</w:t>
      </w:r>
    </w:p>
    <w:p>
      <w:pPr>
        <w:spacing w:after="0" w:line="248" w:lineRule="exact"/>
        <w:rPr>
          <w:sz w:val="20"/>
          <w:szCs w:val="20"/>
          <w:color w:val="auto"/>
        </w:rPr>
      </w:pPr>
    </w:p>
    <w:p>
      <w:pPr>
        <w:ind w:right="200" w:firstLine="228"/>
        <w:spacing w:after="0" w:line="291" w:lineRule="auto"/>
        <w:tabs>
          <w:tab w:leader="none" w:pos="5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Company, shall maintain at the Administrative Agent’s Office a copy of each Assignment and Assumption delivered to it and a register for the recordation of the names and addresses of the Lenders, and the Credit-Linked Deposit of, and amounts of the Credit Obligations owing to, each Lender pursuant to the terms hereof from time to time (the “Register”). The entries in the Register shall be conclusive absent manifest error and the Company, the Administrative Agent, the Issuer and the Lenders may treat each Person whose name is recorded in the Register pursuant to the terms hereof as a Lender hereunder for all purposes of this Agreement, notwithstanding notice to the contrary. The Register shall be available for inspection by the Company, the Issuer and any Lender, at any reasonable time and from time to time upon reasonable prior notice.</w:t>
      </w:r>
    </w:p>
    <w:p>
      <w:pPr>
        <w:spacing w:after="0" w:line="174" w:lineRule="exact"/>
        <w:rPr>
          <w:rFonts w:ascii="Arial" w:cs="Arial" w:eastAsia="Arial" w:hAnsi="Arial"/>
          <w:sz w:val="16"/>
          <w:szCs w:val="16"/>
          <w:color w:val="auto"/>
        </w:rPr>
      </w:pPr>
    </w:p>
    <w:p>
      <w:pPr>
        <w:ind w:right="20" w:firstLine="228"/>
        <w:spacing w:after="0" w:line="286" w:lineRule="auto"/>
        <w:tabs>
          <w:tab w:leader="none" w:pos="51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Lender may at any time, without notice to or the consent of the Administrative Agent, sell participations to any Person (other than a natural person or the Company or any of the Company’s Affiliates or Subsidiaries) (each, a “Participant”) in all or a portion of such Lender’s rights and/or obligations under this Agreement (including all or a portion of its Credit-Linked Deposit and/or such Lender’s Term Loans and/or Participations in Credit Obligations owing to it); provided that (i) such Lender’s obligations under this Agreement shall remain unchanged, (ii) such Lender shall remain solely responsible to the other parties hereto for the performance of such obligations and (iii) the Company, the Administrative Agent, the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Section 10.01 that directly affects such Participant. Subject to subsection (e) of this Section 10.07, the Company agrees that each Participant shall be entitled to the benefits of Sections 3.01, 3.02 and 3.03 to the same extent as if it were a Lender and had acquired its interest by assignment pursuant to subsection (b) of this Section 10.07. To the extent permitted by Law, each Participant also shall be entitled to the benefits of Section 10.09 as though it were a Lender, provided such Participant agrees to be subject to Section 2.09 as though it were a Lender.</w:t>
      </w:r>
    </w:p>
    <w:p>
      <w:pPr>
        <w:spacing w:after="0" w:line="174" w:lineRule="exact"/>
        <w:rPr>
          <w:rFonts w:ascii="Arial" w:cs="Arial" w:eastAsia="Arial" w:hAnsi="Arial"/>
          <w:sz w:val="16"/>
          <w:szCs w:val="16"/>
          <w:color w:val="auto"/>
        </w:rPr>
      </w:pPr>
    </w:p>
    <w:p>
      <w:pPr>
        <w:ind w:right="20" w:firstLine="228"/>
        <w:spacing w:after="0" w:line="298" w:lineRule="auto"/>
        <w:tabs>
          <w:tab w:leader="none" w:pos="5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3.01 or 3.05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3.01 unless the Company is notified of the participation sold to such Participant and such Participant agrees, for the benefit of the Company, to comply with Section 10.15 as though it were a Lender.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3" w:name="page254"/>
    <w:bookmarkEnd w:id="253"/>
    <w:p>
      <w:pPr>
        <w:jc w:val="both"/>
        <w:ind w:right="520" w:firstLine="228"/>
        <w:spacing w:after="0" w:line="306" w:lineRule="auto"/>
        <w:tabs>
          <w:tab w:leader="none" w:pos="48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54" w:lineRule="exact"/>
        <w:rPr>
          <w:rFonts w:ascii="Arial" w:cs="Arial" w:eastAsia="Arial" w:hAnsi="Arial"/>
          <w:sz w:val="16"/>
          <w:szCs w:val="16"/>
          <w:color w:val="auto"/>
        </w:rPr>
      </w:pPr>
    </w:p>
    <w:p>
      <w:pPr>
        <w:jc w:val="both"/>
        <w:ind w:right="220" w:firstLine="228"/>
        <w:spacing w:after="0" w:line="258" w:lineRule="auto"/>
        <w:tabs>
          <w:tab w:leader="none" w:pos="512"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Assignment of Credit-Linked Deposit</w:t>
      </w:r>
      <w:r>
        <w:rPr>
          <w:rFonts w:ascii="Arial" w:cs="Arial" w:eastAsia="Arial" w:hAnsi="Arial"/>
          <w:sz w:val="18"/>
          <w:szCs w:val="18"/>
          <w:color w:val="auto"/>
        </w:rPr>
        <w:t>. The Credit-Linked Deposit funded by any Lender under Section 2.01(c)(ii) shall not be released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assignment of its Credit-Linked Deposit, but shall instead be purchased by the relevant assignee and continue to be held for application (if not already applied in accordance with the terms of Section 2.01(c)(ii) or 2.03) pursuant to Section 2.01(c)(ii) in respect of such assignee’s obligations under the Credit-Linked Deposit assigned to it.</w:t>
      </w:r>
    </w:p>
    <w:p>
      <w:pPr>
        <w:spacing w:after="0" w:line="190" w:lineRule="exact"/>
        <w:rPr>
          <w:sz w:val="20"/>
          <w:szCs w:val="20"/>
          <w:color w:val="auto"/>
        </w:rPr>
      </w:pPr>
    </w:p>
    <w:p>
      <w:pPr>
        <w:ind w:right="40" w:firstLine="220"/>
        <w:spacing w:after="0" w:line="283" w:lineRule="auto"/>
        <w:rPr>
          <w:sz w:val="20"/>
          <w:szCs w:val="20"/>
          <w:color w:val="auto"/>
        </w:rPr>
      </w:pPr>
      <w:r>
        <w:rPr>
          <w:rFonts w:ascii="Arial" w:cs="Arial" w:eastAsia="Arial" w:hAnsi="Arial"/>
          <w:sz w:val="16"/>
          <w:szCs w:val="16"/>
          <w:b w:val="1"/>
          <w:bCs w:val="1"/>
          <w:color w:val="auto"/>
        </w:rPr>
        <w:t>10.08 Confidentiality</w:t>
      </w:r>
      <w:r>
        <w:rPr>
          <w:rFonts w:ascii="Arial" w:cs="Arial" w:eastAsia="Arial" w:hAnsi="Arial"/>
          <w:sz w:val="16"/>
          <w:szCs w:val="16"/>
          <w:color w:val="auto"/>
        </w:rPr>
        <w:t>. For the purposes of this Section 10.08, “Confidential Information” means information delivered to the Administrative Agent, the Issuer</w:t>
      </w:r>
      <w:r>
        <w:rPr>
          <w:rFonts w:ascii="Arial" w:cs="Arial" w:eastAsia="Arial" w:hAnsi="Arial"/>
          <w:sz w:val="16"/>
          <w:szCs w:val="16"/>
          <w:b w:val="1"/>
          <w:bCs w:val="1"/>
          <w:color w:val="auto"/>
        </w:rPr>
        <w:t xml:space="preserve"> </w:t>
      </w:r>
      <w:r>
        <w:rPr>
          <w:rFonts w:ascii="Arial" w:cs="Arial" w:eastAsia="Arial" w:hAnsi="Arial"/>
          <w:sz w:val="16"/>
          <w:szCs w:val="16"/>
          <w:color w:val="auto"/>
        </w:rPr>
        <w:t>or any Lender by or on behalf of the Company or any Subsidiary in connection with the transactions contemplated by or otherwise pursuant to this Agreement that is proprietary in nature and that was clearly marked or labeled or otherwise adequately identified when received by it as being confidential information of the Company or such Subsidiary, provided that such term does not include information that (a) was publicly known or otherwise known to it prior to the time of such disclosure, (b) subsequently becomes publicly known through no act or omission by it or any Person acting on its behalf, (c) otherwise becomes known to it other than through disclosure by the Company or any Subsidiary or (d) constitutes financial statements delivered to it under Section 6.01 that are otherwise publicly available. Each of the Administrative Agent, the Issuer and the Lenders will maintain the confidentiality of such Confidential Information delivered to or received by it in accordance with procedures adopted by it in good faith to protect confidential information of third parties delivered to it, provided that the Administrative Agent, the Issuer or any Lender may deliver or disclose Confidential Information to (i) its directors, officers, employees, agents, attorneys and Affiliates (to the extent such disclosure reasonably relates to the administration of the Credit Documents by the Administrative Agent, the Issuer or any Lender), (ii) its financial advisors and other professional advisors who agree to hold confidential the Confidential Information substantially in accordance with the terms of this</w:t>
      </w:r>
    </w:p>
    <w:p>
      <w:pPr>
        <w:spacing w:after="0" w:line="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Section 10.08, (iii) any other party to this Agreement, (iv) any Eligible Assignee to which any Lender sells or offers to sell its Credit-Linked Deposit and Credit Obligations or any part thereof or any Participation therein (if such Person has agreed in writing prior to its receipt of such Confidential Information to be bound by the provisions of this Section 10.08), (v) any Person from which it offers to purchase any security of the Company (if such Person has agreed in writing prior to its receipt of such Confidential Information to be bound by the provisions of this Section 10.08), (vi) any federal or state regulatory authority having jurisdiction over it, (vii) the National Association of Insurance Commissioners or any similar organization, or any nationally recognized rating agency that requires access to information about its investment portfolio, or (viii) any other Person to which such delivery or disclosure may be necessary or appropriate</w:t>
      </w:r>
    </w:p>
    <w:p>
      <w:pPr>
        <w:spacing w:after="0" w:line="4" w:lineRule="exact"/>
        <w:rPr>
          <w:sz w:val="20"/>
          <w:szCs w:val="20"/>
          <w:color w:val="auto"/>
        </w:rPr>
      </w:pPr>
    </w:p>
    <w:p>
      <w:pPr>
        <w:jc w:val="both"/>
        <w:ind w:right="60" w:firstLine="8"/>
        <w:spacing w:after="0" w:line="255" w:lineRule="auto"/>
        <w:tabs>
          <w:tab w:leader="none" w:pos="28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effect compliance with any law, rule, regulation or order applicable to it, (x) in response to any subpoena or other legal process, (y) in connection with any litigation to which it is a party or (z) if an Event of Default has occurred and is continuing, to the extent it may reasonably determine such delivery and disclosure to be necessary or appropriate in the enforcement or for</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4" w:name="page255"/>
    <w:bookmarkEnd w:id="254"/>
    <w:p>
      <w:pPr>
        <w:spacing w:after="0" w:line="288" w:lineRule="auto"/>
        <w:rPr>
          <w:sz w:val="20"/>
          <w:szCs w:val="20"/>
          <w:color w:val="auto"/>
        </w:rPr>
      </w:pPr>
      <w:r>
        <w:rPr>
          <w:rFonts w:ascii="Arial" w:cs="Arial" w:eastAsia="Arial" w:hAnsi="Arial"/>
          <w:sz w:val="16"/>
          <w:szCs w:val="16"/>
          <w:color w:val="auto"/>
        </w:rPr>
        <w:t>the protection of the rights and remedies under the Letter of Credit Linked Notes, the Term Notes and this Agreement. Each Eligible Assignee, by its execution of an Assignment and Assumption, will be deemed to have agreed to be bound by and to be entitled to the benefits of this Section 10.08 as though it were a party to this Agreement. Notwithstanding anything herein to the contrary, “Confidential Information” shall not include, and the Issuer, the Administrative Agent and each Lender may disclose without limitation of any kind, any information with respect to the “tax treatment” and “tax structure” (in each case, within the meaning of Treasury Regulation Section 1.6011-4) of the transactions contemplated hereby and all materials of any kind (including opinions or other tax analyses) that are provided to the Issuer, the Administrative Agent or such Lender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tax treatment or tax structure of the Credits, Advances, Term Loans and transactions contemplated hereby.</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10.09 [Intentionally Omitted]</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10.10 Representations and Warranties of Each Lender</w:t>
      </w:r>
      <w:r>
        <w:rPr>
          <w:rFonts w:ascii="Arial" w:cs="Arial" w:eastAsia="Arial" w:hAnsi="Arial"/>
          <w:sz w:val="16"/>
          <w:szCs w:val="16"/>
          <w:color w:val="auto"/>
        </w:rPr>
        <w:t>. Each Lender (for itself, and not for any other Lender) represents and warrants to the Issuer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right="20" w:firstLine="228"/>
        <w:spacing w:after="0" w:line="253" w:lineRule="auto"/>
        <w:tabs>
          <w:tab w:leader="none" w:pos="50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Purchase for Investment. Such Lender is an institutional “accredited investor” within the meaning of subparagraphs (1), (2), (3) or (7) of Rule 501(a) promulgated under the Securities Act. Such Lender represents that it is purchasing its Participation in this Agreement, its Letter of Credit Linked Note and its Term Notes, if any, for its own account or for one or more separate accounts maintained by it or for the account of one or more pension or trust funds and not with a view to the distribution thereof, provided that the disposition of its or their property shall at all times be within its or their control. Such Lender understands that the Letter of Credit Linked Notes and Term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Issuer, the Administrative Agent and the Company are not required to register the Letter of Credit Linked Notes and Term Notes.</w:t>
      </w:r>
    </w:p>
    <w:p>
      <w:pPr>
        <w:spacing w:after="0" w:line="199" w:lineRule="exact"/>
        <w:rPr>
          <w:rFonts w:ascii="Arial" w:cs="Arial" w:eastAsia="Arial" w:hAnsi="Arial"/>
          <w:sz w:val="18"/>
          <w:szCs w:val="18"/>
          <w:color w:val="auto"/>
        </w:rPr>
      </w:pPr>
    </w:p>
    <w:p>
      <w:pPr>
        <w:ind w:right="80" w:firstLine="228"/>
        <w:spacing w:after="0" w:line="268" w:lineRule="auto"/>
        <w:tabs>
          <w:tab w:leader="none" w:pos="51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Source of Funds. Such Lender represents that at least one of the following statements is an accurate representation as to each source of funds (a “Source”) to be used by it to pay the purchase price of its Participation in this Agreement:</w:t>
      </w:r>
    </w:p>
    <w:p>
      <w:pPr>
        <w:spacing w:after="0" w:line="185" w:lineRule="exact"/>
        <w:rPr>
          <w:rFonts w:ascii="Arial" w:cs="Arial" w:eastAsia="Arial" w:hAnsi="Arial"/>
          <w:sz w:val="18"/>
          <w:szCs w:val="18"/>
          <w:color w:val="auto"/>
        </w:rPr>
      </w:pPr>
    </w:p>
    <w:p>
      <w:pPr>
        <w:ind w:right="160" w:firstLine="447"/>
        <w:spacing w:after="0" w:line="254" w:lineRule="auto"/>
        <w:tabs>
          <w:tab w:leader="none" w:pos="6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Source is an “insurance company general account” (as the term is defined in the United States Department of Labor’s Prohibited Transaction Exemption (“PTE”) 95-60) in respect of which the reserves and liabilities (as defined by the annual statement for life insurance companies approved by the National Association of Insurance Commissioners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5" w:name="page256"/>
    <w:bookmarkEnd w:id="255"/>
    <w:p>
      <w:pPr>
        <w:spacing w:after="0"/>
        <w:rPr>
          <w:sz w:val="20"/>
          <w:szCs w:val="20"/>
          <w:color w:val="auto"/>
        </w:rPr>
      </w:pPr>
      <w:r>
        <w:rPr>
          <w:rFonts w:ascii="Arial" w:cs="Arial" w:eastAsia="Arial" w:hAnsi="Arial"/>
          <w:sz w:val="16"/>
          <w:szCs w:val="16"/>
          <w:color w:val="auto"/>
        </w:rPr>
        <w:t>general account (exclusive of separate account liabilities) plus surplus as set forth in the NAIC Annual Statement filed with such Lender’s state of domicile; or</w:t>
      </w:r>
    </w:p>
    <w:p>
      <w:pPr>
        <w:spacing w:after="0" w:line="248" w:lineRule="exact"/>
        <w:rPr>
          <w:sz w:val="20"/>
          <w:szCs w:val="20"/>
          <w:color w:val="auto"/>
        </w:rPr>
      </w:pPr>
    </w:p>
    <w:p>
      <w:pPr>
        <w:ind w:right="200" w:firstLine="447"/>
        <w:spacing w:after="0" w:line="306" w:lineRule="auto"/>
        <w:tabs>
          <w:tab w:leader="none" w:pos="697"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Source is a separate account that is maintained solely in connection with such Lender’s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0" w:lineRule="exact"/>
        <w:rPr>
          <w:rFonts w:ascii="Arial" w:cs="Arial" w:eastAsia="Arial" w:hAnsi="Arial"/>
          <w:sz w:val="16"/>
          <w:szCs w:val="16"/>
          <w:color w:val="auto"/>
        </w:rPr>
      </w:pPr>
    </w:p>
    <w:p>
      <w:pPr>
        <w:ind w:right="60" w:firstLine="447"/>
        <w:spacing w:after="0" w:line="256" w:lineRule="auto"/>
        <w:tabs>
          <w:tab w:leader="none" w:pos="74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Source is either (A) an insurance company pooled separate account, within the meaning of PTE 90-1 or (B) a bank collective investment fund, within the meaning of the PTE 91-38 and, except as disclosed by such Lender to the Issuer and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spacing w:after="0" w:line="197" w:lineRule="exact"/>
        <w:rPr>
          <w:rFonts w:ascii="Arial" w:cs="Arial" w:eastAsia="Arial" w:hAnsi="Arial"/>
          <w:sz w:val="18"/>
          <w:szCs w:val="18"/>
          <w:color w:val="auto"/>
        </w:rPr>
      </w:pPr>
    </w:p>
    <w:p>
      <w:pPr>
        <w:ind w:right="60" w:firstLine="447"/>
        <w:spacing w:after="0" w:line="289" w:lineRule="auto"/>
        <w:tabs>
          <w:tab w:leader="none" w:pos="73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Source constitutes assets of an “investment fund” (within the meaning of Part V of PTE 84-14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Section I(c) and (g) of the QPAM Exemption are satisfied, neither the QPAM nor a person controlling or controlled by the QPAM (applying the definition of “control” in Section V(e) of the QPAM Exemption) owns a 5% or more interest in the Issuer or the Company and (i) the identity of such QPAM and (ii) the names of all employee benefit plans whose assets are included in such investment fund have been disclosed to the Issuer and the Company in writing pursuant to this clause (iv); or</w:t>
      </w:r>
    </w:p>
    <w:p>
      <w:pPr>
        <w:spacing w:after="0" w:line="172" w:lineRule="exact"/>
        <w:rPr>
          <w:rFonts w:ascii="Arial" w:cs="Arial" w:eastAsia="Arial" w:hAnsi="Arial"/>
          <w:sz w:val="16"/>
          <w:szCs w:val="16"/>
          <w:color w:val="auto"/>
        </w:rPr>
      </w:pPr>
    </w:p>
    <w:p>
      <w:pPr>
        <w:ind w:right="60" w:firstLine="447"/>
        <w:spacing w:after="0" w:line="294" w:lineRule="auto"/>
        <w:tabs>
          <w:tab w:leader="none" w:pos="68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Source constitutes assets of one or more “plans” (within the meaning of Part IV of PTE 96-23 (the “INHAM Exemption”)) managed by an “in-house asset manager” or “INHAM” (within the meaning of Part IV of the INHAM exemption), the conditions of Section I(a), (g) and (h) of the INHAM Exemption are satisfied, neither the INHAM nor a person controlling or controlled by the INHAM (applying the definition of “control” in Section IV(d)(3) of the INHAM Exemption) owns a 5% or more interest in the Issuer or the Company and (A) the identity of such INHAM and (B) the name(s) of the employee benefit plan(s) whose assets constitute the Source have been disclosed to the Issuer and the Company in writing pursuant to this clause (v); or</w:t>
      </w:r>
    </w:p>
    <w:p>
      <w:pPr>
        <w:spacing w:after="0" w:line="169" w:lineRule="exact"/>
        <w:rPr>
          <w:rFonts w:ascii="Arial" w:cs="Arial" w:eastAsia="Arial" w:hAnsi="Arial"/>
          <w:sz w:val="16"/>
          <w:szCs w:val="16"/>
          <w:color w:val="auto"/>
        </w:rPr>
      </w:pPr>
    </w:p>
    <w:p>
      <w:pPr>
        <w:ind w:left="740" w:hanging="293"/>
        <w:spacing w:after="0"/>
        <w:tabs>
          <w:tab w:leader="none" w:pos="7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225" w:lineRule="exact"/>
        <w:rPr>
          <w:rFonts w:ascii="Arial" w:cs="Arial" w:eastAsia="Arial" w:hAnsi="Arial"/>
          <w:sz w:val="18"/>
          <w:szCs w:val="18"/>
          <w:color w:val="auto"/>
        </w:rPr>
      </w:pPr>
    </w:p>
    <w:p>
      <w:pPr>
        <w:ind w:right="80" w:firstLine="447"/>
        <w:spacing w:after="0" w:line="268" w:lineRule="auto"/>
        <w:tabs>
          <w:tab w:leader="none" w:pos="78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Issuer and the Company in writing pursuant to this clause (vii); or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t>(viii) the Source does not include assets of any employee benefit plan, other than a plan exempt from the coverage of ERISA.</w:t>
      </w:r>
    </w:p>
    <w:p>
      <w:pPr>
        <w:spacing w:after="0" w:line="225"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As used in this Section 10.10(b), the terms “employee benefit plan”, “governmental plan”, “party in interest” and “separate account” shall have the respective meanings assigned to such terms in Section 3 of ERISA.</w:t>
      </w:r>
    </w:p>
    <w:p>
      <w:pPr>
        <w:spacing w:after="0" w:line="186" w:lineRule="exact"/>
        <w:rPr>
          <w:sz w:val="20"/>
          <w:szCs w:val="20"/>
          <w:color w:val="auto"/>
        </w:rPr>
      </w:pPr>
    </w:p>
    <w:p>
      <w:pPr>
        <w:ind w:right="200" w:firstLine="228"/>
        <w:spacing w:after="0" w:line="256" w:lineRule="auto"/>
        <w:tabs>
          <w:tab w:leader="none" w:pos="50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Authorization; Enforceability. The execution, delivery and performance of this Agreement has been duly authorized by all necessary corporate action on the part of such Lender. This Agreement has been duly executed and delivered by such Lender and is the legally valid and binding obligation of such Lender, enforceable against such Lender in accordance with its terms, except as may be limited by bankruptcy, insolvency, reorganization, moratorium or similar laws relating to or limiting creditors’ rights generally or by equitable principles.</w:t>
      </w:r>
    </w:p>
    <w:p>
      <w:pPr>
        <w:spacing w:after="0" w:line="197" w:lineRule="exact"/>
        <w:rPr>
          <w:rFonts w:ascii="Arial" w:cs="Arial" w:eastAsia="Arial" w:hAnsi="Arial"/>
          <w:sz w:val="18"/>
          <w:szCs w:val="18"/>
          <w:color w:val="auto"/>
        </w:rPr>
      </w:pPr>
    </w:p>
    <w:p>
      <w:pPr>
        <w:ind w:right="180" w:firstLine="228"/>
        <w:spacing w:after="0" w:line="256" w:lineRule="auto"/>
        <w:tabs>
          <w:tab w:leader="none" w:pos="5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Withholding. As of the date hereof and as of the date of any assignment under Section 10.07 (after giving effect thereto), no Lender is subject to United States federal withholding taxes on amounts payable pursuant to the terms of this Agreement. Each Lender has delivered to the Administrative Agent all forms required pursuant to Section 10.15(b) to ensure that the Administrative Agent shall not be required to effect any withholding with respect to any amounts payable pursuant to the terms of this Agreement.</w:t>
      </w:r>
    </w:p>
    <w:p>
      <w:pPr>
        <w:spacing w:after="0" w:line="191" w:lineRule="exact"/>
        <w:rPr>
          <w:sz w:val="20"/>
          <w:szCs w:val="20"/>
          <w:color w:val="auto"/>
        </w:rPr>
      </w:pPr>
    </w:p>
    <w:p>
      <w:pPr>
        <w:ind w:right="80" w:firstLine="220"/>
        <w:spacing w:after="0" w:line="275" w:lineRule="auto"/>
        <w:rPr>
          <w:sz w:val="20"/>
          <w:szCs w:val="20"/>
          <w:color w:val="auto"/>
        </w:rPr>
      </w:pPr>
      <w:r>
        <w:rPr>
          <w:rFonts w:ascii="Arial" w:cs="Arial" w:eastAsia="Arial" w:hAnsi="Arial"/>
          <w:sz w:val="18"/>
          <w:szCs w:val="18"/>
          <w:b w:val="1"/>
          <w:bCs w:val="1"/>
          <w:color w:val="auto"/>
        </w:rPr>
        <w:t>10.11 Counterparts</w:t>
      </w:r>
      <w:r>
        <w:rPr>
          <w:rFonts w:ascii="Arial" w:cs="Arial" w:eastAsia="Arial" w:hAnsi="Arial"/>
          <w:sz w:val="18"/>
          <w:szCs w:val="18"/>
          <w:color w:val="auto"/>
        </w:rPr>
        <w:t>. This Agreement may be executed in one or more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74"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b w:val="1"/>
          <w:bCs w:val="1"/>
          <w:color w:val="auto"/>
        </w:rPr>
        <w:t>10.12 Integration</w:t>
      </w:r>
      <w:r>
        <w:rPr>
          <w:rFonts w:ascii="Arial" w:cs="Arial" w:eastAsia="Arial" w:hAnsi="Arial"/>
          <w:sz w:val="18"/>
          <w:szCs w:val="18"/>
          <w:color w:val="auto"/>
        </w:rPr>
        <w:t>. This Agreement, together with the other Credit Documents, comprises the complete and integrated agreement of the parties on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thereof and supersedes all prior agreements, written or oral, on such subject matter. In the event of any conflict between the provisions of this Agreement and those of any other Credit Document, the provisions of this Agreement shall control; provided that the inclusion of supplemental rights or remedies in favor of the Administrative Agent, the Issuer or the Lenders in any other Credit Document shall not be deemed a conflict with this Agreement. Each Credit Document was drafted with the joint participation of the respective parties thereto and shall be construed neither against nor in favor of any party, but rather in accordance with the fair meaning thereof.</w:t>
      </w:r>
    </w:p>
    <w:p>
      <w:pPr>
        <w:spacing w:after="0" w:line="193" w:lineRule="exact"/>
        <w:rPr>
          <w:sz w:val="20"/>
          <w:szCs w:val="20"/>
          <w:color w:val="auto"/>
        </w:rPr>
      </w:pPr>
    </w:p>
    <w:p>
      <w:pPr>
        <w:ind w:right="20" w:firstLine="220"/>
        <w:spacing w:after="0" w:line="293" w:lineRule="auto"/>
        <w:rPr>
          <w:sz w:val="20"/>
          <w:szCs w:val="20"/>
          <w:color w:val="auto"/>
        </w:rPr>
      </w:pPr>
      <w:r>
        <w:rPr>
          <w:rFonts w:ascii="Arial" w:cs="Arial" w:eastAsia="Arial" w:hAnsi="Arial"/>
          <w:sz w:val="16"/>
          <w:szCs w:val="16"/>
          <w:b w:val="1"/>
          <w:bCs w:val="1"/>
          <w:color w:val="auto"/>
        </w:rPr>
        <w:t>10.13 Survival of Representations and Warranties</w:t>
      </w:r>
      <w:r>
        <w:rPr>
          <w:rFonts w:ascii="Arial" w:cs="Arial" w:eastAsia="Arial" w:hAnsi="Arial"/>
          <w:sz w:val="16"/>
          <w:szCs w:val="16"/>
          <w:color w:val="auto"/>
        </w:rPr>
        <w:t>. All representations and warranties made hereunder and in any other Credit Document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hereto or thereto or in connection herewith or therewith shall survive the execution and delivery hereof and thereof. Such representations and warranties have been or will be relied upon by the Administrative Agent, the Issuer and each Lender, regardless of any investigation made by the Administrative Agent, the Issuer or any Lender or on their behalf and notwithstanding that the Administrative Agent, the Issuer or any Lender may have had notice or knowledge of any Default or Event of Default at the time of any Credit Extension, and shall continue in full force and effect as long as any Credit Obligation or any other Credit Obligation shall remain unpaid or unsatisfied or any Credit shall remain outstanding.</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7" w:name="page258"/>
    <w:bookmarkEnd w:id="257"/>
    <w:p>
      <w:pPr>
        <w:ind w:right="200" w:firstLine="220"/>
        <w:spacing w:after="0" w:line="256" w:lineRule="auto"/>
        <w:rPr>
          <w:sz w:val="20"/>
          <w:szCs w:val="20"/>
          <w:color w:val="auto"/>
        </w:rPr>
      </w:pPr>
      <w:r>
        <w:rPr>
          <w:rFonts w:ascii="Arial" w:cs="Arial" w:eastAsia="Arial" w:hAnsi="Arial"/>
          <w:sz w:val="18"/>
          <w:szCs w:val="18"/>
          <w:b w:val="1"/>
          <w:bCs w:val="1"/>
          <w:color w:val="auto"/>
        </w:rPr>
        <w:t>10.14 Severability</w:t>
      </w:r>
      <w:r>
        <w:rPr>
          <w:rFonts w:ascii="Arial" w:cs="Arial" w:eastAsia="Arial" w:hAnsi="Arial"/>
          <w:sz w:val="18"/>
          <w:szCs w:val="18"/>
          <w:color w:val="auto"/>
        </w:rPr>
        <w:t>. If any provision of this Agreement or the other Credit Documents is held to be illegal, invalid or unenforceable, (a)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remaining provisions of this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3" w:lineRule="exact"/>
        <w:rPr>
          <w:sz w:val="20"/>
          <w:szCs w:val="20"/>
          <w:color w:val="auto"/>
        </w:rPr>
      </w:pPr>
    </w:p>
    <w:p>
      <w:pPr>
        <w:ind w:right="60" w:firstLine="220"/>
        <w:spacing w:after="0" w:line="284" w:lineRule="auto"/>
        <w:rPr>
          <w:sz w:val="20"/>
          <w:szCs w:val="20"/>
          <w:color w:val="auto"/>
        </w:rPr>
      </w:pPr>
      <w:r>
        <w:rPr>
          <w:rFonts w:ascii="Arial" w:cs="Arial" w:eastAsia="Arial" w:hAnsi="Arial"/>
          <w:sz w:val="16"/>
          <w:szCs w:val="16"/>
          <w:b w:val="1"/>
          <w:bCs w:val="1"/>
          <w:color w:val="auto"/>
        </w:rPr>
        <w:t xml:space="preserve">10.15 Tax Forms. </w:t>
      </w:r>
      <w:r>
        <w:rPr>
          <w:rFonts w:ascii="Arial" w:cs="Arial" w:eastAsia="Arial" w:hAnsi="Arial"/>
          <w:sz w:val="16"/>
          <w:szCs w:val="16"/>
          <w:color w:val="auto"/>
        </w:rPr>
        <w:t>(a) (i) Each Lender and the Issuer that is not a “United States person” within the meaning of Section 7701(a)(30) of the Code (a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deliver to the Administrative Agent, prior to receipt of any payment subject to withholding under the Code (or upon accepting an assignment of an interest herein), two duly signed completed copies of either IRS Form W-8BEN or any successor thereto (relating to such Foreign Lender and entitling it to an exemption from, or reduction of, withholding tax on all payments to be made to such Foreign Lender by the Company pursuant to this Agreement) or IRS Form W-8ECI or any successor thereto (relating to all payments to be made to such Foreign Lender by the Company pursuant to this Agreement), and, if necessary, such other evidence satisfactory to the Company and the Administrative Agent that such Foreign Lender is entitled to an exemption from, or reduction of, U.S. withholding tax, including any exemption pursuant to Section 881(c) of the Code. Thereafter and from time to time, each such Foreign Lender shall</w:t>
      </w:r>
    </w:p>
    <w:p>
      <w:pPr>
        <w:spacing w:after="0" w:line="1" w:lineRule="exact"/>
        <w:rPr>
          <w:sz w:val="20"/>
          <w:szCs w:val="20"/>
          <w:color w:val="auto"/>
        </w:rPr>
      </w:pPr>
    </w:p>
    <w:p>
      <w:pPr>
        <w:ind w:right="60" w:firstLine="8"/>
        <w:spacing w:after="0" w:line="252" w:lineRule="auto"/>
        <w:tabs>
          <w:tab w:leader="none" w:pos="2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Company and the Administrative Agent of any available exemption from or reduction of, United States withholding taxes in respect of all payments to be made to such Foreign Lender by the Company pursuant to this Agreement, (B) promptly notify the Administrative Agent of any change in circumstances which would modify or render invalid any claimed exemption or reduction, and (C) take such steps as shall not be materially disadvantageous to it, in the reasonable judgment of such Foreign Lender, and as may be reasonably necessary (including the re-designation of its Lending Office) to avoid any requirement of applicable Laws that the Company make any deduction or withholding for taxes from amounts payable to such Foreign Lender.</w:t>
      </w:r>
    </w:p>
    <w:p>
      <w:pPr>
        <w:spacing w:after="0" w:line="199" w:lineRule="exact"/>
        <w:rPr>
          <w:rFonts w:ascii="Arial" w:cs="Arial" w:eastAsia="Arial" w:hAnsi="Arial"/>
          <w:sz w:val="18"/>
          <w:szCs w:val="18"/>
          <w:color w:val="auto"/>
        </w:rPr>
      </w:pPr>
    </w:p>
    <w:p>
      <w:pPr>
        <w:ind w:right="20" w:firstLine="447"/>
        <w:spacing w:after="0" w:line="253" w:lineRule="auto"/>
        <w:tabs>
          <w:tab w:leader="none" w:pos="69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Each Foreign Lender, to the extent it does not act or ceases to act for its own account with respect to any portion of any sums paid or payable to such Foreign Lender under any of the Credit Documents (for example, in the case of a typical participation by such Foreign Lender), shall deliver to the Administrative Agent on the date when such Foreign Lender ceases to act for its own account with respect to any portion of any such sums paid or payable, and at such other times as may be necessary in the determination of the Administrative Agent (in the reasonable exercise of its discretion), (A) two duly signed completed copies of the forms or statements required to be provided by such Foreign Lender as set forth above, to establish the portion of any such sums paid or payable with respect to which such Foreign Lender acts for its own account that is exempt from, or subject to a reduced rate of, U.S. withholding tax, and (B) two duly signed completed copies of IRS Form W-8IMY (or any successor thereto), together with any information such Foreign Lender chooses to transmit with such form, and any other</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8" w:name="page259"/>
    <w:bookmarkEnd w:id="258"/>
    <w:p>
      <w:pPr>
        <w:ind w:right="160"/>
        <w:spacing w:after="0" w:line="268" w:lineRule="auto"/>
        <w:rPr>
          <w:sz w:val="20"/>
          <w:szCs w:val="20"/>
          <w:color w:val="auto"/>
        </w:rPr>
      </w:pPr>
      <w:r>
        <w:rPr>
          <w:rFonts w:ascii="Arial" w:cs="Arial" w:eastAsia="Arial" w:hAnsi="Arial"/>
          <w:sz w:val="18"/>
          <w:szCs w:val="18"/>
          <w:color w:val="auto"/>
        </w:rPr>
        <w:t>certificate or statement of exemption required under the Code, to establish that such Foreign Lender is not acting for its own account with respect to a portion of any such sums payable to such Foreign Lender.</w:t>
      </w:r>
    </w:p>
    <w:p>
      <w:pPr>
        <w:spacing w:after="0" w:line="186" w:lineRule="exact"/>
        <w:rPr>
          <w:sz w:val="20"/>
          <w:szCs w:val="20"/>
          <w:color w:val="auto"/>
        </w:rPr>
      </w:pPr>
    </w:p>
    <w:p>
      <w:pPr>
        <w:ind w:right="20" w:firstLine="447"/>
        <w:spacing w:after="0" w:line="288" w:lineRule="auto"/>
        <w:tabs>
          <w:tab w:leader="none" w:pos="743"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Company shall not be required to pay any additional amount to any Foreign Lender under Section 3.01 (A) with respect to any Taxes required to be deducted or withheld on the basis of the information, certificates or statements of exemption such Foreign Lender transmits with an IRS Form W-8IMY pursuant to this Section 10.15(a) or (B) if such Foreign Lender shall have failed to satisfy the foregoing provisions of this Section 10.15(a); provided that if such Foreign Lender shall have satisfied the requirement of this Section 10.15(a) on the date such Foreign Lender became a Lender or ceased to act for its own account with respect to any payment under any of the Credit Documents, nothing in this Section 10.15(a) shall relieve the Company of its obligation to pay any amounts pursuant to Section 3.01 in the event that, as a result of any change in any applicable law, treaty or governmental rule, regulation or order, or any change in the interpretation, administration or application thereof, such Foreign Lender is no longer properly entitled to deliver forms, certificates or other evidence at a subsequent date establishing the fact that such Foreign Lender or other Person for the account of which such Foreign Lender receives any sums payable under any of the Credit Documents is not subject to withholding or is subject to withholding at a reduced rate.</w:t>
      </w:r>
    </w:p>
    <w:p>
      <w:pPr>
        <w:spacing w:after="0" w:line="173" w:lineRule="exact"/>
        <w:rPr>
          <w:rFonts w:ascii="Arial" w:cs="Arial" w:eastAsia="Arial" w:hAnsi="Arial"/>
          <w:sz w:val="16"/>
          <w:szCs w:val="16"/>
          <w:color w:val="auto"/>
        </w:rPr>
      </w:pPr>
    </w:p>
    <w:p>
      <w:pPr>
        <w:ind w:right="60" w:firstLine="447"/>
        <w:spacing w:after="0" w:line="332" w:lineRule="auto"/>
        <w:tabs>
          <w:tab w:leader="none" w:pos="733"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Administrative Agent may, without reduction, withhold any Taxes required to be deducted and withheld from any payment under any of the Credit Documents with respect to which the Company is not required to pay additional amounts under this Section 10.15(a) or Section 3.01.</w:t>
      </w:r>
    </w:p>
    <w:p>
      <w:pPr>
        <w:spacing w:after="0" w:line="139" w:lineRule="exact"/>
        <w:rPr>
          <w:rFonts w:ascii="Arial" w:cs="Arial" w:eastAsia="Arial" w:hAnsi="Arial"/>
          <w:sz w:val="16"/>
          <w:szCs w:val="16"/>
          <w:color w:val="auto"/>
        </w:rPr>
      </w:pPr>
    </w:p>
    <w:p>
      <w:pPr>
        <w:jc w:val="both"/>
        <w:ind w:right="120" w:firstLine="228"/>
        <w:spacing w:after="0" w:line="256" w:lineRule="auto"/>
        <w:tabs>
          <w:tab w:leader="none" w:pos="51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Upon the request of the Administrative Agent, the Issuer and each Lender that is a “United States person” within the meaning of Section 7701(a)(30) of the Code shall deliver to the Administrative Agent two duly signed completed copies of IRS Form W-9. If the Issuer or such Lender fails to deliver such forms, then the Administrative Agent may withhold from any interest payment to the Issuer or such Lender an amount equivalent to the applicable back-up withholding tax imposed by the Code, without reduction.</w:t>
      </w:r>
    </w:p>
    <w:p>
      <w:pPr>
        <w:spacing w:after="0" w:line="197" w:lineRule="exact"/>
        <w:rPr>
          <w:rFonts w:ascii="Arial" w:cs="Arial" w:eastAsia="Arial" w:hAnsi="Arial"/>
          <w:sz w:val="18"/>
          <w:szCs w:val="18"/>
          <w:color w:val="auto"/>
        </w:rPr>
      </w:pPr>
    </w:p>
    <w:p>
      <w:pPr>
        <w:ind w:right="200" w:firstLine="228"/>
        <w:spacing w:after="0" w:line="254" w:lineRule="auto"/>
        <w:tabs>
          <w:tab w:leader="none" w:pos="50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any Governmental Authority asserts that the Administrative Agent did not properly withhold or backup withhold, as the case may be, any tax or other amount from payments made to or for the account of the Issuer or any Lender, the Issuer or such Lender shall indemnify the Administrative Agent therefor, including all penalties and interest, any taxes imposed by any jurisdiction on the amounts payable to the Administrative Agent under this Section, and costs and expenses (including reasonable Attorney Costs) of the Administrative Agent. The obligation of the Issuer and the Lenders under this Section shall survive the termination of the Credit-Linked Deposits, repayment of all Credit Obligations and all other amounts due hereunder and the resignation or replacement of the Administrative Agent.</w:t>
      </w:r>
    </w:p>
    <w:p>
      <w:pPr>
        <w:spacing w:after="0" w:line="192" w:lineRule="exact"/>
        <w:rPr>
          <w:sz w:val="20"/>
          <w:szCs w:val="20"/>
          <w:color w:val="auto"/>
        </w:rPr>
      </w:pPr>
    </w:p>
    <w:p>
      <w:pPr>
        <w:ind w:right="200" w:firstLine="220"/>
        <w:spacing w:after="0" w:line="310" w:lineRule="auto"/>
        <w:rPr>
          <w:sz w:val="20"/>
          <w:szCs w:val="20"/>
          <w:color w:val="auto"/>
        </w:rPr>
      </w:pPr>
      <w:r>
        <w:rPr>
          <w:rFonts w:ascii="Arial" w:cs="Arial" w:eastAsia="Arial" w:hAnsi="Arial"/>
          <w:sz w:val="16"/>
          <w:szCs w:val="16"/>
          <w:b w:val="1"/>
          <w:bCs w:val="1"/>
          <w:color w:val="auto"/>
        </w:rPr>
        <w:t>10.16 Governing Law</w:t>
      </w:r>
      <w:r>
        <w:rPr>
          <w:rFonts w:ascii="Arial" w:cs="Arial" w:eastAsia="Arial" w:hAnsi="Arial"/>
          <w:sz w:val="16"/>
          <w:szCs w:val="16"/>
          <w:color w:val="auto"/>
        </w:rPr>
        <w:t>. THIS AGREEMENT SHALL BE GOVERNED BY, AND CONSTRUED IN ACCORDANCE WITH, THE LAW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 APPLICABLE TO AGREEMENTS MADE AND TO BE PERFORMED ENTIRELY WITHIN SUCH STATE; PROVIDED THAT THE ADMINISTRATIVE AGENT, THE ISSUER AND EACH LENDER SHALL RETAIN ALL RIGHTS ARISING UNDER FEDERAL LAW.</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59" w:name="page260"/>
    <w:bookmarkEnd w:id="259"/>
    <w:p>
      <w:pPr>
        <w:ind w:right="40" w:firstLine="210"/>
        <w:spacing w:after="0" w:line="253" w:lineRule="auto"/>
        <w:rPr>
          <w:sz w:val="20"/>
          <w:szCs w:val="20"/>
          <w:color w:val="auto"/>
        </w:rPr>
      </w:pPr>
      <w:r>
        <w:rPr>
          <w:rFonts w:ascii="Arial" w:cs="Arial" w:eastAsia="Arial" w:hAnsi="Arial"/>
          <w:sz w:val="18"/>
          <w:szCs w:val="18"/>
          <w:color w:val="auto"/>
        </w:rPr>
        <w:t xml:space="preserve">ANY LEGAL ACTION OR PROCEEDING WITH RESPECT TO THIS AGREEMENT OR ANY OTHER CREDIT DOCUMENT MAY BE BROUGHT IN THE COURTS OF THE STATE OF NEW YORK SITTING IN NEW YORK OR OF THE UNITED STATES FOR SOUTHERN DISTRICT OF SUCH STATE, AND BY EXECUTION AND DELIVERY OF THIS AGREEMENT, THE COMPANY CONSENTS, FOR ITSELF AND IN RESPECT OF ITS PROPERTY, TO THE NON-EXCLUSIVE JURISDICTION OF THOSE COURTS. THE COMPANY IRREVOCABLY WAIVES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CREDIT DOCUMENT OR OTHER DOCUMENT RELATED THERETO.</w:t>
      </w:r>
    </w:p>
    <w:p>
      <w:pPr>
        <w:spacing w:after="0" w:line="195"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b w:val="1"/>
          <w:bCs w:val="1"/>
          <w:color w:val="auto"/>
        </w:rPr>
        <w:t>10.17 Waiver of Right to Trial by Jury</w:t>
      </w:r>
      <w:r>
        <w:rPr>
          <w:rFonts w:ascii="Arial" w:cs="Arial" w:eastAsia="Arial" w:hAnsi="Arial"/>
          <w:sz w:val="16"/>
          <w:szCs w:val="16"/>
          <w:color w:val="auto"/>
        </w:rPr>
        <w:t>. EACH PARTY TO THIS AGREEMENT HEREBY EXPRESSLY WAIVES ANY RIGHT TO TRIAL BY JURY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CLAIM, DEMAND, ACTION OR CAUSE OF ACTION ARISING UNDER ANY CREDIT DOCUMENT OR IN ANY WAY CONNECTED WITH OR RELATED OR INCIDENTAL TO THE DEALINGS OF THE PARTIES HERETO OR ANY OF THEM WITH RESPECT TO ANY CREDIT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10.18 Time of the Essence</w:t>
      </w:r>
      <w:r>
        <w:rPr>
          <w:rFonts w:ascii="Arial" w:cs="Arial" w:eastAsia="Arial" w:hAnsi="Arial"/>
          <w:sz w:val="18"/>
          <w:szCs w:val="18"/>
          <w:color w:val="auto"/>
        </w:rPr>
        <w:t>. Time is of the essence of the Credit Documents.</w:t>
      </w:r>
    </w:p>
    <w:p>
      <w:pPr>
        <w:spacing w:after="0" w:line="225"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b w:val="1"/>
          <w:bCs w:val="1"/>
          <w:color w:val="auto"/>
        </w:rPr>
        <w:t>10.19 Credit Rating Downgrade Event or Deposit Account Interest Non-Payment Event</w:t>
      </w:r>
      <w:r>
        <w:rPr>
          <w:rFonts w:ascii="Arial" w:cs="Arial" w:eastAsia="Arial" w:hAnsi="Arial"/>
          <w:sz w:val="16"/>
          <w:szCs w:val="16"/>
          <w:color w:val="auto"/>
        </w:rPr>
        <w:t>. (a) For purposes of this Section 10.19, (i) the term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Rating Downgrade Event” means that the credit ratings established by S&amp;P and Moody’s with respect to the senior, unsecured long-term, non-credit enhanced debt securities (“Long-Term Debt”) of Bank of America Corporation have been lowered below “A-” by S&amp;P and below “A3” by Moody’s or that the Long-Term Debt of Bank of America Corporation has ceased to be rated by S&amp;P and Moody’s for a period of more than ten (10) consecutive Business Days, in each case as evidenced by the public announcement thereof; provided that if the credit ratings established for the Long-Term Debt of Bank of America Corporation by either S&amp;P or Moody’s are unavailable for any reason, the rating established by the other rating agency shall be used for purposes of this Section 10.19; and (ii) the term “Deposit Account Interest Non-Payment Event” means that an interest payment in respect of the Credit-Linked Deposits payable pursuant to Section 2.01(j)(i) shall not have been made by Bank of America and distributed by the Administrative Agent to the Lenders pursuant to Section 2.01(j)(i) within five (5) Business Days of when due. The Administrative Agent will promptly notify each Lender (A) after officers within the agency management group (or similar group performing the functions of the present agency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0" w:name="page261"/>
    <w:bookmarkEnd w:id="260"/>
    <w:p>
      <w:pPr>
        <w:ind w:right="180"/>
        <w:spacing w:after="0" w:line="268" w:lineRule="auto"/>
        <w:rPr>
          <w:sz w:val="20"/>
          <w:szCs w:val="20"/>
          <w:color w:val="auto"/>
        </w:rPr>
      </w:pPr>
      <w:r>
        <w:rPr>
          <w:rFonts w:ascii="Arial" w:cs="Arial" w:eastAsia="Arial" w:hAnsi="Arial"/>
          <w:sz w:val="18"/>
          <w:szCs w:val="18"/>
          <w:color w:val="auto"/>
        </w:rPr>
        <w:t>management group) of Bank of America obtain knowledge, if a Credit Rating Downgrade Event has occurred, and (B) if a Deposit Interest Non-Payment Event has occurred.</w:t>
      </w:r>
    </w:p>
    <w:p>
      <w:pPr>
        <w:spacing w:after="0" w:line="186" w:lineRule="exact"/>
        <w:rPr>
          <w:sz w:val="20"/>
          <w:szCs w:val="20"/>
          <w:color w:val="auto"/>
        </w:rPr>
      </w:pPr>
    </w:p>
    <w:p>
      <w:pPr>
        <w:jc w:val="both"/>
        <w:ind w:right="540" w:firstLine="228"/>
        <w:spacing w:after="0" w:line="298" w:lineRule="auto"/>
        <w:tabs>
          <w:tab w:leader="none" w:pos="51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 the event that a Credit Rating Downgrade Event or a Deposit Account Interest Non-Payment Event has occurred and is continuing, the Required Lenders may, by notice to the Administrative Agent and the Company (each a “Required Notice”), identify the Credit Rating Downgrade Event or Deposit Account Interest Non-Payment Event which then exists, and request that either of the following actions be taken, and upon such request the Company, the Administrative Agent, the Issuer and the Lenders agree to use reasonable commercial efforts to cause such action to be taken:</w:t>
      </w:r>
    </w:p>
    <w:p>
      <w:pPr>
        <w:spacing w:after="0" w:line="166" w:lineRule="exact"/>
        <w:rPr>
          <w:rFonts w:ascii="Arial" w:cs="Arial" w:eastAsia="Arial" w:hAnsi="Arial"/>
          <w:sz w:val="16"/>
          <w:szCs w:val="16"/>
          <w:color w:val="auto"/>
        </w:rPr>
      </w:pPr>
    </w:p>
    <w:p>
      <w:pPr>
        <w:ind w:right="80" w:firstLine="447"/>
        <w:spacing w:after="0" w:line="287" w:lineRule="auto"/>
        <w:tabs>
          <w:tab w:leader="none" w:pos="639"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A new deposit account (the “New Account”) shall be opened by the Administrative Agent at a bank which has a credit rating of at least “A+” from S&amp;P and “A1” from Moody’s (the “New Depository Bank”). The New Depository Bank, the Administrative Agent, the Issuer, the Company and the Lenders shall execute such documents as may be reasonably necessary or appropriate so that the Issuer is granted by the Administrative Agent and the Lenders a first priority perfected security interest in the New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New Depository Bank for credit to the New Account. Thereafter, the New Account shall be deemed to be the “Credit-Linked Deposit Account” under this Agreement and the provisions of this Agreement relating to the Credit-Linked Deposit Account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New Account. Except for the transfer of the Credit-Linked Deposit Account as provided above, the rights of the Administrative Agent, on behalf of the Issuer and the Lenders, in and to the Credit-Linked Deposit Account hereunder shall remain unchanged and in full force and effect.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that the interest payable by the New Depository Bank on the funds on deposit in the New Account is less than the interest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2.01(j)(i) of this Agreement with respect to the Total Credit-Linked Deposit, then the Company shall pay such additional amounts at such times as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so that the Lenders receive no less than the interest payable under Section 2.01(j)(i), at the times set forth in Section 2.01(j)(i). If a Deposit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Non-Payment Event has triggered the procedures set forth in this Section 10.l9(b), then Bank of America shall (A) indemnify the Company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amounts the Company pays pursuant to the immediately preceding sentence and (B) reimburse the Company and each Lender for all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including Attorney Costs, incurred in connection with such Deposit Account Interest Non-Payment Event.</w:t>
      </w:r>
    </w:p>
    <w:p>
      <w:pPr>
        <w:spacing w:after="0" w:line="219" w:lineRule="exact"/>
        <w:rPr>
          <w:sz w:val="20"/>
          <w:szCs w:val="20"/>
          <w:color w:val="auto"/>
        </w:rPr>
      </w:pPr>
    </w:p>
    <w:p>
      <w:pPr>
        <w:ind w:right="140" w:firstLine="436"/>
        <w:spacing w:after="0" w:line="298" w:lineRule="auto"/>
        <w:rPr>
          <w:sz w:val="20"/>
          <w:szCs w:val="20"/>
          <w:color w:val="auto"/>
        </w:rPr>
      </w:pPr>
      <w:r>
        <w:rPr>
          <w:rFonts w:ascii="Arial" w:cs="Arial" w:eastAsia="Arial" w:hAnsi="Arial"/>
          <w:sz w:val="16"/>
          <w:szCs w:val="16"/>
          <w:color w:val="auto"/>
        </w:rPr>
        <w:t>The parties to this Agreement shall execute and deliver an amendment to this Agreement and such other documents as may be reasonably required to accomplish the foregoing. Notwithstanding anything to the contrary in this Section 10.19(b)(i), the documentation, terms and conditions utilized to establish and grant a security interest in the New Account and the other documentation (including legal opinions) and actions contemplated herein (including any amendment of this Agreement) shall be reasonably satisfactory in form and substance to the Company, the Issuer, the Administrative Agent and each Lender.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1" w:name="page262"/>
    <w:bookmarkEnd w:id="261"/>
    <w:p>
      <w:pPr>
        <w:ind w:left="44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20" w:firstLine="447"/>
        <w:spacing w:after="0" w:line="286" w:lineRule="auto"/>
        <w:tabs>
          <w:tab w:leader="none" w:pos="69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Lenders shall cause to be established, and beneficially owned by the Lenders, a trust (the “Trust”) which shall in turn establish a securities account (the “Securities Account”) at a securities intermediary (the “Securities Intermediary”) having a credit rating of at least “A+” from S&amp;P and at least “A1” from Moody’s. The Securities Intermediary, the Administrative Agent, the Issuer, the Company and the Lenders shall execute such documents as may be reasonably necessary or appropriate so that the Issuer is granted by the Trust, the Administrative Agent and the Lenders, as appropriate, a first priority perfected security interest in the Securities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Securities Intermediary for credit to the Securities Account. Such funds shall be invested in such LIBOR-based short-term debt investments, having a credit rating of at least “A+” from S&amp;P and at least “A1” from Moody’s as may be reasonably agreed upon by the Required Lenders, the Administrative Agent, the Issuer and the Company. Thereafter, the Securities Account shall be deemed to be the “Credit Linked Deposit Account” under this Agreement and the provisions of this Agreement relating to the Credit-Linked Deposit Account shall apply </w:t>
      </w: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to the Securities Account. Except for the transfer of funds from the Credit-Linked Deposit Account to the Securities Account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of the Administrative Agent, on behalf of the Issuer and the Lenders, in and to the Securities Account hereunder shall remain unchanged and in full force and effect.</w:t>
      </w:r>
    </w:p>
    <w:p>
      <w:pPr>
        <w:spacing w:after="0" w:line="175"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In the event that the interest payable with respect to the investments in the Securities Account is less than the interest set forth in Section 2.01(j)(i) with respect to the Total Credit-Linked Deposit, then the Company shall pay such additional amounts at such times as may be required so that the Lenders receive no less than the interest payable under Section 2.01(j)(i), at the times set forth in Section 2.01(j)(i). If a Deposit Account Interest Non-Payment Event has triggered the procedures set forth in this Section 10.l9(b), then Bank of America shall (A) indemnify the Company for all additional amounts the Company pays pursuant to the immediately preceding sentence and (B) reimburse the Company and each Lender for all costs and expenses, including Attorney Costs, incurred in connection with such Deposit Account Interest Non-Payment Event.</w:t>
      </w:r>
    </w:p>
    <w:p>
      <w:pPr>
        <w:spacing w:after="0" w:line="174"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The parties to this Agreement shall execute and deliver an amendment to this Agreement and such other documents as may be reasonably required to accomplish the foregoing. Notwithstanding anything to the contrary in this Section 10.19(b)(ii), the documentation, terms and conditions utilized to establish the Trust and Securities Account and to grant a security interest in and to the Security Account and the other documentation (including legal opinions) and actions contemplated herein (including any amendment of this Agreement) shall be reasonably satisfactory in form and substance to the Company, the Issuer, the Administrative Agent and each Lender.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2" w:name="page263"/>
    <w:bookmarkEnd w:id="262"/>
    <w:p>
      <w:pPr>
        <w:ind w:firstLine="447"/>
        <w:spacing w:after="0" w:line="285" w:lineRule="auto"/>
        <w:tabs>
          <w:tab w:leader="none" w:pos="74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Company hereby agrees to use commercially reasonable efforts from time to time to inform the Administrative Agent, which shall promptly inform the Lenders upon receipt of such information, of the status of the transactions contemplated in Sections 10.19(b)(i) or (ii), as applicable. In the event that neither of the transactions contemplated in subsections (i) or (ii) above, or transactions substantially similar to the transactions in such sections, are consummated in form and substance reasonably satisfactory to the Issuer, the Administrative Agent, the Company and each Lender within 120 days (or such longer period as the Company and the Required Lenders may mutually agree) after the receipt by the Company of a Required Notice, then the Required Lenders may, by notice to the Administrative Agent, terminate the credit facility established under Section 2.01. The Required Lenders may, within 90 days of issuing a Required Notice, provide the Company written notice of their election to retract such Required Notice, but shall have no right to retract the Required Notice after such 90 day period. Upon delivery of a notice of retraction, the actions required by Section 10.19(b)(i) or (ii) shall no longer be required to be taken in connection with the event described in the Required Notice. After delivery of a retraction notice or in the event the credit facility is not terminated at the end of the 120 day period, the Required Lenders may not deliver another Required Notice under this Section 10.19 unless the credit ratings from S&amp;P or Moody’s on the Long-Term Debt of Bank of America are further lowered. Upon such termination, all funds then or at any time thereafter held in the Credit-Linked Deposit Account in excess of the sum of the then Outstanding Amount of all Credit Obligations (other than Advances and Term Loans) shall be withdrawn from the Credit-Linked Deposit Account by the Administrative Agent and distributed by the Administrative Agent to each Lender in accordance with its Pro Rata Share, subject to any notice required pursuant to the Money Market Account Agreement; provided that the Company may, pursuant to Section 2.03(b), request that the Lenders make Term Loans as provided in Section 2.03(b)(i); and with respect to all Term Loans (whether then outstanding or thereafter made), the restriction that Term Loans cannot be prepaid until after the second anniversary of the Closing Date set forth in Section 2.03(b)(vi) shall continue to apply.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GUARANTY</w:t>
      </w:r>
    </w:p>
    <w:p>
      <w:pPr>
        <w:spacing w:after="0" w:line="213"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b w:val="1"/>
          <w:bCs w:val="1"/>
          <w:color w:val="auto"/>
        </w:rPr>
        <w:t xml:space="preserve">11.01 Guaranty. </w:t>
      </w:r>
      <w:r>
        <w:rPr>
          <w:rFonts w:ascii="Arial" w:cs="Arial" w:eastAsia="Arial" w:hAnsi="Arial"/>
          <w:sz w:val="18"/>
          <w:szCs w:val="18"/>
          <w:color w:val="auto"/>
        </w:rPr>
        <w:t>For value received and hereby acknowledged and as an inducement to the Lenders and the Issuer to make the Credit Extensions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Holdings hereby unconditionally and irrevocably guarantees (a) the full punctual payment when due, whether at stated maturity, by acceleration or otherwise, of all Credit Obligations of the Company now or hereafter existing whether for principal, interest, fees, expenses or otherwise, and (b) the strict performance and observance by the Company of all agreements, warranties and covenants applicable to the Company in the Credit Documents and (c) the obligations of the Company under the Credit Documents (such Credit Obligations collectively being hereafter referred to as the “Guaranteed Obligations”). The foregoing guaranty is a guaranty of payment and not of collection. For purposes of this Article XI, the obligations of Holdings under this Article XI are referred to as the “Holdings Guaranty.”</w:t>
      </w:r>
    </w:p>
    <w:p>
      <w:pPr>
        <w:spacing w:after="0" w:line="195" w:lineRule="exact"/>
        <w:rPr>
          <w:sz w:val="20"/>
          <w:szCs w:val="20"/>
          <w:color w:val="auto"/>
        </w:rPr>
      </w:pPr>
    </w:p>
    <w:p>
      <w:pPr>
        <w:ind w:right="260" w:firstLine="220"/>
        <w:spacing w:after="0" w:line="275" w:lineRule="auto"/>
        <w:rPr>
          <w:sz w:val="20"/>
          <w:szCs w:val="20"/>
          <w:color w:val="auto"/>
        </w:rPr>
      </w:pPr>
      <w:r>
        <w:rPr>
          <w:rFonts w:ascii="Arial" w:cs="Arial" w:eastAsia="Arial" w:hAnsi="Arial"/>
          <w:sz w:val="18"/>
          <w:szCs w:val="18"/>
          <w:b w:val="1"/>
          <w:bCs w:val="1"/>
          <w:color w:val="auto"/>
        </w:rPr>
        <w:t xml:space="preserve">11.02 Guaranty Absolute. </w:t>
      </w:r>
      <w:r>
        <w:rPr>
          <w:rFonts w:ascii="Arial" w:cs="Arial" w:eastAsia="Arial" w:hAnsi="Arial"/>
          <w:sz w:val="18"/>
          <w:szCs w:val="18"/>
          <w:color w:val="auto"/>
        </w:rPr>
        <w:t>Holdings guarantees that the Guaranteed Obligations will be paid strictly in accordance with the terms hereof, regardless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law, regulation or order now or hereafter in effect in any jurisdiction affecting any of such terms or the rights of any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3" w:name="page264"/>
    <w:bookmarkEnd w:id="263"/>
    <w:p>
      <w:pPr>
        <w:ind w:right="660"/>
        <w:spacing w:after="0" w:line="268" w:lineRule="auto"/>
        <w:rPr>
          <w:sz w:val="20"/>
          <w:szCs w:val="20"/>
          <w:color w:val="auto"/>
        </w:rPr>
      </w:pPr>
      <w:r>
        <w:rPr>
          <w:rFonts w:ascii="Arial" w:cs="Arial" w:eastAsia="Arial" w:hAnsi="Arial"/>
          <w:sz w:val="18"/>
          <w:szCs w:val="18"/>
          <w:color w:val="auto"/>
        </w:rPr>
        <w:t>Lender, the Issuer or the Administrative Agent with respect thereto. The liability of Holdings under the Holdings Guaranty with regard to the Guaranteed Obligations shall be absolute and unconditional irrespective of</w:t>
      </w:r>
    </w:p>
    <w:p>
      <w:pPr>
        <w:spacing w:after="0" w:line="186" w:lineRule="exact"/>
        <w:rPr>
          <w:sz w:val="20"/>
          <w:szCs w:val="20"/>
          <w:color w:val="auto"/>
        </w:rPr>
      </w:pPr>
    </w:p>
    <w:p>
      <w:pPr>
        <w:ind w:right="60" w:firstLine="228"/>
        <w:spacing w:after="0" w:line="332" w:lineRule="auto"/>
        <w:tabs>
          <w:tab w:leader="none" w:pos="50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its Guaranteed Obligations or any other amendment or waiver of or any consent to departure from this Agreement or any other Credit Document (with regard to such Guaranteed Obligations);</w:t>
      </w:r>
    </w:p>
    <w:p>
      <w:pPr>
        <w:spacing w:after="0" w:line="139" w:lineRule="exact"/>
        <w:rPr>
          <w:rFonts w:ascii="Arial" w:cs="Arial" w:eastAsia="Arial" w:hAnsi="Arial"/>
          <w:sz w:val="16"/>
          <w:szCs w:val="16"/>
          <w:color w:val="auto"/>
        </w:rPr>
      </w:pPr>
    </w:p>
    <w:p>
      <w:pPr>
        <w:ind w:left="520" w:hanging="292"/>
        <w:spacing w:after="0"/>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release or amendment or waiver of or consent to departure from any other guaranty for all or any of its Guaranteed Obligations;</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change in ownership of the Company;</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acceptance of any partial payment(s) from the Company or Holdings; or</w:t>
      </w:r>
    </w:p>
    <w:p>
      <w:pPr>
        <w:spacing w:after="0" w:line="225" w:lineRule="exact"/>
        <w:rPr>
          <w:rFonts w:ascii="Arial" w:cs="Arial" w:eastAsia="Arial" w:hAnsi="Arial"/>
          <w:sz w:val="18"/>
          <w:szCs w:val="18"/>
          <w:color w:val="auto"/>
        </w:rPr>
      </w:pPr>
    </w:p>
    <w:p>
      <w:pPr>
        <w:ind w:right="260" w:firstLine="228"/>
        <w:spacing w:after="0" w:line="268" w:lineRule="auto"/>
        <w:tabs>
          <w:tab w:leader="none" w:pos="50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other circumstance similar or dissimilar to the foregoing which might otherwise constitute a defense available to, or a discharge of, the Company in respect of its Credit Obligations under any Credit Document.</w:t>
      </w:r>
    </w:p>
    <w:p>
      <w:pPr>
        <w:spacing w:after="0" w:line="180" w:lineRule="exact"/>
        <w:rPr>
          <w:sz w:val="20"/>
          <w:szCs w:val="20"/>
          <w:color w:val="auto"/>
        </w:rPr>
      </w:pPr>
    </w:p>
    <w:p>
      <w:pPr>
        <w:jc w:val="both"/>
        <w:ind w:right="680" w:firstLine="216"/>
        <w:spacing w:after="0" w:line="262" w:lineRule="auto"/>
        <w:rPr>
          <w:sz w:val="20"/>
          <w:szCs w:val="20"/>
          <w:color w:val="auto"/>
        </w:rPr>
      </w:pPr>
      <w:r>
        <w:rPr>
          <w:rFonts w:ascii="Arial" w:cs="Arial" w:eastAsia="Arial" w:hAnsi="Arial"/>
          <w:sz w:val="18"/>
          <w:szCs w:val="18"/>
          <w:color w:val="auto"/>
        </w:rPr>
        <w:t xml:space="preserve">The Holdings Guaranty </w:t>
      </w:r>
      <w:r>
        <w:rPr>
          <w:rFonts w:ascii="Arial" w:cs="Arial" w:eastAsia="Arial" w:hAnsi="Arial"/>
          <w:sz w:val="18"/>
          <w:szCs w:val="18"/>
          <w:b w:val="1"/>
          <w:bCs w:val="1"/>
          <w:color w:val="auto"/>
        </w:rPr>
        <w:t>s</w:t>
      </w:r>
      <w:r>
        <w:rPr>
          <w:rFonts w:ascii="Arial" w:cs="Arial" w:eastAsia="Arial" w:hAnsi="Arial"/>
          <w:sz w:val="18"/>
          <w:szCs w:val="18"/>
          <w:color w:val="auto"/>
        </w:rPr>
        <w:t>hall continue to be effective or be reinstated, as the case may be, if at any time any payment of any Guaranteed Obligation is rescinded or must otherwise be returned by the Lenders, the Issuer or the Administrative Agent upon the insolvency, bankruptcy or reorganization of the Company or otherwise, all as though such payment had not been made.</w:t>
      </w:r>
    </w:p>
    <w:p>
      <w:pPr>
        <w:spacing w:after="0" w:line="186" w:lineRule="exact"/>
        <w:rPr>
          <w:sz w:val="20"/>
          <w:szCs w:val="20"/>
          <w:color w:val="auto"/>
        </w:rPr>
      </w:pPr>
    </w:p>
    <w:p>
      <w:pPr>
        <w:ind w:right="40" w:firstLine="220"/>
        <w:spacing w:after="0" w:line="289" w:lineRule="auto"/>
        <w:rPr>
          <w:sz w:val="20"/>
          <w:szCs w:val="20"/>
          <w:color w:val="auto"/>
        </w:rPr>
      </w:pPr>
      <w:r>
        <w:rPr>
          <w:rFonts w:ascii="Arial" w:cs="Arial" w:eastAsia="Arial" w:hAnsi="Arial"/>
          <w:sz w:val="16"/>
          <w:szCs w:val="16"/>
          <w:b w:val="1"/>
          <w:bCs w:val="1"/>
          <w:color w:val="auto"/>
        </w:rPr>
        <w:t xml:space="preserve">11.03 Effectiveness; Enforcement. </w:t>
      </w:r>
      <w:r>
        <w:rPr>
          <w:rFonts w:ascii="Arial" w:cs="Arial" w:eastAsia="Arial" w:hAnsi="Arial"/>
          <w:sz w:val="16"/>
          <w:szCs w:val="16"/>
          <w:color w:val="auto"/>
        </w:rPr>
        <w:t>The Holdings Guaranty shall be effective and shall be deemed to be made with respect to each Credit Extension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it is made, issued or extended. No invalidity, irregularity or unenforceability by reason of any bankruptcy or similar law, or any law or order of any government or agency thereof purporting to reduce, amend or otherwise affect any liability of the Company, and no defect in or insufficiency or want of powers of the Company or irregular or improperly recorded exercise thereof, shall impair, affect, be a defense to or claim against such guaranty. The Holding Guaranty is a continuing guaranty and shall (a) survive any termination of this Agreement, and (b) remain in full force and effect until payment in full of, and performance of, all Guaranteed Obligations and all other amounts payable under this Agreement. The Holdings Guaranty is made for the benefit of the Administrative Agent, the Issuer and the Lenders and their successors and assigns, and may be enforced from time to time as often as occasion therefor may arise and without requirement on the part of the Administrative Agent, the Issuer or the Lenders first to exercise any rights against the Company, or to resort to any other source or means of obtaining payment of any of the said obligations or to elect any other remedy.</w:t>
      </w:r>
    </w:p>
    <w:p>
      <w:pPr>
        <w:spacing w:after="0" w:line="167" w:lineRule="exact"/>
        <w:rPr>
          <w:sz w:val="20"/>
          <w:szCs w:val="20"/>
          <w:color w:val="auto"/>
        </w:rPr>
      </w:pPr>
    </w:p>
    <w:p>
      <w:pPr>
        <w:ind w:right="240" w:firstLine="220"/>
        <w:spacing w:after="0" w:line="258" w:lineRule="auto"/>
        <w:rPr>
          <w:sz w:val="20"/>
          <w:szCs w:val="20"/>
          <w:color w:val="auto"/>
        </w:rPr>
      </w:pPr>
      <w:r>
        <w:rPr>
          <w:rFonts w:ascii="Arial" w:cs="Arial" w:eastAsia="Arial" w:hAnsi="Arial"/>
          <w:sz w:val="18"/>
          <w:szCs w:val="18"/>
          <w:b w:val="1"/>
          <w:bCs w:val="1"/>
          <w:color w:val="auto"/>
        </w:rPr>
        <w:t xml:space="preserve">11.04 Waiver. </w:t>
      </w:r>
      <w:r>
        <w:rPr>
          <w:rFonts w:ascii="Arial" w:cs="Arial" w:eastAsia="Arial" w:hAnsi="Arial"/>
          <w:sz w:val="18"/>
          <w:szCs w:val="18"/>
          <w:color w:val="auto"/>
        </w:rPr>
        <w:t>Except as otherwise specifically provided in any of the Credit Documents, Holdings hereby waives promptness, diligence, protest,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all suretyship defenses, notice of acceptance and any other notice with respect to any of its Guaranteed Obligations and the Holdings Guaranty and any requirement that the Lenders, the Issuer or the Administrative Agent protect, secure, perfect any security interest or Lien or any property subject thereto or exhaust any right or take any action against the Company or any other</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4" w:name="page265"/>
    <w:bookmarkEnd w:id="264"/>
    <w:p>
      <w:pPr>
        <w:ind w:right="100"/>
        <w:spacing w:after="0" w:line="332" w:lineRule="auto"/>
        <w:rPr>
          <w:sz w:val="20"/>
          <w:szCs w:val="20"/>
          <w:color w:val="auto"/>
        </w:rPr>
      </w:pPr>
      <w:r>
        <w:rPr>
          <w:rFonts w:ascii="Arial" w:cs="Arial" w:eastAsia="Arial" w:hAnsi="Arial"/>
          <w:sz w:val="16"/>
          <w:szCs w:val="16"/>
          <w:color w:val="auto"/>
        </w:rPr>
        <w:t>Person. Holdings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33" w:lineRule="exact"/>
        <w:rPr>
          <w:sz w:val="20"/>
          <w:szCs w:val="20"/>
          <w:color w:val="auto"/>
        </w:rPr>
      </w:pPr>
    </w:p>
    <w:p>
      <w:pPr>
        <w:ind w:right="40" w:firstLine="220"/>
        <w:spacing w:after="0" w:line="287" w:lineRule="auto"/>
        <w:rPr>
          <w:sz w:val="20"/>
          <w:szCs w:val="20"/>
          <w:color w:val="auto"/>
        </w:rPr>
      </w:pPr>
      <w:r>
        <w:rPr>
          <w:rFonts w:ascii="Arial" w:cs="Arial" w:eastAsia="Arial" w:hAnsi="Arial"/>
          <w:sz w:val="16"/>
          <w:szCs w:val="16"/>
          <w:b w:val="1"/>
          <w:bCs w:val="1"/>
          <w:color w:val="auto"/>
        </w:rPr>
        <w:t xml:space="preserve">11.05 Expenses. </w:t>
      </w:r>
      <w:r>
        <w:rPr>
          <w:rFonts w:ascii="Arial" w:cs="Arial" w:eastAsia="Arial" w:hAnsi="Arial"/>
          <w:sz w:val="16"/>
          <w:szCs w:val="16"/>
          <w:color w:val="auto"/>
        </w:rPr>
        <w:t>Holdings hereby promises to reimburse (a) the Administrative Agent, the Issuer and the Lenders for all reasonable out-of-pocket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disbursements (including all reasonable Attorneys Costs), incurred or expended in connection with the preparation, filing or recording, or interpretation of the Holdings Guaranty, the other Credit Documents to which Holdings is a party, or any amendment, modification, approval, consent or waiver hereof or thereof, and</w:t>
      </w:r>
    </w:p>
    <w:p>
      <w:pPr>
        <w:spacing w:after="0" w:line="1" w:lineRule="exact"/>
        <w:rPr>
          <w:sz w:val="20"/>
          <w:szCs w:val="20"/>
          <w:color w:val="auto"/>
        </w:rPr>
      </w:pPr>
    </w:p>
    <w:p>
      <w:pPr>
        <w:ind w:right="160" w:firstLine="8"/>
        <w:spacing w:after="0" w:line="253" w:lineRule="auto"/>
        <w:tabs>
          <w:tab w:leader="none" w:pos="24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Administrative Agent, the Issuer and the Lenders and their respective affiliates for all reasonable out-of-pocket fees and disbursements (including reasonable Attorney Costs), incurred or expended in connection with the enforcement of its Guaranteed Obligations (whether or not legal proceedings are instituted). Holdings will pay any taxes (including any interest and penalties in respect thereof) other than the Lenders’ taxes based on overall income or profits, payable on or with respect to the transactions contemplated by the Holdings Guaranty, Holdings hereby agreeing jointly and severally to indemnify each Lender with respect thereto.</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11.06 Concerning Joint and Several Liability of Holdings.</w:t>
      </w:r>
    </w:p>
    <w:p>
      <w:pPr>
        <w:spacing w:after="0" w:line="231" w:lineRule="exact"/>
        <w:rPr>
          <w:sz w:val="20"/>
          <w:szCs w:val="20"/>
          <w:color w:val="auto"/>
        </w:rPr>
      </w:pPr>
    </w:p>
    <w:p>
      <w:pPr>
        <w:ind w:right="80" w:firstLine="228"/>
        <w:spacing w:after="0" w:line="256" w:lineRule="auto"/>
        <w:tabs>
          <w:tab w:leader="none" w:pos="50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Holdings hereby irrevocably and unconditionally accepts, not merely as a surety but also as a co-debtor, joint and several liability with the Company, with respect to the payment and performance of all of its Guaranteed Obligations (including, without limitation, any Guaranteed Obligations arising under this Article XI), it being the intention of the parties hereto that all such Guaranteed Obligations shall be the joint and several Guaranteed Obligations of Holdings and the Company without preferences or distinction among them.</w:t>
      </w:r>
    </w:p>
    <w:p>
      <w:pPr>
        <w:spacing w:after="0" w:line="197" w:lineRule="exact"/>
        <w:rPr>
          <w:rFonts w:ascii="Arial" w:cs="Arial" w:eastAsia="Arial" w:hAnsi="Arial"/>
          <w:sz w:val="18"/>
          <w:szCs w:val="18"/>
          <w:color w:val="auto"/>
        </w:rPr>
      </w:pPr>
    </w:p>
    <w:p>
      <w:pPr>
        <w:ind w:right="60" w:firstLine="228"/>
        <w:spacing w:after="0" w:line="259" w:lineRule="auto"/>
        <w:tabs>
          <w:tab w:leader="none" w:pos="5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and to the extent that the Company shall fail to make any payment with respect to any of its Credit Obligations as and when due or to perform any of its Guaranteed Obligations in accordance with the terns thereof, then in each such event Holdings will make such payment with respect to, or perform, such Guaranteed Obligation.</w:t>
      </w:r>
    </w:p>
    <w:p>
      <w:pPr>
        <w:spacing w:after="0" w:line="194" w:lineRule="exact"/>
        <w:rPr>
          <w:rFonts w:ascii="Arial" w:cs="Arial" w:eastAsia="Arial" w:hAnsi="Arial"/>
          <w:sz w:val="18"/>
          <w:szCs w:val="18"/>
          <w:color w:val="auto"/>
        </w:rPr>
      </w:pPr>
    </w:p>
    <w:p>
      <w:pPr>
        <w:jc w:val="both"/>
        <w:ind w:right="560" w:firstLine="228"/>
        <w:spacing w:after="0" w:line="259" w:lineRule="auto"/>
        <w:tabs>
          <w:tab w:leader="none" w:pos="50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Guaranteed Obligations of Holdings under the provisions of this Article XI constitute full recourse obligations of Holdings enforceable against Holdings to the full extent of its properties and assets, irrespective of the validity, regularity or enforceability of this Agreement or any other circumstance whatsoever.</w:t>
      </w:r>
    </w:p>
    <w:p>
      <w:pPr>
        <w:spacing w:after="0" w:line="194" w:lineRule="exact"/>
        <w:rPr>
          <w:rFonts w:ascii="Arial" w:cs="Arial" w:eastAsia="Arial" w:hAnsi="Arial"/>
          <w:sz w:val="18"/>
          <w:szCs w:val="18"/>
          <w:color w:val="auto"/>
        </w:rPr>
      </w:pPr>
    </w:p>
    <w:p>
      <w:pPr>
        <w:ind w:right="120" w:firstLine="228"/>
        <w:spacing w:after="0" w:line="291" w:lineRule="auto"/>
        <w:tabs>
          <w:tab w:leader="none" w:pos="51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Holdings hereby waives notice of acceptance of its joint and several liability, notice of any Credit Extensions made or issued under this Agreement, notice of any action at any time taken or omitted by the Administrative Agent, the Issuer or the Lenders under or in respect of any of the Guaranteed Obligations, and, generally, to the extent permitted by applicable law, all demands, notices and other formalities of every kind in connection with this Agreement. Holdings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Issuer or the Lenders at any time or times in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t>respect of any Default or Event of Default by the Company or Holdings in the performance or satisfaction of any term, covenant, condition or provision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or any other Credit Document, any and all other indulgences whatsoever by the Administrative Agent, the Issuer or the Lenders in respect of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Guaranteed Obligations, and the taking, addition, substitution or release, in whole or in part, at any time or times, of any security for any of the Guaranteed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or the addition, substitution or release, in whole or in part, of the Company or Holdings. Without limiting the generality of the foregoing,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assents to any other action or delay in acting or failure to act on the part of the Lenders, the Issuer or the Administrative Agent with respect to the failure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or Holdings to comply with its respective Credit Obligations or Guaranteed Obligations, including, without limitation, any failure strictly or diligently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assert any right or to pursue any remedy or to comply fully with applicable laws or regulations thereunder, which might, but for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Article XI, afford grounds for terminating, discharging or relieving Holdings, in whole or in part, from any of the Guaranteed Obligations under this Article XI,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the intention of Holdings that, so long as any of the Guaranteed Obligations hereunder remain unsatisfied, the Guaranteed Obligations of Holdings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Article XI shall not be discharged except by performance and then only to the extent of such performance. The Guaranteed Obligations of Holdings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Article XI shall not be diminished or rendered unenforceable by any winding up, reorganization, arrangement, liquidation, reconstruction or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 with respect to the Company or Holdings or the Lenders, the Issuer or the Administrative Agent. The joint and several liability of Holdings 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continue in full force and effect notwithstanding any absorption, merger, consolidation, amalgamation or any other change whatsoever in the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membership, constitution or place of formation of the Company or Holdings, the Lenders, the Issuer or the Administrative Agent.</w:t>
      </w:r>
    </w:p>
    <w:p>
      <w:pPr>
        <w:spacing w:after="0" w:line="219" w:lineRule="exact"/>
        <w:rPr>
          <w:sz w:val="20"/>
          <w:szCs w:val="20"/>
          <w:color w:val="auto"/>
        </w:rPr>
      </w:pPr>
    </w:p>
    <w:p>
      <w:pPr>
        <w:ind w:right="20" w:firstLine="228"/>
        <w:spacing w:after="0" w:line="253" w:lineRule="auto"/>
        <w:tabs>
          <w:tab w:leader="none" w:pos="50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Holdings shall be liable under this Article XI only for the maximum amount of such liabilities that can be incurred under applicable law without rendering this Article XI voidable under applicable law relating to fraudulent conveyance and fraudulent transfer, and not for any greater amount. Accordingly, if any obligation under any provision under this Article XI shall be declared to be invalid or unenforceable in any respect or to any extent, it is the stated intention and agreement of Holdings, the Administrative Agent, the Issuer and the Lenders that any balance of the obligation created by such provision and all other obligations of Holdings under this Article XI to the Lenders, the Issuer or the Administrative Agent shall remain valid and enforceable, and that all sums not in excess of those permitted under applicable law shall remain fully collectible by the Lenders, the Issuer and the Administrative Agent from the Company or Holdings, as the case may be.</w:t>
      </w:r>
    </w:p>
    <w:p>
      <w:pPr>
        <w:spacing w:after="0" w:line="201" w:lineRule="exact"/>
        <w:rPr>
          <w:rFonts w:ascii="Arial" w:cs="Arial" w:eastAsia="Arial" w:hAnsi="Arial"/>
          <w:sz w:val="18"/>
          <w:szCs w:val="18"/>
          <w:color w:val="auto"/>
        </w:rPr>
      </w:pPr>
    </w:p>
    <w:p>
      <w:pPr>
        <w:ind w:right="60" w:firstLine="228"/>
        <w:spacing w:after="0" w:line="254" w:lineRule="auto"/>
        <w:tabs>
          <w:tab w:leader="none" w:pos="48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provisions of this Article XI are made for the benefit of the Administrative Agent, the Issuer and the Lenders and their successors and assigns, and may be enforced in good faith by them from time to time against Holdings as often as occasion therefor may arise and without requirement on the part of the Administrative Agent, the Issuer or the Lenders first to marshal any of their claims or to exercise any of their rights against the Company or Holdings or to exhaust any remedies available to them against the Company or Holdings or to resort to any other source or means of obtaining payment of any of the obligations hereunder or to elect any other remedy. The provisions of this Article XI shall remain in effect until all of the Guaranteed Obligations shall have been paid in full or otherwise fully satisfied, any remaining Credit-Linked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6" w:name="page267"/>
    <w:bookmarkEnd w:id="266"/>
    <w:p>
      <w:pPr>
        <w:ind w:right="340"/>
        <w:spacing w:after="0" w:line="255" w:lineRule="auto"/>
        <w:rPr>
          <w:sz w:val="20"/>
          <w:szCs w:val="20"/>
          <w:color w:val="auto"/>
        </w:rPr>
      </w:pPr>
      <w:r>
        <w:rPr>
          <w:rFonts w:ascii="Arial" w:cs="Arial" w:eastAsia="Arial" w:hAnsi="Arial"/>
          <w:sz w:val="18"/>
          <w:szCs w:val="18"/>
          <w:color w:val="auto"/>
        </w:rPr>
        <w:t>Deposits in the Credit-Linked Deposit Account are withdrawn and distributed to the Lenders in accordance with their respective Pro Rata Shares, and all outstanding Credit shall have expired, matured or otherwise been terminated. If at any time, any payment, or any part thereof, made in respect of any of the Guaranteed Obligations, is rescinded or must otherwise be restored or returned by the Lenders, the Issuer or the Administrative Agent upon the insolvency, bankruptcy or reorganization of the Company or Holdings, or otherwise, the provisions of this Article XI will forthwith be reinstated in effect, as though such payment had not been made.</w:t>
      </w:r>
    </w:p>
    <w:p>
      <w:pPr>
        <w:spacing w:after="0" w:line="191" w:lineRule="exact"/>
        <w:rPr>
          <w:sz w:val="20"/>
          <w:szCs w:val="20"/>
          <w:color w:val="auto"/>
        </w:rPr>
      </w:pPr>
    </w:p>
    <w:p>
      <w:pPr>
        <w:ind w:right="280" w:firstLine="220"/>
        <w:spacing w:after="0" w:line="293" w:lineRule="auto"/>
        <w:rPr>
          <w:sz w:val="20"/>
          <w:szCs w:val="20"/>
          <w:color w:val="auto"/>
        </w:rPr>
      </w:pPr>
      <w:r>
        <w:rPr>
          <w:rFonts w:ascii="Arial" w:cs="Arial" w:eastAsia="Arial" w:hAnsi="Arial"/>
          <w:sz w:val="16"/>
          <w:szCs w:val="16"/>
          <w:b w:val="1"/>
          <w:bCs w:val="1"/>
          <w:color w:val="auto"/>
        </w:rPr>
        <w:t xml:space="preserve">11.07 Waiver. </w:t>
      </w:r>
      <w:r>
        <w:rPr>
          <w:rFonts w:ascii="Arial" w:cs="Arial" w:eastAsia="Arial" w:hAnsi="Arial"/>
          <w:sz w:val="16"/>
          <w:szCs w:val="16"/>
          <w:color w:val="auto"/>
        </w:rPr>
        <w:t>Until the final payment and performance in full of all of the Credit Obligations, Holdings shall not exercise and Holdings hereby waives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rights Holdings may have against the Company arising as a result of payment by Holdings hereunder, by way of subrogation, reimbursement, restitution, contribution or otherwise, and will not prove any claim in competition with the Administrative Agent, the Issuer or any Lender in respect of any payment hereunder in any bankruptcy, insolvency or reorganization case or proceedings of any nature; Holdings will not claim any setoff, recoupment or counterclaim against the Company in respect of any liability of the Company to Holdings; and Holdings waives any benefit of and any right to participate in any collateral security which may be held by the Administrative Agent, the Issuer or any Lender.</w:t>
      </w:r>
    </w:p>
    <w:p>
      <w:pPr>
        <w:spacing w:after="0" w:line="165"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b w:val="1"/>
          <w:bCs w:val="1"/>
          <w:color w:val="auto"/>
        </w:rPr>
        <w:t xml:space="preserve">11.08 Subrogation; Subordination. </w:t>
      </w:r>
      <w:r>
        <w:rPr>
          <w:rFonts w:ascii="Arial" w:cs="Arial" w:eastAsia="Arial" w:hAnsi="Arial"/>
          <w:sz w:val="16"/>
          <w:szCs w:val="16"/>
          <w:color w:val="auto"/>
        </w:rPr>
        <w:t>The payment of any amounts due with respect to any indebtedness of the Company for money borrowed or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now or hereafter owed to Holdings is hereby subordinated to the prior payment in full of all of the Credit Obligations. Holdings agrees that, after the occurrence of any default in the payment or performance of any of the Credit Obligations, Holdings will not demand, sue for or otherwise attempt to collect any such indebtedness of the Company to Holdings until all of the Credit Obligations shall have been paid in full. If, notwithstanding the foregoing sentence, Holdings shall collect, enforce or receive any amounts in respect of such indebtedness while any Credit Obligations are still outstanding, such amounts shall be collected, enforced and received by Holdings as trustee for the Lenders, the Issuer and the Administrative Agent and be paid over to the Administrative Agent at Default, for the benefit of the Lenders, the Issuer, and the Administrative Agent on account of the Credit Obligations without affecting in any manner the liability of Holdings under the other provisions hereof.</w:t>
      </w:r>
    </w:p>
    <w:p>
      <w:pPr>
        <w:spacing w:after="0" w:line="166"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b w:val="1"/>
          <w:bCs w:val="1"/>
          <w:color w:val="auto"/>
        </w:rPr>
        <w:t>11.09 Release of Guaranty</w:t>
      </w:r>
      <w:r>
        <w:rPr>
          <w:rFonts w:ascii="Arial" w:cs="Arial" w:eastAsia="Arial" w:hAnsi="Arial"/>
          <w:sz w:val="18"/>
          <w:szCs w:val="18"/>
          <w:color w:val="auto"/>
        </w:rPr>
        <w:t>. The Administrative Agent, the Issuer and the Lenders hereby agree that the foregoing Holdings Guaranty shall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until the occurrence of either (a) the consolidation or merger of Holdings into the Company or its successors, (b) the consolidation or merger of the Company or its successors into Holdings, or (c) the release of Holdings from all other guarantees of the Company’s obligations under the Company’s existing credit facilities or other senior indebtedness, at which time the foregoing Holdings Guaranty shall be concurrently released without any further action on the part of the Lenders, the Administrative Agent or the Issuer.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AGREEMENT</w:t>
      </w:r>
    </w:p>
    <w:p>
      <w:pPr>
        <w:spacing w:after="0" w:line="213" w:lineRule="exact"/>
        <w:rPr>
          <w:sz w:val="20"/>
          <w:szCs w:val="20"/>
          <w:color w:val="auto"/>
        </w:rPr>
      </w:pPr>
    </w:p>
    <w:p>
      <w:pPr>
        <w:ind w:right="360" w:firstLine="220"/>
        <w:spacing w:after="0" w:line="275" w:lineRule="auto"/>
        <w:rPr>
          <w:sz w:val="20"/>
          <w:szCs w:val="20"/>
          <w:color w:val="auto"/>
        </w:rPr>
      </w:pPr>
      <w:r>
        <w:rPr>
          <w:rFonts w:ascii="Arial" w:cs="Arial" w:eastAsia="Arial" w:hAnsi="Arial"/>
          <w:sz w:val="18"/>
          <w:szCs w:val="18"/>
          <w:b w:val="1"/>
          <w:bCs w:val="1"/>
          <w:color w:val="auto"/>
        </w:rPr>
        <w:t xml:space="preserve">12.01 Entire Agreement. </w:t>
      </w:r>
      <w:r>
        <w:rPr>
          <w:rFonts w:ascii="Arial" w:cs="Arial" w:eastAsia="Arial" w:hAnsi="Arial"/>
          <w:sz w:val="18"/>
          <w:szCs w:val="18"/>
          <w:color w:val="auto"/>
        </w:rPr>
        <w:t>THIS AGREEMENT AND THE OTHER CREDIT DOCUMENTS REPRESENT THE FINAL AGREEMENT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color w:val="auto"/>
        </w:rPr>
        <w:t>MAY NOT BE CONTRADICTED BY EVIDENCE OF PRIOR, CONTEMPORANEOUS, OR SUBSEQUENT ORAL AGREEMENTS OF THE PARTIES.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UNWRITTEN ORAL AGREEMENTS AMONG THE PARTIES.</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942" w:right="559" w:bottom="1440" w:gutter="0" w:footer="0" w:header="0"/>
        </w:sectPr>
      </w:pPr>
    </w:p>
    <w:bookmarkStart w:id="268" w:name="page269"/>
    <w:bookmarkEnd w:id="268"/>
    <w:p>
      <w:pPr>
        <w:ind w:right="420" w:firstLine="220"/>
        <w:spacing w:after="0" w:line="268" w:lineRule="auto"/>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Five Year Letter of Credit and Term Loan Agreement to be duly executed as of the date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2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70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80010</wp:posOffset>
            </wp:positionV>
            <wp:extent cx="12522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Vice President &amp; treasurer</w:t>
      </w:r>
    </w:p>
    <w:p>
      <w:pPr>
        <w:spacing w:after="0" w:line="240"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WASTE MANAGEMENT HOLDINGS, INC.</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(for the limited purposes of Article XI)</w:t>
      </w:r>
    </w:p>
    <w:p>
      <w:pPr>
        <w:spacing w:after="0" w:line="219" w:lineRule="exact"/>
        <w:rPr>
          <w:sz w:val="20"/>
          <w:szCs w:val="20"/>
          <w:color w:val="auto"/>
        </w:rPr>
      </w:pPr>
    </w:p>
    <w:p>
      <w:pPr>
        <w:ind w:left="670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80010</wp:posOffset>
            </wp:positionV>
            <wp:extent cx="12522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Vice President &amp; Treasurer</w:t>
      </w:r>
    </w:p>
    <w:p>
      <w:pPr>
        <w:spacing w:after="0" w:line="246" w:lineRule="exact"/>
        <w:rPr>
          <w:sz w:val="20"/>
          <w:szCs w:val="20"/>
          <w:color w:val="auto"/>
        </w:rPr>
      </w:pPr>
    </w:p>
    <w:p>
      <w:pPr>
        <w:ind w:left="670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Jay Clement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71120</wp:posOffset>
            </wp:positionV>
            <wp:extent cx="12522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Jay Clement</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Assistant Treasurer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69" w:name="page270"/>
    <w:bookmarkEnd w:id="269"/>
    <w:p>
      <w:pPr>
        <w:ind w:left="550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Administrative Agent and Issuer</w:t>
      </w:r>
    </w:p>
    <w:p>
      <w:pPr>
        <w:spacing w:after="0" w:line="219"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80010</wp:posOffset>
            </wp:positionV>
            <wp:extent cx="1663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Brian D. Corum</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9" w:right="239" w:bottom="1440" w:gutter="0" w:footer="0" w:header="0"/>
        </w:sectPr>
      </w:pPr>
    </w:p>
    <w:bookmarkStart w:id="270" w:name="page271"/>
    <w:bookmarkEnd w:id="270"/>
    <w:p>
      <w:pPr>
        <w:ind w:left="550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TIAA GLOBAL MARKETS, INC.</w:t>
      </w:r>
    </w:p>
    <w:p>
      <w:pPr>
        <w:spacing w:after="0" w:line="231"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Helen Armbrust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80010</wp:posOffset>
            </wp:positionV>
            <wp:extent cx="1663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Helen Armbrust</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Five Year Letter of Credit and Term Loan Agreement</w:t>
      </w:r>
    </w:p>
    <w:p>
      <w:pPr>
        <w:sectPr>
          <w:pgSz w:w="11900" w:h="16838" w:orient="portrait"/>
          <w:cols w:equalWidth="0" w:num="1">
            <w:col w:w="10220"/>
          </w:cols>
          <w:pgMar w:left="1440" w:top="1179"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50430"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$175,000,000</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SEVEN YEAR LETTER OF CREDIT AND TERM LOAN AGREEMENT</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30, 2003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Letter of Credit Issuer</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1223010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290195</wp:posOffset>
            </wp:positionV>
            <wp:extent cx="2332355" cy="523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32355" cy="523240"/>
                    </a:xfrm>
                    <a:prstGeom prst="rect">
                      <a:avLst/>
                    </a:prstGeom>
                    <a:noFill/>
                  </pic:spPr>
                </pic:pic>
              </a:graphicData>
            </a:graphic>
          </wp:anchor>
        </w:drawing>
      </w:r>
    </w:p>
    <w:p>
      <w:pPr>
        <w:sectPr>
          <w:pgSz w:w="11900" w:h="16838" w:orient="portrait"/>
          <w:cols w:equalWidth="0" w:num="1">
            <w:col w:w="10220"/>
          </w:cols>
          <w:pgMar w:left="1440" w:top="941"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3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ARTICLE I</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DEFINITIONS AND ACCOUNTING TERMS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1.01</w:t>
            </w:r>
          </w:p>
        </w:tc>
        <w:tc>
          <w:tcPr>
            <w:tcW w:w="7760" w:type="dxa"/>
            <w:vAlign w:val="bottom"/>
          </w:tcPr>
          <w:p>
            <w:pPr>
              <w:ind w:left="260"/>
              <w:spacing w:after="0"/>
              <w:rPr>
                <w:sz w:val="20"/>
                <w:szCs w:val="20"/>
                <w:color w:val="auto"/>
              </w:rPr>
            </w:pPr>
            <w:r>
              <w:rPr>
                <w:rFonts w:ascii="Arial" w:cs="Arial" w:eastAsia="Arial" w:hAnsi="Arial"/>
                <w:sz w:val="18"/>
                <w:szCs w:val="18"/>
                <w:color w:val="auto"/>
              </w:rPr>
              <w:t>Defined Terms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1.02</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Interpretive Provisions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1.03</w:t>
            </w:r>
          </w:p>
        </w:tc>
        <w:tc>
          <w:tcPr>
            <w:tcW w:w="7760" w:type="dxa"/>
            <w:vAlign w:val="bottom"/>
          </w:tcPr>
          <w:p>
            <w:pPr>
              <w:ind w:left="260"/>
              <w:spacing w:after="0"/>
              <w:rPr>
                <w:sz w:val="20"/>
                <w:szCs w:val="20"/>
                <w:color w:val="auto"/>
              </w:rPr>
            </w:pPr>
            <w:r>
              <w:rPr>
                <w:rFonts w:ascii="Arial" w:cs="Arial" w:eastAsia="Arial" w:hAnsi="Arial"/>
                <w:sz w:val="18"/>
                <w:szCs w:val="18"/>
                <w:color w:val="auto"/>
              </w:rPr>
              <w:t>Accounting Terms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1.04</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Rounding</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1.05</w:t>
            </w:r>
          </w:p>
        </w:tc>
        <w:tc>
          <w:tcPr>
            <w:tcW w:w="7760" w:type="dxa"/>
            <w:vAlign w:val="bottom"/>
          </w:tcPr>
          <w:p>
            <w:pPr>
              <w:ind w:left="260"/>
              <w:spacing w:after="0"/>
              <w:rPr>
                <w:sz w:val="20"/>
                <w:szCs w:val="20"/>
                <w:color w:val="auto"/>
              </w:rPr>
            </w:pPr>
            <w:r>
              <w:rPr>
                <w:rFonts w:ascii="Arial" w:cs="Arial" w:eastAsia="Arial" w:hAnsi="Arial"/>
                <w:sz w:val="18"/>
                <w:szCs w:val="18"/>
                <w:color w:val="auto"/>
              </w:rPr>
              <w:t>References to Agreements and Laws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1.06</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Credit Amounts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6"/>
              </w:rPr>
              <w:t>ARTICLE II</w:t>
            </w:r>
          </w:p>
        </w:tc>
        <w:tc>
          <w:tcPr>
            <w:tcW w:w="7760" w:type="dxa"/>
            <w:vAlign w:val="bottom"/>
          </w:tcPr>
          <w:p>
            <w:pPr>
              <w:ind w:left="260"/>
              <w:spacing w:after="0"/>
              <w:rPr>
                <w:sz w:val="20"/>
                <w:szCs w:val="20"/>
                <w:color w:val="auto"/>
              </w:rPr>
            </w:pPr>
            <w:r>
              <w:rPr>
                <w:rFonts w:ascii="Arial" w:cs="Arial" w:eastAsia="Arial" w:hAnsi="Arial"/>
                <w:sz w:val="18"/>
                <w:szCs w:val="18"/>
                <w:color w:val="auto"/>
              </w:rPr>
              <w:t>THE CREDIT-LINKED DEPOSITS AND CREDIT EXTENSIONS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2.01</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Credits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2.02</w:t>
            </w:r>
          </w:p>
        </w:tc>
        <w:tc>
          <w:tcPr>
            <w:tcW w:w="7760" w:type="dxa"/>
            <w:vAlign w:val="bottom"/>
          </w:tcPr>
          <w:p>
            <w:pPr>
              <w:ind w:left="260"/>
              <w:spacing w:after="0"/>
              <w:rPr>
                <w:sz w:val="20"/>
                <w:szCs w:val="20"/>
                <w:color w:val="auto"/>
              </w:rPr>
            </w:pPr>
            <w:r>
              <w:rPr>
                <w:rFonts w:ascii="Arial" w:cs="Arial" w:eastAsia="Arial" w:hAnsi="Arial"/>
                <w:sz w:val="18"/>
                <w:szCs w:val="18"/>
                <w:color w:val="auto"/>
              </w:rPr>
              <w:t>Cash Collateral</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2.03</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Reduction of Total Credit-Linked Deposits; Conversion to Funded Term Loans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2.04</w:t>
            </w:r>
          </w:p>
        </w:tc>
        <w:tc>
          <w:tcPr>
            <w:tcW w:w="7760" w:type="dxa"/>
            <w:vAlign w:val="bottom"/>
          </w:tcPr>
          <w:p>
            <w:pPr>
              <w:ind w:left="260"/>
              <w:spacing w:after="0"/>
              <w:rPr>
                <w:sz w:val="20"/>
                <w:szCs w:val="20"/>
                <w:color w:val="auto"/>
              </w:rPr>
            </w:pPr>
            <w:r>
              <w:rPr>
                <w:rFonts w:ascii="Arial" w:cs="Arial" w:eastAsia="Arial" w:hAnsi="Arial"/>
                <w:sz w:val="18"/>
                <w:szCs w:val="18"/>
                <w:color w:val="auto"/>
              </w:rPr>
              <w:t>Interest on Borrowings Other Than Term Loans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2.05</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Fees and Other Charges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2.06</w:t>
            </w:r>
          </w:p>
        </w:tc>
        <w:tc>
          <w:tcPr>
            <w:tcW w:w="7760" w:type="dxa"/>
            <w:vAlign w:val="bottom"/>
          </w:tcPr>
          <w:p>
            <w:pPr>
              <w:ind w:left="260"/>
              <w:spacing w:after="0"/>
              <w:rPr>
                <w:sz w:val="20"/>
                <w:szCs w:val="20"/>
                <w:color w:val="auto"/>
              </w:rPr>
            </w:pPr>
            <w:r>
              <w:rPr>
                <w:rFonts w:ascii="Arial" w:cs="Arial" w:eastAsia="Arial" w:hAnsi="Arial"/>
                <w:sz w:val="18"/>
                <w:szCs w:val="18"/>
                <w:color w:val="auto"/>
              </w:rPr>
              <w:t>Computation of Interest and Fees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2.07</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Evidence of Debt</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2.08</w:t>
            </w:r>
          </w:p>
        </w:tc>
        <w:tc>
          <w:tcPr>
            <w:tcW w:w="7760" w:type="dxa"/>
            <w:vAlign w:val="bottom"/>
          </w:tcPr>
          <w:p>
            <w:pPr>
              <w:ind w:left="260"/>
              <w:spacing w:after="0"/>
              <w:rPr>
                <w:sz w:val="20"/>
                <w:szCs w:val="20"/>
                <w:color w:val="auto"/>
              </w:rPr>
            </w:pPr>
            <w:r>
              <w:rPr>
                <w:rFonts w:ascii="Arial" w:cs="Arial" w:eastAsia="Arial" w:hAnsi="Arial"/>
                <w:sz w:val="18"/>
                <w:szCs w:val="18"/>
                <w:color w:val="auto"/>
              </w:rPr>
              <w:t>Payments Generally</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2.09</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Sharing of Payments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7760" w:type="dxa"/>
            <w:vAlign w:val="bottom"/>
          </w:tcPr>
          <w:p>
            <w:pPr>
              <w:ind w:left="260"/>
              <w:spacing w:after="0"/>
              <w:rPr>
                <w:sz w:val="20"/>
                <w:szCs w:val="20"/>
                <w:color w:val="auto"/>
              </w:rPr>
            </w:pPr>
            <w:r>
              <w:rPr>
                <w:rFonts w:ascii="Arial" w:cs="Arial" w:eastAsia="Arial" w:hAnsi="Arial"/>
                <w:sz w:val="18"/>
                <w:szCs w:val="18"/>
                <w:color w:val="auto"/>
              </w:rPr>
              <w:t>TAXES AND YIELD PROTECTION</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3.01</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3.02</w:t>
            </w:r>
          </w:p>
        </w:tc>
        <w:tc>
          <w:tcPr>
            <w:tcW w:w="7760" w:type="dxa"/>
            <w:vAlign w:val="bottom"/>
          </w:tcPr>
          <w:p>
            <w:pPr>
              <w:ind w:left="260"/>
              <w:spacing w:after="0"/>
              <w:rPr>
                <w:sz w:val="20"/>
                <w:szCs w:val="20"/>
                <w:color w:val="auto"/>
              </w:rPr>
            </w:pPr>
            <w:r>
              <w:rPr>
                <w:rFonts w:ascii="Arial" w:cs="Arial" w:eastAsia="Arial" w:hAnsi="Arial"/>
                <w:sz w:val="18"/>
                <w:szCs w:val="18"/>
                <w:color w:val="auto"/>
              </w:rPr>
              <w:t>Increased Cost and Reduced Return; Capital Adequacy or Risk-Based Capital</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3.03</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Illegality</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3.04</w:t>
            </w:r>
          </w:p>
        </w:tc>
        <w:tc>
          <w:tcPr>
            <w:tcW w:w="7760" w:type="dxa"/>
            <w:vAlign w:val="bottom"/>
          </w:tcPr>
          <w:p>
            <w:pPr>
              <w:ind w:left="260"/>
              <w:spacing w:after="0"/>
              <w:rPr>
                <w:sz w:val="20"/>
                <w:szCs w:val="20"/>
                <w:color w:val="auto"/>
              </w:rPr>
            </w:pPr>
            <w:r>
              <w:rPr>
                <w:rFonts w:ascii="Arial" w:cs="Arial" w:eastAsia="Arial" w:hAnsi="Arial"/>
                <w:sz w:val="18"/>
                <w:szCs w:val="18"/>
                <w:color w:val="auto"/>
              </w:rPr>
              <w:t>Funding Losses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3.05</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Matters Applicable to All Requests for Compensation</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3.06</w:t>
            </w:r>
          </w:p>
        </w:tc>
        <w:tc>
          <w:tcPr>
            <w:tcW w:w="7760" w:type="dxa"/>
            <w:vAlign w:val="bottom"/>
          </w:tcPr>
          <w:p>
            <w:pPr>
              <w:ind w:left="260"/>
              <w:spacing w:after="0"/>
              <w:rPr>
                <w:sz w:val="20"/>
                <w:szCs w:val="20"/>
                <w:color w:val="auto"/>
              </w:rPr>
            </w:pPr>
            <w:r>
              <w:rPr>
                <w:rFonts w:ascii="Arial" w:cs="Arial" w:eastAsia="Arial" w:hAnsi="Arial"/>
                <w:sz w:val="18"/>
                <w:szCs w:val="18"/>
                <w:color w:val="auto"/>
              </w:rPr>
              <w:t>Survival</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3.07</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Replacement of Lenders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7"/>
              </w:rPr>
              <w:t>ARTICLE IV</w:t>
            </w:r>
          </w:p>
        </w:tc>
        <w:tc>
          <w:tcPr>
            <w:tcW w:w="7760" w:type="dxa"/>
            <w:vAlign w:val="bottom"/>
          </w:tcPr>
          <w:p>
            <w:pPr>
              <w:ind w:left="260"/>
              <w:spacing w:after="0"/>
              <w:rPr>
                <w:sz w:val="20"/>
                <w:szCs w:val="20"/>
                <w:color w:val="auto"/>
              </w:rPr>
            </w:pPr>
            <w:r>
              <w:rPr>
                <w:rFonts w:ascii="Arial" w:cs="Arial" w:eastAsia="Arial" w:hAnsi="Arial"/>
                <w:sz w:val="18"/>
                <w:szCs w:val="18"/>
                <w:color w:val="auto"/>
              </w:rPr>
              <w:t>CONDITIONS PRECEDENT TO CREDIT EXTENSIONS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4.01</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Conditions of Credit-Linked Deposits and Initial Credit Extension</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38</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4.02</w:t>
            </w:r>
          </w:p>
        </w:tc>
        <w:tc>
          <w:tcPr>
            <w:tcW w:w="7760" w:type="dxa"/>
            <w:vAlign w:val="bottom"/>
          </w:tcPr>
          <w:p>
            <w:pPr>
              <w:ind w:left="260"/>
              <w:spacing w:after="0"/>
              <w:rPr>
                <w:sz w:val="20"/>
                <w:szCs w:val="20"/>
                <w:color w:val="auto"/>
              </w:rPr>
            </w:pPr>
            <w:r>
              <w:rPr>
                <w:rFonts w:ascii="Arial" w:cs="Arial" w:eastAsia="Arial" w:hAnsi="Arial"/>
                <w:sz w:val="18"/>
                <w:szCs w:val="18"/>
                <w:color w:val="auto"/>
              </w:rPr>
              <w:t>Conditions to all Credit Extensions by the Issuer</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4.03</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Conditions to Term Loans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6"/>
              </w:rPr>
              <w:t>ARTICLE V</w:t>
            </w:r>
          </w:p>
        </w:tc>
        <w:tc>
          <w:tcPr>
            <w:tcW w:w="776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5.01</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Organization; Power and Authority</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5.02</w:t>
            </w:r>
          </w:p>
        </w:tc>
        <w:tc>
          <w:tcPr>
            <w:tcW w:w="7760" w:type="dxa"/>
            <w:vAlign w:val="bottom"/>
          </w:tcPr>
          <w:p>
            <w:pPr>
              <w:ind w:left="260"/>
              <w:spacing w:after="0"/>
              <w:rPr>
                <w:sz w:val="20"/>
                <w:szCs w:val="20"/>
                <w:color w:val="auto"/>
              </w:rPr>
            </w:pPr>
            <w:r>
              <w:rPr>
                <w:rFonts w:ascii="Arial" w:cs="Arial" w:eastAsia="Arial" w:hAnsi="Arial"/>
                <w:sz w:val="18"/>
                <w:szCs w:val="18"/>
                <w:color w:val="auto"/>
              </w:rPr>
              <w:t>Authorization, etc.</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5.03</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Disclosure</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5.04</w:t>
            </w:r>
          </w:p>
        </w:tc>
        <w:tc>
          <w:tcPr>
            <w:tcW w:w="7760" w:type="dxa"/>
            <w:vAlign w:val="bottom"/>
          </w:tcPr>
          <w:p>
            <w:pPr>
              <w:ind w:left="260"/>
              <w:spacing w:after="0"/>
              <w:rPr>
                <w:sz w:val="20"/>
                <w:szCs w:val="20"/>
                <w:color w:val="auto"/>
              </w:rPr>
            </w:pPr>
            <w:r>
              <w:rPr>
                <w:rFonts w:ascii="Arial" w:cs="Arial" w:eastAsia="Arial" w:hAnsi="Arial"/>
                <w:sz w:val="18"/>
                <w:szCs w:val="18"/>
                <w:color w:val="auto"/>
              </w:rPr>
              <w:t>Organization and Ownership of Shares of Subsidiaries; Affiliates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5.05</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Financial Statements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5.06</w:t>
            </w:r>
          </w:p>
        </w:tc>
        <w:tc>
          <w:tcPr>
            <w:tcW w:w="7760" w:type="dxa"/>
            <w:vAlign w:val="bottom"/>
          </w:tcPr>
          <w:p>
            <w:pPr>
              <w:ind w:left="260"/>
              <w:spacing w:after="0"/>
              <w:rPr>
                <w:sz w:val="20"/>
                <w:szCs w:val="20"/>
                <w:color w:val="auto"/>
              </w:rPr>
            </w:pPr>
            <w:r>
              <w:rPr>
                <w:rFonts w:ascii="Arial" w:cs="Arial" w:eastAsia="Arial" w:hAnsi="Arial"/>
                <w:sz w:val="18"/>
                <w:szCs w:val="18"/>
                <w:color w:val="auto"/>
              </w:rPr>
              <w:t>Compliance with Laws, Other Instruments, etc.</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5.07</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Governmental Authorizations, etc.</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5.08</w:t>
            </w:r>
          </w:p>
        </w:tc>
        <w:tc>
          <w:tcPr>
            <w:tcW w:w="7760" w:type="dxa"/>
            <w:vAlign w:val="bottom"/>
          </w:tcPr>
          <w:p>
            <w:pPr>
              <w:ind w:left="260"/>
              <w:spacing w:after="0"/>
              <w:rPr>
                <w:sz w:val="20"/>
                <w:szCs w:val="20"/>
                <w:color w:val="auto"/>
              </w:rPr>
            </w:pPr>
            <w:r>
              <w:rPr>
                <w:rFonts w:ascii="Arial" w:cs="Arial" w:eastAsia="Arial" w:hAnsi="Arial"/>
                <w:sz w:val="18"/>
                <w:szCs w:val="18"/>
                <w:color w:val="auto"/>
              </w:rPr>
              <w:t>Litigation; Observance of Agreements, Statutes and Orders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5.09</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tcPr>
          <w:p>
            <w:pPr>
              <w:jc w:val="right"/>
              <w:ind w:right="532"/>
              <w:spacing w:after="0"/>
              <w:rPr>
                <w:sz w:val="20"/>
                <w:szCs w:val="20"/>
                <w:color w:val="auto"/>
              </w:rPr>
            </w:pPr>
            <w:r>
              <w:rPr>
                <w:rFonts w:ascii="Arial" w:cs="Arial" w:eastAsia="Arial" w:hAnsi="Arial"/>
                <w:sz w:val="18"/>
                <w:szCs w:val="18"/>
                <w:color w:val="auto"/>
              </w:rPr>
              <w:t>5.10</w:t>
            </w:r>
          </w:p>
        </w:tc>
        <w:tc>
          <w:tcPr>
            <w:tcW w:w="7760" w:type="dxa"/>
            <w:vAlign w:val="bottom"/>
          </w:tcPr>
          <w:p>
            <w:pPr>
              <w:ind w:left="260"/>
              <w:spacing w:after="0"/>
              <w:rPr>
                <w:sz w:val="20"/>
                <w:szCs w:val="20"/>
                <w:color w:val="auto"/>
              </w:rPr>
            </w:pPr>
            <w:r>
              <w:rPr>
                <w:rFonts w:ascii="Arial" w:cs="Arial" w:eastAsia="Arial" w:hAnsi="Arial"/>
                <w:sz w:val="18"/>
                <w:szCs w:val="18"/>
                <w:color w:val="auto"/>
              </w:rPr>
              <w:t>Title to Property; Leases</w:t>
            </w: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5.11</w:t>
            </w: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Licenses, Permits, etc.</w:t>
            </w:r>
          </w:p>
        </w:tc>
        <w:tc>
          <w:tcPr>
            <w:tcW w:w="228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45</w:t>
            </w: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28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18"/>
                <w:szCs w:val="18"/>
                <w:color w:val="auto"/>
              </w:rPr>
            </w:pPr>
          </w:p>
        </w:tc>
      </w:tr>
      <w:tr>
        <w:trPr>
          <w:trHeight w:val="228"/>
        </w:trPr>
        <w:tc>
          <w:tcPr>
            <w:tcW w:w="1600" w:type="dxa"/>
            <w:vAlign w:val="bottom"/>
          </w:tcPr>
          <w:p>
            <w:pPr>
              <w:spacing w:after="0"/>
              <w:rPr>
                <w:sz w:val="19"/>
                <w:szCs w:val="19"/>
                <w:color w:val="auto"/>
              </w:rPr>
            </w:pPr>
          </w:p>
        </w:tc>
        <w:tc>
          <w:tcPr>
            <w:tcW w:w="7280" w:type="dxa"/>
            <w:vAlign w:val="bottom"/>
          </w:tcPr>
          <w:p>
            <w:pPr>
              <w:ind w:left="3660"/>
              <w:spacing w:after="0"/>
              <w:rPr>
                <w:sz w:val="20"/>
                <w:szCs w:val="20"/>
                <w:color w:val="auto"/>
              </w:rPr>
            </w:pPr>
            <w:r>
              <w:rPr>
                <w:rFonts w:ascii="Arial" w:cs="Arial" w:eastAsia="Arial" w:hAnsi="Arial"/>
                <w:sz w:val="18"/>
                <w:szCs w:val="18"/>
                <w:b w:val="1"/>
                <w:bCs w:val="1"/>
                <w:color w:val="auto"/>
              </w:rPr>
              <w:t>(Continued)</w:t>
            </w:r>
          </w:p>
        </w:tc>
        <w:tc>
          <w:tcPr>
            <w:tcW w:w="2540" w:type="dxa"/>
            <w:vAlign w:val="bottom"/>
          </w:tcPr>
          <w:p>
            <w:pPr>
              <w:spacing w:after="0"/>
              <w:rPr>
                <w:sz w:val="19"/>
                <w:szCs w:val="19"/>
                <w:color w:val="auto"/>
              </w:rPr>
            </w:pPr>
          </w:p>
        </w:tc>
      </w:tr>
      <w:tr>
        <w:trPr>
          <w:trHeight w:val="601"/>
        </w:trPr>
        <w:tc>
          <w:tcPr>
            <w:tcW w:w="16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540" w:type="dxa"/>
            <w:vAlign w:val="bottom"/>
          </w:tcPr>
          <w:p>
            <w:pPr>
              <w:jc w:val="center"/>
              <w:ind w:left="2053"/>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5.12</w:t>
            </w:r>
          </w:p>
        </w:tc>
        <w:tc>
          <w:tcPr>
            <w:tcW w:w="7280" w:type="dxa"/>
            <w:vAlign w:val="bottom"/>
          </w:tcPr>
          <w:p>
            <w:pPr>
              <w:ind w:left="280"/>
              <w:spacing w:after="0"/>
              <w:rPr>
                <w:sz w:val="20"/>
                <w:szCs w:val="20"/>
                <w:color w:val="auto"/>
              </w:rPr>
            </w:pPr>
            <w:r>
              <w:rPr>
                <w:rFonts w:ascii="Arial" w:cs="Arial" w:eastAsia="Arial" w:hAnsi="Arial"/>
                <w:sz w:val="18"/>
                <w:szCs w:val="18"/>
                <w:color w:val="auto"/>
              </w:rPr>
              <w:t>Compliance with ERISA</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46</w:t>
            </w:r>
          </w:p>
        </w:tc>
      </w:tr>
      <w:tr>
        <w:trPr>
          <w:trHeight w:val="217"/>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5.13</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Private Offering by Company</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46</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5.14</w:t>
            </w:r>
          </w:p>
        </w:tc>
        <w:tc>
          <w:tcPr>
            <w:tcW w:w="7280" w:type="dxa"/>
            <w:vAlign w:val="bottom"/>
          </w:tcPr>
          <w:p>
            <w:pPr>
              <w:ind w:left="280"/>
              <w:spacing w:after="0"/>
              <w:rPr>
                <w:sz w:val="20"/>
                <w:szCs w:val="20"/>
                <w:color w:val="auto"/>
              </w:rPr>
            </w:pPr>
            <w:r>
              <w:rPr>
                <w:rFonts w:ascii="Arial" w:cs="Arial" w:eastAsia="Arial" w:hAnsi="Arial"/>
                <w:sz w:val="18"/>
                <w:szCs w:val="18"/>
                <w:color w:val="auto"/>
              </w:rPr>
              <w:t>Use of Proceeds; Margin Regulations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47</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5.15</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Existing Indebtedness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47</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5.16</w:t>
            </w:r>
          </w:p>
        </w:tc>
        <w:tc>
          <w:tcPr>
            <w:tcW w:w="7280" w:type="dxa"/>
            <w:vAlign w:val="bottom"/>
          </w:tcPr>
          <w:p>
            <w:pPr>
              <w:ind w:left="280"/>
              <w:spacing w:after="0"/>
              <w:rPr>
                <w:sz w:val="20"/>
                <w:szCs w:val="20"/>
                <w:color w:val="auto"/>
              </w:rPr>
            </w:pPr>
            <w:r>
              <w:rPr>
                <w:rFonts w:ascii="Arial" w:cs="Arial" w:eastAsia="Arial" w:hAnsi="Arial"/>
                <w:sz w:val="18"/>
                <w:szCs w:val="18"/>
                <w:color w:val="auto"/>
              </w:rPr>
              <w:t>Foreign Assets Control Regulations, etc.</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47</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5.17</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Status under Certain Statutes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48</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5.18</w:t>
            </w:r>
          </w:p>
        </w:tc>
        <w:tc>
          <w:tcPr>
            <w:tcW w:w="7280" w:type="dxa"/>
            <w:vAlign w:val="bottom"/>
          </w:tcPr>
          <w:p>
            <w:pPr>
              <w:ind w:left="280"/>
              <w:spacing w:after="0"/>
              <w:rPr>
                <w:sz w:val="20"/>
                <w:szCs w:val="20"/>
                <w:color w:val="auto"/>
              </w:rPr>
            </w:pPr>
            <w:r>
              <w:rPr>
                <w:rFonts w:ascii="Arial" w:cs="Arial" w:eastAsia="Arial" w:hAnsi="Arial"/>
                <w:sz w:val="18"/>
                <w:szCs w:val="18"/>
                <w:color w:val="auto"/>
              </w:rPr>
              <w:t>Environmental Matters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48</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5.19</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Compliance With Issuance Limits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48</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5.20</w:t>
            </w:r>
          </w:p>
        </w:tc>
        <w:tc>
          <w:tcPr>
            <w:tcW w:w="7280" w:type="dxa"/>
            <w:vAlign w:val="bottom"/>
          </w:tcPr>
          <w:p>
            <w:pPr>
              <w:ind w:left="280"/>
              <w:spacing w:after="0"/>
              <w:rPr>
                <w:sz w:val="20"/>
                <w:szCs w:val="20"/>
                <w:color w:val="auto"/>
              </w:rPr>
            </w:pPr>
            <w:r>
              <w:rPr>
                <w:rFonts w:ascii="Arial" w:cs="Arial" w:eastAsia="Arial" w:hAnsi="Arial"/>
                <w:sz w:val="18"/>
                <w:szCs w:val="18"/>
                <w:color w:val="auto"/>
              </w:rPr>
              <w:t>Tax Shelter Regulations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48</w:t>
            </w:r>
          </w:p>
        </w:tc>
      </w:tr>
      <w:tr>
        <w:trPr>
          <w:trHeight w:val="216"/>
        </w:trPr>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ARTICLE VI</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AFFIRMATIVE COVENANTS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49</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6.01</w:t>
            </w:r>
          </w:p>
        </w:tc>
        <w:tc>
          <w:tcPr>
            <w:tcW w:w="7280" w:type="dxa"/>
            <w:vAlign w:val="bottom"/>
          </w:tcPr>
          <w:p>
            <w:pPr>
              <w:ind w:left="280"/>
              <w:spacing w:after="0"/>
              <w:rPr>
                <w:sz w:val="20"/>
                <w:szCs w:val="20"/>
                <w:color w:val="auto"/>
              </w:rPr>
            </w:pPr>
            <w:r>
              <w:rPr>
                <w:rFonts w:ascii="Arial" w:cs="Arial" w:eastAsia="Arial" w:hAnsi="Arial"/>
                <w:sz w:val="18"/>
                <w:szCs w:val="18"/>
                <w:color w:val="auto"/>
              </w:rPr>
              <w:t>Financial and Business Information</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49</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6.02</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Officer’s Certificate</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51</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6.03</w:t>
            </w:r>
          </w:p>
        </w:tc>
        <w:tc>
          <w:tcPr>
            <w:tcW w:w="7280" w:type="dxa"/>
            <w:vAlign w:val="bottom"/>
          </w:tcPr>
          <w:p>
            <w:pPr>
              <w:ind w:left="280"/>
              <w:spacing w:after="0"/>
              <w:rPr>
                <w:sz w:val="20"/>
                <w:szCs w:val="20"/>
                <w:color w:val="auto"/>
              </w:rPr>
            </w:pPr>
            <w:r>
              <w:rPr>
                <w:rFonts w:ascii="Arial" w:cs="Arial" w:eastAsia="Arial" w:hAnsi="Arial"/>
                <w:sz w:val="18"/>
                <w:szCs w:val="18"/>
                <w:color w:val="auto"/>
              </w:rPr>
              <w:t>Inspection</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52</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6.04</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Compliance with Laws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52</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6.05</w:t>
            </w:r>
          </w:p>
        </w:tc>
        <w:tc>
          <w:tcPr>
            <w:tcW w:w="728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52</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6.06</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Maintenance of Properties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52</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6.07</w:t>
            </w:r>
          </w:p>
        </w:tc>
        <w:tc>
          <w:tcPr>
            <w:tcW w:w="7280" w:type="dxa"/>
            <w:vAlign w:val="bottom"/>
          </w:tcPr>
          <w:p>
            <w:pPr>
              <w:ind w:left="280"/>
              <w:spacing w:after="0"/>
              <w:rPr>
                <w:sz w:val="20"/>
                <w:szCs w:val="20"/>
                <w:color w:val="auto"/>
              </w:rPr>
            </w:pPr>
            <w:r>
              <w:rPr>
                <w:rFonts w:ascii="Arial" w:cs="Arial" w:eastAsia="Arial" w:hAnsi="Arial"/>
                <w:sz w:val="18"/>
                <w:szCs w:val="18"/>
                <w:color w:val="auto"/>
              </w:rPr>
              <w:t>Payment of Taxes and Claims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52</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6.08</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Existence, etc.</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53</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6.09</w:t>
            </w:r>
          </w:p>
        </w:tc>
        <w:tc>
          <w:tcPr>
            <w:tcW w:w="7280" w:type="dxa"/>
            <w:vAlign w:val="bottom"/>
          </w:tcPr>
          <w:p>
            <w:pPr>
              <w:ind w:left="280"/>
              <w:spacing w:after="0"/>
              <w:rPr>
                <w:sz w:val="20"/>
                <w:szCs w:val="20"/>
                <w:color w:val="auto"/>
              </w:rPr>
            </w:pPr>
            <w:r>
              <w:rPr>
                <w:rFonts w:ascii="Arial" w:cs="Arial" w:eastAsia="Arial" w:hAnsi="Arial"/>
                <w:sz w:val="18"/>
                <w:szCs w:val="18"/>
                <w:color w:val="auto"/>
              </w:rPr>
              <w:t>Books and Records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53</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6.10</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Purpose of Credits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53</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8"/>
              </w:rPr>
              <w:t>ARTICLE VII</w:t>
            </w:r>
          </w:p>
        </w:tc>
        <w:tc>
          <w:tcPr>
            <w:tcW w:w="7280" w:type="dxa"/>
            <w:vAlign w:val="bottom"/>
          </w:tcPr>
          <w:p>
            <w:pPr>
              <w:ind w:left="280"/>
              <w:spacing w:after="0"/>
              <w:rPr>
                <w:sz w:val="20"/>
                <w:szCs w:val="20"/>
                <w:color w:val="auto"/>
              </w:rPr>
            </w:pPr>
            <w:r>
              <w:rPr>
                <w:rFonts w:ascii="Arial" w:cs="Arial" w:eastAsia="Arial" w:hAnsi="Arial"/>
                <w:sz w:val="18"/>
                <w:szCs w:val="18"/>
                <w:color w:val="auto"/>
              </w:rPr>
              <w:t>NEGATIVE COVENANTS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53</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7.01</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Transactions with Affiliates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53</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7.02</w:t>
            </w:r>
          </w:p>
        </w:tc>
        <w:tc>
          <w:tcPr>
            <w:tcW w:w="7280" w:type="dxa"/>
            <w:vAlign w:val="bottom"/>
          </w:tcPr>
          <w:p>
            <w:pPr>
              <w:ind w:left="280"/>
              <w:spacing w:after="0"/>
              <w:rPr>
                <w:sz w:val="20"/>
                <w:szCs w:val="20"/>
                <w:color w:val="auto"/>
              </w:rPr>
            </w:pPr>
            <w:r>
              <w:rPr>
                <w:rFonts w:ascii="Arial" w:cs="Arial" w:eastAsia="Arial" w:hAnsi="Arial"/>
                <w:sz w:val="18"/>
                <w:szCs w:val="18"/>
                <w:color w:val="auto"/>
              </w:rPr>
              <w:t>Merger, Consolidation, Sale of Assets, etc.</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54</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7.03</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Liens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56</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7.04</w:t>
            </w:r>
          </w:p>
        </w:tc>
        <w:tc>
          <w:tcPr>
            <w:tcW w:w="7280" w:type="dxa"/>
            <w:vAlign w:val="bottom"/>
          </w:tcPr>
          <w:p>
            <w:pPr>
              <w:ind w:left="280"/>
              <w:spacing w:after="0"/>
              <w:rPr>
                <w:sz w:val="20"/>
                <w:szCs w:val="20"/>
                <w:color w:val="auto"/>
              </w:rPr>
            </w:pPr>
            <w:r>
              <w:rPr>
                <w:rFonts w:ascii="Arial" w:cs="Arial" w:eastAsia="Arial" w:hAnsi="Arial"/>
                <w:sz w:val="18"/>
                <w:szCs w:val="18"/>
                <w:color w:val="auto"/>
              </w:rPr>
              <w:t>Limitation on Consolidated Debt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58</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7.05</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Limitation on Priority Debt</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58</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7.06</w:t>
            </w:r>
          </w:p>
        </w:tc>
        <w:tc>
          <w:tcPr>
            <w:tcW w:w="7280" w:type="dxa"/>
            <w:vAlign w:val="bottom"/>
          </w:tcPr>
          <w:p>
            <w:pPr>
              <w:ind w:left="280"/>
              <w:spacing w:after="0"/>
              <w:rPr>
                <w:sz w:val="20"/>
                <w:szCs w:val="20"/>
                <w:color w:val="auto"/>
              </w:rPr>
            </w:pPr>
            <w:r>
              <w:rPr>
                <w:rFonts w:ascii="Arial" w:cs="Arial" w:eastAsia="Arial" w:hAnsi="Arial"/>
                <w:sz w:val="18"/>
                <w:szCs w:val="18"/>
                <w:color w:val="auto"/>
              </w:rPr>
              <w:t>Nature of Business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58</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7.07</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Designation of Unrestricted Subsidiaries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58</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7.08</w:t>
            </w:r>
          </w:p>
        </w:tc>
        <w:tc>
          <w:tcPr>
            <w:tcW w:w="7280" w:type="dxa"/>
            <w:vAlign w:val="bottom"/>
          </w:tcPr>
          <w:p>
            <w:pPr>
              <w:ind w:left="280"/>
              <w:spacing w:after="0"/>
              <w:rPr>
                <w:sz w:val="20"/>
                <w:szCs w:val="20"/>
                <w:color w:val="auto"/>
              </w:rPr>
            </w:pPr>
            <w:r>
              <w:rPr>
                <w:rFonts w:ascii="Arial" w:cs="Arial" w:eastAsia="Arial" w:hAnsi="Arial"/>
                <w:sz w:val="18"/>
                <w:szCs w:val="18"/>
                <w:color w:val="auto"/>
              </w:rPr>
              <w:t>Margin Stock</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59</w:t>
            </w:r>
          </w:p>
        </w:tc>
      </w:tr>
      <w:tr>
        <w:trPr>
          <w:trHeight w:val="216"/>
        </w:trPr>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8"/>
              </w:rPr>
              <w:t>ARTICLE VIII</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EVENTS OF DEFAULT AND REMEDIES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59</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8.01</w:t>
            </w:r>
          </w:p>
        </w:tc>
        <w:tc>
          <w:tcPr>
            <w:tcW w:w="728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59</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8.02</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Remedies Upon Event of Default</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61</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8.03</w:t>
            </w:r>
          </w:p>
        </w:tc>
        <w:tc>
          <w:tcPr>
            <w:tcW w:w="7280" w:type="dxa"/>
            <w:vAlign w:val="bottom"/>
          </w:tcPr>
          <w:p>
            <w:pPr>
              <w:ind w:left="280"/>
              <w:spacing w:after="0"/>
              <w:rPr>
                <w:sz w:val="20"/>
                <w:szCs w:val="20"/>
                <w:color w:val="auto"/>
              </w:rPr>
            </w:pPr>
            <w:r>
              <w:rPr>
                <w:rFonts w:ascii="Arial" w:cs="Arial" w:eastAsia="Arial" w:hAnsi="Arial"/>
                <w:sz w:val="18"/>
                <w:szCs w:val="18"/>
                <w:color w:val="auto"/>
              </w:rPr>
              <w:t>Application of Funds</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62</w:t>
            </w:r>
          </w:p>
        </w:tc>
      </w:tr>
      <w:tr>
        <w:trPr>
          <w:trHeight w:val="216"/>
        </w:trPr>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ARTICLE IX</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ADMINISTRATIVE AGENT</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63</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9.01</w:t>
            </w:r>
          </w:p>
        </w:tc>
        <w:tc>
          <w:tcPr>
            <w:tcW w:w="7280" w:type="dxa"/>
            <w:vAlign w:val="bottom"/>
          </w:tcPr>
          <w:p>
            <w:pPr>
              <w:ind w:left="280"/>
              <w:spacing w:after="0"/>
              <w:rPr>
                <w:sz w:val="20"/>
                <w:szCs w:val="20"/>
                <w:color w:val="auto"/>
              </w:rPr>
            </w:pPr>
            <w:r>
              <w:rPr>
                <w:rFonts w:ascii="Arial" w:cs="Arial" w:eastAsia="Arial" w:hAnsi="Arial"/>
                <w:sz w:val="18"/>
                <w:szCs w:val="18"/>
                <w:color w:val="auto"/>
              </w:rPr>
              <w:t>Appointment and Authorization of Administrative Agent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63</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9.02</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Delegation of Duties</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63</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9.03</w:t>
            </w:r>
          </w:p>
        </w:tc>
        <w:tc>
          <w:tcPr>
            <w:tcW w:w="7280" w:type="dxa"/>
            <w:vAlign w:val="bottom"/>
          </w:tcPr>
          <w:p>
            <w:pPr>
              <w:ind w:left="280"/>
              <w:spacing w:after="0"/>
              <w:rPr>
                <w:sz w:val="20"/>
                <w:szCs w:val="20"/>
                <w:color w:val="auto"/>
              </w:rPr>
            </w:pPr>
            <w:r>
              <w:rPr>
                <w:rFonts w:ascii="Arial" w:cs="Arial" w:eastAsia="Arial" w:hAnsi="Arial"/>
                <w:sz w:val="18"/>
                <w:szCs w:val="18"/>
                <w:color w:val="auto"/>
              </w:rPr>
              <w:t>Liability of Administrative Agent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64</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9.04</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Reliance by Administrative Agent</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64</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9.05</w:t>
            </w:r>
          </w:p>
        </w:tc>
        <w:tc>
          <w:tcPr>
            <w:tcW w:w="7280" w:type="dxa"/>
            <w:vAlign w:val="bottom"/>
          </w:tcPr>
          <w:p>
            <w:pPr>
              <w:ind w:left="280"/>
              <w:spacing w:after="0"/>
              <w:rPr>
                <w:sz w:val="20"/>
                <w:szCs w:val="20"/>
                <w:color w:val="auto"/>
              </w:rPr>
            </w:pPr>
            <w:r>
              <w:rPr>
                <w:rFonts w:ascii="Arial" w:cs="Arial" w:eastAsia="Arial" w:hAnsi="Arial"/>
                <w:sz w:val="18"/>
                <w:szCs w:val="18"/>
                <w:color w:val="auto"/>
              </w:rPr>
              <w:t>Notice of Default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64</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9.06</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Credit Decision; Disclosure of Information by Administrative Agent</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65</w:t>
            </w:r>
          </w:p>
        </w:tc>
      </w:tr>
      <w:tr>
        <w:trPr>
          <w:trHeight w:val="216"/>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9.07</w:t>
            </w:r>
          </w:p>
        </w:tc>
        <w:tc>
          <w:tcPr>
            <w:tcW w:w="7280" w:type="dxa"/>
            <w:vAlign w:val="bottom"/>
          </w:tcPr>
          <w:p>
            <w:pPr>
              <w:ind w:left="280"/>
              <w:spacing w:after="0"/>
              <w:rPr>
                <w:sz w:val="20"/>
                <w:szCs w:val="20"/>
                <w:color w:val="auto"/>
              </w:rPr>
            </w:pPr>
            <w:r>
              <w:rPr>
                <w:rFonts w:ascii="Arial" w:cs="Arial" w:eastAsia="Arial" w:hAnsi="Arial"/>
                <w:sz w:val="18"/>
                <w:szCs w:val="18"/>
                <w:color w:val="auto"/>
              </w:rPr>
              <w:t>Indemnification of Administrative Agent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65</w:t>
            </w:r>
          </w:p>
        </w:tc>
      </w:tr>
      <w:tr>
        <w:trPr>
          <w:trHeight w:val="216"/>
        </w:trPr>
        <w:tc>
          <w:tcPr>
            <w:tcW w:w="16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9.08</w:t>
            </w:r>
          </w:p>
        </w:tc>
        <w:tc>
          <w:tcPr>
            <w:tcW w:w="7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Administrative Agent in its Individual Capacity</w:t>
            </w:r>
          </w:p>
        </w:tc>
        <w:tc>
          <w:tcPr>
            <w:tcW w:w="2540" w:type="dxa"/>
            <w:vAlign w:val="bottom"/>
            <w:shd w:val="clear" w:color="auto" w:fill="EEEEEE"/>
          </w:tcPr>
          <w:p>
            <w:pPr>
              <w:jc w:val="center"/>
              <w:ind w:left="2073"/>
              <w:spacing w:after="0"/>
              <w:rPr>
                <w:sz w:val="20"/>
                <w:szCs w:val="20"/>
                <w:color w:val="auto"/>
              </w:rPr>
            </w:pPr>
            <w:r>
              <w:rPr>
                <w:rFonts w:ascii="Arial" w:cs="Arial" w:eastAsia="Arial" w:hAnsi="Arial"/>
                <w:sz w:val="18"/>
                <w:szCs w:val="18"/>
                <w:color w:val="auto"/>
                <w:w w:val="89"/>
              </w:rPr>
              <w:t>67</w:t>
            </w:r>
          </w:p>
        </w:tc>
      </w:tr>
      <w:tr>
        <w:trPr>
          <w:trHeight w:val="222"/>
        </w:trPr>
        <w:tc>
          <w:tcPr>
            <w:tcW w:w="1600" w:type="dxa"/>
            <w:vAlign w:val="bottom"/>
          </w:tcPr>
          <w:p>
            <w:pPr>
              <w:jc w:val="right"/>
              <w:ind w:right="632"/>
              <w:spacing w:after="0"/>
              <w:rPr>
                <w:sz w:val="20"/>
                <w:szCs w:val="20"/>
                <w:color w:val="auto"/>
              </w:rPr>
            </w:pPr>
            <w:r>
              <w:rPr>
                <w:rFonts w:ascii="Arial" w:cs="Arial" w:eastAsia="Arial" w:hAnsi="Arial"/>
                <w:sz w:val="18"/>
                <w:szCs w:val="18"/>
                <w:color w:val="auto"/>
              </w:rPr>
              <w:t>9.09</w:t>
            </w:r>
          </w:p>
        </w:tc>
        <w:tc>
          <w:tcPr>
            <w:tcW w:w="7280" w:type="dxa"/>
            <w:vAlign w:val="bottom"/>
          </w:tcPr>
          <w:p>
            <w:pPr>
              <w:ind w:left="280"/>
              <w:spacing w:after="0"/>
              <w:rPr>
                <w:sz w:val="20"/>
                <w:szCs w:val="20"/>
                <w:color w:val="auto"/>
              </w:rPr>
            </w:pPr>
            <w:r>
              <w:rPr>
                <w:rFonts w:ascii="Arial" w:cs="Arial" w:eastAsia="Arial" w:hAnsi="Arial"/>
                <w:sz w:val="18"/>
                <w:szCs w:val="18"/>
                <w:color w:val="auto"/>
              </w:rPr>
              <w:t>Successor Administrative Agent</w:t>
            </w:r>
          </w:p>
        </w:tc>
        <w:tc>
          <w:tcPr>
            <w:tcW w:w="2540" w:type="dxa"/>
            <w:vAlign w:val="bottom"/>
          </w:tcPr>
          <w:p>
            <w:pPr>
              <w:jc w:val="center"/>
              <w:ind w:left="2073"/>
              <w:spacing w:after="0"/>
              <w:rPr>
                <w:sz w:val="20"/>
                <w:szCs w:val="20"/>
                <w:color w:val="auto"/>
              </w:rPr>
            </w:pPr>
            <w:r>
              <w:rPr>
                <w:rFonts w:ascii="Arial" w:cs="Arial" w:eastAsia="Arial" w:hAnsi="Arial"/>
                <w:sz w:val="18"/>
                <w:szCs w:val="18"/>
                <w:color w:val="auto"/>
                <w:w w:val="89"/>
              </w:rPr>
              <w:t>67</w:t>
            </w:r>
          </w:p>
        </w:tc>
      </w:tr>
    </w:tbl>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94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216"/>
        </w:trPr>
        <w:tc>
          <w:tcPr>
            <w:tcW w:w="178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96"/>
              </w:rPr>
              <w:t>ARTICLE X</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MISCELLANEOUS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67</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10.01</w:t>
            </w:r>
          </w:p>
        </w:tc>
        <w:tc>
          <w:tcPr>
            <w:tcW w:w="7700" w:type="dxa"/>
            <w:vAlign w:val="bottom"/>
          </w:tcPr>
          <w:p>
            <w:pPr>
              <w:ind w:left="400"/>
              <w:spacing w:after="0"/>
              <w:rPr>
                <w:sz w:val="20"/>
                <w:szCs w:val="20"/>
                <w:color w:val="auto"/>
              </w:rPr>
            </w:pPr>
            <w:r>
              <w:rPr>
                <w:rFonts w:ascii="Arial" w:cs="Arial" w:eastAsia="Arial" w:hAnsi="Arial"/>
                <w:sz w:val="18"/>
                <w:szCs w:val="18"/>
                <w:color w:val="auto"/>
              </w:rPr>
              <w:t>Amendments, Etc.</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10.02</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Notices and Other Communications; Facsimile Copies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10.03</w:t>
            </w:r>
          </w:p>
        </w:tc>
        <w:tc>
          <w:tcPr>
            <w:tcW w:w="7700" w:type="dxa"/>
            <w:vAlign w:val="bottom"/>
          </w:tcPr>
          <w:p>
            <w:pPr>
              <w:ind w:left="400"/>
              <w:spacing w:after="0"/>
              <w:rPr>
                <w:sz w:val="20"/>
                <w:szCs w:val="20"/>
                <w:color w:val="auto"/>
              </w:rPr>
            </w:pPr>
            <w:r>
              <w:rPr>
                <w:rFonts w:ascii="Arial" w:cs="Arial" w:eastAsia="Arial" w:hAnsi="Arial"/>
                <w:sz w:val="18"/>
                <w:szCs w:val="18"/>
                <w:color w:val="auto"/>
              </w:rPr>
              <w:t>No Waiver; Cumulative Remedies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10.04</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Attorney Costs, Expenses and Taxes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10.05</w:t>
            </w:r>
          </w:p>
        </w:tc>
        <w:tc>
          <w:tcPr>
            <w:tcW w:w="7700" w:type="dxa"/>
            <w:vAlign w:val="bottom"/>
          </w:tcPr>
          <w:p>
            <w:pPr>
              <w:ind w:left="400"/>
              <w:spacing w:after="0"/>
              <w:rPr>
                <w:sz w:val="20"/>
                <w:szCs w:val="20"/>
                <w:color w:val="auto"/>
              </w:rPr>
            </w:pPr>
            <w:r>
              <w:rPr>
                <w:rFonts w:ascii="Arial" w:cs="Arial" w:eastAsia="Arial" w:hAnsi="Arial"/>
                <w:sz w:val="18"/>
                <w:szCs w:val="18"/>
                <w:color w:val="auto"/>
              </w:rPr>
              <w:t>Indemnification by the Company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10.06</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Payments Set Aside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10.07</w:t>
            </w:r>
          </w:p>
        </w:tc>
        <w:tc>
          <w:tcPr>
            <w:tcW w:w="7700" w:type="dxa"/>
            <w:vAlign w:val="bottom"/>
          </w:tcPr>
          <w:p>
            <w:pPr>
              <w:ind w:left="400"/>
              <w:spacing w:after="0"/>
              <w:rPr>
                <w:sz w:val="20"/>
                <w:szCs w:val="20"/>
                <w:color w:val="auto"/>
              </w:rPr>
            </w:pPr>
            <w:r>
              <w:rPr>
                <w:rFonts w:ascii="Arial" w:cs="Arial" w:eastAsia="Arial" w:hAnsi="Arial"/>
                <w:sz w:val="18"/>
                <w:szCs w:val="18"/>
                <w:color w:val="auto"/>
              </w:rPr>
              <w:t>Successors and Assigns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10.08</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Confidentiality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74</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10.09</w:t>
            </w:r>
          </w:p>
        </w:tc>
        <w:tc>
          <w:tcPr>
            <w:tcW w:w="7700" w:type="dxa"/>
            <w:vAlign w:val="bottom"/>
          </w:tcPr>
          <w:p>
            <w:pPr>
              <w:ind w:left="400"/>
              <w:spacing w:after="0"/>
              <w:rPr>
                <w:sz w:val="20"/>
                <w:szCs w:val="20"/>
                <w:color w:val="auto"/>
              </w:rPr>
            </w:pPr>
            <w:r>
              <w:rPr>
                <w:rFonts w:ascii="Arial" w:cs="Arial" w:eastAsia="Arial" w:hAnsi="Arial"/>
                <w:sz w:val="18"/>
                <w:szCs w:val="18"/>
                <w:color w:val="auto"/>
              </w:rPr>
              <w:t>[Intentionally Omitted]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10.10</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Representations and Warranties of Each Lender</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10.11</w:t>
            </w:r>
          </w:p>
        </w:tc>
        <w:tc>
          <w:tcPr>
            <w:tcW w:w="770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10.12</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Integration</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10.13</w:t>
            </w:r>
          </w:p>
        </w:tc>
        <w:tc>
          <w:tcPr>
            <w:tcW w:w="7700" w:type="dxa"/>
            <w:vAlign w:val="bottom"/>
          </w:tcPr>
          <w:p>
            <w:pPr>
              <w:ind w:left="400"/>
              <w:spacing w:after="0"/>
              <w:rPr>
                <w:sz w:val="20"/>
                <w:szCs w:val="20"/>
                <w:color w:val="auto"/>
              </w:rPr>
            </w:pPr>
            <w:r>
              <w:rPr>
                <w:rFonts w:ascii="Arial" w:cs="Arial" w:eastAsia="Arial" w:hAnsi="Arial"/>
                <w:sz w:val="18"/>
                <w:szCs w:val="18"/>
                <w:color w:val="auto"/>
              </w:rPr>
              <w:t>Survival of Representations and Warranties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10.14</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Severability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10.15</w:t>
            </w:r>
          </w:p>
        </w:tc>
        <w:tc>
          <w:tcPr>
            <w:tcW w:w="7700" w:type="dxa"/>
            <w:vAlign w:val="bottom"/>
          </w:tcPr>
          <w:p>
            <w:pPr>
              <w:ind w:left="400"/>
              <w:spacing w:after="0"/>
              <w:rPr>
                <w:sz w:val="20"/>
                <w:szCs w:val="20"/>
                <w:color w:val="auto"/>
              </w:rPr>
            </w:pPr>
            <w:r>
              <w:rPr>
                <w:rFonts w:ascii="Arial" w:cs="Arial" w:eastAsia="Arial" w:hAnsi="Arial"/>
                <w:sz w:val="18"/>
                <w:szCs w:val="18"/>
                <w:color w:val="auto"/>
              </w:rPr>
              <w:t>Tax Forms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10.16</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Governing Law</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10.17</w:t>
            </w:r>
          </w:p>
        </w:tc>
        <w:tc>
          <w:tcPr>
            <w:tcW w:w="7700" w:type="dxa"/>
            <w:vAlign w:val="bottom"/>
          </w:tcPr>
          <w:p>
            <w:pPr>
              <w:ind w:left="400"/>
              <w:spacing w:after="0"/>
              <w:rPr>
                <w:sz w:val="20"/>
                <w:szCs w:val="20"/>
                <w:color w:val="auto"/>
              </w:rPr>
            </w:pPr>
            <w:r>
              <w:rPr>
                <w:rFonts w:ascii="Arial" w:cs="Arial" w:eastAsia="Arial" w:hAnsi="Arial"/>
                <w:sz w:val="18"/>
                <w:szCs w:val="18"/>
                <w:color w:val="auto"/>
              </w:rPr>
              <w:t>Waiver of Right to Trial by Jury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10.18</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Time of the Essence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10.19</w:t>
            </w:r>
          </w:p>
        </w:tc>
        <w:tc>
          <w:tcPr>
            <w:tcW w:w="7700" w:type="dxa"/>
            <w:vAlign w:val="bottom"/>
          </w:tcPr>
          <w:p>
            <w:pPr>
              <w:ind w:left="400"/>
              <w:spacing w:after="0"/>
              <w:rPr>
                <w:sz w:val="20"/>
                <w:szCs w:val="20"/>
                <w:color w:val="auto"/>
              </w:rPr>
            </w:pPr>
            <w:r>
              <w:rPr>
                <w:rFonts w:ascii="Arial" w:cs="Arial" w:eastAsia="Arial" w:hAnsi="Arial"/>
                <w:sz w:val="18"/>
                <w:szCs w:val="18"/>
                <w:color w:val="auto"/>
              </w:rPr>
              <w:t>Credit Rating Downgrade Event or Deposit Account Interest Non-Payment Event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shd w:val="clear" w:color="auto" w:fill="EEEEEE"/>
          </w:tcPr>
          <w:p>
            <w:pPr>
              <w:jc w:val="center"/>
              <w:ind w:right="52"/>
              <w:spacing w:after="0"/>
              <w:rPr>
                <w:sz w:val="20"/>
                <w:szCs w:val="20"/>
                <w:color w:val="auto"/>
              </w:rPr>
            </w:pPr>
            <w:r>
              <w:rPr>
                <w:rFonts w:ascii="Arial" w:cs="Arial" w:eastAsia="Arial" w:hAnsi="Arial"/>
                <w:sz w:val="18"/>
                <w:szCs w:val="18"/>
                <w:color w:val="auto"/>
                <w:w w:val="97"/>
              </w:rPr>
              <w:t>ARTICLE XI</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HOLDINGS GUARANTY</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11.01</w:t>
            </w:r>
          </w:p>
        </w:tc>
        <w:tc>
          <w:tcPr>
            <w:tcW w:w="7700" w:type="dxa"/>
            <w:vAlign w:val="bottom"/>
          </w:tcPr>
          <w:p>
            <w:pPr>
              <w:ind w:left="400"/>
              <w:spacing w:after="0"/>
              <w:rPr>
                <w:sz w:val="20"/>
                <w:szCs w:val="20"/>
                <w:color w:val="auto"/>
              </w:rPr>
            </w:pPr>
            <w:r>
              <w:rPr>
                <w:rFonts w:ascii="Arial" w:cs="Arial" w:eastAsia="Arial" w:hAnsi="Arial"/>
                <w:sz w:val="18"/>
                <w:szCs w:val="18"/>
                <w:color w:val="auto"/>
              </w:rPr>
              <w:t>Guaranty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11.02</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Guaranty Absolute</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11.03</w:t>
            </w:r>
          </w:p>
        </w:tc>
        <w:tc>
          <w:tcPr>
            <w:tcW w:w="7700" w:type="dxa"/>
            <w:vAlign w:val="bottom"/>
          </w:tcPr>
          <w:p>
            <w:pPr>
              <w:ind w:left="400"/>
              <w:spacing w:after="0"/>
              <w:rPr>
                <w:sz w:val="20"/>
                <w:szCs w:val="20"/>
                <w:color w:val="auto"/>
              </w:rPr>
            </w:pPr>
            <w:r>
              <w:rPr>
                <w:rFonts w:ascii="Arial" w:cs="Arial" w:eastAsia="Arial" w:hAnsi="Arial"/>
                <w:sz w:val="18"/>
                <w:szCs w:val="18"/>
                <w:color w:val="auto"/>
              </w:rPr>
              <w:t>Effectiveness; Enforcement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11.04</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Waiver</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84</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11.05</w:t>
            </w:r>
          </w:p>
        </w:tc>
        <w:tc>
          <w:tcPr>
            <w:tcW w:w="7700" w:type="dxa"/>
            <w:vAlign w:val="bottom"/>
          </w:tcPr>
          <w:p>
            <w:pPr>
              <w:ind w:left="400"/>
              <w:spacing w:after="0"/>
              <w:rPr>
                <w:sz w:val="20"/>
                <w:szCs w:val="20"/>
                <w:color w:val="auto"/>
              </w:rPr>
            </w:pPr>
            <w:r>
              <w:rPr>
                <w:rFonts w:ascii="Arial" w:cs="Arial" w:eastAsia="Arial" w:hAnsi="Arial"/>
                <w:sz w:val="18"/>
                <w:szCs w:val="18"/>
                <w:color w:val="auto"/>
              </w:rPr>
              <w:t>Expenses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11.06</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Concerning Joint and Several Liability of Holdings</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85</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11.07</w:t>
            </w:r>
          </w:p>
        </w:tc>
        <w:tc>
          <w:tcPr>
            <w:tcW w:w="7700" w:type="dxa"/>
            <w:vAlign w:val="bottom"/>
          </w:tcPr>
          <w:p>
            <w:pPr>
              <w:ind w:left="400"/>
              <w:spacing w:after="0"/>
              <w:rPr>
                <w:sz w:val="20"/>
                <w:szCs w:val="20"/>
                <w:color w:val="auto"/>
              </w:rPr>
            </w:pPr>
            <w:r>
              <w:rPr>
                <w:rFonts w:ascii="Arial" w:cs="Arial" w:eastAsia="Arial" w:hAnsi="Arial"/>
                <w:sz w:val="18"/>
                <w:szCs w:val="18"/>
                <w:color w:val="auto"/>
              </w:rPr>
              <w:t>Waiver</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8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11.08</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Subrogation; Subordination</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11.09</w:t>
            </w:r>
          </w:p>
        </w:tc>
        <w:tc>
          <w:tcPr>
            <w:tcW w:w="7700" w:type="dxa"/>
            <w:vAlign w:val="bottom"/>
          </w:tcPr>
          <w:p>
            <w:pPr>
              <w:ind w:left="400"/>
              <w:spacing w:after="0"/>
              <w:rPr>
                <w:sz w:val="20"/>
                <w:szCs w:val="20"/>
                <w:color w:val="auto"/>
              </w:rPr>
            </w:pPr>
            <w:r>
              <w:rPr>
                <w:rFonts w:ascii="Arial" w:cs="Arial" w:eastAsia="Arial" w:hAnsi="Arial"/>
                <w:sz w:val="18"/>
                <w:szCs w:val="18"/>
                <w:color w:val="auto"/>
              </w:rPr>
              <w:t>Release of Guaranty</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178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98"/>
              </w:rPr>
              <w:t>ARTICLE XII</w:t>
            </w:r>
          </w:p>
        </w:tc>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ENTIRE AGREEMENT</w:t>
            </w: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1780" w:type="dxa"/>
            <w:vAlign w:val="bottom"/>
          </w:tcPr>
          <w:p>
            <w:pPr>
              <w:jc w:val="right"/>
              <w:ind w:right="732"/>
              <w:spacing w:after="0"/>
              <w:rPr>
                <w:sz w:val="20"/>
                <w:szCs w:val="20"/>
                <w:color w:val="auto"/>
              </w:rPr>
            </w:pPr>
            <w:r>
              <w:rPr>
                <w:rFonts w:ascii="Arial" w:cs="Arial" w:eastAsia="Arial" w:hAnsi="Arial"/>
                <w:sz w:val="18"/>
                <w:szCs w:val="18"/>
                <w:color w:val="auto"/>
              </w:rPr>
              <w:t>12.01</w:t>
            </w:r>
          </w:p>
        </w:tc>
        <w:tc>
          <w:tcPr>
            <w:tcW w:w="7700" w:type="dxa"/>
            <w:vAlign w:val="bottom"/>
          </w:tcPr>
          <w:p>
            <w:pPr>
              <w:ind w:left="400"/>
              <w:spacing w:after="0"/>
              <w:rPr>
                <w:sz w:val="20"/>
                <w:szCs w:val="20"/>
                <w:color w:val="auto"/>
              </w:rPr>
            </w:pPr>
            <w:r>
              <w:rPr>
                <w:rFonts w:ascii="Arial" w:cs="Arial" w:eastAsia="Arial" w:hAnsi="Arial"/>
                <w:sz w:val="18"/>
                <w:szCs w:val="18"/>
                <w:color w:val="auto"/>
              </w:rPr>
              <w:t>Entire Agreement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1780" w:type="dxa"/>
            <w:vAlign w:val="bottom"/>
            <w:shd w:val="clear" w:color="auto" w:fill="EEEEEE"/>
          </w:tcPr>
          <w:p>
            <w:pPr>
              <w:jc w:val="center"/>
              <w:ind w:right="52"/>
              <w:spacing w:after="0"/>
              <w:rPr>
                <w:sz w:val="20"/>
                <w:szCs w:val="20"/>
                <w:color w:val="auto"/>
              </w:rPr>
            </w:pPr>
            <w:r>
              <w:rPr>
                <w:rFonts w:ascii="Arial" w:cs="Arial" w:eastAsia="Arial" w:hAnsi="Arial"/>
                <w:sz w:val="18"/>
                <w:szCs w:val="18"/>
                <w:color w:val="auto"/>
                <w:w w:val="92"/>
              </w:rPr>
              <w:t>SIGNATURES</w:t>
            </w:r>
          </w:p>
        </w:tc>
        <w:tc>
          <w:tcPr>
            <w:tcW w:w="7700" w:type="dxa"/>
            <w:vAlign w:val="bottom"/>
            <w:shd w:val="clear" w:color="auto" w:fill="EEEEEE"/>
          </w:tcPr>
          <w:p>
            <w:pPr>
              <w:spacing w:after="0"/>
              <w:rPr>
                <w:sz w:val="18"/>
                <w:szCs w:val="18"/>
                <w:color w:val="auto"/>
              </w:rPr>
            </w:pPr>
          </w:p>
        </w:tc>
        <w:tc>
          <w:tcPr>
            <w:tcW w:w="194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S-1</w:t>
            </w: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SCHEDULES</w:t>
      </w:r>
    </w:p>
    <w:p>
      <w:pPr>
        <w:spacing w:after="0" w:line="200" w:lineRule="exact"/>
        <w:rPr>
          <w:sz w:val="20"/>
          <w:szCs w:val="20"/>
          <w:color w:val="auto"/>
        </w:rPr>
      </w:pPr>
    </w:p>
    <w:p>
      <w:pPr>
        <w:spacing w:after="0" w:line="274" w:lineRule="exact"/>
        <w:rPr>
          <w:sz w:val="20"/>
          <w:szCs w:val="20"/>
          <w:color w:val="auto"/>
        </w:rPr>
      </w:pPr>
    </w:p>
    <w:p>
      <w:pPr>
        <w:ind w:left="2760" w:hanging="1037"/>
        <w:spacing w:after="0"/>
        <w:tabs>
          <w:tab w:leader="none" w:pos="27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Applicable Rates; Interest on Credit-Linked Deposits</w:t>
      </w:r>
    </w:p>
    <w:p>
      <w:pPr>
        <w:spacing w:after="0" w:line="15"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700" w:type="dxa"/>
            <w:vAlign w:val="bottom"/>
          </w:tcPr>
          <w:p>
            <w:pPr>
              <w:ind w:left="320"/>
              <w:spacing w:after="0"/>
              <w:rPr>
                <w:sz w:val="20"/>
                <w:szCs w:val="20"/>
                <w:color w:val="auto"/>
              </w:rPr>
            </w:pPr>
            <w:r>
              <w:rPr>
                <w:rFonts w:ascii="Arial" w:cs="Arial" w:eastAsia="Arial" w:hAnsi="Arial"/>
                <w:sz w:val="18"/>
                <w:szCs w:val="18"/>
                <w:color w:val="auto"/>
              </w:rPr>
              <w:t>Existing Credits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w:t>
            </w:r>
          </w:p>
        </w:tc>
        <w:tc>
          <w:tcPr>
            <w:tcW w:w="4700" w:type="dxa"/>
            <w:vAlign w:val="bottom"/>
          </w:tcPr>
          <w:p>
            <w:pPr>
              <w:ind w:left="320"/>
              <w:spacing w:after="0"/>
              <w:rPr>
                <w:sz w:val="20"/>
                <w:szCs w:val="20"/>
                <w:color w:val="auto"/>
              </w:rPr>
            </w:pPr>
            <w:r>
              <w:rPr>
                <w:rFonts w:ascii="Arial" w:cs="Arial" w:eastAsia="Arial" w:hAnsi="Arial"/>
                <w:sz w:val="18"/>
                <w:szCs w:val="18"/>
                <w:color w:val="auto"/>
              </w:rPr>
              <w:t>Credit-Linked Deposits and Pro Rata Shares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5.04</w:t>
            </w:r>
          </w:p>
        </w:tc>
        <w:tc>
          <w:tcPr>
            <w:tcW w:w="4700" w:type="dxa"/>
            <w:vAlign w:val="bottom"/>
          </w:tcPr>
          <w:p>
            <w:pPr>
              <w:ind w:left="320"/>
              <w:spacing w:after="0"/>
              <w:rPr>
                <w:sz w:val="20"/>
                <w:szCs w:val="20"/>
                <w:color w:val="auto"/>
              </w:rPr>
            </w:pPr>
            <w:r>
              <w:rPr>
                <w:rFonts w:ascii="Arial" w:cs="Arial" w:eastAsia="Arial" w:hAnsi="Arial"/>
                <w:sz w:val="18"/>
                <w:szCs w:val="18"/>
                <w:color w:val="auto"/>
                <w:w w:val="88"/>
              </w:rPr>
              <w:t>Organization and Ownership Shares of Subsidiaries; Affiliates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5.05</w:t>
            </w:r>
          </w:p>
        </w:tc>
        <w:tc>
          <w:tcPr>
            <w:tcW w:w="4700" w:type="dxa"/>
            <w:vAlign w:val="bottom"/>
          </w:tcPr>
          <w:p>
            <w:pPr>
              <w:ind w:left="320"/>
              <w:spacing w:after="0"/>
              <w:rPr>
                <w:sz w:val="20"/>
                <w:szCs w:val="20"/>
                <w:color w:val="auto"/>
              </w:rPr>
            </w:pPr>
            <w:r>
              <w:rPr>
                <w:rFonts w:ascii="Arial" w:cs="Arial" w:eastAsia="Arial" w:hAnsi="Arial"/>
                <w:sz w:val="18"/>
                <w:szCs w:val="18"/>
                <w:color w:val="auto"/>
              </w:rPr>
              <w:t>Financial Statements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5.08</w:t>
            </w:r>
          </w:p>
        </w:tc>
        <w:tc>
          <w:tcPr>
            <w:tcW w:w="4700" w:type="dxa"/>
            <w:vAlign w:val="bottom"/>
          </w:tcPr>
          <w:p>
            <w:pPr>
              <w:ind w:left="320"/>
              <w:spacing w:after="0"/>
              <w:rPr>
                <w:sz w:val="20"/>
                <w:szCs w:val="20"/>
                <w:color w:val="auto"/>
              </w:rPr>
            </w:pPr>
            <w:r>
              <w:rPr>
                <w:rFonts w:ascii="Arial" w:cs="Arial" w:eastAsia="Arial" w:hAnsi="Arial"/>
                <w:sz w:val="18"/>
                <w:szCs w:val="18"/>
                <w:color w:val="auto"/>
                <w:w w:val="92"/>
              </w:rPr>
              <w:t>Litigation; Observance of Agreements, Statutes and Orders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5.11</w:t>
            </w:r>
          </w:p>
        </w:tc>
        <w:tc>
          <w:tcPr>
            <w:tcW w:w="4700" w:type="dxa"/>
            <w:vAlign w:val="bottom"/>
          </w:tcPr>
          <w:p>
            <w:pPr>
              <w:ind w:left="320"/>
              <w:spacing w:after="0"/>
              <w:rPr>
                <w:sz w:val="20"/>
                <w:szCs w:val="20"/>
                <w:color w:val="auto"/>
              </w:rPr>
            </w:pPr>
            <w:r>
              <w:rPr>
                <w:rFonts w:ascii="Arial" w:cs="Arial" w:eastAsia="Arial" w:hAnsi="Arial"/>
                <w:sz w:val="18"/>
                <w:szCs w:val="18"/>
                <w:color w:val="auto"/>
              </w:rPr>
              <w:t>Licenses, Permits, etc.</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5.15</w:t>
            </w:r>
          </w:p>
        </w:tc>
        <w:tc>
          <w:tcPr>
            <w:tcW w:w="4700" w:type="dxa"/>
            <w:vAlign w:val="bottom"/>
          </w:tcPr>
          <w:p>
            <w:pPr>
              <w:ind w:left="320"/>
              <w:spacing w:after="0"/>
              <w:rPr>
                <w:sz w:val="20"/>
                <w:szCs w:val="20"/>
                <w:color w:val="auto"/>
              </w:rPr>
            </w:pPr>
            <w:r>
              <w:rPr>
                <w:rFonts w:ascii="Arial" w:cs="Arial" w:eastAsia="Arial" w:hAnsi="Arial"/>
                <w:sz w:val="18"/>
                <w:szCs w:val="18"/>
                <w:color w:val="auto"/>
              </w:rPr>
              <w:t>Existing Indebtedness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5.17</w:t>
            </w:r>
          </w:p>
        </w:tc>
        <w:tc>
          <w:tcPr>
            <w:tcW w:w="4700" w:type="dxa"/>
            <w:vAlign w:val="bottom"/>
          </w:tcPr>
          <w:p>
            <w:pPr>
              <w:ind w:left="320"/>
              <w:spacing w:after="0"/>
              <w:rPr>
                <w:sz w:val="20"/>
                <w:szCs w:val="20"/>
                <w:color w:val="auto"/>
              </w:rPr>
            </w:pPr>
            <w:r>
              <w:rPr>
                <w:rFonts w:ascii="Arial" w:cs="Arial" w:eastAsia="Arial" w:hAnsi="Arial"/>
                <w:sz w:val="18"/>
                <w:szCs w:val="18"/>
                <w:color w:val="auto"/>
              </w:rPr>
              <w:t>Status under Certain Statutes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7.03</w:t>
            </w:r>
          </w:p>
        </w:tc>
        <w:tc>
          <w:tcPr>
            <w:tcW w:w="4700" w:type="dxa"/>
            <w:vAlign w:val="bottom"/>
          </w:tcPr>
          <w:p>
            <w:pPr>
              <w:ind w:left="320"/>
              <w:spacing w:after="0"/>
              <w:rPr>
                <w:sz w:val="20"/>
                <w:szCs w:val="20"/>
                <w:color w:val="auto"/>
              </w:rPr>
            </w:pPr>
            <w:r>
              <w:rPr>
                <w:rFonts w:ascii="Arial" w:cs="Arial" w:eastAsia="Arial" w:hAnsi="Arial"/>
                <w:sz w:val="18"/>
                <w:szCs w:val="18"/>
                <w:color w:val="auto"/>
              </w:rPr>
              <w:t>Liens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10.02</w:t>
            </w:r>
          </w:p>
        </w:tc>
        <w:tc>
          <w:tcPr>
            <w:tcW w:w="4700" w:type="dxa"/>
            <w:vAlign w:val="bottom"/>
          </w:tcPr>
          <w:p>
            <w:pPr>
              <w:ind w:left="320"/>
              <w:spacing w:after="0"/>
              <w:rPr>
                <w:sz w:val="20"/>
                <w:szCs w:val="20"/>
                <w:color w:val="auto"/>
              </w:rPr>
            </w:pPr>
            <w:r>
              <w:rPr>
                <w:rFonts w:ascii="Arial" w:cs="Arial" w:eastAsia="Arial" w:hAnsi="Arial"/>
                <w:sz w:val="18"/>
                <w:szCs w:val="18"/>
                <w:color w:val="auto"/>
                <w:w w:val="90"/>
              </w:rPr>
              <w:t>Administrative Agent’s Office; Certain Addresses for Notices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74"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2760" w:hanging="1037"/>
        <w:spacing w:after="0"/>
        <w:tabs>
          <w:tab w:leader="none" w:pos="27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Request for Credit Extension</w:t>
      </w:r>
    </w:p>
    <w:p>
      <w:pPr>
        <w:spacing w:after="0" w:line="15" w:lineRule="exact"/>
        <w:rPr>
          <w:sz w:val="20"/>
          <w:szCs w:val="20"/>
          <w:color w:val="auto"/>
        </w:rPr>
      </w:pPr>
    </w:p>
    <w:p>
      <w:pPr>
        <w:ind w:left="2760" w:hanging="1037"/>
        <w:spacing w:after="0"/>
        <w:tabs>
          <w:tab w:leader="none" w:pos="27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C-1</w:t>
            </w:r>
          </w:p>
        </w:tc>
        <w:tc>
          <w:tcPr>
            <w:tcW w:w="7200" w:type="dxa"/>
            <w:vAlign w:val="bottom"/>
          </w:tcPr>
          <w:p>
            <w:pPr>
              <w:ind w:left="380"/>
              <w:spacing w:after="0"/>
              <w:rPr>
                <w:sz w:val="20"/>
                <w:szCs w:val="20"/>
                <w:color w:val="auto"/>
              </w:rPr>
            </w:pPr>
            <w:r>
              <w:rPr>
                <w:rFonts w:ascii="Arial" w:cs="Arial" w:eastAsia="Arial" w:hAnsi="Arial"/>
                <w:sz w:val="18"/>
                <w:szCs w:val="18"/>
                <w:color w:val="auto"/>
              </w:rPr>
              <w:t>Opinion of Internal Counsel to the Company and Holdings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C-2</w:t>
            </w:r>
          </w:p>
        </w:tc>
        <w:tc>
          <w:tcPr>
            <w:tcW w:w="7200" w:type="dxa"/>
            <w:vAlign w:val="bottom"/>
          </w:tcPr>
          <w:p>
            <w:pPr>
              <w:ind w:left="380"/>
              <w:spacing w:after="0"/>
              <w:rPr>
                <w:sz w:val="20"/>
                <w:szCs w:val="20"/>
                <w:color w:val="auto"/>
              </w:rPr>
            </w:pPr>
            <w:r>
              <w:rPr>
                <w:rFonts w:ascii="Arial" w:cs="Arial" w:eastAsia="Arial" w:hAnsi="Arial"/>
                <w:sz w:val="18"/>
                <w:szCs w:val="18"/>
                <w:color w:val="auto"/>
                <w:w w:val="97"/>
              </w:rPr>
              <w:t>Opinion of Morrison &amp; Foerster LLP, counsel to the Administrative Agent and the Issuer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C-3</w:t>
            </w:r>
          </w:p>
        </w:tc>
        <w:tc>
          <w:tcPr>
            <w:tcW w:w="7200" w:type="dxa"/>
            <w:vAlign w:val="bottom"/>
          </w:tcPr>
          <w:p>
            <w:pPr>
              <w:ind w:left="380"/>
              <w:spacing w:after="0"/>
              <w:rPr>
                <w:sz w:val="20"/>
                <w:szCs w:val="20"/>
                <w:color w:val="auto"/>
              </w:rPr>
            </w:pPr>
            <w:r>
              <w:rPr>
                <w:rFonts w:ascii="Arial" w:cs="Arial" w:eastAsia="Arial" w:hAnsi="Arial"/>
                <w:sz w:val="18"/>
                <w:szCs w:val="18"/>
                <w:color w:val="auto"/>
                <w:w w:val="89"/>
              </w:rPr>
              <w:t>Opinion of Assistant General Counsel of Bank of America Legal Department, internal counsel to</w:t>
            </w:r>
          </w:p>
        </w:tc>
      </w:tr>
      <w:tr>
        <w:trPr>
          <w:trHeight w:val="216"/>
        </w:trPr>
        <w:tc>
          <w:tcPr>
            <w:tcW w:w="660" w:type="dxa"/>
            <w:vAlign w:val="bottom"/>
          </w:tcPr>
          <w:p>
            <w:pPr>
              <w:spacing w:after="0"/>
              <w:rPr>
                <w:sz w:val="18"/>
                <w:szCs w:val="18"/>
                <w:color w:val="auto"/>
              </w:rPr>
            </w:pPr>
          </w:p>
        </w:tc>
        <w:tc>
          <w:tcPr>
            <w:tcW w:w="7200" w:type="dxa"/>
            <w:vAlign w:val="bottom"/>
          </w:tcPr>
          <w:p>
            <w:pPr>
              <w:ind w:left="380"/>
              <w:spacing w:after="0"/>
              <w:rPr>
                <w:sz w:val="20"/>
                <w:szCs w:val="20"/>
                <w:color w:val="auto"/>
              </w:rPr>
            </w:pPr>
            <w:r>
              <w:rPr>
                <w:rFonts w:ascii="Arial" w:cs="Arial" w:eastAsia="Arial" w:hAnsi="Arial"/>
                <w:sz w:val="18"/>
                <w:szCs w:val="18"/>
                <w:color w:val="auto"/>
              </w:rPr>
              <w:t>the Administrative Agent and the Issuer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C-4</w:t>
            </w:r>
          </w:p>
        </w:tc>
        <w:tc>
          <w:tcPr>
            <w:tcW w:w="7200" w:type="dxa"/>
            <w:vAlign w:val="bottom"/>
          </w:tcPr>
          <w:p>
            <w:pPr>
              <w:ind w:left="380"/>
              <w:spacing w:after="0"/>
              <w:rPr>
                <w:sz w:val="20"/>
                <w:szCs w:val="20"/>
                <w:color w:val="auto"/>
              </w:rPr>
            </w:pPr>
            <w:r>
              <w:rPr>
                <w:rFonts w:ascii="Arial" w:cs="Arial" w:eastAsia="Arial" w:hAnsi="Arial"/>
                <w:sz w:val="18"/>
                <w:szCs w:val="18"/>
                <w:color w:val="auto"/>
              </w:rPr>
              <w:t>Opinion of Special Counsel to the Lenders</w:t>
            </w:r>
          </w:p>
        </w:tc>
      </w:tr>
    </w:tbl>
    <w:p>
      <w:pPr>
        <w:ind w:left="2760" w:hanging="1037"/>
        <w:spacing w:after="0"/>
        <w:tabs>
          <w:tab w:leader="none" w:pos="27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Letter of Credit Linked Note</w:t>
      </w:r>
    </w:p>
    <w:p>
      <w:pPr>
        <w:spacing w:after="0" w:line="9" w:lineRule="exact"/>
        <w:rPr>
          <w:sz w:val="20"/>
          <w:szCs w:val="20"/>
          <w:color w:val="auto"/>
        </w:rPr>
      </w:pPr>
    </w:p>
    <w:p>
      <w:pPr>
        <w:ind w:left="2760" w:hanging="1037"/>
        <w:spacing w:after="0"/>
        <w:tabs>
          <w:tab w:leader="none" w:pos="27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Request for Term Loans</w:t>
      </w:r>
    </w:p>
    <w:p>
      <w:pPr>
        <w:spacing w:after="0" w:line="9" w:lineRule="exact"/>
        <w:rPr>
          <w:sz w:val="20"/>
          <w:szCs w:val="20"/>
          <w:color w:val="auto"/>
        </w:rPr>
      </w:pPr>
    </w:p>
    <w:p>
      <w:pPr>
        <w:ind w:left="2760" w:hanging="1037"/>
        <w:spacing w:after="0"/>
        <w:tabs>
          <w:tab w:leader="none" w:pos="27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Term Note</w:t>
      </w:r>
    </w:p>
    <w:p>
      <w:pPr>
        <w:spacing w:after="0" w:line="9" w:lineRule="exact"/>
        <w:rPr>
          <w:sz w:val="20"/>
          <w:szCs w:val="20"/>
          <w:color w:val="auto"/>
        </w:rPr>
      </w:pPr>
    </w:p>
    <w:p>
      <w:pPr>
        <w:ind w:left="2760" w:hanging="1037"/>
        <w:spacing w:after="0"/>
        <w:tabs>
          <w:tab w:leader="none" w:pos="27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Money Market Account Agreement</w:t>
      </w:r>
    </w:p>
    <w:p>
      <w:pPr>
        <w:spacing w:after="0" w:line="9" w:lineRule="exact"/>
        <w:rPr>
          <w:sz w:val="20"/>
          <w:szCs w:val="20"/>
          <w:color w:val="auto"/>
        </w:rPr>
      </w:pPr>
    </w:p>
    <w:p>
      <w:pPr>
        <w:ind w:left="2760" w:hanging="1037"/>
        <w:spacing w:after="0"/>
        <w:tabs>
          <w:tab w:leader="none" w:pos="27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Term Note Opinion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6" w:name="page277"/>
    <w:bookmarkEnd w:id="276"/>
    <w:p>
      <w:pPr>
        <w:jc w:val="center"/>
        <w:ind w:right="-99"/>
        <w:spacing w:after="0"/>
        <w:rPr>
          <w:sz w:val="20"/>
          <w:szCs w:val="20"/>
          <w:color w:val="auto"/>
        </w:rPr>
      </w:pPr>
      <w:r>
        <w:rPr>
          <w:rFonts w:ascii="Arial" w:cs="Arial" w:eastAsia="Arial" w:hAnsi="Arial"/>
          <w:sz w:val="18"/>
          <w:szCs w:val="18"/>
          <w:b w:val="1"/>
          <w:bCs w:val="1"/>
          <w:color w:val="auto"/>
        </w:rPr>
        <w:t>SEVEN YEAR LETTER OF CREDIT AND TERM LOAN AGREEMENT</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This SEVEN YEAR LETTER OF CREDIT AND TERM LOAN AGREEMENT (“Agreement”) is entered into as of June 30, 2003, among WASTE MANAGEMENT, INC., a Delaware corporation (the “Company”), WASTE MANAGEMENT HOLDINGS, INC., a Delaware corporation and wholly-owned Subsidiary of the Company (“Holdings”) (executing this Agreement for the limited purposes set forth in Article XI hereof), BANK OF AMERICA, N.A., as issuer of letters of credit (the “Issuer”), the financial institutions having a Credit-Linked Deposit set forth opposite their names on Schedule 2.01 hereto under the heading “Credit-Linked Deposit” (collectively, the “Lenders” and individually, a “Lender”), and BANK OF AMERICA, N.A., as Administrative Agent.</w:t>
      </w:r>
    </w:p>
    <w:p>
      <w:pPr>
        <w:spacing w:after="0" w:line="170"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The Company has requested that the Issuer and the Lenders provide a letter of credit facility, and the Issuer and the Lenders are willing to do so on the terms and conditions set forth herein.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ACCOUNTING TERMS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Consolidated EBITDA” means for any period, the total of the following calculated without duplication on a consolidated basis for such period:</w:t>
      </w:r>
    </w:p>
    <w:p>
      <w:pPr>
        <w:spacing w:after="0" w:line="38" w:lineRule="exact"/>
        <w:rPr>
          <w:sz w:val="20"/>
          <w:szCs w:val="20"/>
          <w:color w:val="auto"/>
        </w:rPr>
      </w:pPr>
    </w:p>
    <w:p>
      <w:pPr>
        <w:ind w:firstLine="8"/>
        <w:spacing w:after="0" w:line="287" w:lineRule="auto"/>
        <w:tabs>
          <w:tab w:leader="none" w:pos="21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Consolidated EBITDA, plus (ii) on a pro forma basis, the EBITDA of each Person acquired, or, as applicable, the EBITDA attributable to the assets acquired from any Person, by the Company or any Restricted Subsidiary in the subject period, for any portion of such subject period occurring prior to the date of the acquisition by the Company or any Restricted Subsidiary of such Person or related assets; provided, further, that any calculation pursuant to clause (ii) above of pro forma EBITDA for any subject period which gives effect to asset acquisitions and/or stock purchases during the subject period on a pro forma basis as provided above shall in any event be determined by the Company in accordance with sound financial practice in accordance with GAAP and on the basis, to the extent available, of appropriate financial statements and tax returns for the applicable period, and shall be set forth in a certificate of a Senior Financial Officer of the Company accompanied by calculations in reasonable detail showing the manner of determination thereof, which certificate shall be furnished to the Administrative Agent, the Issuer and each Lender not later than the certificate required to be furnished by the Company in respect of the fiscal period in which such date of determination occurs pursuant to Section 6.02 of this Agreement.</w:t>
      </w:r>
    </w:p>
    <w:p>
      <w:pPr>
        <w:spacing w:after="0" w:line="174"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“Administrative Agent” means Bank of America in its capacity as administrative agent under any of the Credit Documents, or any successor administrative agent.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Agent’s Office” means the Administrative Agent’s address and,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77" w:name="page278"/>
    <w:bookmarkEnd w:id="277"/>
    <w:p>
      <w:pPr>
        <w:ind w:right="140"/>
        <w:spacing w:after="0" w:line="268" w:lineRule="auto"/>
        <w:rPr>
          <w:sz w:val="20"/>
          <w:szCs w:val="20"/>
          <w:color w:val="auto"/>
        </w:rPr>
      </w:pPr>
      <w:r>
        <w:rPr>
          <w:rFonts w:ascii="Arial" w:cs="Arial" w:eastAsia="Arial" w:hAnsi="Arial"/>
          <w:sz w:val="18"/>
          <w:szCs w:val="18"/>
          <w:color w:val="auto"/>
        </w:rPr>
        <w:t>appropriate, account as set forth on Schedule 10.02, or such other address or account as the Administrative Agent may from time to time specify by notice to the Company, the Issuer and the Lenders.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Questionnaire” means an Administrative Questionnaire in a form supplied by the Administrative Agent.</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“Advance” means, with respect to each Lender, such Lender’s funding of its participation in any Borrowing (other than Term Loans) in accordance with its Pro Rata Share.</w:t>
      </w:r>
    </w:p>
    <w:p>
      <w:pPr>
        <w:spacing w:after="0" w:line="186" w:lineRule="exact"/>
        <w:rPr>
          <w:sz w:val="20"/>
          <w:szCs w:val="20"/>
          <w:color w:val="auto"/>
        </w:rPr>
      </w:pPr>
    </w:p>
    <w:p>
      <w:pPr>
        <w:ind w:right="80" w:firstLine="220"/>
        <w:spacing w:after="0" w:line="288" w:lineRule="auto"/>
        <w:rPr>
          <w:sz w:val="20"/>
          <w:szCs w:val="20"/>
          <w:color w:val="auto"/>
        </w:rPr>
      </w:pPr>
      <w:r>
        <w:rPr>
          <w:rFonts w:ascii="Arial" w:cs="Arial" w:eastAsia="Arial" w:hAnsi="Arial"/>
          <w:sz w:val="16"/>
          <w:szCs w:val="16"/>
          <w:color w:val="auto"/>
        </w:rPr>
        <w:t>“Affiliate” means, at any time, (a) with respect to the Company and each of its Restricted Subsidiaries, any Person (other than the Company and each of its Restricted Subsidiaries) that at such time directly or indirectly through one or more intermediaries Controls, or is Controlled by, or is under common Control with, the Company, (b) with respect to any Person (other than the Company and each of its Restricted Subsidiaries), any other Person that at such time directly or indirectly through one or more intermediaries Controls, or is Controlled by, or is under common Control with, such first Person, and (c) any Person beneficially owning or holding, directly or indirectly, 10% or more of any class of voting or equity interests of the Company or any Subsidiary of the Company or any corporation of which the Company and its Subsidiaries beneficially own or hold, in the aggregate, directly or indirectly, 10%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Indemnified Liabilities” has the meaning specified in Section 9.07.</w:t>
      </w:r>
    </w:p>
    <w:p>
      <w:pPr>
        <w:spacing w:after="0" w:line="225"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“Agent-Related Persons” means the Administrative Agent or the Issuer, together with its Affiliates (including, in the case of Bank of America in its capacity as the Administrative Agent, BAS), and the officers, directors, employees, agents and attorneys-in-fact of such Persons and Affiliates.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“Agreement” means this Seven Year Letter of Credit and Term Loan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Rate” has the meaning set forth on Schedule A annexed hereto.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“Arranger” means BAS, in its capacity as sole lead arranger and sole book manager.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“Assignment and Assumption” means an Assignment and Assumption substantially in the form of Exhibit 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“Attorney Costs” means and includes all fees, expenses and disbursements of any law firm or other external counsel.</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“Audited Financial Statements” means the audited consolidated balance sheet of the Company and its Subsidiaries for the fiscal year ended December 31, 2002, and the related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78" w:name="page279"/>
    <w:bookmarkEnd w:id="278"/>
    <w:p>
      <w:pPr>
        <w:ind w:right="20"/>
        <w:spacing w:after="0" w:line="268" w:lineRule="auto"/>
        <w:rPr>
          <w:sz w:val="20"/>
          <w:szCs w:val="20"/>
          <w:color w:val="auto"/>
        </w:rPr>
      </w:pPr>
      <w:r>
        <w:rPr>
          <w:rFonts w:ascii="Arial" w:cs="Arial" w:eastAsia="Arial" w:hAnsi="Arial"/>
          <w:sz w:val="18"/>
          <w:szCs w:val="18"/>
          <w:color w:val="auto"/>
        </w:rPr>
        <w:t>consolidated statements of income or operations, shareholders’ equity and cash flows for such fiscal year of the Company and its Subsidiaries, including the notes thereto.</w:t>
      </w:r>
    </w:p>
    <w:p>
      <w:pPr>
        <w:spacing w:after="0" w:line="186"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“Authorized Representative” means any employee of a Credit Party involved principally in the financial administration, controllership or treasury function of such Credit Party who is authorized or designated as an Authorized Representative, as evidenced by the certificate delivered pursuant to Section 4.01(a)(iv) or from time to time by a certificate delivered by a Senior Financial Officer of such Credit Party to the Administrative Agent in form and substance satisfactory to it. Any document delivered hereunder that is signed by an Authorized Representative of a Credit Party shall be conclusively presumed to have been authorized by all necessary corporate action on the part of such Credit Party and such Authorized Representative shall be conclusively presumed to have acted on behalf of such Credit Party.</w:t>
      </w:r>
    </w:p>
    <w:p>
      <w:pPr>
        <w:spacing w:after="0" w:line="198"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“Auto-Reinstating Credit” means any Credit containing any provisions providing for automatic reinstatement of the stated amount after any drawing thereunder.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“Auto-Renewal Credit” has the meaning specified in Section 2.01(b)(iii).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“Bank of America” means Bank of America, N.A. and its successors.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 means Banc of America Securities LLC.</w:t>
      </w:r>
    </w:p>
    <w:p>
      <w:pPr>
        <w:spacing w:after="0" w:line="225" w:lineRule="exact"/>
        <w:rPr>
          <w:sz w:val="20"/>
          <w:szCs w:val="20"/>
          <w:color w:val="auto"/>
        </w:rPr>
      </w:pPr>
    </w:p>
    <w:p>
      <w:pPr>
        <w:ind w:right="180" w:firstLine="220"/>
        <w:spacing w:after="0" w:line="294" w:lineRule="auto"/>
        <w:rPr>
          <w:sz w:val="20"/>
          <w:szCs w:val="20"/>
          <w:color w:val="auto"/>
        </w:rPr>
      </w:pPr>
      <w:r>
        <w:rPr>
          <w:rFonts w:ascii="Arial" w:cs="Arial" w:eastAsia="Arial" w:hAnsi="Arial"/>
          <w:sz w:val="16"/>
          <w:szCs w:val="16"/>
          <w:color w:val="auto"/>
        </w:rPr>
        <w:t>“Base Rate” means for any day a fluctuating rate per annum equal to the higher of (a) the Federal Funds Rate plus 1/2 of 1% and (b) the rate of interest in effect for such day as publicly announced from time to time by Bank of America as its “prime rate.” Such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“Beneficial Ownership” has the meaning set forth in Rule 13d-3 promulgated by the SEC under the Securities Exchange Act.</w:t>
      </w:r>
    </w:p>
    <w:p>
      <w:pPr>
        <w:spacing w:after="0" w:line="225"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“Borrowing” means, without duplication, an extension of credit resulting from a drawing under any Credit which has not been reimbursed on the applicable Reimbursement Date, including the making of Advances, or the making of a Term Loan, as the context may require.</w:t>
      </w:r>
    </w:p>
    <w:p>
      <w:pPr>
        <w:spacing w:after="0" w:line="186"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“Business Day” means any day other than a Saturday, Sunday or other day on which commercial banks are authorized to close under the Laws of, or are in fact closed in, New York or Dallas, or (if the Administrative Agent’s Office is not located in New York or Dallas) the state where the Administrative Agent’s Office is located, and, if such day relates to the Credit-Linked Deposit Account or any LIBO Rate Term Loan or LIBO Rate Advance, means any such day on which dealings in Dollar deposits are conducted by and between banks in the London interbank eurodollar market.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“Capital Leases” or “Capitalized Leases” means leases under which the Company or 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79" w:name="page280"/>
    <w:bookmarkEnd w:id="279"/>
    <w:p>
      <w:pPr>
        <w:ind w:right="140"/>
        <w:spacing w:after="0" w:line="268" w:lineRule="auto"/>
        <w:rPr>
          <w:sz w:val="20"/>
          <w:szCs w:val="20"/>
          <w:color w:val="auto"/>
        </w:rPr>
      </w:pPr>
      <w:r>
        <w:rPr>
          <w:rFonts w:ascii="Arial" w:cs="Arial" w:eastAsia="Arial" w:hAnsi="Arial"/>
          <w:sz w:val="18"/>
          <w:szCs w:val="18"/>
          <w:color w:val="auto"/>
        </w:rPr>
        <w:t>of its Restricted Subsidiaries is the lessee or obligor, the discounted future rental payments under which are required to be capitalized on the balance sheet of the lessee or obligor in accordance with GAAP.</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 has the meaning specified in Section 2.02.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Collateralize” has the meaning specified in Section 2.02.</w:t>
      </w:r>
    </w:p>
    <w:p>
      <w:pPr>
        <w:spacing w:after="0" w:line="225"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“Closing Date” means the first date all the conditions precedent in Section 4.01 are satisfied or waived in accordance with Section 4.01 (or, in the case of Section 4.01(b), waived by the Person entitled to receive the applicable payment).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“Code” means the Internal Revenue Code of 1986, as amended from time to time, and the rules and regulations promulgated thereunder from time to time.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“Company” has the meaning specified in the introductory paragraph hereto.</w:t>
      </w:r>
    </w:p>
    <w:p>
      <w:pPr>
        <w:spacing w:after="0" w:line="225"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color w:val="auto"/>
        </w:rPr>
        <w:t>“Consolidated Debt” means, as of any date of determination, the total of all Indebtedness of the Company and its Restricted Subsidiaries determined on a consolidated basis in accordance with GAAP.</w:t>
      </w:r>
    </w:p>
    <w:p>
      <w:pPr>
        <w:spacing w:after="0" w:line="186" w:lineRule="exact"/>
        <w:rPr>
          <w:sz w:val="20"/>
          <w:szCs w:val="20"/>
          <w:color w:val="auto"/>
        </w:rPr>
      </w:pPr>
    </w:p>
    <w:p>
      <w:pPr>
        <w:ind w:right="180" w:firstLine="220"/>
        <w:spacing w:after="0" w:line="256" w:lineRule="auto"/>
        <w:rPr>
          <w:sz w:val="20"/>
          <w:szCs w:val="20"/>
          <w:color w:val="auto"/>
        </w:rPr>
      </w:pPr>
      <w:r>
        <w:rPr>
          <w:rFonts w:ascii="Arial" w:cs="Arial" w:eastAsia="Arial" w:hAnsi="Arial"/>
          <w:sz w:val="18"/>
          <w:szCs w:val="18"/>
          <w:color w:val="auto"/>
        </w:rPr>
        <w:t>“Consolidated EBITDA” means, for any period, Consolidated Net Income or Consolidated Net Loss, as the case may be, for such period, plus the sum of (a) interest expense; (b) income tax expense; (c) depletion and depreciation expense; and (d) amortization expense; in each case, which were deductible in determining Consolidated Net Income or Consolidated Net Loss for such period, determined on a consolidated basis for the Company and its Restricted Subsidiaries in accordance with GAAP.</w:t>
      </w:r>
    </w:p>
    <w:p>
      <w:pPr>
        <w:spacing w:after="0" w:line="197"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“Consolidated Net Income or Consolidated Net Loss” means, respectively, for any period, the net income or loss for such period determined on a consolidated basis for the Company and its Restricted Subsidiaries in accordance with GAAP.</w:t>
      </w:r>
    </w:p>
    <w:p>
      <w:pPr>
        <w:spacing w:after="0" w:line="186" w:lineRule="exact"/>
        <w:rPr>
          <w:sz w:val="20"/>
          <w:szCs w:val="20"/>
          <w:color w:val="auto"/>
        </w:rPr>
      </w:pPr>
    </w:p>
    <w:p>
      <w:pPr>
        <w:ind w:right="520" w:firstLine="220"/>
        <w:spacing w:after="0" w:line="268" w:lineRule="auto"/>
        <w:rPr>
          <w:sz w:val="20"/>
          <w:szCs w:val="20"/>
          <w:color w:val="auto"/>
        </w:rPr>
      </w:pPr>
      <w:r>
        <w:rPr>
          <w:rFonts w:ascii="Arial" w:cs="Arial" w:eastAsia="Arial" w:hAnsi="Arial"/>
          <w:sz w:val="18"/>
          <w:szCs w:val="18"/>
          <w:color w:val="auto"/>
        </w:rPr>
        <w:t>“Consolidated Net Worth” means, as of any date of determination, the consolidated stockholders’ equity of the Company and its Restricted Subsidiaries (excluding any amounts attributable to mandatorily redeemable Preferred Stock) determined as of such date.</w:t>
      </w:r>
    </w:p>
    <w:p>
      <w:pPr>
        <w:spacing w:after="0" w:line="186" w:lineRule="exact"/>
        <w:rPr>
          <w:sz w:val="20"/>
          <w:szCs w:val="20"/>
          <w:color w:val="auto"/>
        </w:rPr>
      </w:pPr>
    </w:p>
    <w:p>
      <w:pPr>
        <w:ind w:right="300" w:firstLine="220"/>
        <w:spacing w:after="0" w:line="332" w:lineRule="auto"/>
        <w:rPr>
          <w:sz w:val="20"/>
          <w:szCs w:val="20"/>
          <w:color w:val="auto"/>
        </w:rPr>
      </w:pPr>
      <w:r>
        <w:rPr>
          <w:rFonts w:ascii="Arial" w:cs="Arial" w:eastAsia="Arial" w:hAnsi="Arial"/>
          <w:sz w:val="16"/>
          <w:szCs w:val="16"/>
          <w:color w:val="auto"/>
        </w:rPr>
        <w:t>“Consolidated Tangible Assets” means, as of any date of determination, Consolidated Total Assets less the sum of (i) Intangible Assets and (ii) all amounts representing write-up in the book value of any assets of the Company and its Restricted Subsidiaries resulting from a revaluation thereof.</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“Consolidated Total Assets” means all assets of the Company and its Restricted Subsidiaries determined on a consolidated basis in accordance with GAAP.</w:t>
      </w:r>
    </w:p>
    <w:p>
      <w:pPr>
        <w:spacing w:after="0" w:line="248"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“Credit” means any standby letter of credit issued or outstanding hereunder (including a so-called “direct pay” standby letter of credit) that is a Permitted Credit and shall include the Existing Credits.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0" w:name="page281"/>
    <w:bookmarkEnd w:id="280"/>
    <w:p>
      <w:pPr>
        <w:ind w:right="280" w:firstLine="220"/>
        <w:spacing w:after="0" w:line="256" w:lineRule="auto"/>
        <w:rPr>
          <w:sz w:val="20"/>
          <w:szCs w:val="20"/>
          <w:color w:val="auto"/>
        </w:rPr>
      </w:pPr>
      <w:r>
        <w:rPr>
          <w:rFonts w:ascii="Arial" w:cs="Arial" w:eastAsia="Arial" w:hAnsi="Arial"/>
          <w:sz w:val="18"/>
          <w:szCs w:val="18"/>
          <w:color w:val="auto"/>
        </w:rPr>
        <w:t>“Credit Documents” means this Agreement, the Fee Letter, each Request for Credit Extension, each Issuer Document, each Request for Term Loan, each Letter of Credit Linked Note and each Term Note and each other document, instrument or agreement from time to time executed by the Company or any of its Subsidiaries, Holdings, or any secretary, assistant secretary, Responsible Officer or Authorized Representative thereof and delivered in connection with this Agreement.</w:t>
      </w:r>
    </w:p>
    <w:p>
      <w:pPr>
        <w:spacing w:after="0" w:line="197"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“Credit Expiration Date” means the day that is seven (7) Business Days prior to the Maturity Date (or, if such day is not a Business Day, the next preceding Business Day).</w:t>
      </w:r>
    </w:p>
    <w:p>
      <w:pPr>
        <w:spacing w:after="0" w:line="186"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“Credit Extension” means, (a) with respect to any Credit, the issuance thereof or extension of the expiry date thereof, or the renewal, reinstatement or increase of the amount thereof and (b) the making of any Term Loans.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“Credit-Linked Deposit” shall have the meaning specified in Section 2.01(c)(ii).</w:t>
      </w:r>
    </w:p>
    <w:p>
      <w:pPr>
        <w:spacing w:after="0" w:line="225" w:lineRule="exact"/>
        <w:rPr>
          <w:sz w:val="20"/>
          <w:szCs w:val="20"/>
          <w:color w:val="auto"/>
        </w:rPr>
      </w:pPr>
    </w:p>
    <w:p>
      <w:pPr>
        <w:ind w:right="60" w:firstLine="220"/>
        <w:spacing w:after="0" w:line="298" w:lineRule="auto"/>
        <w:rPr>
          <w:sz w:val="20"/>
          <w:szCs w:val="20"/>
          <w:color w:val="auto"/>
        </w:rPr>
      </w:pPr>
      <w:r>
        <w:rPr>
          <w:rFonts w:ascii="Arial" w:cs="Arial" w:eastAsia="Arial" w:hAnsi="Arial"/>
          <w:sz w:val="16"/>
          <w:szCs w:val="16"/>
          <w:color w:val="auto"/>
        </w:rPr>
        <w:t>“Credit-Linked Deposit Account” shall mean the deposit account established by the Administrative Agent in its name and under its sole and exclusive control maintained at the office of Bank of America at its principal office in Chicago, Illinois, designated as the “Bank of America N.A. as Administrative Agent Waste Management Inc Seven Year LOC Facility Lender Credit Linked Notes Dep Acct Treasury” that shall be used solely for the purposes set forth in Sections 2.01(c) (ii) and (iii) and in Section 2.03(b)(iii), or such successor account established pursuant to Section 10.19 of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“Credit-Linked Lenders” means the Lenders under this Agreement and the lenders under the Ten Year Agreement and the Five Year Agreement.</w:t>
      </w:r>
    </w:p>
    <w:p>
      <w:pPr>
        <w:spacing w:after="0" w:line="248"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“Credit Obligations” means, without duplication, as at any date of determination, the aggregate undrawn face amount of all outstanding Credits plus the aggregate amount of all Unreimbursed Amounts in respect of any Credits, and, without duplication, all outstanding Borrowings arising from any Credits, plus the aggregate amount of the Term Loans. For all purposes of this Agreement, if on any date of determination a Credit has expired by its terms but any amount may still be drawn thereunder by reason of the operation of Rule 3.14 of the ISP, such Credit shall be deemed to be “outstanding” in the amount so remaining available to be drawn.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Parties” means, collectively, the Company and Holdings.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Rating Downgrade Event” has the meaning specified in Section 10.19(a)(i).</w:t>
      </w:r>
    </w:p>
    <w:p>
      <w:pPr>
        <w:spacing w:after="0" w:line="225"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“Default” means an event or condition the occurrence or existence of which would, with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t>the lapse of time or the giving of notice or both, become an Event of Default.</w:t>
      </w:r>
    </w:p>
    <w:p>
      <w:pPr>
        <w:spacing w:after="0" w:line="225" w:lineRule="exact"/>
        <w:rPr>
          <w:sz w:val="20"/>
          <w:szCs w:val="20"/>
          <w:color w:val="auto"/>
        </w:rPr>
      </w:pPr>
    </w:p>
    <w:p>
      <w:pPr>
        <w:ind w:right="500" w:firstLine="220"/>
        <w:spacing w:after="0" w:line="332" w:lineRule="auto"/>
        <w:rPr>
          <w:sz w:val="20"/>
          <w:szCs w:val="20"/>
          <w:color w:val="auto"/>
        </w:rPr>
      </w:pPr>
      <w:r>
        <w:rPr>
          <w:rFonts w:ascii="Arial" w:cs="Arial" w:eastAsia="Arial" w:hAnsi="Arial"/>
          <w:sz w:val="16"/>
          <w:szCs w:val="16"/>
          <w:color w:val="auto"/>
        </w:rPr>
        <w:t>“Default Rate” means (a) with respect to obligations other than Advances and Term Loans, the Base Rate plus 2.00% per annum, and (b) with respect to Advances and Term Loans, the LIBO Rate plus 3.00% per annum, in each case to the fullest extent permitted by applicable Laws.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“Deposit Account Interest Non-Payment Event” has the meaning specified in Section 10.19(a)(ii).</w:t>
      </w:r>
    </w:p>
    <w:p>
      <w:pPr>
        <w:spacing w:after="0" w:line="225" w:lineRule="exact"/>
        <w:rPr>
          <w:sz w:val="20"/>
          <w:szCs w:val="20"/>
          <w:color w:val="auto"/>
        </w:rPr>
      </w:pPr>
    </w:p>
    <w:p>
      <w:pPr>
        <w:ind w:right="240" w:firstLine="220"/>
        <w:spacing w:after="0" w:line="332" w:lineRule="auto"/>
        <w:rPr>
          <w:sz w:val="20"/>
          <w:szCs w:val="20"/>
          <w:color w:val="auto"/>
        </w:rPr>
      </w:pPr>
      <w:r>
        <w:rPr>
          <w:rFonts w:ascii="Arial" w:cs="Arial" w:eastAsia="Arial" w:hAnsi="Arial"/>
          <w:sz w:val="16"/>
          <w:szCs w:val="16"/>
          <w:color w:val="auto"/>
        </w:rPr>
        <w:t>“Disclosure Documents” means the Company’s financial statements referred to in Section 5.05 and filings made by the Company or Holdings with the SEC that were publicly available prior to the date of this Agreement and which were provided to the Issuer and the Lenders.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“Dollar” and “$” means lawful money of the United States.</w:t>
      </w:r>
    </w:p>
    <w:p>
      <w:pPr>
        <w:spacing w:after="0" w:line="225"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“EBITDA” means, (without duplication) with respect to any Person, division or business and with respect to any period, the sum of (i) (a) net income for such period from continuing operations after extraordinary items (excluding gains or losses from disposition of assets); (b) consolidated interest charges for such period; (c) the amount of taxes, based on or measured by income, used or included in the determination of such net income; (d) the amount of depreciation and amortization expense deducted in determining such net income; and (e) any extraordinary losses or non-recurring expenses not requiring the expenditure of cash decreasing net income for such period, minus (ii) any extraordinary gains or non-recurring items increasing net income for such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“Eligible Assignee” means any Institutional Investor.</w:t>
      </w:r>
    </w:p>
    <w:p>
      <w:pPr>
        <w:spacing w:after="0" w:line="225"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97"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“ERISA” means the Employee Retirement Income Security Act of 1974, as amended from time to time, and the rules and regulations promulgated thereunder from time to time in effect.</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“ERISA Affiliate” means any trade or business (whether or not incorporated) that is treated as a single employer together with the Company under Section 414 of the Code.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“Escalating Credit” means a Credit which provides for a face amount that increases from time to time in accordance with its terms.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“Event of Default” has the meaning specified in Section 8.01.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82" w:name="page283"/>
    <w:bookmarkEnd w:id="282"/>
    <w:p>
      <w:pPr>
        <w:ind w:left="220"/>
        <w:spacing w:after="0"/>
        <w:rPr>
          <w:sz w:val="20"/>
          <w:szCs w:val="20"/>
          <w:color w:val="auto"/>
        </w:rPr>
      </w:pPr>
      <w:r>
        <w:rPr>
          <w:rFonts w:ascii="Arial" w:cs="Arial" w:eastAsia="Arial" w:hAnsi="Arial"/>
          <w:sz w:val="18"/>
          <w:szCs w:val="18"/>
          <w:color w:val="auto"/>
        </w:rPr>
        <w:t>“Existing Credits” means the standby letters of credit listed on Schedule 1.01.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“Facility Fee” has the meaning specified in Section 2.05(a).</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“Federal Funds Rate”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“Fee Letter” has the meaning specified in Section 2.05(b).</w:t>
      </w:r>
    </w:p>
    <w:p>
      <w:pPr>
        <w:spacing w:after="0" w:line="225"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“Five Year Agreement” means the Five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Five Year Agreement) are paid in full and the Five Year Agreement is terminated, then this definition of “Five Year Agreement” shall no longer be applicable to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 Lender” has the meaning specified in Section 10.15(a).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“FRB” means the Board of Governors of the Federal Reserve System of the United States.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“Fronting Fee” has the meaning specified in Section 2.05(b).</w:t>
      </w:r>
    </w:p>
    <w:p>
      <w:pPr>
        <w:spacing w:after="0" w:line="225" w:lineRule="exact"/>
        <w:rPr>
          <w:sz w:val="20"/>
          <w:szCs w:val="20"/>
          <w:color w:val="auto"/>
        </w:rPr>
      </w:pPr>
    </w:p>
    <w:p>
      <w:pPr>
        <w:jc w:val="both"/>
        <w:ind w:right="440" w:firstLine="220"/>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as of the date of determination, consistently applied.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“Governmental Authority” means</w:t>
      </w:r>
    </w:p>
    <w:p>
      <w:pPr>
        <w:spacing w:after="0" w:line="225" w:lineRule="exact"/>
        <w:rPr>
          <w:sz w:val="20"/>
          <w:szCs w:val="20"/>
          <w:color w:val="auto"/>
        </w:rPr>
      </w:pPr>
    </w:p>
    <w:p>
      <w:pPr>
        <w:ind w:left="1000" w:hanging="421"/>
        <w:spacing w:after="0"/>
        <w:tabs>
          <w:tab w:leader="none" w:pos="10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government of</w:t>
      </w:r>
    </w:p>
    <w:p>
      <w:pPr>
        <w:spacing w:after="0" w:line="225" w:lineRule="exact"/>
        <w:rPr>
          <w:rFonts w:ascii="Arial" w:cs="Arial" w:eastAsia="Arial" w:hAnsi="Arial"/>
          <w:sz w:val="18"/>
          <w:szCs w:val="18"/>
          <w:color w:val="auto"/>
        </w:rPr>
      </w:pPr>
    </w:p>
    <w:p>
      <w:pPr>
        <w:ind w:left="1300" w:hanging="384"/>
        <w:spacing w:after="0"/>
        <w:tabs>
          <w:tab w:leader="none" w:pos="13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3" w:name="page284"/>
    <w:bookmarkEnd w:id="283"/>
    <w:p>
      <w:pPr>
        <w:ind w:left="700" w:right="600" w:firstLine="216"/>
        <w:spacing w:after="0" w:line="268" w:lineRule="auto"/>
        <w:tabs>
          <w:tab w:leader="none" w:pos="135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jurisdiction in which the Company or any Subsidiary conducts all or any part of its business, or which asserts jurisdiction over any properties of the Company or any Subsidiary, or</w:t>
      </w:r>
    </w:p>
    <w:p>
      <w:pPr>
        <w:spacing w:after="0" w:line="185" w:lineRule="exact"/>
        <w:rPr>
          <w:rFonts w:ascii="Arial" w:cs="Arial" w:eastAsia="Arial" w:hAnsi="Arial"/>
          <w:sz w:val="18"/>
          <w:szCs w:val="18"/>
          <w:color w:val="auto"/>
        </w:rPr>
      </w:pPr>
    </w:p>
    <w:p>
      <w:pPr>
        <w:ind w:left="1000" w:hanging="421"/>
        <w:spacing w:after="0"/>
        <w:tabs>
          <w:tab w:leader="none" w:pos="10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entity exercising executive, legislative, judicial, regulatory or administrative functions of, or pertaining to, any such government.</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“Guarantee” by any Person means any obligation, contingent or otherwise, of such Person directly or indirectly guaranteeing any Indebtedness of any other Person and, without limiting the generality of the foregoing, any obligation, direct or indirect, contingent or otherwise, of such Person (a) to purchase or pay (or advance or supply funds for the purchase or payment of) such Indebtedness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“Guaranteed Obligations” has the meaning specified in Section 11.01.</w:t>
      </w:r>
    </w:p>
    <w:p>
      <w:pPr>
        <w:spacing w:after="0" w:line="225"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“Hazardous Material” means any hazardous waste as defined by 42 U.S.C. §6903(5), any hazardous substance as defined by 42. U.S.C. §9601(14), any pollutant or contaminant as defined by 42 U.S.C. §9601(33) or any toxic substances, oil or other chemicals or substances regulated by the Environmental Laws, excluding household hazardous waste.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means Waste Management Holdings, Inc., a Delaware corporation and wholly-owned Subsidiary of the Company.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“Holdings Guaranty” means the meaning specified in Section 11.01.</w:t>
      </w:r>
    </w:p>
    <w:p>
      <w:pPr>
        <w:spacing w:after="0" w:line="225" w:lineRule="exact"/>
        <w:rPr>
          <w:sz w:val="20"/>
          <w:szCs w:val="20"/>
          <w:color w:val="auto"/>
        </w:rPr>
      </w:pPr>
    </w:p>
    <w:p>
      <w:pPr>
        <w:ind w:right="20" w:firstLine="220"/>
        <w:spacing w:after="0" w:line="283" w:lineRule="auto"/>
        <w:rPr>
          <w:sz w:val="20"/>
          <w:szCs w:val="20"/>
          <w:color w:val="auto"/>
        </w:rPr>
      </w:pPr>
      <w:r>
        <w:rPr>
          <w:rFonts w:ascii="Arial" w:cs="Arial" w:eastAsia="Arial" w:hAnsi="Arial"/>
          <w:sz w:val="16"/>
          <w:szCs w:val="16"/>
          <w:color w:val="auto"/>
        </w:rPr>
        <w:t>“Indebtedness” means,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under drawn surety or performance bonds, or any other drawn bonding arrangement,</w:t>
      </w:r>
    </w:p>
    <w:p>
      <w:pPr>
        <w:ind w:left="260" w:hanging="252"/>
        <w:spacing w:after="0"/>
        <w:tabs>
          <w:tab w:leader="none" w:pos="2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Guarantees with respect to all Indebtedness of others referred to in clauses (a) through (f) above, and (h) all Indebtedness of others referred to in clauses</w:t>
      </w:r>
    </w:p>
    <w:p>
      <w:pPr>
        <w:spacing w:after="0" w:line="32" w:lineRule="exact"/>
        <w:rPr>
          <w:rFonts w:ascii="Arial" w:cs="Arial" w:eastAsia="Arial" w:hAnsi="Arial"/>
          <w:sz w:val="16"/>
          <w:szCs w:val="16"/>
          <w:color w:val="auto"/>
        </w:rPr>
      </w:pPr>
    </w:p>
    <w:p>
      <w:pPr>
        <w:ind w:right="560" w:firstLine="8"/>
        <w:spacing w:after="0" w:line="261" w:lineRule="auto"/>
        <w:tabs>
          <w:tab w:leader="none" w:pos="23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through (f) above secured or supported by (or for which the holder of such Indebtedness has an existing right, contingent or otherwise, to be secured or supported by) any Lien on the property or assets of the Company or any Subsidiary,</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4" w:name="page285"/>
    <w:bookmarkEnd w:id="284"/>
    <w:p>
      <w:pPr>
        <w:ind w:right="20"/>
        <w:spacing w:after="0" w:line="256" w:lineRule="auto"/>
        <w:rPr>
          <w:sz w:val="20"/>
          <w:szCs w:val="20"/>
          <w:color w:val="auto"/>
        </w:rPr>
      </w:pPr>
      <w:r>
        <w:rPr>
          <w:rFonts w:ascii="Arial" w:cs="Arial" w:eastAsia="Arial" w:hAnsi="Arial"/>
          <w:sz w:val="18"/>
          <w:szCs w:val="18"/>
          <w:color w:val="auto"/>
        </w:rPr>
        <w:t>even though the owner of the property has not assumed or become liable, contractually or otherwise, for the payment of such Indebtedness; provided that if a Permitted Receivables Transaction is outstanding and is accounted for as a sale of accounts receivable under GAAP, Indebtedness shall also include the additional Indebtedness, determined on a consolidated basis, which would have been outstanding had such Permitted Receivables Transaction been accounted for as a borrowing.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“Indemnified Liabilities” has the meaning specified in Section 10.05.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“Indemnitees” has the meaning specified in Section 10.05.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“INHAM Exemption” has the meaning specified in Section 10.10(b)(v).</w:t>
      </w:r>
    </w:p>
    <w:p>
      <w:pPr>
        <w:spacing w:after="0" w:line="225"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“Institutional Investor” means (a) any original Lender or any Affiliate of a Lender, (b) any Lender holding more than $5,000,000 of the Credit-Linked Deposits and/or Credit Obligations then outstanding, and (c) any bank, trust company, savings and loans association or other financial institution, any pension plan, any investment company, any insurance company, any broker or dealer, any Person (other than a natural Person) engaged in making, purchasing, holding or otherwise investing in commercial loans in the ordinary course of its business, or any other similar financial institution or entity, regardless of legal form.</w:t>
      </w:r>
    </w:p>
    <w:p>
      <w:pPr>
        <w:spacing w:after="0" w:line="167"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“Intangible Assets” means goodwill, the purchase price of acquired assets in excess of the fair value thereof, trademarks, trade names, service marks, customer lists, brand names, copyrights, patents and licenses, and rights with respect to the foregoing.</w:t>
      </w:r>
    </w:p>
    <w:p>
      <w:pPr>
        <w:spacing w:after="0" w:line="186"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color w:val="auto"/>
        </w:rPr>
        <w:t>“Interest Period” means, (a) as to the Credit-Linked Deposits, the period commencing on the date such Credit-Linked Deposit is made and ending on the date three months thereafter; (b) as to Advances and Term Loans, the period commencing on the date any such Advance or Term Loan is disbursed (except that in respect of Term Loans made from the proceeds of the Credit-Linked Deposits pursuant to Sections 2.03(b)(i)(A) or (B), the Interest Period shall be deemed to commence on the same day as the Interest Period commencement date for the Credit-Linked Deposits, and in respect of Term Loans made through the conversion of Advances pursuant to Section 2.03(b)(i)(C), the Interest Period shall be deemed to commence on the same day as the Interest Period commencement date for the Credit-Linked Deposits, if any, on the date of such conversion) and ending on the earlier of (x) the date three months thereafter and (y) the last day of the Interest Period with respect to the Credit-Linked Deposits; and (c) after the initial Interest Periods described in (a) and (b) above, as to the Credit-Linked Deposits, Advances and Term Loans, the period commencing on the last day of the immediately preceding Interest Period and ending on the date three months thereafter; provided that:</w:t>
      </w:r>
    </w:p>
    <w:p>
      <w:pPr>
        <w:spacing w:after="0" w:line="174" w:lineRule="exact"/>
        <w:rPr>
          <w:sz w:val="20"/>
          <w:szCs w:val="20"/>
          <w:color w:val="auto"/>
        </w:rPr>
      </w:pPr>
    </w:p>
    <w:p>
      <w:pPr>
        <w:ind w:right="220" w:firstLine="447"/>
        <w:spacing w:after="0" w:line="332" w:lineRule="auto"/>
        <w:tabs>
          <w:tab w:leader="none" w:pos="82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39" w:lineRule="exact"/>
        <w:rPr>
          <w:rFonts w:ascii="Arial" w:cs="Arial" w:eastAsia="Arial" w:hAnsi="Arial"/>
          <w:sz w:val="16"/>
          <w:szCs w:val="16"/>
          <w:color w:val="auto"/>
        </w:rPr>
      </w:pPr>
    </w:p>
    <w:p>
      <w:pPr>
        <w:ind w:right="140" w:firstLine="447"/>
        <w:spacing w:after="0" w:line="268" w:lineRule="auto"/>
        <w:tabs>
          <w:tab w:leader="none" w:pos="87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the end of such Interest Period) shall end on the last Business Day of the calendar month at the end of such Interest Period; and</w:t>
      </w:r>
    </w:p>
    <w:p>
      <w:pPr>
        <w:spacing w:after="0" w:line="225" w:lineRule="exact"/>
        <w:rPr>
          <w:sz w:val="20"/>
          <w:szCs w:val="20"/>
          <w:color w:val="auto"/>
        </w:rPr>
      </w:pPr>
    </w:p>
    <w:p>
      <w:pPr>
        <w:ind w:left="920" w:hanging="473"/>
        <w:spacing w:after="0"/>
        <w:tabs>
          <w:tab w:leader="none" w:pos="9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provided further that after the occurrence and during the continuance of an Event of Default the Required Lenders, acting through the Administrative Agent, may designate one or more Interest Periods for the Advances and/or the Term Loans which are shorter than that set forth above, such designation to be effective after the last day of the applicable existing Interest Period.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right="300" w:firstLine="220"/>
        <w:spacing w:after="0" w:line="268" w:lineRule="auto"/>
        <w:rPr>
          <w:sz w:val="20"/>
          <w:szCs w:val="20"/>
          <w:color w:val="auto"/>
        </w:rPr>
      </w:pPr>
      <w:r>
        <w:rPr>
          <w:rFonts w:ascii="Arial" w:cs="Arial" w:eastAsia="Arial" w:hAnsi="Arial"/>
          <w:sz w:val="18"/>
          <w:szCs w:val="18"/>
          <w:color w:val="auto"/>
        </w:rPr>
        <w:t>“ISP” means, with respect to any Credit, the “International Standby Practices 1998” published by the Institute of International Banking Law &amp; Practice (or such later version thereof as may be in effect at the time of issuance).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Limits” has the meaning specified in Section 2.01(a)(i).</w:t>
      </w:r>
    </w:p>
    <w:p>
      <w:pPr>
        <w:spacing w:after="0" w:line="225"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“Issuer” means Bank of America in its capacity as issuer of Credits hereunder, or any successors, and shall include any branch of the Issuer through which the Issuer may cause Credits to be issued hereunder.</w:t>
      </w:r>
    </w:p>
    <w:p>
      <w:pPr>
        <w:spacing w:after="0" w:line="186" w:lineRule="exact"/>
        <w:rPr>
          <w:sz w:val="20"/>
          <w:szCs w:val="20"/>
          <w:color w:val="auto"/>
        </w:rPr>
      </w:pPr>
    </w:p>
    <w:p>
      <w:pPr>
        <w:ind w:right="160" w:firstLine="220"/>
        <w:spacing w:after="0" w:line="306" w:lineRule="auto"/>
        <w:rPr>
          <w:sz w:val="20"/>
          <w:szCs w:val="20"/>
          <w:color w:val="auto"/>
        </w:rPr>
      </w:pPr>
      <w:r>
        <w:rPr>
          <w:rFonts w:ascii="Arial" w:cs="Arial" w:eastAsia="Arial" w:hAnsi="Arial"/>
          <w:sz w:val="16"/>
          <w:szCs w:val="16"/>
          <w:color w:val="auto"/>
        </w:rPr>
        <w:t>“Issuer Documents” means with respect to any Credit issued by the Issuer, such Credit, any applications for issuance or amendment of such Credit, and any other document, agreement and instrument entered into by the Issuer and the Company or in favor of the Issuer and relating to any such Credit, including any of the Issuer’s standard form documents for issuances and amendments of letters of credit and guarantees or other similar undertakings.</w:t>
      </w:r>
    </w:p>
    <w:p>
      <w:pPr>
        <w:spacing w:after="0" w:line="16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“Issuer-Related Persons” means as to the Issuer, together with its Affiliates, and the officers, directors, employees, agents and attorneys-in-fact of the Issuer and its Affiliates.</w:t>
      </w:r>
    </w:p>
    <w:p>
      <w:pPr>
        <w:spacing w:after="0" w:line="186" w:lineRule="exact"/>
        <w:rPr>
          <w:sz w:val="20"/>
          <w:szCs w:val="20"/>
          <w:color w:val="auto"/>
        </w:rPr>
      </w:pPr>
    </w:p>
    <w:p>
      <w:pPr>
        <w:ind w:right="240" w:firstLine="220"/>
        <w:spacing w:after="0" w:line="298" w:lineRule="auto"/>
        <w:rPr>
          <w:sz w:val="20"/>
          <w:szCs w:val="20"/>
          <w:color w:val="auto"/>
        </w:rPr>
      </w:pPr>
      <w:r>
        <w:rPr>
          <w:rFonts w:ascii="Arial" w:cs="Arial" w:eastAsia="Arial" w:hAnsi="Arial"/>
          <w:sz w:val="16"/>
          <w:szCs w:val="16"/>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“Lender” has the meaning specified in the introductory paragraph hereto.</w:t>
      </w:r>
    </w:p>
    <w:p>
      <w:pPr>
        <w:spacing w:after="0" w:line="225"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in such Lender’s Administrative Questionnaire, or such other office or offices as a Lender may from time to time notify the Company and the Administrative Agent.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“Letter of Credit Linked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means for any Interest Period: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86" w:name="page287"/>
    <w:bookmarkEnd w:id="286"/>
    <w:p>
      <w:pPr>
        <w:ind w:right="100" w:firstLine="228"/>
        <w:spacing w:after="0" w:line="256" w:lineRule="auto"/>
        <w:tabs>
          <w:tab w:leader="none" w:pos="50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Administrative Agent to be the offered rate that appears on the page of the Telerate screen (or any successor thereto)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97" w:lineRule="exact"/>
        <w:rPr>
          <w:rFonts w:ascii="Arial" w:cs="Arial" w:eastAsia="Arial" w:hAnsi="Arial"/>
          <w:sz w:val="18"/>
          <w:szCs w:val="18"/>
          <w:color w:val="auto"/>
        </w:rPr>
      </w:pPr>
    </w:p>
    <w:p>
      <w:pPr>
        <w:ind w:right="20" w:firstLine="228"/>
        <w:spacing w:after="0" w:line="298" w:lineRule="auto"/>
        <w:tabs>
          <w:tab w:leader="none" w:pos="6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the rate referenced in the preceding clause (a) does not appear on such page or service or such page or service shall not be available, the rate per annum equal to the rate determined by the Administrative Agent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66" w:lineRule="exact"/>
        <w:rPr>
          <w:rFonts w:ascii="Arial" w:cs="Arial" w:eastAsia="Arial" w:hAnsi="Arial"/>
          <w:sz w:val="16"/>
          <w:szCs w:val="16"/>
          <w:color w:val="auto"/>
        </w:rPr>
      </w:pPr>
    </w:p>
    <w:p>
      <w:pPr>
        <w:ind w:right="160" w:firstLine="228"/>
        <w:spacing w:after="0" w:line="294" w:lineRule="auto"/>
        <w:tabs>
          <w:tab w:leader="none" w:pos="63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the rates referenced in the preceding clauses (a) and (b) are not available, the rate per annum determined by the Administrative Agent as the rate of interest at which deposits in Dollars for delivery on the first day of such Interest Period in same day funds in the approximate amount of the Total Credit-Linked Deposit or the average amount of the Advances of the Lenders or LIBO Rate Term Loans, as applicable, being made or continued and with a term equivalent to such Interest Period would be offered by Bank of America’s London Branch to major banks in the London interbank eurodollar market at their request at approximately 4:00 p.m. (London time) two Business Days prior to the first day of such Interest Period.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“LIBO Rate Term Loans” means Term Loans bearing interest based on the LIBO Rate.</w:t>
      </w:r>
    </w:p>
    <w:p>
      <w:pPr>
        <w:spacing w:after="0" w:line="225"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has the meaning specified in Section 10.19(a).</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“Material” or “Materially” means material or materially, as applicable, in relation to the business, operations, affairs, financial condition, assets, properties, or prospects of the Company and its Restricted Subsidiaries taken as a whole.</w:t>
      </w:r>
    </w:p>
    <w:p>
      <w:pPr>
        <w:spacing w:after="0" w:line="186" w:lineRule="exact"/>
        <w:rPr>
          <w:sz w:val="20"/>
          <w:szCs w:val="20"/>
          <w:color w:val="auto"/>
        </w:rPr>
      </w:pPr>
    </w:p>
    <w:p>
      <w:pPr>
        <w:jc w:val="both"/>
        <w:ind w:right="300" w:firstLine="220"/>
        <w:spacing w:after="0" w:line="306" w:lineRule="auto"/>
        <w:rPr>
          <w:sz w:val="20"/>
          <w:szCs w:val="20"/>
          <w:color w:val="auto"/>
        </w:rPr>
      </w:pPr>
      <w:r>
        <w:rPr>
          <w:rFonts w:ascii="Arial" w:cs="Arial" w:eastAsia="Arial" w:hAnsi="Arial"/>
          <w:sz w:val="16"/>
          <w:szCs w:val="16"/>
          <w:color w:val="auto"/>
        </w:rPr>
        <w:t>“Material Adverse Effect” means a material adverse effect on (a) the business, operations, affairs, financial condition, prospects, assets or properties of the Company and its Restricted Subsidiaries taken as a whole, (b) the ability of the Company to perform its obligations under this Agreement, the Letter of Credit Linked Notes or the Term Notes, or (c) the validity or enforceability of this Agreement, the Letter of Credit Linked Notes or the Term Notes.</w:t>
      </w:r>
    </w:p>
    <w:p>
      <w:pPr>
        <w:spacing w:after="0" w:line="161"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“Material Debt” means any Indebtedness (other than any Indebtedness of the Company or Holdings in respect of the Credit Obligations) of any one or more of the Company, its Restricted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Subsidiaries and Holdings in an aggregate principal amount for all such Persons exceeding $50,000,000.</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“Maturity Date” means (a) June 30, 2010, or (b) such earlier date upon which the obligations of the Issuer and the Lenders to make Credit Extensions may be terminated in accordance with the terms hereof.</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“Memorandum” has the meaning specified in Section 5.03.</w:t>
      </w:r>
    </w:p>
    <w:p>
      <w:pPr>
        <w:spacing w:after="0" w:line="225"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“Money Market Account Agreement” means the Money Market Account Agreement between the Administrative Agent and Bank of America, as depository, substantially in the form of Exhibit G attached hereto, concerning the Credit-Linked Deposit Account.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“Moody’s” means Moody’s Investors Service, Inc., or any successor thereto that is a nationally-recognized rating agency.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“Multiemployer Plan” means any Plan that is a “multiemployer plan” (as such term is defined in Section 4001(a)(3) of ERISA).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Account”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Depository Bank” has the meaning specified in Section 10.19(b)(i).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“Nonrenewal Notice Date” has the meaning specified in Section 2.01(b)(iii).</w:t>
      </w:r>
    </w:p>
    <w:p>
      <w:pPr>
        <w:spacing w:after="0" w:line="225"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“Officer’s Certificate” means a certificate of a Senior Financial Officer or of any other officer of the Company whose responsibilities extend to the subject matter of such certificate.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Taxes” has the meaning specified in Section 3.01(b).</w:t>
      </w:r>
    </w:p>
    <w:p>
      <w:pPr>
        <w:spacing w:after="0" w:line="225"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“Outstanding Amount” means, with respect to any Credit Obligations on any date, the amount of such Credit Obligations on such date after giving effect to any Credit Extension occurring on such date and any other changes in the aggregate amount of the Credit Obligations as of such date, including as a result of any reimbursements of outstanding unpaid drawings under any Credits or any reductions in the maximum amount available for drawing under Credits taking effect on such date. Without limiting the provisions of Section 1.07, for avoidance of doubt, the portion of the Credit Obligations in respect of the undrawn face amount of any Escalating Credits shall be deemed to be the maximum aggregate amount available to be drawn under such Escalating Credits (after giving effect to all increases).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“Participant” has the meaning specified in Section 10.07(d).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“Participation” has the meaning specified in Section 2.01(c)(ii).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“PBGC” means the Pension Benefit Guaranty Corporation referred to and defined in ERISA or any successor thereto.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Credit” means a Credit used directly or indirectly to cover (a) a default in the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88" w:name="page289"/>
    <w:bookmarkEnd w:id="288"/>
    <w:p>
      <w:pPr>
        <w:ind w:right="20"/>
        <w:spacing w:after="0" w:line="256" w:lineRule="auto"/>
        <w:rPr>
          <w:sz w:val="20"/>
          <w:szCs w:val="20"/>
          <w:color w:val="auto"/>
        </w:rPr>
      </w:pPr>
      <w:r>
        <w:rPr>
          <w:rFonts w:ascii="Arial" w:cs="Arial" w:eastAsia="Arial" w:hAnsi="Arial"/>
          <w:sz w:val="18"/>
          <w:szCs w:val="18"/>
          <w:color w:val="auto"/>
        </w:rPr>
        <w:t>performance of any non-financial or commercial 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 or (b) the payment of any financial contractual obligation of the Company or any Subsidiary.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Liens” has the meaning specified in Section 7.03.</w:t>
      </w:r>
    </w:p>
    <w:p>
      <w:pPr>
        <w:spacing w:after="0" w:line="225"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“Permitted Receivables Transaction” means any sale or sales of, and/or securitization of, any accounts receivable of the Company and/or any of its Restricted Subsidiaries (the “Receivables”) pursuant to which (a) the Company and its Restricted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97" w:lineRule="exact"/>
        <w:rPr>
          <w:sz w:val="20"/>
          <w:szCs w:val="20"/>
          <w:color w:val="auto"/>
        </w:rPr>
      </w:pPr>
    </w:p>
    <w:p>
      <w:pPr>
        <w:ind w:right="900" w:firstLine="220"/>
        <w:spacing w:after="0" w:line="332" w:lineRule="auto"/>
        <w:rPr>
          <w:sz w:val="20"/>
          <w:szCs w:val="20"/>
          <w:color w:val="auto"/>
        </w:rPr>
      </w:pPr>
      <w:r>
        <w:rPr>
          <w:rFonts w:ascii="Arial" w:cs="Arial" w:eastAsia="Arial" w:hAnsi="Arial"/>
          <w:sz w:val="16"/>
          <w:szCs w:val="16"/>
          <w:color w:val="auto"/>
        </w:rPr>
        <w:t>“Person” means any individual, trustee, corporation, general partnership, limited partnership, limited liability company, joint stock company, trust, unincorporated organization, bank, business association, firm, joint venture, Governmental Authority or other legal entity.</w:t>
      </w:r>
    </w:p>
    <w:p>
      <w:pPr>
        <w:spacing w:after="0" w:line="139"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94" w:lineRule="exact"/>
        <w:rPr>
          <w:sz w:val="20"/>
          <w:szCs w:val="20"/>
          <w:color w:val="auto"/>
        </w:rPr>
      </w:pPr>
    </w:p>
    <w:p>
      <w:pPr>
        <w:jc w:val="both"/>
        <w:ind w:right="80" w:firstLine="220"/>
        <w:spacing w:after="0" w:line="268" w:lineRule="auto"/>
        <w:rPr>
          <w:sz w:val="20"/>
          <w:szCs w:val="20"/>
          <w:color w:val="auto"/>
        </w:rPr>
      </w:pPr>
      <w:r>
        <w:rPr>
          <w:rFonts w:ascii="Arial" w:cs="Arial" w:eastAsia="Arial" w:hAnsi="Arial"/>
          <w:sz w:val="18"/>
          <w:szCs w:val="18"/>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86"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“Prepayment Premium” shall mean in connection with any prepayment of Advances, Term Loans or reduction of the available amount of the Total Credit-Linked Deposit an amount equal to the applicable percentage of the principal amount of the Advances, Term Loans or Total Credit-Linked Deposit so prepaid or reduced as follows: (i) on or after the second anniversary of the Closing Date and prior to the third anniversary of the Closing Date, a premium of 2%, and (ii) on or after the third anniversary of the Closing Date and prior to the fourth anniversary of the Closing Date, a premium of 1%.</w:t>
      </w:r>
    </w:p>
    <w:p>
      <w:pPr>
        <w:spacing w:after="0" w:line="167"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“Priority Debt” means (without duplication) the sum of (a) unsecured Indebtedness of the Company’s Restricted Subsidiaries other than (i) Indebtedness of the Company’s Restricted Subsidiaries, including Holdings, listed on Schedule 5.15 and any extension, renewal or refinancing by such parties of such Indebtedness, provided that the terms of any such extension, renewal or refinancing are substantially the same as the terms and conditions in effect on the Closing Date, or more favorable to such parties, and the principal amount of such Indebtedness is not increased, (ii) Indebtedness owing to the Company or any other Restricted Subsidiary and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89" w:name="page290"/>
    <w:bookmarkEnd w:id="289"/>
    <w:p>
      <w:pPr>
        <w:ind w:right="120" w:firstLine="8"/>
        <w:spacing w:after="0" w:line="298" w:lineRule="auto"/>
        <w:tabs>
          <w:tab w:leader="none" w:pos="351"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unsecured Indebtedness of Holdings consisting of Guarantees of the Company’s Indebtedness existing as of the Closing Date and, so long as the Holdings Guaranty remains in full force and effect, Indebtedness consisting of Guarantees of the Company’s Indebtedness incurred thereafter, plus (b) Indebtedness with respect to drawn landfill closure bonds, plus (c) Indebtedness with respect to Permitted Receivables Transactions, plus (d) Indebtedness of the Company or any of its Restricted Subsidiaries secured by a Lien not permitted by clauses (a) through (l) of Section 7.03.</w:t>
      </w:r>
    </w:p>
    <w:p>
      <w:pPr>
        <w:spacing w:after="0" w:line="167"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“Pro Rata Share” means, with respect to each Lender at any time, a fraction (expressed as a percentage, carried out to the ninth decimal place), the numerator of which is the amount of the Credit-Linked Deposit of such Lender at such time and the denominator of which is the amount of the Total Credit-Linked Deposit; provided that if the obligations of the Issuer to make Credit Extensions have been terminated pursuant to Section 8.02(a), the numerator of such fraction shall be such Lender’s Outstanding Amount of all Credit Obligations at such time, and the denominator shall be the Outstanding Amount of all Credit Obligations of all Lenders at such time (with the aggregate amount of any Lender’s risk participation and funded participation in Credit Obligations being deemed “held” by such Lender for purposes of this definition). The initial Pro Rata Share of each Lender is set forth opposite the name of such Lender on Schedule 2.01 or in the Assignment and Assumption pursuant to which such Lender becomes a party hereto, as applicable.</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“property” or “properties” means, unless otherwise specifically limited, real or personal property of any kind, tangible or intangible, existing or inchoate.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“PTE” has the meaning specified in Section 10.10(b)(i).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“QPAM Exemption” has the meaning specified in Section 10.10(b)(iv).</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“Register” has the meaning specified in Section 10.07(c).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“Reimbursement Date” has the meaning specified in Section 2.01(c)(i).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“Replacement Lender” has the meaning specified in Section 3.07.</w:t>
      </w:r>
    </w:p>
    <w:p>
      <w:pPr>
        <w:spacing w:after="0" w:line="225" w:lineRule="exact"/>
        <w:rPr>
          <w:sz w:val="20"/>
          <w:szCs w:val="20"/>
          <w:color w:val="auto"/>
        </w:rPr>
      </w:pPr>
    </w:p>
    <w:p>
      <w:pPr>
        <w:ind w:right="860" w:firstLine="220"/>
        <w:spacing w:after="0" w:line="332" w:lineRule="auto"/>
        <w:rPr>
          <w:sz w:val="20"/>
          <w:szCs w:val="20"/>
          <w:color w:val="auto"/>
        </w:rPr>
      </w:pPr>
      <w:r>
        <w:rPr>
          <w:rFonts w:ascii="Arial" w:cs="Arial" w:eastAsia="Arial" w:hAnsi="Arial"/>
          <w:sz w:val="16"/>
          <w:szCs w:val="16"/>
          <w:color w:val="auto"/>
        </w:rPr>
        <w:t>“Request for Credit Extension” means a request for the issuance or amendment of a Credit by the Issuer pursuant to a Request for Credit Extension substantially in the form of Exhibit A, with such changes thereto as the Administrative Agent or the Issuer may from time to time approve.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“Request for Term Loans” means a request for the making of Term Loans from the proceeds of Credit-Linked Deposits, substantially in the form of Exhibit E.</w:t>
      </w:r>
    </w:p>
    <w:p>
      <w:pPr>
        <w:spacing w:after="0" w:line="248" w:lineRule="exact"/>
        <w:rPr>
          <w:sz w:val="20"/>
          <w:szCs w:val="20"/>
          <w:color w:val="auto"/>
        </w:rPr>
      </w:pPr>
    </w:p>
    <w:p>
      <w:pPr>
        <w:jc w:val="both"/>
        <w:ind w:right="80" w:firstLine="220"/>
        <w:spacing w:after="0" w:line="306" w:lineRule="auto"/>
        <w:rPr>
          <w:sz w:val="20"/>
          <w:szCs w:val="20"/>
          <w:color w:val="auto"/>
        </w:rPr>
      </w:pPr>
      <w:r>
        <w:rPr>
          <w:rFonts w:ascii="Arial" w:cs="Arial" w:eastAsia="Arial" w:hAnsi="Arial"/>
          <w:sz w:val="16"/>
          <w:szCs w:val="16"/>
          <w:color w:val="auto"/>
        </w:rPr>
        <w:t>“Required Credit-Linked Lenders” means, Credit-Linked Lenders (other than the Company and its Affiliates) having Combined Pro Rata Shares aggregating more than 50%. For purposes hereof, the “Combined Pro Rata Share” of a Credit-Linked Lender means, with respect to such Credit-Linked Lender at any time, a fraction (expressed as a percentage, carried out to the ninth decimal place), the numerator of which is the amount of the sum of (A) the Credit-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0" w:name="page291"/>
    <w:bookmarkEnd w:id="290"/>
    <w:p>
      <w:pPr>
        <w:ind w:right="40"/>
        <w:spacing w:after="0" w:line="286" w:lineRule="auto"/>
        <w:rPr>
          <w:sz w:val="20"/>
          <w:szCs w:val="20"/>
          <w:color w:val="auto"/>
        </w:rPr>
      </w:pPr>
      <w:r>
        <w:rPr>
          <w:rFonts w:ascii="Arial" w:cs="Arial" w:eastAsia="Arial" w:hAnsi="Arial"/>
          <w:sz w:val="16"/>
          <w:szCs w:val="16"/>
          <w:color w:val="auto"/>
        </w:rPr>
        <w:t>Linked Deposit plus the Outstanding Amount of all Credit Obligations of such Credit-Linked Lender under this Agreement at such time plus (B) the sum of the Credit-Linked Deposit plus the Outstanding Amount of all Credit Obligations of such Credit-Linked Lender under the Ten Year Agreement at such time (as such terms are defined in the Ten Year Agreement), plus (C) the sum of the Credit-Linked Deposit plus the Outstanding Amount of all Credit Obligations of such Credit-Linked Lender under the Five Year Agreement at such time (as such terms are defined in the Five Year Agreement), and the denominator of which is the amount of the sum of (X) the Total Credit-Linked Deposit plus the Outstanding Amount of all Credit Obligations of all Credit-Linked Lenders under this Agreement at such time (with the aggregate amount of any Credit-Linked Lender’s risk participation and funded participation in Credit Obligations being deemed “held” by such Credit-Linked Lender for purposes of this definition) plus (Y) the Total Credit-Linked Deposit plus the Outstanding Amount of all Credit Obligations of all Credit-Linked Lenders under the Ten Year Agreement at such time (as such terms are defined in the Ten Year Agreement) (with the aggregate amount of any Credit-Linked Lender’s risk participation and funded participation in Credit Obligations being deemed “held” by such Credit-Linked Lender for purposes of this definition) plus (Z) the Total Credit-Linked Deposit plus the Outstanding Amount of all Credit Obligations of all Credit-Linked Lenders under the Five Year Agreement at such time (as such terms are defined in the Five Year Agreement) (with the aggregate amount of any Credit-Linked Lender’s risk participation and funded participation in Credit Obligations being deemed “held” by such Credit-Linked Lender for purposes of this definition).</w:t>
      </w:r>
    </w:p>
    <w:p>
      <w:pPr>
        <w:spacing w:after="0" w:line="178"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“Required Lenders” means, as of any date of determination, Lenders (other than the Company and its Affiliates) having Pro Rata Shares aggregating more than 50%.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“Required Notice” has the meaning specified in Section 10.19(b).</w:t>
      </w:r>
    </w:p>
    <w:p>
      <w:pPr>
        <w:spacing w:after="0" w:line="225"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“Responsible Officer” means any Senior Financial Officer and any other officer of a Credit Party with responsibility for the administration of the relevant portion of this Agreement. Any document delivered hereunder that is signed by a Responsible Officer of a Credit Party shall be conclusively presumed to have been authorized by all necessary corporate action on the part of such Credit Party and such Responsible Officer shall be conclusively presumed to have acted on behalf of such Credit Party.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“Restricted Subsidiary” means any Subsidiary of the Company which is not designated as an Unrestricted Subsidiary in accordance with Section 7.07.</w:t>
      </w:r>
    </w:p>
    <w:p>
      <w:pPr>
        <w:spacing w:after="0" w:line="248"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“S&amp;P” means Standard &amp; Poor’s Rating Group, a division of The McGraw-Hill Companies, or any successor thereto that is a nationally-recognized rating agency.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means the Securities and Exchange Commission, or any Governmental Authority succeeding to any of its principal functions.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Account”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Act” means the Securities Act of 1933.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“Securities Exchange Act” means Securities Exchange Act of 1934.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1" w:name="page292"/>
    <w:bookmarkEnd w:id="291"/>
    <w:p>
      <w:pPr>
        <w:ind w:left="220"/>
        <w:spacing w:after="0"/>
        <w:rPr>
          <w:sz w:val="20"/>
          <w:szCs w:val="20"/>
          <w:color w:val="auto"/>
        </w:rPr>
      </w:pPr>
      <w:r>
        <w:rPr>
          <w:rFonts w:ascii="Arial" w:cs="Arial" w:eastAsia="Arial" w:hAnsi="Arial"/>
          <w:sz w:val="18"/>
          <w:szCs w:val="18"/>
          <w:color w:val="auto"/>
        </w:rPr>
        <w:t>“Securities Intermediary”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“Security” has the meaning specified in Section 2(l) of the Securities Act.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controller of a Credit Party.</w:t>
      </w:r>
    </w:p>
    <w:p>
      <w:pPr>
        <w:spacing w:after="0" w:line="225"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“Senior Responsible Officer” means any Senior Financial Officer, or any of the President, any Executive Vice President, any Senior Vice President or any Principal Vice President of a Credit Party.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“Source” has the meaning specified in Section 10.10(b).</w:t>
      </w:r>
    </w:p>
    <w:p>
      <w:pPr>
        <w:spacing w:after="0" w:line="225"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“Taxes” has the meaning specified in Section 3.01(a).</w:t>
      </w:r>
    </w:p>
    <w:p>
      <w:pPr>
        <w:spacing w:after="0" w:line="225" w:lineRule="exact"/>
        <w:rPr>
          <w:sz w:val="20"/>
          <w:szCs w:val="20"/>
          <w:color w:val="auto"/>
        </w:rPr>
      </w:pPr>
    </w:p>
    <w:p>
      <w:pPr>
        <w:ind w:right="40" w:firstLine="220"/>
        <w:spacing w:after="0" w:line="298" w:lineRule="auto"/>
        <w:rPr>
          <w:sz w:val="20"/>
          <w:szCs w:val="20"/>
          <w:color w:val="auto"/>
        </w:rPr>
      </w:pPr>
      <w:r>
        <w:rPr>
          <w:rFonts w:ascii="Arial" w:cs="Arial" w:eastAsia="Arial" w:hAnsi="Arial"/>
          <w:sz w:val="16"/>
          <w:szCs w:val="16"/>
          <w:color w:val="auto"/>
        </w:rPr>
        <w:t>“Ten Year Agreement” means the Ten Year Letter of Credit and Term Loan Agreement dated as of even date herewith (as amended, restated, supplemented or otherwise modified from time to time) among the Company, Holdings, each lender party thereto and Bank of America as administrative agent and issuer of letters of credit; provided, however, if all Credit Obligations (as such term is defined in the Ten Year Agreement) are paid in full and the Ten Year Agreement is terminated, then this definition of “Ten Year Agreement” shall no longer be applicable to this Agreement.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 Issuance Date” has the meaning specified in Section 2.03(b)(iii).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Loans” has the meaning specified in Section 2.03(b)(i).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Note” has the meaning specified in Section 2.07(b).</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Credit-Linked Deposit” shall mean, at any time, the sum of all Lenders’ Credit-Linked Deposits, as the same may be reduced from time to time.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“Trust” has the meaning specified in Section 10.19(b)(ii).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“United States” and “U.S.” each means the United States of America.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“Unreimbursed Amount” has the meaning specified in Section 2.01(c)(i).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92" w:name="page293"/>
    <w:bookmarkEnd w:id="292"/>
    <w:p>
      <w:pPr>
        <w:ind w:left="220"/>
        <w:spacing w:after="0"/>
        <w:rPr>
          <w:sz w:val="20"/>
          <w:szCs w:val="20"/>
          <w:color w:val="auto"/>
        </w:rPr>
      </w:pPr>
      <w:r>
        <w:rPr>
          <w:rFonts w:ascii="Arial" w:cs="Arial" w:eastAsia="Arial" w:hAnsi="Arial"/>
          <w:sz w:val="16"/>
          <w:szCs w:val="16"/>
          <w:color w:val="auto"/>
        </w:rPr>
        <w:t>“Unrestricted Subsidiary” means any Subsidiary which is designated as such in writing by the Company to each Lender pursuant to Section 7.07.</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“Unused Amount” has the meaning specified in Section 2.03(b)(i).</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1.02 Other Interpretive Provisions</w:t>
      </w:r>
      <w:r>
        <w:rPr>
          <w:rFonts w:ascii="Arial" w:cs="Arial" w:eastAsia="Arial" w:hAnsi="Arial"/>
          <w:sz w:val="16"/>
          <w:szCs w:val="16"/>
          <w:color w:val="auto"/>
        </w:rPr>
        <w:t>. With reference to this Agreement and each other Credit Document, unless otherwise specified herein or in such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Credit Document:</w:t>
      </w:r>
    </w:p>
    <w:p>
      <w:pPr>
        <w:spacing w:after="0" w:line="219" w:lineRule="exact"/>
        <w:rPr>
          <w:sz w:val="20"/>
          <w:szCs w:val="20"/>
          <w:color w:val="auto"/>
        </w:rPr>
      </w:pPr>
    </w:p>
    <w:p>
      <w:pPr>
        <w:ind w:left="640" w:hanging="412"/>
        <w:spacing w:after="0"/>
        <w:tabs>
          <w:tab w:leader="none" w:pos="6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right="240" w:firstLine="228"/>
        <w:spacing w:after="0" w:line="268" w:lineRule="auto"/>
        <w:tabs>
          <w:tab w:leader="none" w:pos="64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 The words “herein,” “hereto,” “hereof,” and “hereunder” and words of similar import when used in any Credit Document shall refer to such Credit Document as a whole and not to any particular provision thereof.</w:t>
      </w:r>
    </w:p>
    <w:p>
      <w:pPr>
        <w:spacing w:after="0" w:line="185" w:lineRule="exact"/>
        <w:rPr>
          <w:rFonts w:ascii="Arial" w:cs="Arial" w:eastAsia="Arial" w:hAnsi="Arial"/>
          <w:sz w:val="18"/>
          <w:szCs w:val="18"/>
          <w:color w:val="auto"/>
        </w:rPr>
      </w:pPr>
    </w:p>
    <w:p>
      <w:pPr>
        <w:ind w:left="880" w:hanging="257"/>
        <w:spacing w:after="0"/>
        <w:tabs>
          <w:tab w:leader="none" w:pos="8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Credit Document in which such references appear.</w:t>
      </w:r>
    </w:p>
    <w:p>
      <w:pPr>
        <w:spacing w:after="0" w:line="225" w:lineRule="exact"/>
        <w:rPr>
          <w:rFonts w:ascii="Arial" w:cs="Arial" w:eastAsia="Arial" w:hAnsi="Arial"/>
          <w:sz w:val="18"/>
          <w:szCs w:val="18"/>
          <w:color w:val="auto"/>
        </w:rPr>
      </w:pPr>
    </w:p>
    <w:p>
      <w:pPr>
        <w:ind w:left="920" w:hanging="297"/>
        <w:spacing w:after="0"/>
        <w:tabs>
          <w:tab w:leader="none" w:pos="9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right="660" w:firstLine="623"/>
        <w:spacing w:after="0" w:line="268" w:lineRule="auto"/>
        <w:tabs>
          <w:tab w:leader="none" w:pos="90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85" w:lineRule="exact"/>
        <w:rPr>
          <w:rFonts w:ascii="Arial" w:cs="Arial" w:eastAsia="Arial" w:hAnsi="Arial"/>
          <w:sz w:val="18"/>
          <w:szCs w:val="18"/>
          <w:color w:val="auto"/>
        </w:rPr>
      </w:pPr>
    </w:p>
    <w:p>
      <w:pPr>
        <w:ind w:right="260" w:firstLine="228"/>
        <w:spacing w:after="0" w:line="268" w:lineRule="auto"/>
        <w:tabs>
          <w:tab w:leader="none" w:pos="63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5" w:lineRule="exact"/>
        <w:rPr>
          <w:rFonts w:ascii="Arial" w:cs="Arial" w:eastAsia="Arial" w:hAnsi="Arial"/>
          <w:sz w:val="18"/>
          <w:szCs w:val="18"/>
          <w:color w:val="auto"/>
        </w:rPr>
      </w:pPr>
    </w:p>
    <w:p>
      <w:pPr>
        <w:ind w:right="180" w:firstLine="228"/>
        <w:spacing w:after="0" w:line="268" w:lineRule="auto"/>
        <w:tabs>
          <w:tab w:leader="none" w:pos="64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80"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1.03 Accounting Terms</w:t>
      </w:r>
      <w:r>
        <w:rPr>
          <w:rFonts w:ascii="Arial" w:cs="Arial" w:eastAsia="Arial" w:hAnsi="Arial"/>
          <w:sz w:val="18"/>
          <w:szCs w:val="18"/>
          <w:color w:val="auto"/>
        </w:rPr>
        <w:t>. All accounting terms not specifically or completely defined herein shall be construed in conformity with, and all financial data</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96" w:lineRule="exact"/>
        <w:rPr>
          <w:sz w:val="20"/>
          <w:szCs w:val="20"/>
          <w:color w:val="auto"/>
        </w:rPr>
      </w:pPr>
    </w:p>
    <w:p>
      <w:pPr>
        <w:ind w:right="60" w:firstLine="228"/>
        <w:spacing w:after="0" w:line="294" w:lineRule="auto"/>
        <w:tabs>
          <w:tab w:leader="none" w:pos="64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If at any time any change in GAAP would affect the computation of any financial ratio or requirement set forth in any Credit Document, and either the Company or the Required Credit-Linked Lenders shall so request, the Administrative Agent, the Lenders and the Company shall negotiate in good faith to amend such ratio or requirement to preserve the original intent thereof in light of such change in GAAP (subject to the approval of the Required Credit-Linked Lenders); provided that, until so amended, (i) such ratio or requirement shall continue to be computed in accordance with GAAP prior to such change therein and (ii) the Company shall provide to the Administrative Agent and the Lenders financial statements and other documents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3" w:name="page294"/>
    <w:bookmarkEnd w:id="293"/>
    <w:p>
      <w:pPr>
        <w:ind w:right="160"/>
        <w:spacing w:after="0" w:line="268" w:lineRule="auto"/>
        <w:rPr>
          <w:sz w:val="20"/>
          <w:szCs w:val="20"/>
          <w:color w:val="auto"/>
        </w:rPr>
      </w:pPr>
      <w:r>
        <w:rPr>
          <w:rFonts w:ascii="Arial" w:cs="Arial" w:eastAsia="Arial" w:hAnsi="Arial"/>
          <w:sz w:val="18"/>
          <w:szCs w:val="18"/>
          <w:color w:val="auto"/>
        </w:rPr>
        <w:t>required under this Agreement or as reasonably requested hereunder setting forth a reconciliation between calculations of such ratio or requirement made before and after giving effect to such change in GAAP.</w:t>
      </w:r>
    </w:p>
    <w:p>
      <w:pPr>
        <w:spacing w:after="0" w:line="180" w:lineRule="exact"/>
        <w:rPr>
          <w:sz w:val="20"/>
          <w:szCs w:val="20"/>
          <w:color w:val="auto"/>
        </w:rPr>
      </w:pPr>
    </w:p>
    <w:p>
      <w:pPr>
        <w:jc w:val="both"/>
        <w:ind w:right="280" w:firstLine="220"/>
        <w:spacing w:after="0" w:line="262"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6" w:lineRule="exact"/>
        <w:rPr>
          <w:sz w:val="20"/>
          <w:szCs w:val="20"/>
          <w:color w:val="auto"/>
        </w:rPr>
      </w:pPr>
    </w:p>
    <w:p>
      <w:pPr>
        <w:jc w:val="both"/>
        <w:ind w:right="160" w:firstLine="220"/>
        <w:spacing w:after="0" w:line="306" w:lineRule="auto"/>
        <w:rPr>
          <w:sz w:val="20"/>
          <w:szCs w:val="20"/>
          <w:color w:val="auto"/>
        </w:rPr>
      </w:pPr>
      <w:r>
        <w:rPr>
          <w:rFonts w:ascii="Arial" w:cs="Arial" w:eastAsia="Arial" w:hAnsi="Arial"/>
          <w:sz w:val="15"/>
          <w:szCs w:val="15"/>
          <w:b w:val="1"/>
          <w:bCs w:val="1"/>
          <w:color w:val="auto"/>
        </w:rPr>
        <w:t>1.05 References to Agreements and Laws</w:t>
      </w:r>
      <w:r>
        <w:rPr>
          <w:rFonts w:ascii="Arial" w:cs="Arial" w:eastAsia="Arial" w:hAnsi="Arial"/>
          <w:sz w:val="15"/>
          <w:szCs w:val="15"/>
          <w:color w:val="auto"/>
        </w:rPr>
        <w:t>. Unless otherwise expressly provided herein, (a) references to agreements (including the Credit Documents)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Credit Document;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 references to any Law shall include all statutory and regulatory provisions consolidating, amending, replacing, supplementing or interpreting such Law.</w:t>
      </w:r>
    </w:p>
    <w:p>
      <w:pPr>
        <w:spacing w:after="0" w:line="236" w:lineRule="exact"/>
        <w:rPr>
          <w:sz w:val="20"/>
          <w:szCs w:val="20"/>
          <w:color w:val="auto"/>
        </w:rPr>
      </w:pPr>
    </w:p>
    <w:p>
      <w:pPr>
        <w:ind w:right="340" w:firstLine="220"/>
        <w:spacing w:after="0" w:line="262" w:lineRule="auto"/>
        <w:rPr>
          <w:sz w:val="20"/>
          <w:szCs w:val="20"/>
          <w:color w:val="auto"/>
        </w:rPr>
      </w:pPr>
      <w:r>
        <w:rPr>
          <w:rFonts w:ascii="Arial" w:cs="Arial" w:eastAsia="Arial" w:hAnsi="Arial"/>
          <w:sz w:val="18"/>
          <w:szCs w:val="18"/>
          <w:b w:val="1"/>
          <w:bCs w:val="1"/>
          <w:color w:val="auto"/>
        </w:rPr>
        <w:t>1.06 Credit Amounts</w:t>
      </w:r>
      <w:r>
        <w:rPr>
          <w:rFonts w:ascii="Arial" w:cs="Arial" w:eastAsia="Arial" w:hAnsi="Arial"/>
          <w:sz w:val="18"/>
          <w:szCs w:val="18"/>
          <w:color w:val="auto"/>
        </w:rPr>
        <w:t>. Unless otherwise specified, all references herein to the amount of a Credit at any time shall be deemed to mean the maximum face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such Credit after giving effect to all increases thereof contemplated by such Credit or the Issuer Documents related thereto, whether or not such maximum face amount is in effect at such time.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CREDIT-LINKED DEPOSITS AND CREDIT EXTENSIONS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 Credits</w:t>
      </w:r>
      <w:r>
        <w:rPr>
          <w:rFonts w:ascii="Arial" w:cs="Arial" w:eastAsia="Arial" w:hAnsi="Arial"/>
          <w:sz w:val="18"/>
          <w:szCs w:val="18"/>
          <w:color w:val="auto"/>
        </w:rPr>
        <w:t>.</w:t>
      </w:r>
    </w:p>
    <w:p>
      <w:pPr>
        <w:spacing w:after="0" w:line="231" w:lineRule="exact"/>
        <w:rPr>
          <w:sz w:val="20"/>
          <w:szCs w:val="20"/>
          <w:color w:val="auto"/>
        </w:rPr>
      </w:pPr>
    </w:p>
    <w:p>
      <w:pPr>
        <w:ind w:left="640" w:hanging="412"/>
        <w:spacing w:after="0"/>
        <w:tabs>
          <w:tab w:leader="none" w:pos="6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Credits.</w:t>
      </w:r>
    </w:p>
    <w:p>
      <w:pPr>
        <w:spacing w:after="0" w:line="225" w:lineRule="exact"/>
        <w:rPr>
          <w:rFonts w:ascii="Arial" w:cs="Arial" w:eastAsia="Arial" w:hAnsi="Arial"/>
          <w:sz w:val="18"/>
          <w:szCs w:val="18"/>
          <w:color w:val="auto"/>
        </w:rPr>
      </w:pPr>
    </w:p>
    <w:p>
      <w:pPr>
        <w:ind w:right="20" w:firstLine="447"/>
        <w:spacing w:after="0" w:line="288" w:lineRule="auto"/>
        <w:tabs>
          <w:tab w:leader="none" w:pos="64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 the Issuer agrees, in reliance upon the agreements of the Lenders set forth in this Section 2.01, from time to time on any Business Day during the period from the Closing Date until the Credit Expiration Date, to issue Credits denominated in Dollars for the account of the Company or any Subsidiary, and (B) the Issuer agrees, in reliance upon the agreements of the Lenders set forth in this Section 2.01, (1) to amend, extend, reinstate or renew Credits previously issued by it, in accordance with subsection (b) below, and (2) to honor drawings under the Credits; and (C) the Lenders severally agree to participate in Credits issued or outstanding hereunder for the account of the Company or any Subsidiary as provided in Section 2.01(c), and all reimbursement obligations and rights hereunder in respect thereof and the Issuer Documents with respect thereto and the Issuer hereby grants to the Lenders such participation interests in such Credits and all reimbursement obligations and rights hereunder in respect thereof and such related Issuer Documents; provided that the Company shall not request the issuance of any Credit, the Issuer shall not make any Credit Extension with respect to any Credit, and no Lender shall participate in any Credit, to the extent that, as of the date of such Credit Extension: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94" w:name="page295"/>
    <w:bookmarkEnd w:id="294"/>
    <w:p>
      <w:pPr>
        <w:ind w:left="700" w:right="160" w:firstLine="216"/>
        <w:spacing w:after="0" w:line="268" w:lineRule="auto"/>
        <w:tabs>
          <w:tab w:leader="none" w:pos="120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sum, without duplication, of the applicable Outstanding Amount of all (i) Credits and (ii) Unreimbursed Amounts for which Advances have not yet been made would exceed the Total Credit-Linked Deposit;</w:t>
      </w:r>
    </w:p>
    <w:p>
      <w:pPr>
        <w:spacing w:after="0" w:line="185" w:lineRule="exact"/>
        <w:rPr>
          <w:rFonts w:ascii="Arial" w:cs="Arial" w:eastAsia="Arial" w:hAnsi="Arial"/>
          <w:sz w:val="18"/>
          <w:szCs w:val="18"/>
          <w:color w:val="auto"/>
        </w:rPr>
      </w:pPr>
    </w:p>
    <w:p>
      <w:pPr>
        <w:ind w:left="700" w:right="420" w:firstLine="216"/>
        <w:spacing w:after="0" w:line="268" w:lineRule="auto"/>
        <w:tabs>
          <w:tab w:leader="none" w:pos="119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Lender’s Pro Rata Share of the sum, without duplication, of the applicable Outstanding Amount of all (i) Credits and (ii) Unreimbursed Amounts for which Advances have not yet been made would exceed such Lender’s Credit-Linked Deposit; or</w:t>
      </w:r>
    </w:p>
    <w:p>
      <w:pPr>
        <w:spacing w:after="0" w:line="185" w:lineRule="exact"/>
        <w:rPr>
          <w:rFonts w:ascii="Arial" w:cs="Arial" w:eastAsia="Arial" w:hAnsi="Arial"/>
          <w:sz w:val="18"/>
          <w:szCs w:val="18"/>
          <w:color w:val="auto"/>
        </w:rPr>
      </w:pPr>
    </w:p>
    <w:p>
      <w:pPr>
        <w:ind w:left="700" w:right="660" w:firstLine="216"/>
        <w:spacing w:after="0" w:line="268" w:lineRule="auto"/>
        <w:tabs>
          <w:tab w:leader="none" w:pos="119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expiry date of any such requested Credit would occur after the Credit Expiration Date (or, in the case of an Auto-Renewal Credit, no Nonrenewal Notice Date would occur on or prior to the Credit Expiration Date);</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provided further that in determining the availability hereunder with respect to any Escalating Credits issued or outstanding hereunder, the Total Credit-Linked Deposit will be deemed to be utilized in respect of such Escalating Credits in the aggregate amount equal to the maximum aggregate amount available to be drawn under all such Escalating Credits (after giving effect to all increases).</w:t>
      </w:r>
    </w:p>
    <w:p>
      <w:pPr>
        <w:spacing w:after="0" w:line="194" w:lineRule="exact"/>
        <w:rPr>
          <w:sz w:val="20"/>
          <w:szCs w:val="20"/>
          <w:color w:val="auto"/>
        </w:rPr>
      </w:pPr>
    </w:p>
    <w:p>
      <w:pPr>
        <w:ind w:right="220" w:firstLine="216"/>
        <w:spacing w:after="0" w:line="290" w:lineRule="auto"/>
        <w:rPr>
          <w:sz w:val="20"/>
          <w:szCs w:val="20"/>
          <w:color w:val="auto"/>
        </w:rPr>
      </w:pPr>
      <w:r>
        <w:rPr>
          <w:rFonts w:ascii="Arial" w:cs="Arial" w:eastAsia="Arial" w:hAnsi="Arial"/>
          <w:sz w:val="16"/>
          <w:szCs w:val="16"/>
          <w:color w:val="auto"/>
        </w:rPr>
        <w:t>Within the foregoing limits (the “Issuance Limits”), and subject to the terms and conditions hereof, the Company’s ability to obtain Credits shall be fully revolving, and accordingly the Company may, during the foregoing period, obtain Credits to replace Credits that have expired, been terminated or cancelled, or that have been drawn upon and reimbursed. All Existing Credits up to the respective amounts specified in Schedule 1.01 shall be deemed to have been issued pursuant hereto, and from and after the Closing Date shall be subject to and governed by the terms and conditions hereof. Notwithstanding anything to the contrary set forth herein, if any portion of the Total Credit-Linked Deposit is utilized to reimburse the Issuer for any amounts drawn under any Credit (as contemplated by Section 2.01(c) hereof) or to make Term Loans (as contemplated by Section 2.03(b) hereof), the Total Credit-Linked Deposit shall be permanently reduced by the corresponding amount utilized to reimburse the Issuer or to make Term Loans and shall not be reinstated.</w:t>
      </w:r>
    </w:p>
    <w:p>
      <w:pPr>
        <w:spacing w:after="0" w:line="172" w:lineRule="exact"/>
        <w:rPr>
          <w:sz w:val="20"/>
          <w:szCs w:val="20"/>
          <w:color w:val="auto"/>
        </w:rPr>
      </w:pPr>
    </w:p>
    <w:p>
      <w:pPr>
        <w:ind w:left="700" w:hanging="253"/>
        <w:spacing w:after="0"/>
        <w:tabs>
          <w:tab w:leader="none" w:pos="7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Issuer shall not be under any obligation to issue any Credit if:</w:t>
      </w:r>
    </w:p>
    <w:p>
      <w:pPr>
        <w:spacing w:after="0" w:line="225" w:lineRule="exact"/>
        <w:rPr>
          <w:rFonts w:ascii="Arial" w:cs="Arial" w:eastAsia="Arial" w:hAnsi="Arial"/>
          <w:sz w:val="18"/>
          <w:szCs w:val="18"/>
          <w:color w:val="auto"/>
        </w:rPr>
      </w:pPr>
    </w:p>
    <w:p>
      <w:pPr>
        <w:ind w:left="700" w:right="40" w:firstLine="216"/>
        <w:spacing w:after="0" w:line="291" w:lineRule="auto"/>
        <w:tabs>
          <w:tab w:leader="none" w:pos="1207" w:val="left"/>
        </w:tabs>
        <w:numPr>
          <w:ilvl w:val="1"/>
          <w:numId w:val="340"/>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Issuer from issuing such Credit, or any Law applicable to the Issuer or any request or directive (whether or not having the force of law) from any Governmental Authority with jurisdiction over the Issuer shall prohibit, or request that the Issuer refrain from, the issuance of letters of credit generally or such Credit in particular or shall impose upon the Issuer with respect to such Credit any restriction, reserve or capital requirement (in each case, for which the Issuer is not otherwise compensated hereunder) not in effect on the Closing Date, or shall impose upon the Issuer any unreimbursed loss, cost or expense which was not applicable on the Closing Date and which the Issuer in good faith deems material to it;</w:t>
      </w:r>
    </w:p>
    <w:p>
      <w:pPr>
        <w:spacing w:after="0" w:line="174" w:lineRule="exact"/>
        <w:rPr>
          <w:rFonts w:ascii="Arial" w:cs="Arial" w:eastAsia="Arial" w:hAnsi="Arial"/>
          <w:sz w:val="16"/>
          <w:szCs w:val="16"/>
          <w:color w:val="auto"/>
        </w:rPr>
      </w:pPr>
    </w:p>
    <w:p>
      <w:pPr>
        <w:ind w:left="1200" w:hanging="284"/>
        <w:spacing w:after="0"/>
        <w:tabs>
          <w:tab w:leader="none" w:pos="12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Administrative Agent or the Issuer reasonably determines that such Credit is not a Permitted Credit;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5" w:name="page296"/>
    <w:bookmarkEnd w:id="295"/>
    <w:p>
      <w:pPr>
        <w:ind w:left="1200" w:hanging="284"/>
        <w:spacing w:after="0"/>
        <w:tabs>
          <w:tab w:leader="none" w:pos="120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the issuance of such Credit would violate any Laws or any policies of the Issuer; or</w:t>
      </w:r>
    </w:p>
    <w:p>
      <w:pPr>
        <w:spacing w:after="0" w:line="225" w:lineRule="exact"/>
        <w:rPr>
          <w:rFonts w:ascii="Arial" w:cs="Arial" w:eastAsia="Arial" w:hAnsi="Arial"/>
          <w:sz w:val="18"/>
          <w:szCs w:val="18"/>
          <w:color w:val="auto"/>
        </w:rPr>
      </w:pPr>
    </w:p>
    <w:p>
      <w:pPr>
        <w:ind w:left="700" w:right="740" w:firstLine="216"/>
        <w:spacing w:after="0" w:line="268" w:lineRule="auto"/>
        <w:tabs>
          <w:tab w:leader="none" w:pos="120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Issuer, such Credit is in a face amount less than $1,000,000, or is to be denominated in a currency other than Dollars.</w:t>
      </w:r>
    </w:p>
    <w:p>
      <w:pPr>
        <w:spacing w:after="0" w:line="185" w:lineRule="exact"/>
        <w:rPr>
          <w:rFonts w:ascii="Arial" w:cs="Arial" w:eastAsia="Arial" w:hAnsi="Arial"/>
          <w:sz w:val="18"/>
          <w:szCs w:val="18"/>
          <w:color w:val="auto"/>
        </w:rPr>
      </w:pPr>
    </w:p>
    <w:p>
      <w:pPr>
        <w:ind w:right="400" w:firstLine="447"/>
        <w:spacing w:after="0" w:line="332" w:lineRule="auto"/>
        <w:tabs>
          <w:tab w:leader="none" w:pos="743"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Issuer shall not be under any obligation to amend any Credit if (A) the Issuer would have no obligation at such time to issue such Credit in its amended form under the terms hereof, or (B) the beneficiary of such Credit does not accept the proposed amendment to such Credit.</w:t>
      </w:r>
    </w:p>
    <w:p>
      <w:pPr>
        <w:spacing w:after="0" w:line="139" w:lineRule="exact"/>
        <w:rPr>
          <w:rFonts w:ascii="Arial" w:cs="Arial" w:eastAsia="Arial" w:hAnsi="Arial"/>
          <w:sz w:val="16"/>
          <w:szCs w:val="16"/>
          <w:color w:val="auto"/>
        </w:rPr>
      </w:pPr>
    </w:p>
    <w:p>
      <w:pPr>
        <w:ind w:right="120" w:firstLine="447"/>
        <w:spacing w:after="0" w:line="259" w:lineRule="auto"/>
        <w:tabs>
          <w:tab w:leader="none" w:pos="73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Issuer shall not issue or amend any Credit if the Issuer has received written notice from any Lender, the Administrative Agent or any Credit Party, on or prior to the Business Day prior to the requested date of issuance or amendment of such Credit, that one or more applicable conditions contained in Article IV shall not then be satisfied.</w:t>
      </w:r>
    </w:p>
    <w:p>
      <w:pPr>
        <w:spacing w:after="0" w:line="194" w:lineRule="exact"/>
        <w:rPr>
          <w:rFonts w:ascii="Arial" w:cs="Arial" w:eastAsia="Arial" w:hAnsi="Arial"/>
          <w:sz w:val="18"/>
          <w:szCs w:val="18"/>
          <w:color w:val="auto"/>
        </w:rPr>
      </w:pPr>
    </w:p>
    <w:p>
      <w:pPr>
        <w:ind w:left="660" w:hanging="43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Procedures for Issuance and Amendment of Credits; Auto-Renewal Credits.</w:t>
      </w:r>
    </w:p>
    <w:p>
      <w:pPr>
        <w:spacing w:after="0" w:line="225" w:lineRule="exact"/>
        <w:rPr>
          <w:rFonts w:ascii="Arial" w:cs="Arial" w:eastAsia="Arial" w:hAnsi="Arial"/>
          <w:sz w:val="18"/>
          <w:szCs w:val="18"/>
          <w:color w:val="auto"/>
        </w:rPr>
      </w:pPr>
    </w:p>
    <w:p>
      <w:pPr>
        <w:ind w:firstLine="447"/>
        <w:spacing w:after="0" w:line="285" w:lineRule="auto"/>
        <w:tabs>
          <w:tab w:leader="none" w:pos="649" w:val="left"/>
        </w:tabs>
        <w:numPr>
          <w:ilvl w:val="1"/>
          <w:numId w:val="343"/>
        </w:numPr>
        <w:rPr>
          <w:rFonts w:ascii="Arial" w:cs="Arial" w:eastAsia="Arial" w:hAnsi="Arial"/>
          <w:sz w:val="16"/>
          <w:szCs w:val="16"/>
          <w:color w:val="auto"/>
        </w:rPr>
      </w:pPr>
      <w:r>
        <w:rPr>
          <w:rFonts w:ascii="Arial" w:cs="Arial" w:eastAsia="Arial" w:hAnsi="Arial"/>
          <w:sz w:val="16"/>
          <w:szCs w:val="16"/>
          <w:color w:val="auto"/>
        </w:rPr>
        <w:t>Each Credit shall be issued or amended, as the case may be, upon the request of the Company delivered to the Issuer (with a copy concurrently delivered to the Administrative Agent) in the form of a Request for Credit Extension, appropriately completed and signed by a Responsible Officer or Authorized Representative of the Company. Any such Request for Credit Extension must be received by the Issuer and the Administrative Agent not later than 1:00 p.m., Dallas time, at least five Business Days prior to the proposed issuance date or date of amendment, as the case may be; or such other date or time as the Issuer and the Administrative Agent may agree in a particular instance in their sole discretion. In the case of a request for an initial issuance of a Credit, such request shall be in the form of a Request for Credit Extension and shall specify in form and detail satisfactory to the Issuer and the Administrative Agent: (A) the proposed issuance date of the requested Credit (which shall be a Business Day); (B) the face amount thereof; (C) the expiry date thereof; (D) the purpose and nature of the Credit; (E) the Person whose obligations are supported thereby (in the case of a Credit supporting the obligations of a Subsidiary); (F) the name and address of the beneficiary thereof; (G) any required text to be contained in the Credit; (H) the delivery instructions with respect to the Credit; and (J) whether such Credit will be an Escalating Credit, and if so, the maximum face amount of such Credit after giving effect to all increases. In the case of a request for an amendment of any outstanding Credit, such request shall be in the form of a Request for Credit Extension and shall specify in form and detail satisfactory to the Issuer and the Administrative Agent: (1) the Credit to be amended; (2) the proposed date of amendment thereof (which shall be a Business Day); (3) the nature of the proposed amendment; and (4) delivery instructions with respect to the amendment. Additionally, the Company shall furnish to the Issuer and the Administrative Agent such other documents and information pertaining to such requested Credit issuance or amendment, including any Issuer Documents as the Issuer or the Administrative Agent may reasonably require. Without limiting the generality of the foregoing, the delivery of a Request for Credit Extension is additional to, and not in replacement or substitution of, any other Issuer Document that the Issuer may require. Upon the effectiveness of any issuance or amendment of a Credit that will constitute a Credit hereunder, the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6" w:name="page297"/>
    <w:bookmarkEnd w:id="296"/>
    <w:p>
      <w:pPr>
        <w:ind w:right="200"/>
        <w:spacing w:after="0" w:line="268" w:lineRule="auto"/>
        <w:rPr>
          <w:sz w:val="20"/>
          <w:szCs w:val="20"/>
          <w:color w:val="auto"/>
        </w:rPr>
      </w:pPr>
      <w:r>
        <w:rPr>
          <w:rFonts w:ascii="Arial" w:cs="Arial" w:eastAsia="Arial" w:hAnsi="Arial"/>
          <w:sz w:val="18"/>
          <w:szCs w:val="18"/>
          <w:color w:val="auto"/>
        </w:rPr>
        <w:t>Administrative Agent and the Lenders shall be entitled to assume that the Issuer has obtained such Issuer Documents as it shall have requested, executed by the relevant parties thereto to the extent required hereby.</w:t>
      </w:r>
    </w:p>
    <w:p>
      <w:pPr>
        <w:spacing w:after="0" w:line="186" w:lineRule="exact"/>
        <w:rPr>
          <w:sz w:val="20"/>
          <w:szCs w:val="20"/>
          <w:color w:val="auto"/>
        </w:rPr>
      </w:pPr>
    </w:p>
    <w:p>
      <w:pPr>
        <w:ind w:firstLine="447"/>
        <w:spacing w:after="0" w:line="291" w:lineRule="auto"/>
        <w:tabs>
          <w:tab w:leader="none" w:pos="69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Promptly after receipt of any Request for Credit Extension by the Issuer, the Issuer will confirm with the Administrative Agent (by telephone or in writing) that the Administrative Agent has received a copy of such Request for Credit Extension from the Company and, if not, the Issuer will provide the Administrative Agent with a copy thereof. Upon receipt by the Issuer and the Company of confirmation from the Administrative Agent that the requested issuance or amendment is permitted in accordance with the terms hereof, then, subject to the terms and conditions hereof, the Issuer shall, on the requested date, issue a Credit for the account of the Company or the applicable Subsidiary, or enter into the applicable amendment, as the case may be, in each case in accordance with the Issuer’s usual and customary business practices.</w:t>
      </w:r>
    </w:p>
    <w:p>
      <w:pPr>
        <w:spacing w:after="0" w:line="174" w:lineRule="exact"/>
        <w:rPr>
          <w:rFonts w:ascii="Arial" w:cs="Arial" w:eastAsia="Arial" w:hAnsi="Arial"/>
          <w:sz w:val="16"/>
          <w:szCs w:val="16"/>
          <w:color w:val="auto"/>
        </w:rPr>
      </w:pPr>
    </w:p>
    <w:p>
      <w:pPr>
        <w:ind w:firstLine="447"/>
        <w:spacing w:after="0" w:line="285" w:lineRule="auto"/>
        <w:tabs>
          <w:tab w:leader="none" w:pos="74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the Company so requests in any applicable Request for Credit Extension, the Issuer agrees, subject to the terms and conditions hereof, to issue a Credit that has automatic renewal provisions (each, an “Auto-Renewal Credit”); provided that any such Auto-Renewal Credit must permit the Issuer to prevent any such renewal at least once during the term thereof (commencing with the date of issuance of such Credit) by giving prior notice to the beneficiary thereof not later than a specified date to be agreed upon at the time such Credit is issued, which shall occur and be effective prior to the Credit Expiration Date (the “Nonrenewal Notice Date”). Unless otherwise directed by the Issuer, the Company shall not be required to make a specific request to the Issuer for any renewal of an Auto-Renewal Credit, but the Issuer shall be required to provide prior notice to the Administrative Agent of any pending renewal of an Auto-Renewal Credit at least ten Business Days before the applicable Nonrenewal Notice Date. Once an Auto-Renewal Credit has been issued (or is permitted to be outstanding hereunder in the case of an Existing Credit that is an Auto-Renewal Credit), the Lenders shall be deemed to have authorized (but may not require) the Issuer to permit the renewal of such Credit at any time to a date not later than the Credit Expiration Date; provided, however, that the Issuer shall not permit any renewal of an Auto-Renewal Credit if (A) the Issuer has determined that it would have no obligation at such time to issue such Credit in its renewed form under the terms hereof (by reason of the provisions of Section 2.01(a)(ii), Section 4.02 or otherwise), (B) after giving effect to any such renewal, the earlier of the (x) expiry date of such Auto-Renewal Credit and (y) next occurring Nonrenewal Notice Date of such Auto-Renewal Credit would occur after the Credit Expiration Date, or (C) it has received notice (which may be by telephone or in writing) on or before the day that is two Business Days before the Nonrenewal Notice Date from the Administrative Agent, any Lender or the Company that one or more of the applicable conditions specified in Section 2.01(a)(ii) or 4.02 is not then satisfied.</w:t>
      </w:r>
    </w:p>
    <w:p>
      <w:pPr>
        <w:spacing w:after="0" w:line="182" w:lineRule="exact"/>
        <w:rPr>
          <w:rFonts w:ascii="Arial" w:cs="Arial" w:eastAsia="Arial" w:hAnsi="Arial"/>
          <w:sz w:val="16"/>
          <w:szCs w:val="16"/>
          <w:color w:val="auto"/>
        </w:rPr>
      </w:pPr>
    </w:p>
    <w:p>
      <w:pPr>
        <w:jc w:val="both"/>
        <w:ind w:right="240" w:firstLine="447"/>
        <w:spacing w:after="0" w:line="256" w:lineRule="auto"/>
        <w:tabs>
          <w:tab w:leader="none" w:pos="73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Issuer shall issue any Credit or amend any Credit (if the effect thereof is to increase the face amount), without obtaining prior consent from the Administrative Agent (as provided in clause (ii) above), or if the Issuer shall permit the extension or renewal of an Auto-Renewal Credit without giving timely prior notice to the Administrative Agent or when such extension or renewal is not permitted hereunder (as provided in clause (iii) above), or if the Issuer shall permit the reinstatement of an Auto-Reinstating Credit when such reinstatement is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97" w:name="page298"/>
    <w:bookmarkEnd w:id="297"/>
    <w:p>
      <w:pPr>
        <w:ind w:right="80"/>
        <w:spacing w:after="0" w:line="255" w:lineRule="auto"/>
        <w:rPr>
          <w:sz w:val="20"/>
          <w:szCs w:val="20"/>
          <w:color w:val="auto"/>
        </w:rPr>
      </w:pPr>
      <w:r>
        <w:rPr>
          <w:rFonts w:ascii="Arial" w:cs="Arial" w:eastAsia="Arial" w:hAnsi="Arial"/>
          <w:sz w:val="18"/>
          <w:szCs w:val="18"/>
          <w:color w:val="auto"/>
        </w:rPr>
        <w:t>not permitted hereunder (as provided in clause (vi) below), such Credit (in the case of any such amendment, to the extent of the increased face amount thereof, and in the case of any reinstatement, to the extent of the reinstated amount thereof) (A) shall for all purposes be deemed to have been issued by the Issuer solely for its own account and risk, and (B) shall not be considered a Credit outstanding under this Agreement, and no Lender shall be deemed to have any participation therein, effective as of the date of such issuance, amendment, reinstatement, extension or renewal, as the case may be, unless the Required Lenders expressly consent thereto.</w:t>
      </w:r>
    </w:p>
    <w:p>
      <w:pPr>
        <w:spacing w:after="0" w:line="197" w:lineRule="exact"/>
        <w:rPr>
          <w:sz w:val="20"/>
          <w:szCs w:val="20"/>
          <w:color w:val="auto"/>
        </w:rPr>
      </w:pPr>
    </w:p>
    <w:p>
      <w:pPr>
        <w:ind w:right="160" w:firstLine="447"/>
        <w:spacing w:after="0" w:line="268" w:lineRule="auto"/>
        <w:tabs>
          <w:tab w:leader="none" w:pos="68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Promptly after its delivery of any Credit or any amendment to a Credit to an advising bank with respect thereto or to the beneficiary thereof, the Issuer will also deliver to the Company and the Administrative Agent a true and complete copy of such Credit or amendment.</w:t>
      </w:r>
    </w:p>
    <w:p>
      <w:pPr>
        <w:spacing w:after="0" w:line="185" w:lineRule="exact"/>
        <w:rPr>
          <w:rFonts w:ascii="Arial" w:cs="Arial" w:eastAsia="Arial" w:hAnsi="Arial"/>
          <w:sz w:val="18"/>
          <w:szCs w:val="18"/>
          <w:color w:val="auto"/>
        </w:rPr>
      </w:pPr>
    </w:p>
    <w:p>
      <w:pPr>
        <w:ind w:right="60" w:firstLine="447"/>
        <w:spacing w:after="0" w:line="255" w:lineRule="auto"/>
        <w:tabs>
          <w:tab w:leader="none" w:pos="73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If any Credit contains provisions providing for automatic reinstatement of the stated amount after any drawing thereunder, the Administrative Agent and the Lenders hereby authorize and direct the Issuer to permit such automatic reinstatement, whether or not a Default or Event of Default then exists, unless the Issuer has received a notice (which may be by telephone or in writing) on or before the day that is two Business Days before the reinstatement date from the Administrative Agent or the Required Lenders that one or more applicable conditions specified in Sections 2.01(a)(ii) or 4.02 is not then satisfied and directing it to cease permitting such automatic reinstatements.</w:t>
      </w:r>
    </w:p>
    <w:p>
      <w:pPr>
        <w:spacing w:after="0" w:line="196" w:lineRule="exact"/>
        <w:rPr>
          <w:rFonts w:ascii="Arial" w:cs="Arial" w:eastAsia="Arial" w:hAnsi="Arial"/>
          <w:sz w:val="18"/>
          <w:szCs w:val="18"/>
          <w:color w:val="auto"/>
        </w:rPr>
      </w:pPr>
    </w:p>
    <w:p>
      <w:pPr>
        <w:ind w:left="640" w:hanging="412"/>
        <w:spacing w:after="0"/>
        <w:tabs>
          <w:tab w:leader="none" w:pos="6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Drawings and Reimbursements; Credit-Linked Deposits.</w:t>
      </w:r>
    </w:p>
    <w:p>
      <w:pPr>
        <w:spacing w:after="0" w:line="225" w:lineRule="exact"/>
        <w:rPr>
          <w:rFonts w:ascii="Arial" w:cs="Arial" w:eastAsia="Arial" w:hAnsi="Arial"/>
          <w:sz w:val="18"/>
          <w:szCs w:val="18"/>
          <w:color w:val="auto"/>
        </w:rPr>
      </w:pPr>
    </w:p>
    <w:p>
      <w:pPr>
        <w:ind w:right="20" w:firstLine="447"/>
        <w:spacing w:after="0" w:line="286" w:lineRule="auto"/>
        <w:tabs>
          <w:tab w:leader="none" w:pos="649" w:val="left"/>
        </w:tabs>
        <w:numPr>
          <w:ilvl w:val="1"/>
          <w:numId w:val="346"/>
        </w:numPr>
        <w:rPr>
          <w:rFonts w:ascii="Arial" w:cs="Arial" w:eastAsia="Arial" w:hAnsi="Arial"/>
          <w:sz w:val="16"/>
          <w:szCs w:val="16"/>
          <w:color w:val="auto"/>
        </w:rPr>
      </w:pPr>
      <w:r>
        <w:rPr>
          <w:rFonts w:ascii="Arial" w:cs="Arial" w:eastAsia="Arial" w:hAnsi="Arial"/>
          <w:sz w:val="16"/>
          <w:szCs w:val="16"/>
          <w:color w:val="auto"/>
        </w:rPr>
        <w:t>Upon receipt from the beneficiary of any Credit of any notice of a drawing under such Credit, the Issuer of such Credit shall promptly notify the Company thereof. If the Company obtains written notice (confirmed by telephone) from the Issuer of a drawing under a Credit prior to 1:00 p.m., Dallas time, on any Business Day, the Company shall reimburse the Issuer on such Business Day. If the Company obtains written notice (confirmed by telephone) from the Issuer of a drawing under a Credit at or after 1:00 p.m., Dallas time, on any Business Day, the Company shall reimburse the Issuer on the Business Day immediately following the Business Day upon which such notice was received by the Company. Such reimbursement shall be made directly to the Issuer in an amount equal to the unreimbursed drawing (the “Unreimbursed Amount”). Without affecting the Company’s obligations to so reimburse the Issuer on any such Business Day, which shall be absolute and unconditional, if the Company fails to so reimburse the Issuer by such time referenced above on the applicable due date for reimbursement specified above (the “Reimbursement Date”), the Issuer shall so notify the Administrative Agent (with a copy to the Company), which notice shall be provided on a Business Day, and specify in such notice the amount of the Unreimbursed Amount. Immediately upon receipt of such notice from the Issuer, the Administrative Agent shall promptly notify each Lender of the Reimbursement Date, the Unreimbursed Amount, the amount of such Lender’s Pro Rata Share thereof, and shall state that Advances will be funded by application of such Lender’s Pro Rata Share of the Credit-Linked Deposits in the Credit-Linked Deposit Account on the sixth Business Day after such Reimbursement Date to the extent the Unreimbursed Amount (or any portion thereof) remains outstanding on such day.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8" w:name="page299"/>
    <w:bookmarkEnd w:id="298"/>
    <w:p>
      <w:pPr>
        <w:ind w:firstLine="447"/>
        <w:spacing w:after="0" w:line="284" w:lineRule="auto"/>
        <w:tabs>
          <w:tab w:leader="none" w:pos="69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Issuer hereby irrevocably grants to each Lender, and each Lender hereby irrevocably accepts and purchases from the Issuer on the terms and conditions hereinafter stated, for such Lender’s own account and risk an undivided interest equal to its Pro Rata Share in the Issuer’s obligations and rights with respect to the Credits issued pursuant to this Agreement (as to each Lender, its “Participation”), which purchase price when paid to the Administrative Agent shall not be a deposit obligation of the Administrative Agent or Bank of America. The consideration for the Participation of each Lender shall consist of the payment by such Lender to the Administrative Agent of an amount equal to the Dollar amount set forth opposite such Lender’s name in Schedule 2.01 under the heading “Credit-Linked Deposit” (as the same may be reduced from time to time in accordance with this Agreement, such Lender’s “Credit-Linked Deposit”), subject to the conditions precedent set forth in Section 4.01 hereof. Each Lender shall pay to the Administrative Agent its Credit-Linked Deposit in full on the Closing Date. The Credit-Linked Deposits of all Lenders shall be held by, and in the name of, the Administrative Agent in the Credit-Linked Deposit Account under the sole dominion and control of the Administrative Agent. Each Lender unconditionally and irrevocably agrees with the Administrative Agent and the Issuer that, if a drawing is paid under any Credit for which the Issuer is not reimbursed in full by the Company in cash within five Business Days after the applicable Reimbursement Date or converted into a Term Loan under Section 2.03(b), such Lender hereby authorizes the Administrative Agent to reimburse to the Issuer the Unreimbursed Amount (or the outstanding portion thereof) related to such drawing on or after the sixth Business Day after such Reimbursement Date, to the extent of such Lender’s Pro Rata Share of the Unreimbursed Amount, solely from such Lender’s Pro Rata Share of the Credit-Linked Deposits in the Credit-Linked Deposit Account, and each Lender hereby irrevocably authorizes the Administrative Agent to charge the Credit-Linked Deposit Account for such purpose, in satisfaction of such Lender’s reimbursement obligation arising with respect to such drawing hereunder. Without limiting the generality of Section 9.01, in charging the Credit-Linked Deposit Account or otherwise exercising any rights of set-off with respect thereto, the Administrative Agent acts as the agent of the Issuer. The amount of each Lender’s Pro Rata Share of such Unreimbursed Amount (or portion thereof) which is paid the Issuer as set forth above shall be deemed to be an Advance by such Lender to the Company hereunder. The outstanding principal amount of each Advance, together with interest thereon as provided in Section 2.04, shall be due and payable, in Dollars, on demand. Each Lender shall be subrogated to the rights and remedies of the Issuer against the Company and any Subsidiary liable under such Credit to the extent such Lender has reimbursed the Issuer as set forth in this Section 2.01(c)(ii). The Issuer shall reasonably cooperate in exercising and enforcing such rights and remedies as may be requested by the Required Lenders (and such cooperation shall be subject to any applicable indemnification set forth in Section 9.07 or Section 10.05 of this Agreement). The Issuer shall have no right to withdraw or set-off against monies on deposit in the Credit-Linked Deposit Account other than as set forth in this Section 2.01(c)(ii).</w:t>
      </w:r>
    </w:p>
    <w:p>
      <w:pPr>
        <w:spacing w:after="0" w:line="178" w:lineRule="exact"/>
        <w:rPr>
          <w:rFonts w:ascii="Arial" w:cs="Arial" w:eastAsia="Arial" w:hAnsi="Arial"/>
          <w:sz w:val="16"/>
          <w:szCs w:val="16"/>
          <w:color w:val="auto"/>
        </w:rPr>
      </w:pPr>
    </w:p>
    <w:p>
      <w:pPr>
        <w:ind w:right="20" w:firstLine="447"/>
        <w:spacing w:after="0" w:line="256" w:lineRule="auto"/>
        <w:tabs>
          <w:tab w:leader="none" w:pos="74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Credit-Linked Deposits shall be held by the Administrative Agent in its name in the Credit-Linked Deposit Account and no Person other than the Administrative Agent shall have a right of withdrawal from the Credit-Linked Deposit Account nor any other right or power with respect to the Credit-Linked Deposits or the Credit-Linked Deposit Account. Notwithstanding anything in this Agreement to the contrary, the sole funding obligation of each Lender in respect of its Participation shall be satisfied upon funding of its Credit-Linked Deposit.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299" w:name="page300"/>
    <w:bookmarkEnd w:id="299"/>
    <w:p>
      <w:pPr>
        <w:ind w:right="120" w:firstLine="447"/>
        <w:spacing w:after="0" w:line="259" w:lineRule="auto"/>
        <w:tabs>
          <w:tab w:leader="none" w:pos="73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Until an Advance is funded pursuant to this Section 2.01(c) to reimburse the Issuer for the Unreimbursed Amount in respect of any Credit, or such Unreimbursed Amount is converted to a Term Loan pursuant to Section 2.03, interest in respect of each Lender’s Pro Rata Share of the Borrowing in the amount of such Unreimbursed Amount shall be solely for the account of the Issuer.</w:t>
      </w:r>
    </w:p>
    <w:p>
      <w:pPr>
        <w:spacing w:after="0" w:line="194" w:lineRule="exact"/>
        <w:rPr>
          <w:rFonts w:ascii="Arial" w:cs="Arial" w:eastAsia="Arial" w:hAnsi="Arial"/>
          <w:sz w:val="18"/>
          <w:szCs w:val="18"/>
          <w:color w:val="auto"/>
        </w:rPr>
      </w:pPr>
    </w:p>
    <w:p>
      <w:pPr>
        <w:ind w:right="120" w:firstLine="447"/>
        <w:spacing w:after="0" w:line="294" w:lineRule="auto"/>
        <w:tabs>
          <w:tab w:leader="none" w:pos="688" w:val="left"/>
        </w:tabs>
        <w:numPr>
          <w:ilvl w:val="1"/>
          <w:numId w:val="348"/>
        </w:numPr>
        <w:rPr>
          <w:rFonts w:ascii="Arial" w:cs="Arial" w:eastAsia="Arial" w:hAnsi="Arial"/>
          <w:sz w:val="16"/>
          <w:szCs w:val="16"/>
          <w:color w:val="auto"/>
        </w:rPr>
      </w:pPr>
      <w:r>
        <w:rPr>
          <w:rFonts w:ascii="Arial" w:cs="Arial" w:eastAsia="Arial" w:hAnsi="Arial"/>
          <w:sz w:val="16"/>
          <w:szCs w:val="16"/>
          <w:color w:val="auto"/>
        </w:rPr>
        <w:t>Except as expressly provided herein, each Lender’s agreement to fund Advances, by application of such Lender’s Pro Rata Share of the Credit-Linked Deposits, to reimburse the Issuer for amounts drawn under Credits issued by the Issuer, as contemplated by this Section 2.01(c), shall be absolute and unconditional and shall not be affected by any circumstance, including (A) any set-off, counterclaim, recoupment, defense or other right which such Lender may have against the Issuer, the Company, any Subsidiary or any other Person for any reason whatsoever, (B) the occurrence or continuance of a Default or Event of Default, or (C) any other occurrence, event or condition, whether or not similar to any of the foregoing.</w:t>
      </w:r>
    </w:p>
    <w:p>
      <w:pPr>
        <w:spacing w:after="0" w:line="169" w:lineRule="exact"/>
        <w:rPr>
          <w:rFonts w:ascii="Arial" w:cs="Arial" w:eastAsia="Arial" w:hAnsi="Arial"/>
          <w:sz w:val="16"/>
          <w:szCs w:val="16"/>
          <w:color w:val="auto"/>
        </w:rPr>
      </w:pPr>
    </w:p>
    <w:p>
      <w:pPr>
        <w:ind w:right="500" w:firstLine="447"/>
        <w:spacing w:after="0" w:line="268" w:lineRule="auto"/>
        <w:tabs>
          <w:tab w:leader="none" w:pos="73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Notwithstanding that a Credit issued or outstanding hereunder is in support of any obligations of a Subsidiary, the Company shall be obligated to reimburse the Issuer hereunder for the full amount of any and all drawings under such Credit.</w:t>
      </w:r>
    </w:p>
    <w:p>
      <w:pPr>
        <w:spacing w:after="0" w:line="185" w:lineRule="exact"/>
        <w:rPr>
          <w:rFonts w:ascii="Arial" w:cs="Arial" w:eastAsia="Arial" w:hAnsi="Arial"/>
          <w:sz w:val="18"/>
          <w:szCs w:val="18"/>
          <w:color w:val="auto"/>
        </w:rPr>
      </w:pPr>
    </w:p>
    <w:p>
      <w:pPr>
        <w:ind w:right="80" w:firstLine="447"/>
        <w:spacing w:after="0" w:line="298" w:lineRule="auto"/>
        <w:tabs>
          <w:tab w:leader="none" w:pos="785"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In the event of any voluntary payment or prepayment (other than through the making of a Term Loan as provided for in Section 2.03(b)) of an Advance at any time prior to the second anniversary of the Closing Date, the Company shall pay on the date of such prepayment to the Administrative Agent, for the account of the Lenders in accordance with their Pro Rata Shares, a premium in an amount equal to three percent (3.00%) of the amount so prepaid and any prepayment of the Advances thereafter shall be accompanied by the Prepayment Premium, if any.</w:t>
      </w:r>
    </w:p>
    <w:p>
      <w:pPr>
        <w:spacing w:after="0" w:line="166" w:lineRule="exact"/>
        <w:rPr>
          <w:rFonts w:ascii="Arial" w:cs="Arial" w:eastAsia="Arial" w:hAnsi="Arial"/>
          <w:sz w:val="16"/>
          <w:szCs w:val="16"/>
          <w:color w:val="auto"/>
        </w:rPr>
      </w:pPr>
    </w:p>
    <w:p>
      <w:pPr>
        <w:ind w:left="660" w:hanging="432"/>
        <w:spacing w:after="0"/>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Repayment of Participations.</w:t>
      </w:r>
    </w:p>
    <w:p>
      <w:pPr>
        <w:spacing w:after="0" w:line="225" w:lineRule="exact"/>
        <w:rPr>
          <w:rFonts w:ascii="Arial" w:cs="Arial" w:eastAsia="Arial" w:hAnsi="Arial"/>
          <w:sz w:val="18"/>
          <w:szCs w:val="18"/>
          <w:color w:val="auto"/>
        </w:rPr>
      </w:pPr>
    </w:p>
    <w:p>
      <w:pPr>
        <w:ind w:right="40" w:firstLine="447"/>
        <w:spacing w:after="0" w:line="287" w:lineRule="auto"/>
        <w:tabs>
          <w:tab w:leader="none" w:pos="639" w:val="left"/>
        </w:tabs>
        <w:numPr>
          <w:ilvl w:val="1"/>
          <w:numId w:val="349"/>
        </w:numPr>
        <w:rPr>
          <w:rFonts w:ascii="Arial" w:cs="Arial" w:eastAsia="Arial" w:hAnsi="Arial"/>
          <w:sz w:val="16"/>
          <w:szCs w:val="16"/>
          <w:color w:val="auto"/>
        </w:rPr>
      </w:pPr>
      <w:r>
        <w:rPr>
          <w:rFonts w:ascii="Arial" w:cs="Arial" w:eastAsia="Arial" w:hAnsi="Arial"/>
          <w:sz w:val="16"/>
          <w:szCs w:val="16"/>
          <w:color w:val="auto"/>
        </w:rPr>
        <w:t>At any time after the Issuer has made a payment under any Credit and has received from the Credit-Linked Deposit the proceeds of Advances by the Lenders in respect of such payment in accordance with Section 2.01(c), if the Administrative Agent receives for the account of the Issuer any payment in respect of the related Unreimbursed Amount or interest thereon (whether directly from the Company or otherwise, including proceeds of Cash Collateral applied thereto by the Administrative Agent), the Administrative Agent will distribute to each Lender its Pro Rata Share thereof (appropriately adjusted, in the case of interest payments, to reflect the period of time during which such Lender’s Advance was outstanding) in Dollars and in the same funds as those received by the Administrative Agent. If a Borrowing has occurred hereunder, the Company shall repay the Unreimbursed Amount and interest thereon as provided in Sections 2.01(c) and 2.04 and shall pay any prepayment premium required to be paid pursuant to Section 2.01(c)(vii). Notwithstanding the foregoing, if the Issuer shall have received from the Credit-Linked Deposit the proceeds of Advances by the Lenders and thereafter shall receive any direct payment from the Company in respect of a Borrowing, the Issuer shall immediately pay the amount received to the Administrative Agent for distribution to the Lenders in accordance with this Section 2.01(d).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0" w:name="page301"/>
    <w:bookmarkEnd w:id="300"/>
    <w:p>
      <w:pPr>
        <w:ind w:right="80" w:firstLine="447"/>
        <w:spacing w:after="0" w:line="298" w:lineRule="auto"/>
        <w:tabs>
          <w:tab w:leader="none" w:pos="697"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If any payment received by the Administrative Agent for the account of the Issuer pursuant to Section 2.01(d)(i) and distributed to the Lenders by the Administrative Agent is required to be returned under any of the circumstances described in Section 10.06, each Lender shall pay to the Administrative Agent for the account of the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166" w:lineRule="exact"/>
        <w:rPr>
          <w:rFonts w:ascii="Arial" w:cs="Arial" w:eastAsia="Arial" w:hAnsi="Arial"/>
          <w:sz w:val="16"/>
          <w:szCs w:val="16"/>
          <w:color w:val="auto"/>
        </w:rPr>
      </w:pPr>
    </w:p>
    <w:p>
      <w:pPr>
        <w:ind w:right="100" w:firstLine="228"/>
        <w:spacing w:after="0" w:line="259" w:lineRule="auto"/>
        <w:tabs>
          <w:tab w:leader="none" w:pos="63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Obligations Absolute. The obligation of the Company to reimburse the Issuer for each drawing under each Credit and to repay each Borrowing, shall be absolute, unconditional and irrevocable, and shall be paid strictly in accordance with the terms of this Agreement under all circumstances, including the following:</w:t>
      </w:r>
    </w:p>
    <w:p>
      <w:pPr>
        <w:spacing w:after="0" w:line="194" w:lineRule="exact"/>
        <w:rPr>
          <w:rFonts w:ascii="Arial" w:cs="Arial" w:eastAsia="Arial" w:hAnsi="Arial"/>
          <w:sz w:val="18"/>
          <w:szCs w:val="18"/>
          <w:color w:val="auto"/>
        </w:rPr>
      </w:pPr>
    </w:p>
    <w:p>
      <w:pPr>
        <w:ind w:left="660" w:hanging="213"/>
        <w:spacing w:after="0"/>
        <w:tabs>
          <w:tab w:leader="none" w:pos="6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lack of validity or enforceability of such Credit, this Agreement, or any other Credit Document;</w:t>
      </w:r>
    </w:p>
    <w:p>
      <w:pPr>
        <w:spacing w:after="0" w:line="225" w:lineRule="exact"/>
        <w:rPr>
          <w:sz w:val="20"/>
          <w:szCs w:val="20"/>
          <w:color w:val="auto"/>
        </w:rPr>
      </w:pPr>
    </w:p>
    <w:p>
      <w:pPr>
        <w:ind w:right="160" w:firstLine="447"/>
        <w:spacing w:after="0" w:line="256" w:lineRule="auto"/>
        <w:tabs>
          <w:tab w:leader="none" w:pos="69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Credit (or any Person for whom any such beneficiary or any such transferee may be acting), the Issuer or any other Person, whether in connection with this Agreement, the transactions contemplated hereby or by such Credit or any agreement or instrument relating thereto, or any unrelated transaction;</w:t>
      </w:r>
    </w:p>
    <w:p>
      <w:pPr>
        <w:spacing w:after="0" w:line="197" w:lineRule="exact"/>
        <w:rPr>
          <w:rFonts w:ascii="Arial" w:cs="Arial" w:eastAsia="Arial" w:hAnsi="Arial"/>
          <w:sz w:val="18"/>
          <w:szCs w:val="18"/>
          <w:color w:val="auto"/>
        </w:rPr>
      </w:pPr>
    </w:p>
    <w:p>
      <w:pPr>
        <w:ind w:right="80" w:firstLine="447"/>
        <w:spacing w:after="0" w:line="259" w:lineRule="auto"/>
        <w:tabs>
          <w:tab w:leader="none" w:pos="7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Credit proving to be forged, fraudulent, invalid or insufficient in any respect or any statement therein being untrue or inaccurate in any respect; or any loss or delay in the transmission or otherwise of any document required in order to make a drawing under such Credit;</w:t>
      </w:r>
    </w:p>
    <w:p>
      <w:pPr>
        <w:spacing w:after="0" w:line="194" w:lineRule="exact"/>
        <w:rPr>
          <w:rFonts w:ascii="Arial" w:cs="Arial" w:eastAsia="Arial" w:hAnsi="Arial"/>
          <w:sz w:val="18"/>
          <w:szCs w:val="18"/>
          <w:color w:val="auto"/>
        </w:rPr>
      </w:pPr>
    </w:p>
    <w:p>
      <w:pPr>
        <w:ind w:right="100" w:firstLine="447"/>
        <w:spacing w:after="0" w:line="256" w:lineRule="auto"/>
        <w:tabs>
          <w:tab w:leader="none" w:pos="7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payment by the Issuer under such Credit against presentation of a draft or certificate that does not strictly comply with the terms of such Credit; or any payment made by the Issuer under such Credit to any Person purporting to be a trustee in bankruptcy, debtor-in-possession, assignee for the benefit of creditors, liquidator, receiver or other representative of or successor to any beneficiary or any transferee of such Credit, including any arising in connection with any proceeding under any Debtor Relief Law; or</w:t>
      </w:r>
    </w:p>
    <w:p>
      <w:pPr>
        <w:spacing w:after="0" w:line="197" w:lineRule="exact"/>
        <w:rPr>
          <w:rFonts w:ascii="Arial" w:cs="Arial" w:eastAsia="Arial" w:hAnsi="Arial"/>
          <w:sz w:val="18"/>
          <w:szCs w:val="18"/>
          <w:color w:val="auto"/>
        </w:rPr>
      </w:pPr>
    </w:p>
    <w:p>
      <w:pPr>
        <w:ind w:right="80" w:firstLine="447"/>
        <w:spacing w:after="0" w:line="268" w:lineRule="auto"/>
        <w:tabs>
          <w:tab w:leader="none" w:pos="68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shall promptly examine a copy of each Credit and each amendment thereto that is delivered to it and, in the event of any claim of noncompliance with the Company’s instructions or other irregularity, the Company will promptly notify the Issuer. The Company shall be conclusively deemed to have waived any such claim against the Issuer and its correspondents unless such notice is given as aforesaid.</w:t>
      </w:r>
    </w:p>
    <w:p>
      <w:pPr>
        <w:spacing w:after="0" w:line="194" w:lineRule="exact"/>
        <w:rPr>
          <w:sz w:val="20"/>
          <w:szCs w:val="20"/>
          <w:color w:val="auto"/>
        </w:rPr>
      </w:pPr>
    </w:p>
    <w:p>
      <w:pPr>
        <w:ind w:right="80" w:firstLine="228"/>
        <w:spacing w:after="0" w:line="268" w:lineRule="auto"/>
        <w:tabs>
          <w:tab w:leader="none" w:pos="61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Role of Issuer. Each Lender and the Company agree that, in paying any drawing under a Credit, the Issuer shall not have any responsibility to obtain any document (other than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01" w:name="page302"/>
    <w:bookmarkEnd w:id="301"/>
    <w:p>
      <w:pPr>
        <w:spacing w:after="0" w:line="285" w:lineRule="auto"/>
        <w:rPr>
          <w:sz w:val="20"/>
          <w:szCs w:val="20"/>
          <w:color w:val="auto"/>
        </w:rPr>
      </w:pPr>
      <w:r>
        <w:rPr>
          <w:rFonts w:ascii="Arial" w:cs="Arial" w:eastAsia="Arial" w:hAnsi="Arial"/>
          <w:sz w:val="16"/>
          <w:szCs w:val="16"/>
          <w:color w:val="auto"/>
        </w:rPr>
        <w:t>any sight draft, certificates and documents expressly required by the Credit) or to ascertain or inquire as to the validity or accuracy of any such document or the authority of the Person executing or delivering any such document. None of the Issuer, any Issuer-Related Person nor any of the respective correspondents, participants or assignees of the Issuer shall be liable to any Lender for (i) any action taken or omitted in connection herewith at the request or with the approval of the Required Lenders or the Required Credit-Linked Lenders, as applicable; (ii) any action taken or omitted in the absence of gross negligence or willful misconduct; or (iii) the due execution, effectiveness, validity or enforceability of any document or instrument related to any Credit or Request for Credit Extension. The Company hereby assumes all risks of the acts or omissions of any beneficiary or transferee with respect to its use of any Credit; provided, however, that this assumption is not intended to, and shall not, preclude the Company’s pursuing such rights and remedies as it may have against the beneficiary or transferee at law or under any other agreement. None of the Issuer, any Issuer-Related Person, nor any of the respective correspondents, participants or assignees of the Issuer, shall be liable or responsible for any of the matters described in clauses (i) through (v) of Section 2.01(e); provided, however, that anything in such clauses to the contrary notwithstanding, the Company may have a claim against the Issuer, and the Issuer may be liable to the Company, to the extent, but only to the extent, of any direct, as opposed to consequential or exemplary, damages suffered by the Company which the Company proves were caused by the Issuer’s willful misconduct or gross negligence or the Issuer’s willful failure to pay under any Credit after the presentation to it by the beneficiary of a sight draft and certificate(s) strictly complying with the terms and conditions of a Credit. In furtherance and not in limitation of the foregoing, the Issuer may accept documents that appear on their face to be in order, without responsibility for further investigation, regardless of any notice or information to the contrary, and the Issuer shall not be responsible for the validity or sufficiency of any instrument transferring or assigning or purporting to transfer or assign a Credit or the rights or benefits thereunder or proceeds thereof, in whole or in part, which may prove to be invalid or ineffective for any reason.</w:t>
      </w:r>
    </w:p>
    <w:p>
      <w:pPr>
        <w:spacing w:after="0" w:line="178" w:lineRule="exact"/>
        <w:rPr>
          <w:sz w:val="20"/>
          <w:szCs w:val="20"/>
          <w:color w:val="auto"/>
        </w:rPr>
      </w:pPr>
    </w:p>
    <w:p>
      <w:pPr>
        <w:ind w:right="580" w:firstLine="228"/>
        <w:spacing w:after="0" w:line="268" w:lineRule="auto"/>
        <w:tabs>
          <w:tab w:leader="none" w:pos="63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Applicability of ISP98. Unless otherwise expressly agreed by the Issuer and the Company when a Credit is issued (including any such agreement applicable to an Existing Credit), the rules of the ISP shall apply to each Credit.</w:t>
      </w:r>
    </w:p>
    <w:p>
      <w:pPr>
        <w:spacing w:after="0" w:line="185" w:lineRule="exact"/>
        <w:rPr>
          <w:rFonts w:ascii="Arial" w:cs="Arial" w:eastAsia="Arial" w:hAnsi="Arial"/>
          <w:sz w:val="18"/>
          <w:szCs w:val="18"/>
          <w:color w:val="auto"/>
        </w:rPr>
      </w:pPr>
    </w:p>
    <w:p>
      <w:pPr>
        <w:ind w:right="460" w:firstLine="228"/>
        <w:spacing w:after="0" w:line="268" w:lineRule="auto"/>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Issuer Documents. In the event of any conflict between the terms hereof, the terms of any Request for Credit Extension and the terms of any Issuer Document (other than any Credit), the terms hereof shall control.</w:t>
      </w:r>
    </w:p>
    <w:p>
      <w:pPr>
        <w:spacing w:after="0" w:line="185" w:lineRule="exact"/>
        <w:rPr>
          <w:rFonts w:ascii="Arial" w:cs="Arial" w:eastAsia="Arial" w:hAnsi="Arial"/>
          <w:sz w:val="18"/>
          <w:szCs w:val="18"/>
          <w:color w:val="auto"/>
        </w:rPr>
      </w:pPr>
    </w:p>
    <w:p>
      <w:pPr>
        <w:ind w:left="620" w:hanging="39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Existing Credits. The Company and the Issuer certify that Schedule 1.01 accurately and completely sets forth the Existing Credits.</w:t>
      </w:r>
    </w:p>
    <w:p>
      <w:pPr>
        <w:spacing w:after="0" w:line="225" w:lineRule="exact"/>
        <w:rPr>
          <w:rFonts w:ascii="Arial" w:cs="Arial" w:eastAsia="Arial" w:hAnsi="Arial"/>
          <w:sz w:val="18"/>
          <w:szCs w:val="18"/>
          <w:color w:val="auto"/>
        </w:rPr>
      </w:pPr>
    </w:p>
    <w:p>
      <w:pPr>
        <w:ind w:left="620" w:hanging="39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Interest on Credit-Linked Deposit; Repayment of Credit-Linked Deposit.</w:t>
      </w:r>
    </w:p>
    <w:p>
      <w:pPr>
        <w:spacing w:after="0" w:line="225" w:lineRule="exact"/>
        <w:rPr>
          <w:rFonts w:ascii="Arial" w:cs="Arial" w:eastAsia="Arial" w:hAnsi="Arial"/>
          <w:sz w:val="18"/>
          <w:szCs w:val="18"/>
          <w:color w:val="auto"/>
        </w:rPr>
      </w:pPr>
    </w:p>
    <w:p>
      <w:pPr>
        <w:ind w:firstLine="447"/>
        <w:spacing w:after="0" w:line="256" w:lineRule="auto"/>
        <w:tabs>
          <w:tab w:leader="none" w:pos="645"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Administrative Agent hereby agrees to cause Bank of America to pay interest to the Administrative Agent, as holder of the Credit-Linked Deposit Account, and the Administrative Agent, as holder of the Credit-Linked Deposit Account, agrees to distribute to each Lender, from such interest payments received from Bank of America, such Lender’s Pro Rata Share of interest on the outstanding amount of the Credit-Linked Deposits in the Credit-Linked Deposit Account at the rate per annum set forth on Schedule A annexed hereto. Such</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02" w:name="page303"/>
    <w:bookmarkEnd w:id="302"/>
    <w:p>
      <w:pPr>
        <w:ind w:right="220"/>
        <w:spacing w:after="0" w:line="259" w:lineRule="auto"/>
        <w:rPr>
          <w:sz w:val="20"/>
          <w:szCs w:val="20"/>
          <w:color w:val="auto"/>
        </w:rPr>
      </w:pPr>
      <w:r>
        <w:rPr>
          <w:rFonts w:ascii="Arial" w:cs="Arial" w:eastAsia="Arial" w:hAnsi="Arial"/>
          <w:sz w:val="18"/>
          <w:szCs w:val="18"/>
          <w:color w:val="auto"/>
        </w:rPr>
        <w:t>interest will be distributed to the Lenders by the Administrative Agent quarterly in arrears on the first Business Day following the end of each Interest Period relating to the Credit-Linked Deposits. The Administrative Agent shall compute all amounts due under this Section 2.01(j)(i) and shall notify the Company and such Lender of each such amount due.</w:t>
      </w:r>
    </w:p>
    <w:p>
      <w:pPr>
        <w:spacing w:after="0" w:line="194" w:lineRule="exact"/>
        <w:rPr>
          <w:sz w:val="20"/>
          <w:szCs w:val="20"/>
          <w:color w:val="auto"/>
        </w:rPr>
      </w:pPr>
    </w:p>
    <w:p>
      <w:pPr>
        <w:ind w:firstLine="447"/>
        <w:spacing w:after="0" w:line="294" w:lineRule="auto"/>
        <w:tabs>
          <w:tab w:leader="none" w:pos="697"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Subject to, and to the extent of, the Company’s compliance with the cash-collateralization requirements set forth in Section 2.02, the Administrative Agent shall distribute the aggregate amount of any remaining Credit-Linked Deposits to the Lenders on the Maturity Date to the extent of the amount credited to the Credit-Linked Deposit Account. The Credit-Linked Deposit Account is a deposit account in the name of the Administrative Agent under its sole dominion and control, and held by it with Bank of America subject to the terms and conditions of this Agreement. No Lender, whether upon the receivership or liquidation of such Lender or otherwise, shall be entitled to its Credit-Linked Deposit other than as expressly provided in this Agreement.</w:t>
      </w:r>
    </w:p>
    <w:p>
      <w:pPr>
        <w:spacing w:after="0" w:line="169" w:lineRule="exact"/>
        <w:rPr>
          <w:rFonts w:ascii="Arial" w:cs="Arial" w:eastAsia="Arial" w:hAnsi="Arial"/>
          <w:sz w:val="16"/>
          <w:szCs w:val="16"/>
          <w:color w:val="auto"/>
        </w:rPr>
      </w:pPr>
    </w:p>
    <w:p>
      <w:pPr>
        <w:ind w:right="20" w:firstLine="447"/>
        <w:spacing w:after="0" w:line="294" w:lineRule="auto"/>
        <w:tabs>
          <w:tab w:leader="none" w:pos="743"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Company shall have no right, title or interest in or to the Credit-Linked Deposits or the Credit-Linked Deposit Account and no obligations with respect thereto, it being acknowledged and agreed by the parties hereto that the making of the Credit-Linked Deposits by the Lenders, the deposit by the Administrative Agent of the Credit-Linked Deposits in the Credit-Linked Deposit Account, the provisions of this Section 2.01(j) and the application of the Credit-Linked Deposits in the manner contemplated by Section 2.01(c) constitute agreements among the Administrative Agent, the Issuer and each Lender in respect of the funding obligations of each Lender in respect of its Participation in Credits, and do not constitute any loan or extension of credit to the Company.</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 Cash Collateral</w:t>
      </w:r>
    </w:p>
    <w:p>
      <w:pPr>
        <w:spacing w:after="0" w:line="231" w:lineRule="exact"/>
        <w:rPr>
          <w:sz w:val="20"/>
          <w:szCs w:val="20"/>
          <w:color w:val="auto"/>
        </w:rPr>
      </w:pPr>
    </w:p>
    <w:p>
      <w:pPr>
        <w:ind w:right="60" w:firstLine="228"/>
        <w:spacing w:after="0" w:line="290" w:lineRule="auto"/>
        <w:tabs>
          <w:tab w:leader="none" w:pos="634" w:val="left"/>
        </w:tabs>
        <w:numPr>
          <w:ilvl w:val="0"/>
          <w:numId w:val="356"/>
        </w:numPr>
        <w:rPr>
          <w:rFonts w:ascii="Arial" w:cs="Arial" w:eastAsia="Arial" w:hAnsi="Arial"/>
          <w:sz w:val="16"/>
          <w:szCs w:val="16"/>
          <w:color w:val="auto"/>
        </w:rPr>
      </w:pPr>
      <w:r>
        <w:rPr>
          <w:rFonts w:ascii="Arial" w:cs="Arial" w:eastAsia="Arial" w:hAnsi="Arial"/>
          <w:sz w:val="16"/>
          <w:szCs w:val="16"/>
          <w:color w:val="auto"/>
        </w:rPr>
        <w:t>Upon the request of the Administrative Agent, (i) if, as of the Credit Expiration Date, (A) any Credit for any reason remains outstanding and partially or wholly undrawn or (B) any amount remains available to be drawn under any Credit by reason of the operation of Rule 3.14 of the ISP, or (ii) upon the occurrence of the circumstances described in Section 8.02(c) requiring the Company to Cash Collateralize Credits, the Company shall within two Business Days after receipt of such request Cash Collateralize the then Outstanding Amount of all Credits (in an amount equal to the Outstanding Amount thereof). For purposes hereof, “Cash Collateralize” means to pledge and deposit with or deliver to the Administrative Agent, for the benefit of the Issuer and the Lenders, as collateral for the Credit Obligations, cash or deposit account balances (“Cash Collateral”) pursuant to documentation in form and substance reasonably satisfactory to the Administrative Agent (which documents are hereby consented to by the Lenders). Derivatives of such term have corresponding meanings.</w:t>
      </w:r>
    </w:p>
    <w:p>
      <w:pPr>
        <w:spacing w:after="0" w:line="172" w:lineRule="exact"/>
        <w:rPr>
          <w:rFonts w:ascii="Arial" w:cs="Arial" w:eastAsia="Arial" w:hAnsi="Arial"/>
          <w:sz w:val="16"/>
          <w:szCs w:val="16"/>
          <w:color w:val="auto"/>
        </w:rPr>
      </w:pPr>
    </w:p>
    <w:p>
      <w:pPr>
        <w:ind w:right="120" w:firstLine="228"/>
        <w:spacing w:after="0" w:line="256" w:lineRule="auto"/>
        <w:tabs>
          <w:tab w:leader="none" w:pos="64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Company hereby grants the Administrative Agent, for the benefit of the Issuer and the Lenders, a security interest in all such Cash Collateral. Cash Collateral shall be maintained in blocked, non-interest bearing deposit accounts at Bank of America and shall be subject to such Lien documentation as the Administrative Agent shall reasonably request. The Company hereby authorizes the filing by the Administrative Agent of any UCC-1 financing statements in connection therewith.</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3" w:name="page304"/>
    <w:bookmarkEnd w:id="303"/>
    <w:p>
      <w:pPr>
        <w:ind w:left="220"/>
        <w:spacing w:after="0"/>
        <w:rPr>
          <w:sz w:val="20"/>
          <w:szCs w:val="20"/>
          <w:color w:val="auto"/>
        </w:rPr>
      </w:pPr>
      <w:r>
        <w:rPr>
          <w:rFonts w:ascii="Arial" w:cs="Arial" w:eastAsia="Arial" w:hAnsi="Arial"/>
          <w:sz w:val="18"/>
          <w:szCs w:val="18"/>
          <w:b w:val="1"/>
          <w:bCs w:val="1"/>
          <w:color w:val="auto"/>
        </w:rPr>
        <w:t>2.03 Reduction of Total Credit-Linked Deposits; Conversion to Funded Term Loans</w:t>
      </w:r>
      <w:r>
        <w:rPr>
          <w:rFonts w:ascii="Arial" w:cs="Arial" w:eastAsia="Arial" w:hAnsi="Arial"/>
          <w:sz w:val="18"/>
          <w:szCs w:val="18"/>
          <w:color w:val="auto"/>
        </w:rPr>
        <w:t>.</w:t>
      </w:r>
    </w:p>
    <w:p>
      <w:pPr>
        <w:spacing w:after="0" w:line="231" w:lineRule="exact"/>
        <w:rPr>
          <w:sz w:val="20"/>
          <w:szCs w:val="20"/>
          <w:color w:val="auto"/>
        </w:rPr>
      </w:pPr>
    </w:p>
    <w:p>
      <w:pPr>
        <w:ind w:right="20" w:firstLine="228"/>
        <w:spacing w:after="0" w:line="286" w:lineRule="auto"/>
        <w:tabs>
          <w:tab w:leader="none" w:pos="63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Reduction. The Company may, on or after the second anniversary of the Closing Date, upon notice from the Company to the Administrative Agent, permanently reduce the available amount of the Total Credit-Linked Deposit to an amount not less than the sum of the then Outstanding Amount of all Credit Obligations (other than Advances and Term Loans); provided that (i) any such notice shall be received by the Administrative Agent not later than 1:00 p.m., Dallas time, ten Business Days prior to the date of termination or reduction, (ii) any such partial reduction shall be in an aggregate amount of $10,000,000 or any whole multiple of $1,000,000 in excess thereof, or such lesser amount as would reduce the Total Credit-Linked Deposit to $0; and (iii) a Prepayment Premium, if any, shall be payable with respect to any amounts reduced. Such notice shall specify the proposed effective date of such reduction and the amount of the Prepayment Premium, if any. The Administrative Agent will promptly notify the Lenders of any such notice of reduction of the Total Credit-Linked Deposit. Once reduced in accordance with this Section, the Total Credit-Linked Deposit may not be increased. Any reduction of the Total Credit-Linked Deposit shall be applied to each Lender according to its Pro Rata Share. All Facility Fees and Fronting Fees shall accrue until the effective date of any reduction of the Total Credit-Linked Deposit and shall be paid on the effective date of such reduction if the Total Credit-Linked Deposit is $0 after giving effect to such reduction. Upon any such reduction, the Administrative Agent shall promptly remit to each Lender its Pro Rata Share of the amount of the reduction in the Total Credit-Linked Deposit and Prepayment Premium, if any.</w:t>
      </w:r>
    </w:p>
    <w:p>
      <w:pPr>
        <w:spacing w:after="0" w:line="178" w:lineRule="exact"/>
        <w:rPr>
          <w:rFonts w:ascii="Arial" w:cs="Arial" w:eastAsia="Arial" w:hAnsi="Arial"/>
          <w:sz w:val="16"/>
          <w:szCs w:val="16"/>
          <w:color w:val="auto"/>
        </w:rPr>
      </w:pPr>
    </w:p>
    <w:p>
      <w:pPr>
        <w:ind w:left="660" w:hanging="432"/>
        <w:spacing w:after="0"/>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Conversion to Funded Term Loans.</w:t>
      </w:r>
    </w:p>
    <w:p>
      <w:pPr>
        <w:spacing w:after="0" w:line="225" w:lineRule="exact"/>
        <w:rPr>
          <w:rFonts w:ascii="Arial" w:cs="Arial" w:eastAsia="Arial" w:hAnsi="Arial"/>
          <w:sz w:val="18"/>
          <w:szCs w:val="18"/>
          <w:color w:val="auto"/>
        </w:rPr>
      </w:pPr>
    </w:p>
    <w:p>
      <w:pPr>
        <w:ind w:firstLine="447"/>
        <w:spacing w:after="0" w:line="312" w:lineRule="auto"/>
        <w:tabs>
          <w:tab w:leader="none" w:pos="649" w:val="left"/>
        </w:tabs>
        <w:numPr>
          <w:ilvl w:val="1"/>
          <w:numId w:val="357"/>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(including satisfaction of the applicable conditions specified in Sections 4.02 and 4.03), the Company may elect to (A) cause the Lenders to make, and each Lender agrees to make, funded loans (“Term Loans”) to the Company in an aggregate principal amount up to the excess of (x) the Total Credit-Linked Deposit over (y) the Outstanding Amount of all Credit Obligations (other than Advances and Term Loans) (the amount of such excess being the “Unused Amount”), or (B) cause the Lenders to make, and each Lender agrees to make, one or more funded Term Loans in an aggregate principal amount up to the amount of a forthcoming drawing on any Credit, or (C) cause the Lenders to make, and each Lender agrees to make, one or more funded Term Loans in the aggregate amount of any Advances then outstanding by converting such Advances to Term Loans; in each case in accordance with the procedures set forth in this Section 2.03(b). Any Term Loans made under this Section 2.03(b) and subsequently repaid or prepaid may not be reborrowed.</w:t>
      </w:r>
    </w:p>
    <w:p>
      <w:pPr>
        <w:spacing w:after="0" w:line="159" w:lineRule="exact"/>
        <w:rPr>
          <w:rFonts w:ascii="Arial" w:cs="Arial" w:eastAsia="Arial" w:hAnsi="Arial"/>
          <w:sz w:val="15"/>
          <w:szCs w:val="15"/>
          <w:color w:val="auto"/>
        </w:rPr>
      </w:pPr>
    </w:p>
    <w:p>
      <w:pPr>
        <w:ind w:right="320" w:firstLine="447"/>
        <w:spacing w:after="0" w:line="256" w:lineRule="auto"/>
        <w:tabs>
          <w:tab w:leader="none" w:pos="69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Company may irrevocably request the making of one or more Term Loans in an aggregate amount up to the Unused Amount or in an aggregate amount up to the anticipated drawing on a Credit from the proceeds of Credit-Linked Deposits, or in an aggregate amount up to the aggregate amount of Advances then outstanding by converting such Advances to Term Loans, as applicable, by delivering a Request for Term Loans therefor to the Administrative Agent, appropriately completed and signed by a Responsible Officer or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4" w:name="page305"/>
    <w:bookmarkEnd w:id="304"/>
    <w:p>
      <w:pPr>
        <w:ind w:right="20"/>
        <w:spacing w:after="0" w:line="290" w:lineRule="auto"/>
        <w:rPr>
          <w:sz w:val="20"/>
          <w:szCs w:val="20"/>
          <w:color w:val="auto"/>
        </w:rPr>
      </w:pPr>
      <w:r>
        <w:rPr>
          <w:rFonts w:ascii="Arial" w:cs="Arial" w:eastAsia="Arial" w:hAnsi="Arial"/>
          <w:sz w:val="16"/>
          <w:szCs w:val="16"/>
          <w:color w:val="auto"/>
        </w:rPr>
        <w:t>Authorized Representative of the Company, not later than 10 Business Days prior to the proposed date of making of the Term Loans; provided that the Term Loans requested pursuant to Section 2.03(b)(i)(A) shall only be made on a day which is the last day of an Interest Period with respect to the Credit-Linked Deposits and the Company shall in any event pay the amounts, if any, payable under Section 3.04; and provided further that the minimum aggregate amount of Term Loans made on any date shall be (A) $25,000,000, in the case of Term Loans requested pursuant to Section 2.03(b)(i)(A), and (B) $10,000,000, in the case of Term Loans requested pursuant to Sections 2.03(b)(i)(B) and 2.03(b)(i)(C), or in each case of clauses (A) and (B) of this clause (ii), such lesser amount which, when added to the applicable Outstanding Amount of all (x) Credits and (y) the Unreimbursed Amounts for which Advances have not been made would equal the Total Credit-Linked Deposit.</w:t>
      </w:r>
    </w:p>
    <w:p>
      <w:pPr>
        <w:spacing w:after="0" w:line="172" w:lineRule="exact"/>
        <w:rPr>
          <w:sz w:val="20"/>
          <w:szCs w:val="20"/>
          <w:color w:val="auto"/>
        </w:rPr>
      </w:pPr>
    </w:p>
    <w:p>
      <w:pPr>
        <w:ind w:right="20" w:firstLine="447"/>
        <w:spacing w:after="0" w:line="286" w:lineRule="auto"/>
        <w:tabs>
          <w:tab w:leader="none" w:pos="74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Following receipt of a Request for Term Loans, the Administrative Agent shall promptly notify each Lender of its Pro Rata Share thereof. Upon satisfaction of the applicable conditions set forth in Sections 4.02 and 4.03, the Administrative Agent shall (A) in the case of Term Loans made pursuant to Section 2.03(b)(i)(A), debit the Credit-Linked Deposit Account in an amount equal to the aggregate amount of the proposed Term Loans (but not exceeding the Unused Amount) and shall make such funds available to the Company either by (i) crediting the account of the Company on the books of Bank of America with the amount of such funds or (ii) wire transferring such funds, in each case in accordance with instructions provided to (and reasonably acceptable to) the Administrative Agent by the Company, (B) in the case of Term Loans made pursuant to Section 2.03(b)(i)(B), debit the Credit-Linked Deposit Account in an amount equal to the aggregate amount of the proposed Term Loans and transfer such funds to the Issuer in reimbursement of the applicable drawing on a Credit, and (C) in the case of Term Loans made pursuant to Section 2.03(b)(i)(C), record in its books and records and on the Register the conversion of the applicable Advances into Term Loans, which credit or transfer or recordation, as applicable, shall be deemed to be the making of the Term Loans by the Lenders hereunder, and such date shall be the “Term Loan Issuance Date” (and the Administrative Agent shall forthwith deliver a notice to each Lender informing such Lender of the applicable Term Loan Issuance Date). Each Lender hereby irrevocably authorizes the Administrative Agent to charge the Credit-Linked Deposit Account for such purpose. No Lender shall have any obligation to make Term Loans to the Company other than from the proceeds of its Credit-Linked Deposits.</w:t>
      </w:r>
    </w:p>
    <w:p>
      <w:pPr>
        <w:spacing w:after="0" w:line="178" w:lineRule="exact"/>
        <w:rPr>
          <w:rFonts w:ascii="Arial" w:cs="Arial" w:eastAsia="Arial" w:hAnsi="Arial"/>
          <w:sz w:val="16"/>
          <w:szCs w:val="16"/>
          <w:color w:val="auto"/>
        </w:rPr>
      </w:pPr>
    </w:p>
    <w:p>
      <w:pPr>
        <w:ind w:left="740" w:hanging="293"/>
        <w:spacing w:after="0"/>
        <w:tabs>
          <w:tab w:leader="none" w:pos="7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Interest Rate on Term Loans.</w:t>
      </w:r>
    </w:p>
    <w:p>
      <w:pPr>
        <w:spacing w:after="0" w:line="225" w:lineRule="exact"/>
        <w:rPr>
          <w:rFonts w:ascii="Arial" w:cs="Arial" w:eastAsia="Arial" w:hAnsi="Arial"/>
          <w:sz w:val="18"/>
          <w:szCs w:val="18"/>
          <w:color w:val="auto"/>
        </w:rPr>
      </w:pPr>
    </w:p>
    <w:p>
      <w:pPr>
        <w:ind w:left="700" w:right="520" w:firstLine="216"/>
        <w:spacing w:after="0" w:line="268" w:lineRule="auto"/>
        <w:tabs>
          <w:tab w:leader="none" w:pos="120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Subject to the provisions of subsection (B) below, each Term Loan shall bear interest on the outstanding principal amount thereof for each Interest Period at a rate per annum equal to the LIBO Rate for such Interest Period plus the Applicable Rate.</w:t>
      </w:r>
    </w:p>
    <w:p>
      <w:pPr>
        <w:spacing w:after="0" w:line="185" w:lineRule="exact"/>
        <w:rPr>
          <w:rFonts w:ascii="Arial" w:cs="Arial" w:eastAsia="Arial" w:hAnsi="Arial"/>
          <w:sz w:val="18"/>
          <w:szCs w:val="18"/>
          <w:color w:val="auto"/>
        </w:rPr>
      </w:pPr>
    </w:p>
    <w:p>
      <w:pPr>
        <w:ind w:left="700" w:right="180" w:firstLine="216"/>
        <w:spacing w:after="0" w:line="259" w:lineRule="auto"/>
        <w:tabs>
          <w:tab w:leader="none" w:pos="119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If any amount of the Term Loans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5" w:name="page306"/>
    <w:bookmarkEnd w:id="305"/>
    <w:p>
      <w:pPr>
        <w:ind w:left="920"/>
        <w:spacing w:after="0"/>
        <w:rPr>
          <w:sz w:val="20"/>
          <w:szCs w:val="20"/>
          <w:color w:val="auto"/>
        </w:rPr>
      </w:pPr>
      <w:r>
        <w:rPr>
          <w:rFonts w:ascii="Arial" w:cs="Arial" w:eastAsia="Arial" w:hAnsi="Arial"/>
          <w:sz w:val="16"/>
          <w:szCs w:val="16"/>
          <w:color w:val="auto"/>
        </w:rPr>
        <w:t>Law. Accrued and unpaid interest on past due amounts (including interest on past due interest) shall be due and payable upon demand.</w:t>
      </w:r>
    </w:p>
    <w:p>
      <w:pPr>
        <w:spacing w:after="0" w:line="248" w:lineRule="exact"/>
        <w:rPr>
          <w:sz w:val="20"/>
          <w:szCs w:val="20"/>
          <w:color w:val="auto"/>
        </w:rPr>
      </w:pPr>
    </w:p>
    <w:p>
      <w:pPr>
        <w:ind w:left="700" w:right="240" w:firstLine="216"/>
        <w:spacing w:after="0" w:line="256" w:lineRule="auto"/>
        <w:tabs>
          <w:tab w:leader="none" w:pos="119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Interest on each Term Loan shall be due and payable in arrears on the first Business Day following the end of each Interest Period applicable thereto, at such other times as may be specified herein and on the Maturity Date. To the fullest extent permitted by applicable Law, interest hereunder shall be due and payable in accordance with the terms hereof before and after judgment, and before and after the commencement of any proceeding under any Debtor Relief Law.</w:t>
      </w:r>
    </w:p>
    <w:p>
      <w:pPr>
        <w:spacing w:after="0" w:line="197" w:lineRule="exact"/>
        <w:rPr>
          <w:rFonts w:ascii="Arial" w:cs="Arial" w:eastAsia="Arial" w:hAnsi="Arial"/>
          <w:sz w:val="18"/>
          <w:szCs w:val="18"/>
          <w:color w:val="auto"/>
        </w:rPr>
      </w:pPr>
    </w:p>
    <w:p>
      <w:pPr>
        <w:ind w:right="120" w:firstLine="447"/>
        <w:spacing w:after="0" w:line="268" w:lineRule="auto"/>
        <w:tabs>
          <w:tab w:leader="none" w:pos="86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Repayment of Term Loans. The Company shall repay to the Administrative Agent for the account of the Lenders on the Maturity Date the aggregate principal amount of the Term Loans outstanding on such date.</w:t>
      </w:r>
    </w:p>
    <w:p>
      <w:pPr>
        <w:spacing w:after="0" w:line="185" w:lineRule="exact"/>
        <w:rPr>
          <w:rFonts w:ascii="Arial" w:cs="Arial" w:eastAsia="Arial" w:hAnsi="Arial"/>
          <w:sz w:val="18"/>
          <w:szCs w:val="18"/>
          <w:color w:val="auto"/>
        </w:rPr>
      </w:pPr>
    </w:p>
    <w:p>
      <w:pPr>
        <w:ind w:right="100" w:firstLine="447"/>
        <w:spacing w:after="0" w:line="287" w:lineRule="auto"/>
        <w:tabs>
          <w:tab w:leader="none" w:pos="91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Optional Prepayment of Term Loans. The Company may, on or after the second anniversary of the Closing Date, at its option, upon notice to the Administrative Agent as provided below, prepay on any Business Day all, or from time to time any part of, the Term Loans (subject to the limitations sets forth below); provided that (i) any such notice shall be received by the Administrative Agent not later than 1:00 p.m., Dallas time, ten Business Days prior to the date of prepayment, (ii) any such partial prepayment shall be in an aggregate amount of $1,000,000 or any whole multiple of $1,000,000 in excess thereof, or such lesser amount as would reduce the Term Loans to $0; and (iii) a Prepayment Premium, if any, shall be payable with respect to any amounts prepaid. Such notice shall specify the proposed effective date of such prepayment, the aggregate principal amount of the Term Notes to be prepaid on such date, the interest to be paid on the prepayment date with respect to such principal amount being prepaid, which shall be the last day of the Interest Period therefor, and the amount of the Prepayment Premium, if any. The Administrative Agent will promptly notify the Lenders of any such notice of prepayment of the Term Loans. Once prepaid in accordance with this Section, such Term Loans may not be reborrowed. Upon any such prepayment, the Administrative Agent shall promptly remit to each Lender its Pro Rata Share of the amount of the prepayment of the Term Loans and Prepayment Premium, if any.</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2.04 Interest on Borrowings Other Than Term Loans</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305" w:lineRule="auto"/>
        <w:tabs>
          <w:tab w:leader="none" w:pos="634" w:val="left"/>
        </w:tabs>
        <w:numPr>
          <w:ilvl w:val="1"/>
          <w:numId w:val="361"/>
        </w:numPr>
        <w:rPr>
          <w:rFonts w:ascii="Arial" w:cs="Arial" w:eastAsia="Arial" w:hAnsi="Arial"/>
          <w:sz w:val="15"/>
          <w:szCs w:val="15"/>
          <w:color w:val="auto"/>
        </w:rPr>
      </w:pPr>
      <w:r>
        <w:rPr>
          <w:rFonts w:ascii="Arial" w:cs="Arial" w:eastAsia="Arial" w:hAnsi="Arial"/>
          <w:sz w:val="15"/>
          <w:szCs w:val="15"/>
          <w:color w:val="auto"/>
        </w:rPr>
        <w:t>Each Borrowing (other than the Term Loans) shall bear interest on the outstanding principal amount thereof (i) from and including the applicable Borrowing date to and excluding the date six Business Days thereafter at an interest rate per annum equal at all times to the Base Rate plus 1.00% per annum, and</w:t>
      </w:r>
    </w:p>
    <w:p>
      <w:pPr>
        <w:ind w:left="260" w:hanging="252"/>
        <w:spacing w:after="0"/>
        <w:tabs>
          <w:tab w:leader="none" w:pos="2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from and including the sixth Business Day after the applicable Borrowing date at an interest rate per annum equal at all times to the Default Rate.</w:t>
      </w:r>
    </w:p>
    <w:p>
      <w:pPr>
        <w:spacing w:after="0" w:line="241" w:lineRule="exact"/>
        <w:rPr>
          <w:rFonts w:ascii="Arial" w:cs="Arial" w:eastAsia="Arial" w:hAnsi="Arial"/>
          <w:sz w:val="16"/>
          <w:szCs w:val="16"/>
          <w:color w:val="auto"/>
        </w:rPr>
      </w:pPr>
    </w:p>
    <w:p>
      <w:pPr>
        <w:ind w:right="60" w:firstLine="228"/>
        <w:spacing w:after="0" w:line="259" w:lineRule="auto"/>
        <w:tabs>
          <w:tab w:leader="none" w:pos="64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If any other amount payable by the Company under any Credit Document is not paid when due (without regard to any applicable grace periods) whether at stated maturity, by acceleration or otherwise, each such amount shall thereafter bear interest at an interest rate per annum at all times equal to the Default Rate to the fullest extent permitted by applicable Law.</w:t>
      </w:r>
    </w:p>
    <w:p>
      <w:pPr>
        <w:spacing w:after="0" w:line="194" w:lineRule="exact"/>
        <w:rPr>
          <w:rFonts w:ascii="Arial" w:cs="Arial" w:eastAsia="Arial" w:hAnsi="Arial"/>
          <w:sz w:val="18"/>
          <w:szCs w:val="18"/>
          <w:color w:val="auto"/>
        </w:rPr>
      </w:pPr>
    </w:p>
    <w:p>
      <w:pPr>
        <w:ind w:left="640" w:hanging="412"/>
        <w:spacing w:after="0"/>
        <w:tabs>
          <w:tab w:leader="none" w:pos="64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Accrued and unpaid interest on all such unpaid amounts (including interest on past due interest) shall be due and payable upon demand.</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6" w:name="page307"/>
    <w:bookmarkEnd w:id="306"/>
    <w:p>
      <w:pPr>
        <w:ind w:right="200" w:firstLine="228"/>
        <w:spacing w:after="0" w:line="268" w:lineRule="auto"/>
        <w:tabs>
          <w:tab w:leader="none" w:pos="64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2.05 Fees and Other Charges</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287" w:lineRule="auto"/>
        <w:tabs>
          <w:tab w:leader="none" w:pos="63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Facility Fee. The Company shall pay to the Administrative Agent for the account of each Lender in accordance with its Pro Rata Share, a fee (the “Facility Fee”) equal to the Applicable Rate, expressed on a daily basis, times the actual daily amount of such Lender’s Credit-Linked Deposit. The Facility Fee shall accrue effective as of the Closing Date and shall be calculated quarterly in arrears by the Administrative Agent. If there is any change in the Applicable Rate during any quarter, the actual daily Credit-Linked Deposit amount shall be computed and multiplied by the Applicable Rate separately for each period during such quarter that such Applicable Rate was in effect. The Facility Fee shall be due and payable quarterly in arrears on the first Business Day following the end of each Interest Period relating to the Credit-Linked Deposits, commencing with the first such date to occur after the Closing Date, and on the Maturity Date; provided that, in connection with any reduction of the Total Credit-Linked Deposit under Section 2.03, the accrued Facility Fee calculated for the period ending on such date shall also be paid on the date of such reduction, and the following quarterly payment shall be calculated on the basis of the period from such reduction date to such quarterly payment date. The Facility Fee shall accrue at all times, including at any time during which one or more of the conditions in Article IV is not met.</w:t>
      </w:r>
    </w:p>
    <w:p>
      <w:pPr>
        <w:spacing w:after="0" w:line="176" w:lineRule="exact"/>
        <w:rPr>
          <w:rFonts w:ascii="Arial" w:cs="Arial" w:eastAsia="Arial" w:hAnsi="Arial"/>
          <w:sz w:val="16"/>
          <w:szCs w:val="16"/>
          <w:color w:val="auto"/>
        </w:rPr>
      </w:pPr>
    </w:p>
    <w:p>
      <w:pPr>
        <w:ind w:right="20" w:firstLine="228"/>
        <w:spacing w:after="0" w:line="289" w:lineRule="auto"/>
        <w:tabs>
          <w:tab w:leader="none" w:pos="64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Fronting Fee. The Company shall pay directly to the Issuer for its own account, a fee (the “Fronting Fee”) equal to the rate per annum set forth in the letter agreement dated May 8, 2003 (the “Fee Letter”), among the Company, BAS and the Administrative Agent, times the daily amount of the Total Credit-Linked Deposit, due and payable quarterly in arrears on the first Business Day immediately following the last Business Day of each March, June, September and December, commencing with the first such date to occur after the Closing Date, and on the Maturity Date; provided that, in connection with any reduction of the Total Credit-Linked Deposit under Section 2.03, the accrued Fronting Fee calculated for the period ending on such date shall also be paid on the date of such reduction, and the following quarterly payment shall be calculated on the basis of the period from such reduction date to such quarterly payment date. At any time that an Event of Default exists, the Fronting Fee shall be increased by adding 2% to the amount thereof determined as provided in the Fee Letter. The Fronting Fee shall accrue at all times, including at any time during which one or more of the conditions in Article IV is not met.</w:t>
      </w:r>
    </w:p>
    <w:p>
      <w:pPr>
        <w:spacing w:after="0" w:line="172" w:lineRule="exact"/>
        <w:rPr>
          <w:rFonts w:ascii="Arial" w:cs="Arial" w:eastAsia="Arial" w:hAnsi="Arial"/>
          <w:sz w:val="16"/>
          <w:szCs w:val="16"/>
          <w:color w:val="auto"/>
        </w:rPr>
      </w:pPr>
    </w:p>
    <w:p>
      <w:pPr>
        <w:ind w:right="260" w:firstLine="228"/>
        <w:spacing w:after="0" w:line="256" w:lineRule="auto"/>
        <w:tabs>
          <w:tab w:leader="none" w:pos="63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Documentary and Processing Charges Payable to Issuer. The Company shall pay directly to the Issuer for its own account the customary and standard issuance, commission, presentation, amendment and other processing fees, and other standard costs and charges (if any), of the Issuer or any Affiliate of the Issuer, relating to its Credits as from time to time in effect and agreed upon between the Company and the Issuer. Such customary fees and standard costs and charges are due and payable on demand and are nonrefundable.</w:t>
      </w:r>
    </w:p>
    <w:p>
      <w:pPr>
        <w:spacing w:after="0" w:line="197" w:lineRule="exact"/>
        <w:rPr>
          <w:rFonts w:ascii="Arial" w:cs="Arial" w:eastAsia="Arial" w:hAnsi="Arial"/>
          <w:sz w:val="18"/>
          <w:szCs w:val="18"/>
          <w:color w:val="auto"/>
        </w:rPr>
      </w:pPr>
    </w:p>
    <w:p>
      <w:pPr>
        <w:ind w:right="20" w:firstLine="228"/>
        <w:spacing w:after="0" w:line="268" w:lineRule="auto"/>
        <w:tabs>
          <w:tab w:leader="none" w:pos="64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Placement and Administrative Fees. The Company shall pay a placement fee to BAS, and shall pay an administrative fee to the Administrative Agent for the Administrative Agent’s own account, in the amounts and at the times specified in the Fee Letter, and if a</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07" w:name="page308"/>
    <w:bookmarkEnd w:id="307"/>
    <w:p>
      <w:pPr>
        <w:ind w:right="340"/>
        <w:spacing w:after="0" w:line="268" w:lineRule="auto"/>
        <w:rPr>
          <w:sz w:val="20"/>
          <w:szCs w:val="20"/>
          <w:color w:val="auto"/>
        </w:rPr>
      </w:pPr>
      <w:r>
        <w:rPr>
          <w:rFonts w:ascii="Arial" w:cs="Arial" w:eastAsia="Arial" w:hAnsi="Arial"/>
          <w:sz w:val="18"/>
          <w:szCs w:val="18"/>
          <w:color w:val="auto"/>
        </w:rPr>
        <w:t>successor Administrative Agent is appointed pursuant to Section 9.09 hereof, the Company shall pay the administrative fees of such successor Administrative Agent.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2.06 Computation of Interest and Fees</w:t>
      </w:r>
      <w:r>
        <w:rPr>
          <w:rFonts w:ascii="Arial" w:cs="Arial" w:eastAsia="Arial" w:hAnsi="Arial"/>
          <w:sz w:val="18"/>
          <w:szCs w:val="18"/>
          <w:color w:val="auto"/>
        </w:rPr>
        <w:t>.</w:t>
      </w:r>
    </w:p>
    <w:p>
      <w:pPr>
        <w:spacing w:after="0" w:line="231" w:lineRule="exact"/>
        <w:rPr>
          <w:sz w:val="20"/>
          <w:szCs w:val="20"/>
          <w:color w:val="auto"/>
        </w:rPr>
      </w:pPr>
    </w:p>
    <w:p>
      <w:pPr>
        <w:jc w:val="both"/>
        <w:ind w:right="220" w:firstLine="228"/>
        <w:spacing w:after="0" w:line="303" w:lineRule="auto"/>
        <w:tabs>
          <w:tab w:leader="none" w:pos="624"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All computations of interest when the Base Rate is determined by reference to Bank of America’s “prime rate” shall be made on the basis of a year of 365 or 366 days, as the case may be, and actual days elapsed. Computation of all other types of interest and all fees shall be calculated on the basis of a year of 360 days, and actual days elapsed (which results in more fees or interest, as applicable, being paid than if computed on the basis of a 365-day or 366-day year).</w:t>
      </w:r>
    </w:p>
    <w:p>
      <w:pPr>
        <w:spacing w:after="0" w:line="1" w:lineRule="exact"/>
        <w:rPr>
          <w:rFonts w:ascii="Arial" w:cs="Arial" w:eastAsia="Arial" w:hAnsi="Arial"/>
          <w:sz w:val="15"/>
          <w:szCs w:val="15"/>
          <w:color w:val="auto"/>
        </w:rPr>
      </w:pPr>
    </w:p>
    <w:p>
      <w:pPr>
        <w:ind w:right="100"/>
        <w:spacing w:after="0" w:line="255" w:lineRule="auto"/>
        <w:rPr>
          <w:rFonts w:ascii="Arial" w:cs="Arial" w:eastAsia="Arial" w:hAnsi="Arial"/>
          <w:sz w:val="15"/>
          <w:szCs w:val="15"/>
          <w:color w:val="auto"/>
        </w:rPr>
      </w:pPr>
      <w:r>
        <w:rPr>
          <w:rFonts w:ascii="Arial" w:cs="Arial" w:eastAsia="Arial" w:hAnsi="Arial"/>
          <w:sz w:val="18"/>
          <w:szCs w:val="18"/>
          <w:color w:val="auto"/>
        </w:rPr>
        <w:t>Interest shall accrue on each Advance or Term Loan for the day on which the Advance or Term Loan is made, and shall not accrue on an Advance or Term Loan, or any portion thereof, for the day on which the Advance, such Term Loan or such portion is paid, provided that any Advance or Term Loan that is repaid on the same day on which it is made shall bear interest for one day.</w:t>
      </w:r>
    </w:p>
    <w:p>
      <w:pPr>
        <w:spacing w:after="0" w:line="198" w:lineRule="exact"/>
        <w:rPr>
          <w:rFonts w:ascii="Arial" w:cs="Arial" w:eastAsia="Arial" w:hAnsi="Arial"/>
          <w:sz w:val="15"/>
          <w:szCs w:val="15"/>
          <w:color w:val="auto"/>
        </w:rPr>
      </w:pPr>
    </w:p>
    <w:p>
      <w:pPr>
        <w:jc w:val="both"/>
        <w:ind w:right="20" w:firstLine="228"/>
        <w:spacing w:after="0" w:line="298" w:lineRule="auto"/>
        <w:tabs>
          <w:tab w:leader="none" w:pos="641"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Company and the Lenders of the LIBO Rate applicable to any Interest Period upon determination of such interest rate. The determination of LIBO Rate by the Administrative Agent shall be conclusive in the absence of manifest error. At any time that Advances or Term Loans accruing interest based on the Base Rate are outstanding, the Administrative Agent shall notify the Company and the Lenders of any change in Bank of America’s prime rate used in determining the Base Rate promptly following the public announcement of such change.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2.07 Evidence of Debt</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289" w:lineRule="auto"/>
        <w:tabs>
          <w:tab w:leader="none" w:pos="631"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Credit-Linked Deposits, the Credit Extensions made by the Issuer, the participations of each Lender therein and any Advances and Term Loans made by each Lender shall be evidenced by one or more accounts or records maintained by the Issuer, such Lender and by the Administrative Agent in the ordinary course of business. The accounts or records maintained by the Issuer, the Administrative Agent and each Lender shall be conclusive absent manifest error of the amount of the Credit-Linked Deposits, the Credit Extensions made by the Issuer and any Advances and Term Loans made by each Lender and the interest and payments thereon. Any failure to so record or any error in doing so shall not, however, limit or otherwise affect the obligation of the Company hereunder to pay any amount owing with respect to the Credit Obligations. In the event of any conflict between the accounts and records maintained by the Issuer or any Lender and the accounts and records of the Administrative Agent in respect of such matters, the accounts and records of the Administrative Agent shall control in the absence of manifest error.</w:t>
      </w:r>
    </w:p>
    <w:p>
      <w:pPr>
        <w:spacing w:after="0" w:line="172" w:lineRule="exact"/>
        <w:rPr>
          <w:rFonts w:ascii="Arial" w:cs="Arial" w:eastAsia="Arial" w:hAnsi="Arial"/>
          <w:sz w:val="16"/>
          <w:szCs w:val="16"/>
          <w:color w:val="auto"/>
        </w:rPr>
      </w:pPr>
    </w:p>
    <w:p>
      <w:pPr>
        <w:ind w:right="460" w:firstLine="228"/>
        <w:spacing w:after="0" w:line="256" w:lineRule="auto"/>
        <w:tabs>
          <w:tab w:leader="none" w:pos="6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(i) the Credit-Linked Deposit of, and the obligation of the Company to pay Advances to, each Lender shall be evidenced by a Letter of Credit Linked Note in the form of Exhibit D attached hereto (a “Letter of Credit Linked Note”), executed by the Administrative Agent and by the Company, and (ii) the Term Loans of a Lender shall be evidenced by a Term Note in the form of Exhibit F attached hereto (a “Term Note”), executed by the Company.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08" w:name="page309"/>
    <w:bookmarkEnd w:id="308"/>
    <w:p>
      <w:pPr>
        <w:ind w:left="220"/>
        <w:spacing w:after="0"/>
        <w:rPr>
          <w:sz w:val="20"/>
          <w:szCs w:val="20"/>
          <w:color w:val="auto"/>
        </w:rPr>
      </w:pPr>
      <w:r>
        <w:rPr>
          <w:rFonts w:ascii="Arial" w:cs="Arial" w:eastAsia="Arial" w:hAnsi="Arial"/>
          <w:sz w:val="18"/>
          <w:szCs w:val="18"/>
          <w:b w:val="1"/>
          <w:bCs w:val="1"/>
          <w:color w:val="auto"/>
        </w:rPr>
        <w:t>2.08 Payments Generally</w:t>
      </w:r>
      <w:r>
        <w:rPr>
          <w:rFonts w:ascii="Arial" w:cs="Arial" w:eastAsia="Arial" w:hAnsi="Arial"/>
          <w:sz w:val="18"/>
          <w:szCs w:val="18"/>
          <w:color w:val="auto"/>
        </w:rPr>
        <w:t>.</w:t>
      </w:r>
    </w:p>
    <w:p>
      <w:pPr>
        <w:spacing w:after="0" w:line="231" w:lineRule="exact"/>
        <w:rPr>
          <w:sz w:val="20"/>
          <w:szCs w:val="20"/>
          <w:color w:val="auto"/>
        </w:rPr>
      </w:pPr>
    </w:p>
    <w:p>
      <w:pPr>
        <w:ind w:right="60" w:firstLine="228"/>
        <w:spacing w:after="0" w:line="308" w:lineRule="auto"/>
        <w:tabs>
          <w:tab w:leader="none" w:pos="624" w:val="left"/>
        </w:tabs>
        <w:numPr>
          <w:ilvl w:val="0"/>
          <w:numId w:val="367"/>
        </w:numPr>
        <w:rPr>
          <w:rFonts w:ascii="Arial" w:cs="Arial" w:eastAsia="Arial" w:hAnsi="Arial"/>
          <w:sz w:val="15"/>
          <w:szCs w:val="15"/>
          <w:color w:val="auto"/>
        </w:rPr>
      </w:pPr>
      <w:r>
        <w:rPr>
          <w:rFonts w:ascii="Arial" w:cs="Arial" w:eastAsia="Arial" w:hAnsi="Arial"/>
          <w:sz w:val="15"/>
          <w:szCs w:val="15"/>
          <w:color w:val="auto"/>
        </w:rPr>
        <w:t>All payments to be made by the Company to any Lender, the Administrative Agent, the Issuer or any other Person hereunder shall be made without condition or deduction for any counterclaim, defense, recoupment or setoff. Except as otherwise expressly provided herein, all payments by the Company hereunder to be made directly to the Issuer shall be made to the Issuer in accordance with its payment instructions in Dollars and in immediately available funds not later than the times and on the dates specified herein. Except as otherwise expressly provided herein and except with respect to such payments to be made directly to the Issuer, all payments by the Company hereunder shall be made to the Administrative Agent, for the account of the respective Lenders or the Issuer to which such payment is owed, at the Administrative Agent’s Office in Dollars and in immediately available funds not later than 1:00 p.m., Dallas time, on the date specified herein. The Administrative Agent will promptly distribute to the Issuer its applicable share as provided herein, or to each Lender its Pro Rata Share (or other applicable share as provided herein), of such payment in like funds as received by wire transfer to the Issuer in accordance with its payment instructions or to such Lender at its Lending Office. All payments received by the Administrative Agent after 1:00 p.m., Dallas time, or by the Issuer after the time specified herein or in any Issuer Document, shall be deemed received on the next succeeding Business Day and any applicable interest or fee shall continue to accrue.</w:t>
      </w:r>
    </w:p>
    <w:p>
      <w:pPr>
        <w:spacing w:after="0" w:line="163" w:lineRule="exact"/>
        <w:rPr>
          <w:rFonts w:ascii="Arial" w:cs="Arial" w:eastAsia="Arial" w:hAnsi="Arial"/>
          <w:sz w:val="15"/>
          <w:szCs w:val="15"/>
          <w:color w:val="auto"/>
        </w:rPr>
      </w:pPr>
    </w:p>
    <w:p>
      <w:pPr>
        <w:ind w:right="120" w:firstLine="228"/>
        <w:spacing w:after="0" w:line="306" w:lineRule="auto"/>
        <w:tabs>
          <w:tab w:leader="none" w:pos="64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If any payment to be made by the Company shall come due on a day other than a Business Day, or any other date specified hereunder would otherwise occur on a day other than a Business Day, then except as otherwise provided herein, such payment shall be made, or other date shall occur, on the next following Business Day, and such extension of time shall be reflected in computing interest or fees, as the case may be.</w:t>
      </w:r>
    </w:p>
    <w:p>
      <w:pPr>
        <w:spacing w:after="0" w:line="160" w:lineRule="exact"/>
        <w:rPr>
          <w:rFonts w:ascii="Arial" w:cs="Arial" w:eastAsia="Arial" w:hAnsi="Arial"/>
          <w:sz w:val="16"/>
          <w:szCs w:val="16"/>
          <w:color w:val="auto"/>
        </w:rPr>
      </w:pPr>
    </w:p>
    <w:p>
      <w:pPr>
        <w:ind w:right="60" w:firstLine="228"/>
        <w:spacing w:after="0" w:line="259" w:lineRule="auto"/>
        <w:tabs>
          <w:tab w:leader="none" w:pos="63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obligations of the Lenders hereunder to fund Participations in Credits are several and not joint. The failure of any Lender to fund its Participation on the Closing Date with its Credit-Linked Deposit shall not relieve any other Lender of its corresponding obligation to do so on such date, and no Lender shall be responsible for the failure of any other Lender to so purchase its Participation.</w:t>
      </w:r>
    </w:p>
    <w:p>
      <w:pPr>
        <w:spacing w:after="0" w:line="194" w:lineRule="exact"/>
        <w:rPr>
          <w:rFonts w:ascii="Arial" w:cs="Arial" w:eastAsia="Arial" w:hAnsi="Arial"/>
          <w:sz w:val="18"/>
          <w:szCs w:val="18"/>
          <w:color w:val="auto"/>
        </w:rPr>
      </w:pPr>
    </w:p>
    <w:p>
      <w:pPr>
        <w:ind w:right="680" w:firstLine="228"/>
        <w:spacing w:after="0" w:line="332" w:lineRule="auto"/>
        <w:tabs>
          <w:tab w:leader="none" w:pos="64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the Credit-Linked Deposit in any particular place or manner or to constitute a representation by any Lender that it has obtained or will obtain the funds for the Credit-Linked Deposit in any particular place or manner.</w:t>
      </w:r>
    </w:p>
    <w:p>
      <w:pPr>
        <w:spacing w:after="0" w:line="133" w:lineRule="exact"/>
        <w:rPr>
          <w:sz w:val="20"/>
          <w:szCs w:val="20"/>
          <w:color w:val="auto"/>
        </w:rPr>
      </w:pPr>
    </w:p>
    <w:p>
      <w:pPr>
        <w:jc w:val="both"/>
        <w:ind w:right="80" w:firstLine="220"/>
        <w:spacing w:after="0" w:line="306" w:lineRule="auto"/>
        <w:rPr>
          <w:sz w:val="20"/>
          <w:szCs w:val="20"/>
          <w:color w:val="auto"/>
        </w:rPr>
      </w:pPr>
      <w:r>
        <w:rPr>
          <w:rFonts w:ascii="Arial" w:cs="Arial" w:eastAsia="Arial" w:hAnsi="Arial"/>
          <w:sz w:val="15"/>
          <w:szCs w:val="15"/>
          <w:b w:val="1"/>
          <w:bCs w:val="1"/>
          <w:color w:val="auto"/>
        </w:rPr>
        <w:t>2.09 Sharing of Payments</w:t>
      </w:r>
      <w:r>
        <w:rPr>
          <w:rFonts w:ascii="Arial" w:cs="Arial" w:eastAsia="Arial" w:hAnsi="Arial"/>
          <w:sz w:val="15"/>
          <w:szCs w:val="15"/>
          <w:color w:val="auto"/>
        </w:rPr>
        <w:t>. If, other than as expressly provided elsewhere herein, any Lender shall obtain on account of the Term Loans or Advances made</w:t>
      </w:r>
      <w:r>
        <w:rPr>
          <w:rFonts w:ascii="Arial" w:cs="Arial" w:eastAsia="Arial" w:hAnsi="Arial"/>
          <w:sz w:val="15"/>
          <w:szCs w:val="15"/>
          <w:b w:val="1"/>
          <w:bCs w:val="1"/>
          <w:color w:val="auto"/>
        </w:rPr>
        <w:t xml:space="preserve"> </w:t>
      </w:r>
      <w:r>
        <w:rPr>
          <w:rFonts w:ascii="Arial" w:cs="Arial" w:eastAsia="Arial" w:hAnsi="Arial"/>
          <w:sz w:val="15"/>
          <w:szCs w:val="15"/>
          <w:color w:val="auto"/>
        </w:rPr>
        <w:t>by it or participations in Credit Obligations held by it, any payment (whether voluntary, involuntary, through the exercise of any right of set-off, or otherwise) in excess of its Pro Rata Share (or other share contemplated hereunder) thereof, such Lender shall immediately (a) notify the Administrative Agent of such fact, and</w:t>
      </w:r>
    </w:p>
    <w:p>
      <w:pPr>
        <w:spacing w:after="0" w:line="1" w:lineRule="exact"/>
        <w:rPr>
          <w:sz w:val="20"/>
          <w:szCs w:val="20"/>
          <w:color w:val="auto"/>
        </w:rPr>
      </w:pPr>
    </w:p>
    <w:p>
      <w:pPr>
        <w:ind w:right="120" w:firstLine="8"/>
        <w:spacing w:after="0" w:line="302" w:lineRule="auto"/>
        <w:tabs>
          <w:tab w:leader="none" w:pos="249"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purchase from the other Lenders such subparticipations in the Term Loans or Advances made by them or in the participations in Credit Obligations held by them as shall be necessary to cause such purchasing Lender to share the excess payment in respect thereof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each of them; provided, however, that if all or any portion of such excess payment is thereafter recovered from the purchasing Lender under any of the circumstances described in</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9" w:name="page310"/>
    <w:bookmarkEnd w:id="309"/>
    <w:p>
      <w:pPr>
        <w:ind w:right="60"/>
        <w:spacing w:after="0" w:line="286" w:lineRule="auto"/>
        <w:rPr>
          <w:sz w:val="20"/>
          <w:szCs w:val="20"/>
          <w:color w:val="auto"/>
        </w:rPr>
      </w:pPr>
      <w:r>
        <w:rPr>
          <w:rFonts w:ascii="Arial" w:cs="Arial" w:eastAsia="Arial" w:hAnsi="Arial"/>
          <w:sz w:val="16"/>
          <w:szCs w:val="16"/>
          <w:color w:val="auto"/>
        </w:rPr>
        <w:t>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Company agrees that any Lender so purchasing a subparticipation from another Lender may, to the fullest extent permitted by law, exercise all its rights of payment (including the right of set-off) with respect to such subparticipation as fully as if such Lender were the direct creditor of the Company in the amount of such subparticipation. The Administrative Agent will keep records (which shall be conclusive and binding in the absence of manifest error) of subparticipations purchased under this Section and will in each case notify the Lenders following any such purchases or repayments. Each Lender that purchases a subparticipation pursuant to this Section shall from and after such purchase have the right to give all notices, requests, demands, directions and other communications under this Agreement with respect to the portion of the Credit Obligations purchased to the same extent as though the purchasing Lender were the original owner of the Credit Obligations purchased.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YIELD PROTECTION</w:t>
      </w:r>
    </w:p>
    <w:p>
      <w:pPr>
        <w:spacing w:after="0" w:line="213"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b w:val="1"/>
          <w:bCs w:val="1"/>
          <w:color w:val="auto"/>
        </w:rPr>
        <w:t xml:space="preserve">3.01 Taxes. </w:t>
      </w:r>
      <w:r>
        <w:rPr>
          <w:rFonts w:ascii="Arial" w:cs="Arial" w:eastAsia="Arial" w:hAnsi="Arial"/>
          <w:sz w:val="16"/>
          <w:szCs w:val="16"/>
          <w:color w:val="auto"/>
        </w:rPr>
        <w:t>(a) Subject to Section 10.15(a)(iii), any and all payments by the Company to or for the account of the Administrative Agent, the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under any Credit Document shall be made free and clear of and without deduction for any and all present or future taxes, duties, levies, imposts, deductions, assessments, fees, withholdings or similar charges, and all liabilities with respect thereto, excluding, in the case of the Administrative Agent, the Issuer and each Lender, taxes imposed on or measured by its overall net income, and franchise taxes imposed on it (in lieu of net income taxes), by the jurisdiction (or any political subdivision thereof) under the Laws of which the Administrative Agent, the Issuer or such Lender, as the case may be, is organized or maintains a lending office (all such non-excluded taxes, duties, levies, imposts, deductions, assessments, fees, withholdings or similar charges, and liabilities being hereinafter referred to as “Taxes”). If the Company shall be required by any Laws to deduct any Taxes from or in respect of any sum payable under any Credit Document to the Administrative Agent, the Issuer or any Lender, (i) the sum payable shall be increased as necessary so that after making all required deductions (including deductions applicable to additional sums payable under this Section), the Administrative Agent, the Issuer or such Lender receives an amount equal to the sum it would have received had no such deductions been made, (ii) the Company shall make such deductions, (iii) the Company shall pay the full amount deducted to the relevant taxation authority or other authority in accordance with applicable Laws, and (iv) within 30 days after the date of such payment, the Company shall furnish to the Administrative Agent (which shall promptly forward the same to the Issuer or such Lender) the original or a certified copy of a receipt evidencing payment thereof.</w:t>
      </w:r>
    </w:p>
    <w:p>
      <w:pPr>
        <w:spacing w:after="0" w:line="181" w:lineRule="exact"/>
        <w:rPr>
          <w:sz w:val="20"/>
          <w:szCs w:val="20"/>
          <w:color w:val="auto"/>
        </w:rPr>
      </w:pPr>
    </w:p>
    <w:p>
      <w:pPr>
        <w:ind w:right="40" w:firstLine="228"/>
        <w:spacing w:after="0" w:line="268" w:lineRule="auto"/>
        <w:tabs>
          <w:tab w:leader="none" w:pos="6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addition, the Company agrees to pay any and all present or future stamp, court or documentary taxes and any other excise or property taxes or charges or similar levies which</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0" w:name="page311"/>
    <w:bookmarkEnd w:id="310"/>
    <w:p>
      <w:pPr>
        <w:ind w:right="100"/>
        <w:spacing w:after="0" w:line="268" w:lineRule="auto"/>
        <w:rPr>
          <w:sz w:val="20"/>
          <w:szCs w:val="20"/>
          <w:color w:val="auto"/>
        </w:rPr>
      </w:pPr>
      <w:r>
        <w:rPr>
          <w:rFonts w:ascii="Arial" w:cs="Arial" w:eastAsia="Arial" w:hAnsi="Arial"/>
          <w:sz w:val="18"/>
          <w:szCs w:val="18"/>
          <w:color w:val="auto"/>
        </w:rPr>
        <w:t>arise from any payment made under any Credit Document or from the execution, delivery, performance, enforcement or registration of, or otherwise with respect to, any Credit Document (hereinafter referred to as “Other Taxes”).</w:t>
      </w:r>
    </w:p>
    <w:p>
      <w:pPr>
        <w:spacing w:after="0" w:line="186" w:lineRule="exact"/>
        <w:rPr>
          <w:sz w:val="20"/>
          <w:szCs w:val="20"/>
          <w:color w:val="auto"/>
        </w:rPr>
      </w:pPr>
    </w:p>
    <w:p>
      <w:pPr>
        <w:ind w:firstLine="228"/>
        <w:spacing w:after="0" w:line="255" w:lineRule="auto"/>
        <w:tabs>
          <w:tab w:leader="none" w:pos="63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If the Company shall be required to deduct or pay any Taxes or Other Taxes from or in respect of any sum payable under any Credit Document to the Administrative Agent, the Issuer or any Lender, the Company shall also pay to the Administrative Agent or to such Lender, as the case may be, at the time interest is paid, such additional amount that the Administrative Agent, the Issuer or any Lender specifies as necessary to preserve the after-tax yield (after factoring in all taxes, including taxes imposed on or measured by net income) that the Administrative Agent, the Issuer or any Lender would have received if such Taxes or Other Taxes had not been imposed.</w:t>
      </w:r>
    </w:p>
    <w:p>
      <w:pPr>
        <w:spacing w:after="0" w:line="196" w:lineRule="exact"/>
        <w:rPr>
          <w:rFonts w:ascii="Arial" w:cs="Arial" w:eastAsia="Arial" w:hAnsi="Arial"/>
          <w:sz w:val="18"/>
          <w:szCs w:val="18"/>
          <w:color w:val="auto"/>
        </w:rPr>
      </w:pPr>
    </w:p>
    <w:p>
      <w:pPr>
        <w:ind w:right="60" w:firstLine="228"/>
        <w:spacing w:after="0" w:line="294" w:lineRule="auto"/>
        <w:tabs>
          <w:tab w:leader="none" w:pos="641"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Company agrees to indemnify the Administrative Agent, the Issuer and each Lender for (i) the full amount of Taxes and Other Taxes (including any Taxes or Other Taxes imposed or asserted by any jurisdiction on amounts payable under this Section) paid by the Administrative Agent, the Issuer and such Lender, (ii) amounts payable under Section 3.01(c) and (iii) any liability (including additions to tax, penalties, interest and expenses) arising therefrom or with respect thereto, in each case whether or not such Taxes or Other Taxes were correctly or legally imposed or asserted by the relevant Governmental Authority. Payment under this subsection (d) shall be made within 30 days after the date the Issuer, such Lender or the Administrative Agent makes a demand therefor.</w:t>
      </w:r>
    </w:p>
    <w:p>
      <w:pPr>
        <w:spacing w:after="0" w:line="164" w:lineRule="exact"/>
        <w:rPr>
          <w:sz w:val="20"/>
          <w:szCs w:val="20"/>
          <w:color w:val="auto"/>
        </w:rPr>
      </w:pPr>
    </w:p>
    <w:p>
      <w:pPr>
        <w:ind w:firstLine="220"/>
        <w:spacing w:after="0" w:line="309" w:lineRule="auto"/>
        <w:rPr>
          <w:sz w:val="20"/>
          <w:szCs w:val="20"/>
          <w:color w:val="auto"/>
        </w:rPr>
      </w:pPr>
      <w:r>
        <w:rPr>
          <w:rFonts w:ascii="Arial" w:cs="Arial" w:eastAsia="Arial" w:hAnsi="Arial"/>
          <w:sz w:val="15"/>
          <w:szCs w:val="15"/>
          <w:b w:val="1"/>
          <w:bCs w:val="1"/>
          <w:color w:val="auto"/>
        </w:rPr>
        <w:t xml:space="preserve">3.02 Increased Cost and Reduced Return; Capital Adequacy or Risk-Based Capital. </w:t>
      </w:r>
      <w:r>
        <w:rPr>
          <w:rFonts w:ascii="Arial" w:cs="Arial" w:eastAsia="Arial" w:hAnsi="Arial"/>
          <w:sz w:val="15"/>
          <w:szCs w:val="15"/>
          <w:color w:val="auto"/>
        </w:rPr>
        <w:t>(a) If the Issuer or any Lender determines that as a result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introduction of or any change in or in the interpretation of any Law, or the Issuer’s or such Lender’s compliance therewith, there shall be any increase in the cost to the Issuer or such Lender of issuing or participating in Credits or the funding or maintaining Term Loans or Advances, or a reduction in the amount received or receivable by the Issuer or such Lender in connection with the foregoing (excluding for purposes of this subsection (a) any such increased costs or reduction in amount resulting from (i) Taxes or Other Taxes (as to which Section 3.01 shall govern), or (ii) changes in the basis of taxation of overall net income or overall gross income by the United States or any foreign jurisdiction or any political subdivision of either thereof under the Laws of which the Issuer or such Lender is organized or has its Lending Office), then from time to time upon demand of the Issuer or such Lender (with a copy of such demand to the Administrative Agent), the Company shall pay to the Issuer or such Lender such additional amounts as will compensate the Issuer or such Lender for such increased cost or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62" w:lineRule="exact"/>
        <w:rPr>
          <w:sz w:val="20"/>
          <w:szCs w:val="20"/>
          <w:color w:val="auto"/>
        </w:rPr>
      </w:pPr>
    </w:p>
    <w:p>
      <w:pPr>
        <w:jc w:val="both"/>
        <w:ind w:right="180" w:firstLine="228"/>
        <w:spacing w:after="0" w:line="259" w:lineRule="auto"/>
        <w:tabs>
          <w:tab w:leader="none" w:pos="64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Issuer or any Lender determines that the introduction of any Law regarding capital adequacy or risk-based capital or any change therein or in the interpretation thereof, or compliance by the Issuer or such Lender (or its Lending Office) therewith, has the effect of reducing the rate of return on the capital of the Issuer or such Lender or any corporation</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1" w:name="page312"/>
    <w:bookmarkEnd w:id="311"/>
    <w:p>
      <w:pPr>
        <w:ind w:right="80"/>
        <w:spacing w:after="0" w:line="291" w:lineRule="auto"/>
        <w:rPr>
          <w:sz w:val="20"/>
          <w:szCs w:val="20"/>
          <w:color w:val="auto"/>
        </w:rPr>
      </w:pPr>
      <w:r>
        <w:rPr>
          <w:rFonts w:ascii="Arial" w:cs="Arial" w:eastAsia="Arial" w:hAnsi="Arial"/>
          <w:sz w:val="16"/>
          <w:szCs w:val="16"/>
          <w:color w:val="auto"/>
        </w:rPr>
        <w:t>controlling the Issuer or such Lender as a consequence of the Issuer’s or such Lender’s obligations (for avoidance of doubt not including outstanding Term Loans and Advances) hereunder (taking into consideration its policies with respect to capital adequacy or risk-based capital and the Issuer’s or such Lender’s desired return on capital), then from time to time upon demand of the Issuer or such Lender (with a copy of such demand to the Administrative Agent), the Company shall pay to the Issuer or such Lender such additional amounts as will compensate the Issuer or such Lender for such reduction; provided that such compensation will be limited to (A) the period commencing not more than 120 days prior to the date of such demand or (B) any longer period of retroactive effect of any such change or requirement for compliance if such demand is made 120 days or less after such change or requirement for compliance.</w:t>
      </w:r>
    </w:p>
    <w:p>
      <w:pPr>
        <w:spacing w:after="0" w:line="168" w:lineRule="exact"/>
        <w:rPr>
          <w:sz w:val="20"/>
          <w:szCs w:val="20"/>
          <w:color w:val="auto"/>
        </w:rPr>
      </w:pPr>
    </w:p>
    <w:p>
      <w:pPr>
        <w:ind w:right="200" w:firstLine="220"/>
        <w:spacing w:after="0" w:line="290" w:lineRule="auto"/>
        <w:rPr>
          <w:sz w:val="20"/>
          <w:szCs w:val="20"/>
          <w:color w:val="auto"/>
        </w:rPr>
      </w:pPr>
      <w:r>
        <w:rPr>
          <w:rFonts w:ascii="Arial" w:cs="Arial" w:eastAsia="Arial" w:hAnsi="Arial"/>
          <w:sz w:val="16"/>
          <w:szCs w:val="16"/>
          <w:b w:val="1"/>
          <w:bCs w:val="1"/>
          <w:color w:val="auto"/>
        </w:rPr>
        <w:t>3.03 Illegality</w:t>
      </w:r>
      <w:r>
        <w:rPr>
          <w:rFonts w:ascii="Arial" w:cs="Arial" w:eastAsia="Arial" w:hAnsi="Arial"/>
          <w:sz w:val="16"/>
          <w:szCs w:val="16"/>
          <w:color w:val="auto"/>
        </w:rPr>
        <w:t>. If any Lender determines that any Law has made it unlawful, or that any Governmental Authority has asserted that it is unlawful,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to make, maintain or fund LIBO Rate Term Loans, or to determine or charge interest rates based upon the LIBO Rate, then, on notice thereof by such Lender to the Company through the Administrative Agent, any obligation of such Lender to make or continue LIBO Rate Term Loans shall be suspended until such Lender notifies the Administrative Agent and the Company that the circumstances giving rise to such determination no longer exist. Upon receipt of such notice, the Company shall, upon demand from such Lender (with a copy to the Administrative Agent), prepay the Term Loans of such Lender, either on the last day of the Interest Period therefor, if such Lender may lawfully continue to maintain such LIBO Rate Term Loans to such day, or immediately, if such Lender may not lawfully continue to maintain such LIBO Rate Term Loans. Upon any such prepayment, the Company shall also pay accrued interest on the amount so prepaid.</w:t>
      </w:r>
    </w:p>
    <w:p>
      <w:pPr>
        <w:spacing w:after="0" w:line="166" w:lineRule="exact"/>
        <w:rPr>
          <w:sz w:val="20"/>
          <w:szCs w:val="20"/>
          <w:color w:val="auto"/>
        </w:rPr>
      </w:pPr>
    </w:p>
    <w:p>
      <w:pPr>
        <w:ind w:right="60" w:firstLine="220"/>
        <w:spacing w:after="0" w:line="262" w:lineRule="auto"/>
        <w:rPr>
          <w:sz w:val="20"/>
          <w:szCs w:val="20"/>
          <w:color w:val="auto"/>
        </w:rPr>
      </w:pPr>
      <w:r>
        <w:rPr>
          <w:rFonts w:ascii="Arial" w:cs="Arial" w:eastAsia="Arial" w:hAnsi="Arial"/>
          <w:sz w:val="18"/>
          <w:szCs w:val="18"/>
          <w:b w:val="1"/>
          <w:bCs w:val="1"/>
          <w:color w:val="auto"/>
        </w:rPr>
        <w:t>3.04 Funding Losses</w:t>
      </w:r>
      <w:r>
        <w:rPr>
          <w:rFonts w:ascii="Arial" w:cs="Arial" w:eastAsia="Arial" w:hAnsi="Arial"/>
          <w:sz w:val="18"/>
          <w:szCs w:val="18"/>
          <w:color w:val="auto"/>
        </w:rPr>
        <w:t>. Upon demand of any Lender (with a copy to the Administrative Agent), or demand of the Administrative Agent,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compensate such Lender or the Administrative Agent, as applicable, for and hold such Lender or the Administrative Agent harmless from any loss, cost or expense incurred by it as a result of:</w:t>
      </w:r>
    </w:p>
    <w:p>
      <w:pPr>
        <w:spacing w:after="0" w:line="192" w:lineRule="exact"/>
        <w:rPr>
          <w:sz w:val="20"/>
          <w:szCs w:val="20"/>
          <w:color w:val="auto"/>
        </w:rPr>
      </w:pPr>
    </w:p>
    <w:p>
      <w:pPr>
        <w:ind w:right="460" w:firstLine="228"/>
        <w:spacing w:after="0" w:line="268" w:lineRule="auto"/>
        <w:tabs>
          <w:tab w:leader="none" w:pos="63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payment or prepayment of any LIBO Rate Term Loan or Advance on a day other than the last day of the Interest Period for such Term Loan or Advance (whether voluntary, mandatory, automatic, by reason of acceleration, or otherwise);</w:t>
      </w:r>
    </w:p>
    <w:p>
      <w:pPr>
        <w:spacing w:after="0" w:line="185" w:lineRule="exact"/>
        <w:rPr>
          <w:rFonts w:ascii="Arial" w:cs="Arial" w:eastAsia="Arial" w:hAnsi="Arial"/>
          <w:sz w:val="18"/>
          <w:szCs w:val="18"/>
          <w:color w:val="auto"/>
        </w:rPr>
      </w:pPr>
    </w:p>
    <w:p>
      <w:pPr>
        <w:ind w:left="660" w:hanging="432"/>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reduction of the Total Credit-Linked Deposits on a day other than the last day of an Interest Period therefor;</w:t>
      </w:r>
    </w:p>
    <w:p>
      <w:pPr>
        <w:spacing w:after="0" w:line="225" w:lineRule="exact"/>
        <w:rPr>
          <w:rFonts w:ascii="Arial" w:cs="Arial" w:eastAsia="Arial" w:hAnsi="Arial"/>
          <w:sz w:val="18"/>
          <w:szCs w:val="18"/>
          <w:color w:val="auto"/>
        </w:rPr>
      </w:pPr>
    </w:p>
    <w:p>
      <w:pPr>
        <w:ind w:left="640" w:hanging="412"/>
        <w:spacing w:after="0"/>
        <w:tabs>
          <w:tab w:leader="none" w:pos="6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failure by the Company to prepay or borrow any Term Loan on the date or in the amount notified by the Company; or</w:t>
      </w:r>
    </w:p>
    <w:p>
      <w:pPr>
        <w:spacing w:after="0" w:line="225" w:lineRule="exact"/>
        <w:rPr>
          <w:rFonts w:ascii="Arial" w:cs="Arial" w:eastAsia="Arial" w:hAnsi="Arial"/>
          <w:sz w:val="18"/>
          <w:szCs w:val="18"/>
          <w:color w:val="auto"/>
        </w:rPr>
      </w:pPr>
    </w:p>
    <w:p>
      <w:pPr>
        <w:ind w:right="560" w:firstLine="228"/>
        <w:spacing w:after="0" w:line="268" w:lineRule="auto"/>
        <w:tabs>
          <w:tab w:leader="none" w:pos="64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assignment of a LIBO Rate Term Loan on a day other than the last day of the Interest Period therefor as a result of a request by the Company pursuant to Section 3.07;</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Term Loan or from fees payable to terminate the deposits from which such funds were obtained; provided, however, that such Lender shall use commercially reasonable efforts to mitigate any such loss, cost or expense.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12" w:name="page313"/>
    <w:bookmarkEnd w:id="312"/>
    <w:p>
      <w:pPr>
        <w:ind w:right="100" w:firstLine="220"/>
        <w:spacing w:after="0" w:line="306" w:lineRule="auto"/>
        <w:rPr>
          <w:sz w:val="20"/>
          <w:szCs w:val="20"/>
          <w:color w:val="auto"/>
        </w:rPr>
      </w:pPr>
      <w:r>
        <w:rPr>
          <w:rFonts w:ascii="Arial" w:cs="Arial" w:eastAsia="Arial" w:hAnsi="Arial"/>
          <w:sz w:val="16"/>
          <w:szCs w:val="16"/>
          <w:color w:val="auto"/>
        </w:rPr>
        <w:t>For purposes of calculating amounts payable by the Company to the Lenders under this Section 3.04, each Lender shall be deemed to have funded each LIBO Rate Term Loan made by it at the LIBO Rate used in determining the LIBO Rate for such Term Loan by a matching deposit or other borrowing in the London interbank LIBOR market for a comparable amount and for a comparable period, whether or not such LIBO Rate Term Loan was in fact so funded.</w:t>
      </w:r>
    </w:p>
    <w:p>
      <w:pPr>
        <w:spacing w:after="0" w:line="155" w:lineRule="exact"/>
        <w:rPr>
          <w:sz w:val="20"/>
          <w:szCs w:val="20"/>
          <w:color w:val="auto"/>
        </w:rPr>
      </w:pPr>
    </w:p>
    <w:p>
      <w:pPr>
        <w:ind w:right="320" w:firstLine="220"/>
        <w:spacing w:after="0" w:line="310" w:lineRule="auto"/>
        <w:rPr>
          <w:sz w:val="20"/>
          <w:szCs w:val="20"/>
          <w:color w:val="auto"/>
        </w:rPr>
      </w:pPr>
      <w:r>
        <w:rPr>
          <w:rFonts w:ascii="Arial" w:cs="Arial" w:eastAsia="Arial" w:hAnsi="Arial"/>
          <w:sz w:val="16"/>
          <w:szCs w:val="16"/>
          <w:b w:val="1"/>
          <w:bCs w:val="1"/>
          <w:color w:val="auto"/>
        </w:rPr>
        <w:t>3.05 Matters Applicable to All Requests for Compensation</w:t>
      </w:r>
      <w:r>
        <w:rPr>
          <w:rFonts w:ascii="Arial" w:cs="Arial" w:eastAsia="Arial" w:hAnsi="Arial"/>
          <w:sz w:val="16"/>
          <w:szCs w:val="16"/>
          <w:color w:val="auto"/>
        </w:rPr>
        <w:t>. A certificate of the Administrative Agent, the Issuer or any Lender claiming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Article III and setting forth the additional amount or amounts to be paid to it hereunder shall be conclusive in the absence of manifest error. In determining such amount, the Administrative Agent, the Issuer or any Lender may use any reasonable averaging and attribution methods.</w:t>
      </w:r>
    </w:p>
    <w:p>
      <w:pPr>
        <w:spacing w:after="0" w:line="151" w:lineRule="exact"/>
        <w:rPr>
          <w:sz w:val="20"/>
          <w:szCs w:val="20"/>
          <w:color w:val="auto"/>
        </w:rPr>
      </w:pPr>
    </w:p>
    <w:p>
      <w:pPr>
        <w:ind w:right="180" w:firstLine="220"/>
        <w:spacing w:after="0" w:line="262" w:lineRule="auto"/>
        <w:rPr>
          <w:sz w:val="20"/>
          <w:szCs w:val="20"/>
          <w:color w:val="auto"/>
        </w:rPr>
      </w:pPr>
      <w:r>
        <w:rPr>
          <w:rFonts w:ascii="Arial" w:cs="Arial" w:eastAsia="Arial" w:hAnsi="Arial"/>
          <w:sz w:val="18"/>
          <w:szCs w:val="18"/>
          <w:b w:val="1"/>
          <w:bCs w:val="1"/>
          <w:color w:val="auto"/>
        </w:rPr>
        <w:t>3.06 Survival</w:t>
      </w:r>
      <w:r>
        <w:rPr>
          <w:rFonts w:ascii="Arial" w:cs="Arial" w:eastAsia="Arial" w:hAnsi="Arial"/>
          <w:sz w:val="18"/>
          <w:szCs w:val="18"/>
          <w:color w:val="auto"/>
        </w:rPr>
        <w:t>. All of the Company’s obligations under this Article III shall survive termination of the Credit-Linked Deposits and repayment of all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all other amounts due hereunder for a period of one (1) year; provided, however, any and all of the Company’s obligations under this Article III related to Taxes shall survive for a period of three (3) years.</w:t>
      </w:r>
    </w:p>
    <w:p>
      <w:pPr>
        <w:spacing w:after="0" w:line="186" w:lineRule="exact"/>
        <w:rPr>
          <w:sz w:val="20"/>
          <w:szCs w:val="20"/>
          <w:color w:val="auto"/>
        </w:rPr>
      </w:pPr>
    </w:p>
    <w:p>
      <w:pPr>
        <w:ind w:right="40" w:firstLine="220"/>
        <w:spacing w:after="0" w:line="302" w:lineRule="auto"/>
        <w:rPr>
          <w:sz w:val="20"/>
          <w:szCs w:val="20"/>
          <w:color w:val="auto"/>
        </w:rPr>
      </w:pPr>
      <w:r>
        <w:rPr>
          <w:rFonts w:ascii="Arial" w:cs="Arial" w:eastAsia="Arial" w:hAnsi="Arial"/>
          <w:sz w:val="15"/>
          <w:szCs w:val="15"/>
          <w:b w:val="1"/>
          <w:bCs w:val="1"/>
          <w:color w:val="auto"/>
        </w:rPr>
        <w:t>3.07 Replacement of Lenders</w:t>
      </w:r>
      <w:r>
        <w:rPr>
          <w:rFonts w:ascii="Arial" w:cs="Arial" w:eastAsia="Arial" w:hAnsi="Arial"/>
          <w:sz w:val="15"/>
          <w:szCs w:val="15"/>
          <w:color w:val="auto"/>
        </w:rPr>
        <w:t>. On each occasion that a Lender either makes a demand for compensation pursuant to Section 3.02 in an amount in excess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amount that the Company would have had to pay pursuant to such Section if such Lender’s Credit-Linked Deposit or Term Loan was held by a Lender with respect to which no such amounts would then be payable pursuant to such Section, the Company may, upon at least ten Business Days’ prior written notice to the Issuer, each such Lender and the Administrative Agent, in whole permanently replace the Credit-Linked Deposit or Term Loan of such Lender; provided that, the Company shall replace such Credit-Linked Deposit or Term Loan with the Credit-Linked Deposit or Term Loan of (a) any other Lender, or, if no other Lender shall agree to replace such Lender (within 30 days after being offered such option), (b) a substitute lending institution which is an Eligible Assignee (in each case, a “Replacement Lender”). Such Replacement Lender shall, upon the effective date of replacement, purchase the Credit-Linked Deposit or Term Loan of, and the Credit Obligations owed to, such replaced Lender for the aggregate amount thereof and shall thereupon for all purposes become a “Lender” hereunder. Such notice from the Company shall specify an effective date for the replacement of such Lender, which date shall not be earlier than the tenth day after the day such notice is given. On the effective date of any replacement of such Lender pursuant to this Section 3.07 and in accordance with the terms of Section 10.07, the Company shall pay to the Administrative Agent for the account of such Lender (i) any fees or other amounts due to such Lender to the date of such replacement,</w:t>
      </w:r>
    </w:p>
    <w:p>
      <w:pPr>
        <w:spacing w:after="0" w:line="2" w:lineRule="exact"/>
        <w:rPr>
          <w:sz w:val="20"/>
          <w:szCs w:val="20"/>
          <w:color w:val="auto"/>
        </w:rPr>
      </w:pPr>
    </w:p>
    <w:p>
      <w:pPr>
        <w:ind w:right="120" w:firstLine="8"/>
        <w:spacing w:after="0" w:line="300" w:lineRule="auto"/>
        <w:tabs>
          <w:tab w:leader="none" w:pos="258" w:val="left"/>
        </w:tabs>
        <w:numPr>
          <w:ilvl w:val="0"/>
          <w:numId w:val="373"/>
        </w:numPr>
        <w:rPr>
          <w:rFonts w:ascii="Arial" w:cs="Arial" w:eastAsia="Arial" w:hAnsi="Arial"/>
          <w:sz w:val="15"/>
          <w:szCs w:val="15"/>
          <w:color w:val="auto"/>
        </w:rPr>
      </w:pPr>
      <w:r>
        <w:rPr>
          <w:rFonts w:ascii="Arial" w:cs="Arial" w:eastAsia="Arial" w:hAnsi="Arial"/>
          <w:sz w:val="15"/>
          <w:szCs w:val="15"/>
          <w:color w:val="auto"/>
        </w:rPr>
        <w:t>accrued interest on the principal amount of outstanding Borrowings and the Credit-Linked Deposit or Term Loan held by such Lender to the date of such replacement and (iii) any other amount or amounts payable to such Lender pursuant to this Section 3.07. Upon the effective date of replacement of any Lender pursuant to this Section 3.07, such Lender shall cease to be a “Lender” hereunder, without any other or further act or deed on the part of any other Lender. No such replacement of any such Lender, the purchase of such Lender’s Borrowings, Credit-Linked Deposit or Term Loans pursuant to this Section 3.07 shall affect</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liability or obligation of the Company or any other Lender to such replaced Lender which accrued on or prior to the date</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of such termination or (y) such replaced Lender’s rights hereunder in respect of any such liability or obligation.</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13" w:lineRule="exact"/>
        <w:rPr>
          <w:sz w:val="20"/>
          <w:szCs w:val="20"/>
          <w:color w:val="auto"/>
        </w:rPr>
      </w:pPr>
    </w:p>
    <w:p>
      <w:pPr>
        <w:ind w:right="700" w:firstLine="220"/>
        <w:spacing w:after="0" w:line="339" w:lineRule="auto"/>
        <w:rPr>
          <w:sz w:val="20"/>
          <w:szCs w:val="20"/>
          <w:color w:val="auto"/>
        </w:rPr>
      </w:pPr>
      <w:r>
        <w:rPr>
          <w:rFonts w:ascii="Arial" w:cs="Arial" w:eastAsia="Arial" w:hAnsi="Arial"/>
          <w:sz w:val="16"/>
          <w:szCs w:val="16"/>
          <w:b w:val="1"/>
          <w:bCs w:val="1"/>
          <w:color w:val="auto"/>
        </w:rPr>
        <w:t>4.01 Conditions of Credit-Linked Deposits and Initial Credit Extension</w:t>
      </w:r>
      <w:r>
        <w:rPr>
          <w:rFonts w:ascii="Arial" w:cs="Arial" w:eastAsia="Arial" w:hAnsi="Arial"/>
          <w:sz w:val="16"/>
          <w:szCs w:val="16"/>
          <w:color w:val="auto"/>
        </w:rPr>
        <w:t>. The obligation of each Lender to fund its Credit-Linked Deposit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the Issuer to make its initial Credit Extension hereunder are subject to satisfaction or waiver of the following conditions precedent:</w:t>
      </w:r>
    </w:p>
    <w:p>
      <w:pPr>
        <w:spacing w:after="0" w:line="134" w:lineRule="exact"/>
        <w:rPr>
          <w:sz w:val="20"/>
          <w:szCs w:val="20"/>
          <w:color w:val="auto"/>
        </w:rPr>
      </w:pPr>
    </w:p>
    <w:p>
      <w:pPr>
        <w:ind w:right="40" w:firstLine="228"/>
        <w:spacing w:after="0" w:line="298" w:lineRule="auto"/>
        <w:tabs>
          <w:tab w:leader="none" w:pos="631"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Administrative Agent’s and Lenders’ special counsel’s receipt of the following, each of which shall be originals or facsimiles (followed promptly by originals) unless otherwise specified, each properly executed by a Responsible Officer or Secretary or assistant Secretary, as applicable of the signing Credit Party, each dated the Closing Date (or, in the case of certificates of governmental officials, a recent date before the Closing Date) and each in form and substance reasonably satisfactory to the Administrative Agent, the Issuer, the Lenders and their respective legal counsel:</w:t>
      </w:r>
    </w:p>
    <w:p>
      <w:pPr>
        <w:spacing w:after="0" w:line="166" w:lineRule="exact"/>
        <w:rPr>
          <w:rFonts w:ascii="Arial" w:cs="Arial" w:eastAsia="Arial" w:hAnsi="Arial"/>
          <w:sz w:val="16"/>
          <w:szCs w:val="16"/>
          <w:color w:val="auto"/>
        </w:rPr>
      </w:pPr>
    </w:p>
    <w:p>
      <w:pPr>
        <w:ind w:left="660" w:hanging="213"/>
        <w:spacing w:after="0"/>
        <w:tabs>
          <w:tab w:leader="none" w:pos="66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the Issuer, each Lender and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8" w:lineRule="exact"/>
        <w:rPr>
          <w:rFonts w:ascii="Arial" w:cs="Arial" w:eastAsia="Arial" w:hAnsi="Arial"/>
          <w:sz w:val="16"/>
          <w:szCs w:val="16"/>
          <w:color w:val="auto"/>
        </w:rPr>
      </w:pPr>
    </w:p>
    <w:p>
      <w:pPr>
        <w:ind w:right="20" w:firstLine="447"/>
        <w:spacing w:after="0" w:line="268" w:lineRule="auto"/>
        <w:tabs>
          <w:tab w:leader="none" w:pos="69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certified copies of the certificate or articles of incorporation (including all amendments thereto) of each Credit Party, certified as of a recent date prior to the Closing Date by the Secretary of State of the respective states of incorporation of such Credit Party;</w:t>
      </w:r>
    </w:p>
    <w:p>
      <w:pPr>
        <w:spacing w:after="0" w:line="185" w:lineRule="exact"/>
        <w:rPr>
          <w:rFonts w:ascii="Arial" w:cs="Arial" w:eastAsia="Arial" w:hAnsi="Arial"/>
          <w:sz w:val="18"/>
          <w:szCs w:val="18"/>
          <w:color w:val="auto"/>
        </w:rPr>
      </w:pPr>
    </w:p>
    <w:p>
      <w:pPr>
        <w:ind w:right="100" w:firstLine="447"/>
        <w:spacing w:after="0" w:line="268" w:lineRule="auto"/>
        <w:tabs>
          <w:tab w:leader="none" w:pos="74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copies of the bylaws (including all amendments thereto) of each Credit Party, certified as of the Closing Date by the Secretary or assistant Secretary of such Credit Party;</w:t>
      </w:r>
    </w:p>
    <w:p>
      <w:pPr>
        <w:spacing w:after="0" w:line="185" w:lineRule="exact"/>
        <w:rPr>
          <w:rFonts w:ascii="Arial" w:cs="Arial" w:eastAsia="Arial" w:hAnsi="Arial"/>
          <w:sz w:val="18"/>
          <w:szCs w:val="18"/>
          <w:color w:val="auto"/>
        </w:rPr>
      </w:pPr>
    </w:p>
    <w:p>
      <w:pPr>
        <w:jc w:val="both"/>
        <w:ind w:right="120" w:firstLine="447"/>
        <w:spacing w:after="0" w:line="259" w:lineRule="auto"/>
        <w:tabs>
          <w:tab w:leader="none" w:pos="73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incumbency certificates of the Secretary or assistant Secretary of each Credit Party evidencing the identity, authority and capacity of each Responsible Officer or Authorized Representative thereof authorized to act as a Responsible Officer or Authorized Representative in connection with this Agreement and the other Credit Documents to which such Credit Party is a party;</w:t>
      </w:r>
    </w:p>
    <w:p>
      <w:pPr>
        <w:spacing w:after="0" w:line="194" w:lineRule="exact"/>
        <w:rPr>
          <w:rFonts w:ascii="Arial" w:cs="Arial" w:eastAsia="Arial" w:hAnsi="Arial"/>
          <w:sz w:val="18"/>
          <w:szCs w:val="18"/>
          <w:color w:val="auto"/>
        </w:rPr>
      </w:pPr>
    </w:p>
    <w:p>
      <w:pPr>
        <w:ind w:right="80" w:firstLine="447"/>
        <w:spacing w:after="0" w:line="298" w:lineRule="auto"/>
        <w:tabs>
          <w:tab w:leader="none" w:pos="688" w:val="left"/>
        </w:tabs>
        <w:numPr>
          <w:ilvl w:val="1"/>
          <w:numId w:val="375"/>
        </w:numPr>
        <w:rPr>
          <w:rFonts w:ascii="Arial" w:cs="Arial" w:eastAsia="Arial" w:hAnsi="Arial"/>
          <w:sz w:val="16"/>
          <w:szCs w:val="16"/>
          <w:color w:val="auto"/>
        </w:rPr>
      </w:pPr>
      <w:r>
        <w:rPr>
          <w:rFonts w:ascii="Arial" w:cs="Arial" w:eastAsia="Arial" w:hAnsi="Arial"/>
          <w:sz w:val="16"/>
          <w:szCs w:val="16"/>
          <w:color w:val="auto"/>
        </w:rPr>
        <w:t>certificates of the Secretary of State or other appropriate official of the respective states of incorporation of each the Credit Party, certifying as of a recent date prior to the Closing Date that such Credit Party is duly organized or formed and validly existing and in good standing in the jurisdiction of its organization or formation as of such date, and certificates of the Secretary of State or other appropriate official of the State of Texas, certifying as of a recent date prior to the Closing Date that such Credit Party is in good standing and qualified to engage in business in the State of Texas;</w:t>
      </w:r>
    </w:p>
    <w:p>
      <w:pPr>
        <w:spacing w:after="0" w:line="166" w:lineRule="exact"/>
        <w:rPr>
          <w:rFonts w:ascii="Arial" w:cs="Arial" w:eastAsia="Arial" w:hAnsi="Arial"/>
          <w:sz w:val="16"/>
          <w:szCs w:val="16"/>
          <w:color w:val="auto"/>
        </w:rPr>
      </w:pPr>
    </w:p>
    <w:p>
      <w:pPr>
        <w:ind w:right="80" w:firstLine="447"/>
        <w:spacing w:after="0" w:line="268" w:lineRule="auto"/>
        <w:tabs>
          <w:tab w:leader="none" w:pos="73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true and correct copies of the resolutions adopted by the respective boards of directors of each Credit Party, duly certified as of the Closing Date by the Secretary or assistant Secretary of such Credit Party, (i) approving the transactions contemplated by (and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4" w:name="page315"/>
    <w:bookmarkEnd w:id="314"/>
    <w:p>
      <w:pPr>
        <w:jc w:val="both"/>
        <w:ind w:right="260"/>
        <w:spacing w:after="0" w:line="259" w:lineRule="auto"/>
        <w:rPr>
          <w:sz w:val="20"/>
          <w:szCs w:val="20"/>
          <w:color w:val="auto"/>
        </w:rPr>
      </w:pPr>
      <w:r>
        <w:rPr>
          <w:rFonts w:ascii="Arial" w:cs="Arial" w:eastAsia="Arial" w:hAnsi="Arial"/>
          <w:sz w:val="18"/>
          <w:szCs w:val="18"/>
          <w:color w:val="auto"/>
        </w:rPr>
        <w:t>form of) this Agreement and the other Credit Documents and all other documents to be entered into in connection with this Agreement to be delivered by such Credit Party hereunder and (ii) authorizing the officers of such Credit Party, and each of them, acting individually or together, to execute and deliver each such document with such changes as such officer or officers shall approve;</w:t>
      </w:r>
    </w:p>
    <w:p>
      <w:pPr>
        <w:spacing w:after="0" w:line="194" w:lineRule="exact"/>
        <w:rPr>
          <w:sz w:val="20"/>
          <w:szCs w:val="20"/>
          <w:color w:val="auto"/>
        </w:rPr>
      </w:pPr>
    </w:p>
    <w:p>
      <w:pPr>
        <w:ind w:right="100" w:firstLine="447"/>
        <w:spacing w:after="0" w:line="256" w:lineRule="auto"/>
        <w:tabs>
          <w:tab w:leader="none" w:pos="78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Company certifying that (a) the representations and warranties contained in Article V, or any other Credit Document are true and correct, (b) no Default or Event of Default has occurred and is continuing, and (c) since the date of the Audited Financial Statements, no event or circumstance that either individually or in the aggregate has resulted in or could reasonably be expected to result in a Material Adverse Effect;</w:t>
      </w:r>
    </w:p>
    <w:p>
      <w:pPr>
        <w:spacing w:after="0" w:line="197" w:lineRule="exact"/>
        <w:rPr>
          <w:rFonts w:ascii="Arial" w:cs="Arial" w:eastAsia="Arial" w:hAnsi="Arial"/>
          <w:sz w:val="18"/>
          <w:szCs w:val="18"/>
          <w:color w:val="auto"/>
        </w:rPr>
      </w:pPr>
    </w:p>
    <w:p>
      <w:pPr>
        <w:ind w:right="120" w:firstLine="447"/>
        <w:spacing w:after="0" w:line="370" w:lineRule="auto"/>
        <w:tabs>
          <w:tab w:leader="none" w:pos="834" w:val="left"/>
        </w:tabs>
        <w:numPr>
          <w:ilvl w:val="1"/>
          <w:numId w:val="376"/>
        </w:numPr>
        <w:rPr>
          <w:rFonts w:ascii="Arial" w:cs="Arial" w:eastAsia="Arial" w:hAnsi="Arial"/>
          <w:sz w:val="15"/>
          <w:szCs w:val="15"/>
          <w:color w:val="auto"/>
        </w:rPr>
      </w:pPr>
      <w:r>
        <w:rPr>
          <w:rFonts w:ascii="Arial" w:cs="Arial" w:eastAsia="Arial" w:hAnsi="Arial"/>
          <w:sz w:val="15"/>
          <w:szCs w:val="15"/>
          <w:color w:val="auto"/>
        </w:rPr>
        <w:t>opinions of counsel to each Credit Party, addressed to the Administrative Agent, the Issuer and each Lender, as to the matters set forth in Exhibit C-1 and such other matters concerning the Credit Parties and the Credit Documents as the Issuer or the Required Credit-Linked Lenders may reasonably request;</w:t>
      </w:r>
    </w:p>
    <w:p>
      <w:pPr>
        <w:spacing w:after="0" w:line="116" w:lineRule="exact"/>
        <w:rPr>
          <w:rFonts w:ascii="Arial" w:cs="Arial" w:eastAsia="Arial" w:hAnsi="Arial"/>
          <w:sz w:val="15"/>
          <w:szCs w:val="15"/>
          <w:color w:val="auto"/>
        </w:rPr>
      </w:pPr>
    </w:p>
    <w:p>
      <w:pPr>
        <w:ind w:right="60" w:firstLine="447"/>
        <w:spacing w:after="0" w:line="332" w:lineRule="auto"/>
        <w:tabs>
          <w:tab w:leader="none" w:pos="736" w:val="left"/>
        </w:tabs>
        <w:numPr>
          <w:ilvl w:val="1"/>
          <w:numId w:val="376"/>
        </w:numPr>
        <w:rPr>
          <w:rFonts w:ascii="Arial" w:cs="Arial" w:eastAsia="Arial" w:hAnsi="Arial"/>
          <w:sz w:val="16"/>
          <w:szCs w:val="16"/>
          <w:color w:val="auto"/>
        </w:rPr>
      </w:pPr>
      <w:r>
        <w:rPr>
          <w:rFonts w:ascii="Arial" w:cs="Arial" w:eastAsia="Arial" w:hAnsi="Arial"/>
          <w:sz w:val="16"/>
          <w:szCs w:val="16"/>
          <w:color w:val="auto"/>
        </w:rPr>
        <w:t>opinions of counsel to the Administrative Agent and the Issuer, addressed to the Administrative Agent, the Issuer and each Lender, as to the matters set forth in Exhibit C-2 and Exhibit C-3 and such other matters as the Required Credit-Linked Lenders may reasonably request; and</w:t>
      </w:r>
    </w:p>
    <w:p>
      <w:pPr>
        <w:spacing w:after="0" w:line="139" w:lineRule="exact"/>
        <w:rPr>
          <w:rFonts w:ascii="Arial" w:cs="Arial" w:eastAsia="Arial" w:hAnsi="Arial"/>
          <w:sz w:val="16"/>
          <w:szCs w:val="16"/>
          <w:color w:val="auto"/>
        </w:rPr>
      </w:pPr>
    </w:p>
    <w:p>
      <w:pPr>
        <w:ind w:right="300" w:firstLine="447"/>
        <w:spacing w:after="0" w:line="268" w:lineRule="auto"/>
        <w:tabs>
          <w:tab w:leader="none" w:pos="688" w:val="left"/>
        </w:tabs>
        <w:numPr>
          <w:ilvl w:val="1"/>
          <w:numId w:val="376"/>
        </w:numPr>
        <w:rPr>
          <w:rFonts w:ascii="Arial" w:cs="Arial" w:eastAsia="Arial" w:hAnsi="Arial"/>
          <w:sz w:val="18"/>
          <w:szCs w:val="18"/>
          <w:color w:val="auto"/>
        </w:rPr>
      </w:pPr>
      <w:r>
        <w:rPr>
          <w:rFonts w:ascii="Arial" w:cs="Arial" w:eastAsia="Arial" w:hAnsi="Arial"/>
          <w:sz w:val="18"/>
          <w:szCs w:val="18"/>
          <w:color w:val="auto"/>
        </w:rPr>
        <w:t>opinion of special counsel to the Lenders, addressed to each Lender, as to the matters set forth in Exhibit C-4 and such other matters as the Required Credit-Linked Lenders may reasonably request.</w:t>
      </w:r>
    </w:p>
    <w:p>
      <w:pPr>
        <w:spacing w:after="0" w:line="185" w:lineRule="exact"/>
        <w:rPr>
          <w:rFonts w:ascii="Arial" w:cs="Arial" w:eastAsia="Arial" w:hAnsi="Arial"/>
          <w:sz w:val="18"/>
          <w:szCs w:val="18"/>
          <w:color w:val="auto"/>
        </w:rPr>
      </w:pPr>
    </w:p>
    <w:p>
      <w:pPr>
        <w:ind w:left="640" w:hanging="412"/>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225" w:lineRule="exact"/>
        <w:rPr>
          <w:rFonts w:ascii="Arial" w:cs="Arial" w:eastAsia="Arial" w:hAnsi="Arial"/>
          <w:sz w:val="18"/>
          <w:szCs w:val="18"/>
          <w:color w:val="auto"/>
        </w:rPr>
      </w:pPr>
    </w:p>
    <w:p>
      <w:pPr>
        <w:ind w:right="220" w:firstLine="228"/>
        <w:spacing w:after="0" w:line="268" w:lineRule="auto"/>
        <w:tabs>
          <w:tab w:leader="none" w:pos="63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Company shall have paid all reasonable Attorney Costs of (i) the Administrative Agent, and (ii) the special counsel to the Lenders, in each case to the extent invoiced prior to or on the Closing Date.</w:t>
      </w:r>
    </w:p>
    <w:p>
      <w:pPr>
        <w:spacing w:after="0" w:line="185" w:lineRule="exact"/>
        <w:rPr>
          <w:rFonts w:ascii="Arial" w:cs="Arial" w:eastAsia="Arial" w:hAnsi="Arial"/>
          <w:sz w:val="18"/>
          <w:szCs w:val="18"/>
          <w:color w:val="auto"/>
        </w:rPr>
      </w:pPr>
    </w:p>
    <w:p>
      <w:pPr>
        <w:ind w:left="640" w:hanging="412"/>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Closing Date shall have occurred on or prior to June 30, 2003.</w:t>
      </w:r>
    </w:p>
    <w:p>
      <w:pPr>
        <w:spacing w:after="0" w:line="225" w:lineRule="exact"/>
        <w:rPr>
          <w:rFonts w:ascii="Arial" w:cs="Arial" w:eastAsia="Arial" w:hAnsi="Arial"/>
          <w:sz w:val="18"/>
          <w:szCs w:val="18"/>
          <w:color w:val="auto"/>
        </w:rPr>
      </w:pPr>
    </w:p>
    <w:p>
      <w:pPr>
        <w:ind w:right="60" w:firstLine="228"/>
        <w:spacing w:after="0" w:line="290" w:lineRule="auto"/>
        <w:tabs>
          <w:tab w:leader="none" w:pos="63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On the Closing Date, each Lender’s purchase of its Participation shall (i) be permitted by the laws and regulations of each jurisdiction to which such Lender is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such Lender to any tax, penalty or liability under or pursuant to any applicable law or regulation, which law or regulation was not in effect on the date hereof. If requested by each Lender, such Lender shall have received an Officer’s Certificate certifying as to such matters of fact as such Lender may reasonably specify to enable such Lender to determine whether such purchase is so permitted. The wire transfer of funds on the Closing Date by each</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5" w:name="page316"/>
    <w:bookmarkEnd w:id="315"/>
    <w:p>
      <w:pPr>
        <w:ind w:right="120"/>
        <w:spacing w:after="0" w:line="268" w:lineRule="auto"/>
        <w:rPr>
          <w:sz w:val="20"/>
          <w:szCs w:val="20"/>
          <w:color w:val="auto"/>
        </w:rPr>
      </w:pPr>
      <w:r>
        <w:rPr>
          <w:rFonts w:ascii="Arial" w:cs="Arial" w:eastAsia="Arial" w:hAnsi="Arial"/>
          <w:sz w:val="18"/>
          <w:szCs w:val="18"/>
          <w:color w:val="auto"/>
        </w:rPr>
        <w:t>Lender in the amount of its Credit-Linked Deposit to the Administrative Agent shall constitute its confirmation as to satisfaction of this condition with respect to such Lender.</w:t>
      </w:r>
    </w:p>
    <w:p>
      <w:pPr>
        <w:spacing w:after="0" w:line="186" w:lineRule="exact"/>
        <w:rPr>
          <w:sz w:val="20"/>
          <w:szCs w:val="20"/>
          <w:color w:val="auto"/>
        </w:rPr>
      </w:pPr>
    </w:p>
    <w:p>
      <w:pPr>
        <w:jc w:val="both"/>
        <w:ind w:right="300" w:firstLine="228"/>
        <w:spacing w:after="0" w:line="306" w:lineRule="auto"/>
        <w:tabs>
          <w:tab w:leader="none" w:pos="60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 Private Placement number issued by Standard &amp; Poor’s CUSIP Service Bureau (in cooperation with the Securities Valuation Office of the National Association of Insurance Commissioners) shall have been obtained for (i) the Letter of Credit Linked Notes and (ii) the Term Notes, which Private Placement number shall not be in the series of numbers issued to Bank of America Corporation and its affiliates, including but not limited to Bank of America.</w:t>
      </w:r>
    </w:p>
    <w:p>
      <w:pPr>
        <w:spacing w:after="0" w:line="160" w:lineRule="exact"/>
        <w:rPr>
          <w:rFonts w:ascii="Arial" w:cs="Arial" w:eastAsia="Arial" w:hAnsi="Arial"/>
          <w:sz w:val="16"/>
          <w:szCs w:val="16"/>
          <w:color w:val="auto"/>
        </w:rPr>
      </w:pPr>
    </w:p>
    <w:p>
      <w:pPr>
        <w:ind w:left="640" w:hanging="412"/>
        <w:spacing w:after="0"/>
        <w:tabs>
          <w:tab w:leader="none" w:pos="6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Issuer shall have received evidence satisfactory to it that each Lender, in respect of its Participation hereunder, has funded its Credit-Linked Deposit.</w:t>
      </w:r>
    </w:p>
    <w:p>
      <w:pPr>
        <w:spacing w:after="0" w:line="259" w:lineRule="exact"/>
        <w:rPr>
          <w:rFonts w:ascii="Arial" w:cs="Arial" w:eastAsia="Arial" w:hAnsi="Arial"/>
          <w:sz w:val="15"/>
          <w:szCs w:val="15"/>
          <w:color w:val="auto"/>
        </w:rPr>
      </w:pPr>
    </w:p>
    <w:p>
      <w:pPr>
        <w:ind w:left="640" w:hanging="412"/>
        <w:spacing w:after="0"/>
        <w:tabs>
          <w:tab w:leader="none" w:pos="6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Company and the Administrative Agent shall have executed and delivered to each Lender such Lender’s Letter of Credit Linked Note.</w:t>
      </w:r>
    </w:p>
    <w:p>
      <w:pPr>
        <w:spacing w:after="0" w:line="248" w:lineRule="exact"/>
        <w:rPr>
          <w:rFonts w:ascii="Arial" w:cs="Arial" w:eastAsia="Arial" w:hAnsi="Arial"/>
          <w:sz w:val="16"/>
          <w:szCs w:val="16"/>
          <w:color w:val="auto"/>
        </w:rPr>
      </w:pPr>
    </w:p>
    <w:p>
      <w:pPr>
        <w:ind w:right="200" w:firstLine="228"/>
        <w:spacing w:after="0" w:line="268" w:lineRule="auto"/>
        <w:tabs>
          <w:tab w:leader="none" w:pos="60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Administrative Agent and Bank of America in its capacity as depository shall have executed and delivered the Money Market Account Agreement and special counsel for the Lenders shall have received a copy thereof.</w:t>
      </w:r>
    </w:p>
    <w:p>
      <w:pPr>
        <w:spacing w:after="0" w:line="180" w:lineRule="exact"/>
        <w:rPr>
          <w:sz w:val="20"/>
          <w:szCs w:val="20"/>
          <w:color w:val="auto"/>
        </w:rPr>
      </w:pPr>
    </w:p>
    <w:p>
      <w:pPr>
        <w:ind w:right="720" w:firstLine="220"/>
        <w:spacing w:after="0" w:line="275" w:lineRule="auto"/>
        <w:rPr>
          <w:sz w:val="20"/>
          <w:szCs w:val="20"/>
          <w:color w:val="auto"/>
        </w:rPr>
      </w:pPr>
      <w:r>
        <w:rPr>
          <w:rFonts w:ascii="Arial" w:cs="Arial" w:eastAsia="Arial" w:hAnsi="Arial"/>
          <w:sz w:val="18"/>
          <w:szCs w:val="18"/>
          <w:b w:val="1"/>
          <w:bCs w:val="1"/>
          <w:color w:val="auto"/>
        </w:rPr>
        <w:t>4.02 Conditions to all Credit Extensions by the Issuer</w:t>
      </w:r>
      <w:r>
        <w:rPr>
          <w:rFonts w:ascii="Arial" w:cs="Arial" w:eastAsia="Arial" w:hAnsi="Arial"/>
          <w:sz w:val="18"/>
          <w:szCs w:val="18"/>
          <w:color w:val="auto"/>
        </w:rPr>
        <w:t>. The obligation of the Issuer to make any Credit Extension or honor any Request for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80" w:lineRule="exact"/>
        <w:rPr>
          <w:sz w:val="20"/>
          <w:szCs w:val="20"/>
          <w:color w:val="auto"/>
        </w:rPr>
      </w:pPr>
    </w:p>
    <w:p>
      <w:pPr>
        <w:jc w:val="both"/>
        <w:ind w:right="20" w:firstLine="228"/>
        <w:spacing w:after="0" w:line="255" w:lineRule="auto"/>
        <w:tabs>
          <w:tab w:leader="none" w:pos="63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each other Credit Party contained in Article V, or any other Credit Document, or which are contained in any document furnished at any time under or in connection herewith or therewith, shall be true and correct on and as of the date of such Credit Extension, except to the extent that such representations and warranties relate expressly and solely to an earlier date, and except to the extent of changes resulting from transactions contemplated or permitted by the Credit Documents and changes occurring in the ordinary course of business which either individually or in the aggregate do not result in a Material Adverse Effect.</w:t>
      </w:r>
    </w:p>
    <w:p>
      <w:pPr>
        <w:spacing w:after="0" w:line="196" w:lineRule="exact"/>
        <w:rPr>
          <w:rFonts w:ascii="Arial" w:cs="Arial" w:eastAsia="Arial" w:hAnsi="Arial"/>
          <w:sz w:val="18"/>
          <w:szCs w:val="18"/>
          <w:color w:val="auto"/>
        </w:rPr>
      </w:pPr>
    </w:p>
    <w:p>
      <w:pPr>
        <w:ind w:left="660" w:hanging="432"/>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Credit Extension.</w:t>
      </w:r>
    </w:p>
    <w:p>
      <w:pPr>
        <w:spacing w:after="0" w:line="225" w:lineRule="exact"/>
        <w:rPr>
          <w:rFonts w:ascii="Arial" w:cs="Arial" w:eastAsia="Arial" w:hAnsi="Arial"/>
          <w:sz w:val="18"/>
          <w:szCs w:val="18"/>
          <w:color w:val="auto"/>
        </w:rPr>
      </w:pPr>
    </w:p>
    <w:p>
      <w:pPr>
        <w:ind w:right="140" w:firstLine="228"/>
        <w:spacing w:after="0" w:line="268" w:lineRule="auto"/>
        <w:tabs>
          <w:tab w:leader="none" w:pos="63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There has occurred since the date of the Audited Financial Statements, no event or circumstance that either individually or in the aggregate has resulted in or could reasonably be expected to result in a Material Adverse Effect.</w:t>
      </w:r>
    </w:p>
    <w:p>
      <w:pPr>
        <w:spacing w:after="0" w:line="185" w:lineRule="exact"/>
        <w:rPr>
          <w:rFonts w:ascii="Arial" w:cs="Arial" w:eastAsia="Arial" w:hAnsi="Arial"/>
          <w:sz w:val="18"/>
          <w:szCs w:val="18"/>
          <w:color w:val="auto"/>
        </w:rPr>
      </w:pPr>
    </w:p>
    <w:p>
      <w:pPr>
        <w:ind w:right="900" w:firstLine="228"/>
        <w:spacing w:after="0" w:line="332" w:lineRule="auto"/>
        <w:tabs>
          <w:tab w:leader="none" w:pos="64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Except in the case of any automatic renewal of any Auto-Renewal Credit or any automatic reinstatement of any Auto-Reinstating Credit, the Administrative Agent and the Issuer shall have received a Request for Credit Extension in accordance with the requirements hereof.</w:t>
      </w:r>
    </w:p>
    <w:p>
      <w:pPr>
        <w:spacing w:after="0" w:line="139" w:lineRule="exact"/>
        <w:rPr>
          <w:rFonts w:ascii="Arial" w:cs="Arial" w:eastAsia="Arial" w:hAnsi="Arial"/>
          <w:sz w:val="16"/>
          <w:szCs w:val="16"/>
          <w:color w:val="auto"/>
        </w:rPr>
      </w:pPr>
    </w:p>
    <w:p>
      <w:pPr>
        <w:ind w:right="60" w:firstLine="228"/>
        <w:spacing w:after="0" w:line="268" w:lineRule="auto"/>
        <w:tabs>
          <w:tab w:leader="none" w:pos="63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satisfactory to it, such other assurances, certificates, documents or consents related to the foregoing as the Administrative Agent, the Issuer or the Required Lenders reasonably may require.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6" w:name="page317"/>
    <w:bookmarkEnd w:id="316"/>
    <w:p>
      <w:pPr>
        <w:ind w:right="500"/>
        <w:spacing w:after="0" w:line="268" w:lineRule="auto"/>
        <w:rPr>
          <w:sz w:val="20"/>
          <w:szCs w:val="20"/>
          <w:color w:val="auto"/>
        </w:rPr>
      </w:pPr>
      <w:r>
        <w:rPr>
          <w:rFonts w:ascii="Arial" w:cs="Arial" w:eastAsia="Arial" w:hAnsi="Arial"/>
          <w:sz w:val="18"/>
          <w:szCs w:val="18"/>
          <w:color w:val="auto"/>
        </w:rPr>
        <w:t>Each Request for Credit Extension submitted by the Company shall be deemed to be a representation and warranty that the conditions specified in Sections 4.02(a), (b) and (c) have been satisfied on and as of the date of the applicable Credit Extension.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4.03 Conditions to Term Loans</w:t>
      </w:r>
      <w:r>
        <w:rPr>
          <w:rFonts w:ascii="Arial" w:cs="Arial" w:eastAsia="Arial" w:hAnsi="Arial"/>
          <w:sz w:val="18"/>
          <w:szCs w:val="18"/>
          <w:color w:val="auto"/>
        </w:rPr>
        <w:t>. The obligation of the Lenders to make any Term Loans is subject to the following conditions precedent:</w:t>
      </w:r>
    </w:p>
    <w:p>
      <w:pPr>
        <w:spacing w:after="0" w:line="231" w:lineRule="exact"/>
        <w:rPr>
          <w:sz w:val="20"/>
          <w:szCs w:val="20"/>
          <w:color w:val="auto"/>
        </w:rPr>
      </w:pPr>
    </w:p>
    <w:p>
      <w:pPr>
        <w:ind w:left="640" w:hanging="412"/>
        <w:spacing w:after="0"/>
        <w:tabs>
          <w:tab w:leader="none" w:pos="6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Administrative Agent shall have received in accordance with the provisions of Section 2.03(b) hereof an originally executed Request for Term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18" w:lineRule="exact"/>
        <w:rPr>
          <w:rFonts w:ascii="Arial" w:cs="Arial" w:eastAsia="Arial" w:hAnsi="Arial"/>
          <w:sz w:val="16"/>
          <w:szCs w:val="16"/>
          <w:color w:val="auto"/>
        </w:rPr>
      </w:pPr>
    </w:p>
    <w:p>
      <w:pPr>
        <w:jc w:val="both"/>
        <w:ind w:right="200" w:firstLine="228"/>
        <w:spacing w:after="0" w:line="259" w:lineRule="auto"/>
        <w:tabs>
          <w:tab w:leader="none" w:pos="64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Company, by a duly authorized Senior Responsible Officer, shall have executed and delivered to the Administrative Agent on the applicable Term Loan Issuance Date, for delivery to the Lenders, Term Notes to evidence such Term Loans, dated as of the Term Loan Issuance Date, in the aggregate principal amount of the Term Loans and with other appropriate insertions.</w:t>
      </w:r>
    </w:p>
    <w:p>
      <w:pPr>
        <w:spacing w:after="0" w:line="194" w:lineRule="exact"/>
        <w:rPr>
          <w:rFonts w:ascii="Arial" w:cs="Arial" w:eastAsia="Arial" w:hAnsi="Arial"/>
          <w:sz w:val="18"/>
          <w:szCs w:val="18"/>
          <w:color w:val="auto"/>
        </w:rPr>
      </w:pPr>
    </w:p>
    <w:p>
      <w:pPr>
        <w:ind w:right="140" w:firstLine="228"/>
        <w:spacing w:after="0" w:line="268" w:lineRule="auto"/>
        <w:tabs>
          <w:tab w:leader="none" w:pos="63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Administrative Agent shall have received an opinion of in-house counsel of the Company, addressed to the Administrative Agent and each Lender, substantially in the form of Exhibit H attached hereto.</w:t>
      </w:r>
    </w:p>
    <w:p>
      <w:pPr>
        <w:spacing w:after="0" w:line="185" w:lineRule="exact"/>
        <w:rPr>
          <w:rFonts w:ascii="Arial" w:cs="Arial" w:eastAsia="Arial" w:hAnsi="Arial"/>
          <w:sz w:val="18"/>
          <w:szCs w:val="18"/>
          <w:color w:val="auto"/>
        </w:rPr>
      </w:pPr>
    </w:p>
    <w:p>
      <w:pPr>
        <w:ind w:right="320" w:firstLine="228"/>
        <w:spacing w:after="0" w:line="259" w:lineRule="auto"/>
        <w:tabs>
          <w:tab w:leader="none" w:pos="64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Conditions Satisfied. The Company shall have delivered to the Administrative Agent an Officer’s Certificate, dated as of the applicable Term Loan Issuance Date, in form and substance satisfactory to the Administrative Agent, certifying that all conditions precedent set forth in Sections 4.02(a) and (b) and 4.03 have been satisfied on and as of the applicable Term Loan Issuance Date.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Request for Term Loans submitted by the Company shall be deemed to be a representation and warranty that the conditions specified in Sections 4.02(a) and (b) have been satisfied on and as of the date of the applicable Term Loan Issuance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5.01 Organization; Power and Authority</w:t>
      </w:r>
      <w:r>
        <w:rPr>
          <w:rFonts w:ascii="Arial" w:cs="Arial" w:eastAsia="Arial" w:hAnsi="Arial"/>
          <w:sz w:val="18"/>
          <w:szCs w:val="18"/>
          <w:color w:val="auto"/>
        </w:rPr>
        <w:t>.</w:t>
      </w:r>
    </w:p>
    <w:p>
      <w:pPr>
        <w:spacing w:after="0" w:line="231" w:lineRule="exact"/>
        <w:rPr>
          <w:sz w:val="20"/>
          <w:szCs w:val="20"/>
          <w:color w:val="auto"/>
        </w:rPr>
      </w:pPr>
    </w:p>
    <w:p>
      <w:pPr>
        <w:ind w:right="40" w:firstLine="228"/>
        <w:spacing w:after="0" w:line="254" w:lineRule="auto"/>
        <w:tabs>
          <w:tab w:leader="none" w:pos="63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Credit Documents to which it is a party and to perform the provisions hereof and thereof.</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17" w:name="page318"/>
    <w:bookmarkEnd w:id="317"/>
    <w:p>
      <w:pPr>
        <w:jc w:val="both"/>
        <w:ind w:right="20" w:firstLine="228"/>
        <w:spacing w:after="0" w:line="254" w:lineRule="auto"/>
        <w:tabs>
          <w:tab w:leader="none" w:pos="64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Holdings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on Holdings and its Subsidiaries, taken as a whole. Holdings has the corporate power and authority to own or hold under lease the properties it purports to own or hold under lease, to transact the business it transacts and proposes to transact, to execute and deliver this Agreement and the Credit Documents to which it is a party and to perform the provisions hereof and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5.02 Authorization, etc</w:t>
      </w:r>
      <w:r>
        <w:rPr>
          <w:rFonts w:ascii="Arial" w:cs="Arial" w:eastAsia="Arial" w:hAnsi="Arial"/>
          <w:sz w:val="18"/>
          <w:szCs w:val="18"/>
          <w:color w:val="auto"/>
        </w:rPr>
        <w:t>.</w:t>
      </w:r>
    </w:p>
    <w:p>
      <w:pPr>
        <w:spacing w:after="0" w:line="231" w:lineRule="exact"/>
        <w:rPr>
          <w:sz w:val="20"/>
          <w:szCs w:val="20"/>
          <w:color w:val="auto"/>
        </w:rPr>
      </w:pPr>
    </w:p>
    <w:p>
      <w:pPr>
        <w:ind w:right="140" w:firstLine="228"/>
        <w:spacing w:after="0" w:line="294" w:lineRule="auto"/>
        <w:tabs>
          <w:tab w:leader="none" w:pos="63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This Agreement and each other Credit Document have been duly authorized by all necessary corporate action on the part of the Company, and this Agreement constitutes, and each other Credit Document to which the Company is a party when executed and delivered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9" w:lineRule="exact"/>
        <w:rPr>
          <w:rFonts w:ascii="Arial" w:cs="Arial" w:eastAsia="Arial" w:hAnsi="Arial"/>
          <w:sz w:val="16"/>
          <w:szCs w:val="16"/>
          <w:color w:val="auto"/>
        </w:rPr>
      </w:pPr>
    </w:p>
    <w:p>
      <w:pPr>
        <w:ind w:right="440" w:firstLine="228"/>
        <w:spacing w:after="0" w:line="294" w:lineRule="auto"/>
        <w:tabs>
          <w:tab w:leader="none" w:pos="64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This Agreement and each other Credit Document have been duly authorized by all necessary corporate action on the part of Holdings, and this Agreement constitutes, and each other Credit Document to which Holdings is a party when executed and delivered will constitute, a legal, valid and binding obligation of Holdings enforceable against Holdings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9" w:lineRule="exact"/>
        <w:rPr>
          <w:rFonts w:ascii="Arial" w:cs="Arial" w:eastAsia="Arial" w:hAnsi="Arial"/>
          <w:sz w:val="16"/>
          <w:szCs w:val="16"/>
          <w:color w:val="auto"/>
        </w:rPr>
      </w:pPr>
    </w:p>
    <w:p>
      <w:pPr>
        <w:ind w:right="340" w:firstLine="228"/>
        <w:spacing w:after="0" w:line="332" w:lineRule="auto"/>
        <w:tabs>
          <w:tab w:leader="none" w:pos="63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the extent Credits are being issued for the account of Subsidiaries, at the time of each such Credit Extension, such Credits do and will inure to the benefit of the Company, and the Company’s business derives and will derive substantial benefits from the businesses of such Subsidiaries.</w:t>
      </w:r>
    </w:p>
    <w:p>
      <w:pPr>
        <w:spacing w:after="0" w:line="133" w:lineRule="exact"/>
        <w:rPr>
          <w:sz w:val="20"/>
          <w:szCs w:val="20"/>
          <w:color w:val="auto"/>
        </w:rPr>
      </w:pPr>
    </w:p>
    <w:p>
      <w:pPr>
        <w:ind w:right="20" w:firstLine="220"/>
        <w:spacing w:after="0" w:line="313" w:lineRule="auto"/>
        <w:rPr>
          <w:sz w:val="20"/>
          <w:szCs w:val="20"/>
          <w:color w:val="auto"/>
        </w:rPr>
      </w:pPr>
      <w:r>
        <w:rPr>
          <w:rFonts w:ascii="Arial" w:cs="Arial" w:eastAsia="Arial" w:hAnsi="Arial"/>
          <w:sz w:val="15"/>
          <w:szCs w:val="15"/>
          <w:b w:val="1"/>
          <w:bCs w:val="1"/>
          <w:color w:val="auto"/>
        </w:rPr>
        <w:t>5.03 Disclosure</w:t>
      </w:r>
      <w:r>
        <w:rPr>
          <w:rFonts w:ascii="Arial" w:cs="Arial" w:eastAsia="Arial" w:hAnsi="Arial"/>
          <w:sz w:val="15"/>
          <w:szCs w:val="15"/>
          <w:color w:val="auto"/>
        </w:rPr>
        <w:t>. The Company, through its agent, BAS, has delivered to each Lender a copy of a Private Placement Memorandum, dated May 2003 (the</w:t>
      </w:r>
      <w:r>
        <w:rPr>
          <w:rFonts w:ascii="Arial" w:cs="Arial" w:eastAsia="Arial" w:hAnsi="Arial"/>
          <w:sz w:val="15"/>
          <w:szCs w:val="15"/>
          <w:b w:val="1"/>
          <w:bCs w:val="1"/>
          <w:color w:val="auto"/>
        </w:rPr>
        <w:t xml:space="preserve"> </w:t>
      </w:r>
      <w:r>
        <w:rPr>
          <w:rFonts w:ascii="Arial" w:cs="Arial" w:eastAsia="Arial" w:hAnsi="Arial"/>
          <w:sz w:val="15"/>
          <w:szCs w:val="15"/>
          <w:color w:val="auto"/>
        </w:rPr>
        <w:t>“Memorandum”), relating to the transactions contemplated hereby. As of its date, the Memorandum fairly describes, in all material respects, the general nature of the business and principal properties of the Company and its Subsidiaries. As of the Closing Date, this Agreement, the Memorandum, the documents, certificates or other writings delivered to the Lenders by or on behalf of the Company in connection with the transactions contemplated hereby and the financial statements listed in Schedule 5.05, taken as a whole, do not contain any untrue statement of a material fact or omit to state any material fact necessary to make the statements therein not misleading in light of the circumstances under which they were made. Since December 31, 2002, there has been no change in the financial condition, operations, business or properties of the Company or any Subsidiary except changes that individually or in the aggregate could not reasonably be expected</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8" w:name="page319"/>
    <w:bookmarkEnd w:id="318"/>
    <w:p>
      <w:pPr>
        <w:jc w:val="both"/>
        <w:ind w:right="60"/>
        <w:spacing w:after="0" w:line="306" w:lineRule="auto"/>
        <w:rPr>
          <w:sz w:val="20"/>
          <w:szCs w:val="20"/>
          <w:color w:val="auto"/>
        </w:rPr>
      </w:pPr>
      <w:r>
        <w:rPr>
          <w:rFonts w:ascii="Arial" w:cs="Arial" w:eastAsia="Arial" w:hAnsi="Arial"/>
          <w:sz w:val="16"/>
          <w:szCs w:val="16"/>
          <w:color w:val="auto"/>
        </w:rPr>
        <w:t>to have a Material Adverse Effect. There is no fact known to the Company that could reasonably be expected to have a Material Adverse Effect that has not been disclosed herein or in the Memorandum, in the Disclosure Documents, or in the other documents, certificates and other writings delivered to the Lenders by or on behalf of the Company specifically for use in connection with the transactions contemplated hereby.</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5.04 Organization and Ownership of Shares of Subsidiaries; Affiliates</w:t>
      </w:r>
      <w:r>
        <w:rPr>
          <w:rFonts w:ascii="Arial" w:cs="Arial" w:eastAsia="Arial" w:hAnsi="Arial"/>
          <w:sz w:val="18"/>
          <w:szCs w:val="18"/>
          <w:color w:val="auto"/>
        </w:rPr>
        <w:t>.</w:t>
      </w:r>
    </w:p>
    <w:p>
      <w:pPr>
        <w:spacing w:after="0" w:line="231" w:lineRule="exact"/>
        <w:rPr>
          <w:sz w:val="20"/>
          <w:szCs w:val="20"/>
          <w:color w:val="auto"/>
        </w:rPr>
      </w:pPr>
    </w:p>
    <w:p>
      <w:pPr>
        <w:ind w:right="180" w:firstLine="228"/>
        <w:spacing w:after="0" w:line="306" w:lineRule="auto"/>
        <w:tabs>
          <w:tab w:leader="none" w:pos="63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Schedule 5.04 contains (except as noted therein) complete and correct lists as of the Closing Date of (i) each of the Company’s Restricted Subsidiaries, showing, as to each Restricted Subsidiary, the correct name thereof and the jurisdiction of its organization, (ii) each of the Company’s Affiliates, and (iii) the Company’s directors and Senior Responsible Officers. As of the Closing Date, there are no Unrestricted Subsidiaries.</w:t>
      </w:r>
    </w:p>
    <w:p>
      <w:pPr>
        <w:spacing w:after="0" w:line="160" w:lineRule="exact"/>
        <w:rPr>
          <w:rFonts w:ascii="Arial" w:cs="Arial" w:eastAsia="Arial" w:hAnsi="Arial"/>
          <w:sz w:val="16"/>
          <w:szCs w:val="16"/>
          <w:color w:val="auto"/>
        </w:rPr>
      </w:pPr>
    </w:p>
    <w:p>
      <w:pPr>
        <w:ind w:right="40" w:firstLine="228"/>
        <w:spacing w:after="0" w:line="259" w:lineRule="auto"/>
        <w:tabs>
          <w:tab w:leader="none" w:pos="63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As of the Closing Date, all of the outstanding shares of capital stock or similar equity interests of each Restricted Subsidiary owned by the Company and its Subsidiaries have been validly issued, are fully paid and nonassessable and are owned by the Company or another Subsidiary free and clear of any Lien (except for any Permitted Lien or as otherwise disclosed in Schedule 5.04).</w:t>
      </w:r>
    </w:p>
    <w:p>
      <w:pPr>
        <w:spacing w:after="0" w:line="194" w:lineRule="exact"/>
        <w:rPr>
          <w:rFonts w:ascii="Arial" w:cs="Arial" w:eastAsia="Arial" w:hAnsi="Arial"/>
          <w:sz w:val="18"/>
          <w:szCs w:val="18"/>
          <w:color w:val="auto"/>
        </w:rPr>
      </w:pPr>
    </w:p>
    <w:p>
      <w:pPr>
        <w:ind w:right="60" w:firstLine="228"/>
        <w:spacing w:after="0" w:line="294" w:lineRule="auto"/>
        <w:tabs>
          <w:tab w:leader="none" w:pos="63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Each Subsidiary identified on Schedule 5.04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69" w:lineRule="exact"/>
        <w:rPr>
          <w:rFonts w:ascii="Arial" w:cs="Arial" w:eastAsia="Arial" w:hAnsi="Arial"/>
          <w:sz w:val="16"/>
          <w:szCs w:val="16"/>
          <w:color w:val="auto"/>
        </w:rPr>
      </w:pPr>
    </w:p>
    <w:p>
      <w:pPr>
        <w:ind w:right="120" w:firstLine="228"/>
        <w:spacing w:after="0" w:line="256" w:lineRule="auto"/>
        <w:tabs>
          <w:tab w:leader="none" w:pos="63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As of the Closing Date, no Subsidiary is a party to, or otherwise subject to any legal restriction or any agreement (other than the agreements listed on Schedule 5.04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5.05 Financial Statements</w:t>
      </w:r>
      <w:r>
        <w:rPr>
          <w:rFonts w:ascii="Arial" w:cs="Arial" w:eastAsia="Arial" w:hAnsi="Arial"/>
          <w:sz w:val="18"/>
          <w:szCs w:val="18"/>
          <w:color w:val="auto"/>
        </w:rPr>
        <w:t>.</w:t>
      </w:r>
    </w:p>
    <w:p>
      <w:pPr>
        <w:spacing w:after="0" w:line="231" w:lineRule="exact"/>
        <w:rPr>
          <w:sz w:val="20"/>
          <w:szCs w:val="20"/>
          <w:color w:val="auto"/>
        </w:rPr>
      </w:pPr>
    </w:p>
    <w:p>
      <w:pPr>
        <w:ind w:right="180" w:firstLine="216"/>
        <w:spacing w:after="0" w:line="294" w:lineRule="auto"/>
        <w:rPr>
          <w:sz w:val="20"/>
          <w:szCs w:val="20"/>
          <w:color w:val="auto"/>
        </w:rPr>
      </w:pPr>
      <w:r>
        <w:rPr>
          <w:rFonts w:ascii="Arial" w:cs="Arial" w:eastAsia="Arial" w:hAnsi="Arial"/>
          <w:sz w:val="16"/>
          <w:szCs w:val="16"/>
          <w:color w:val="auto"/>
        </w:rPr>
        <w:t>The Company has delivered to the Issuer and each Lender the financial statements of the Company and its Subsidiaries listed on Schedule 5.05. All of said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9" w:name="page320"/>
    <w:bookmarkEnd w:id="319"/>
    <w:p>
      <w:pPr>
        <w:ind w:left="220"/>
        <w:spacing w:after="0"/>
        <w:rPr>
          <w:sz w:val="20"/>
          <w:szCs w:val="20"/>
          <w:color w:val="auto"/>
        </w:rPr>
      </w:pPr>
      <w:r>
        <w:rPr>
          <w:rFonts w:ascii="Arial" w:cs="Arial" w:eastAsia="Arial" w:hAnsi="Arial"/>
          <w:sz w:val="18"/>
          <w:szCs w:val="18"/>
          <w:b w:val="1"/>
          <w:bCs w:val="1"/>
          <w:color w:val="auto"/>
        </w:rPr>
        <w:t>5.06 Compliance with Laws, Other Instruments, etc</w:t>
      </w:r>
      <w:r>
        <w:rPr>
          <w:rFonts w:ascii="Arial" w:cs="Arial" w:eastAsia="Arial" w:hAnsi="Arial"/>
          <w:sz w:val="18"/>
          <w:szCs w:val="18"/>
          <w:color w:val="auto"/>
        </w:rPr>
        <w:t>.</w:t>
      </w:r>
    </w:p>
    <w:p>
      <w:pPr>
        <w:spacing w:after="0" w:line="231" w:lineRule="exact"/>
        <w:rPr>
          <w:sz w:val="20"/>
          <w:szCs w:val="20"/>
          <w:color w:val="auto"/>
        </w:rPr>
      </w:pPr>
    </w:p>
    <w:p>
      <w:pPr>
        <w:ind w:right="60" w:firstLine="228"/>
        <w:spacing w:after="0" w:line="290" w:lineRule="auto"/>
        <w:tabs>
          <w:tab w:leader="none" w:pos="63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the Letter of Credit Linked Notes and the Term Notes will not (i) contravene, result in any breach of, or constitute a default under, or result in the creation of any Lien in respect of any property of the Company or any Subsidiary under, any indenture, mortgage, deed of trust, loan, note purchase or credit agreement, or lease, its corporate charter or by-laws, or any other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172" w:lineRule="exact"/>
        <w:rPr>
          <w:rFonts w:ascii="Arial" w:cs="Arial" w:eastAsia="Arial" w:hAnsi="Arial"/>
          <w:sz w:val="16"/>
          <w:szCs w:val="16"/>
          <w:color w:val="auto"/>
        </w:rPr>
      </w:pPr>
    </w:p>
    <w:p>
      <w:pPr>
        <w:ind w:right="100" w:firstLine="228"/>
        <w:spacing w:after="0" w:line="254" w:lineRule="auto"/>
        <w:tabs>
          <w:tab w:leader="none" w:pos="641"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execution, delivery and performance by Holdings of this Agreement will not (i) contravene, result in any breach of, or constitute a default under, or result in the creation of any Lien in respect of any property of Holdings under, any indenture, mortgage, deed of trust, loan, note purchase or credit agreement, lease, corporate charter or by-laws, or any agreement or instrument to which Holdings is bound or by which Holdings or any of its properties may be bound or affected, (ii) conflict with or result in a breach of any of the terms, conditions or provisions of any order, judgment, decree, or ruling of any court, arbitrator or Governmental Authority applicable to Holdings, or (iii) violate any provision of any statute or other rule or regulation of any Governmental Authority applicable to Holdings.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5.07 Governmental Authorizations, etc</w:t>
      </w:r>
      <w:r>
        <w:rPr>
          <w:rFonts w:ascii="Arial" w:cs="Arial" w:eastAsia="Arial" w:hAnsi="Arial"/>
          <w:sz w:val="18"/>
          <w:szCs w:val="18"/>
          <w:color w:val="auto"/>
        </w:rPr>
        <w:t>.</w:t>
      </w:r>
    </w:p>
    <w:p>
      <w:pPr>
        <w:spacing w:after="0" w:line="231" w:lineRule="exact"/>
        <w:rPr>
          <w:sz w:val="20"/>
          <w:szCs w:val="20"/>
          <w:color w:val="auto"/>
        </w:rPr>
      </w:pPr>
    </w:p>
    <w:p>
      <w:pPr>
        <w:ind w:right="500" w:firstLine="228"/>
        <w:spacing w:after="0" w:line="332" w:lineRule="auto"/>
        <w:tabs>
          <w:tab w:leader="none" w:pos="63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 consent, approval or authorization of, or registration, filing or declaration with, any Governmental Authority is required in connection with the execution, delivery or performance by the Company of this Agreement, the Letter of Credit Linked Notes or the Term Notes.</w:t>
      </w:r>
    </w:p>
    <w:p>
      <w:pPr>
        <w:spacing w:after="0" w:line="139" w:lineRule="exact"/>
        <w:rPr>
          <w:rFonts w:ascii="Arial" w:cs="Arial" w:eastAsia="Arial" w:hAnsi="Arial"/>
          <w:sz w:val="16"/>
          <w:szCs w:val="16"/>
          <w:color w:val="auto"/>
        </w:rPr>
      </w:pPr>
    </w:p>
    <w:p>
      <w:pPr>
        <w:ind w:right="480" w:firstLine="228"/>
        <w:spacing w:after="0" w:line="268" w:lineRule="auto"/>
        <w:tabs>
          <w:tab w:leader="none" w:pos="64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 consent, approval or authorization of, or registration, filing or declaration with, any Governmental Authority is required in connection with the execution, delivery or performance by Holdings of this Agreement.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5.08 Litigation; Observance of Agreements, Statutes and Orders</w:t>
      </w:r>
      <w:r>
        <w:rPr>
          <w:rFonts w:ascii="Arial" w:cs="Arial" w:eastAsia="Arial" w:hAnsi="Arial"/>
          <w:sz w:val="18"/>
          <w:szCs w:val="18"/>
          <w:color w:val="auto"/>
        </w:rPr>
        <w:t>.</w:t>
      </w:r>
    </w:p>
    <w:p>
      <w:pPr>
        <w:spacing w:after="0" w:line="231" w:lineRule="exact"/>
        <w:rPr>
          <w:sz w:val="20"/>
          <w:szCs w:val="20"/>
          <w:color w:val="auto"/>
        </w:rPr>
      </w:pPr>
    </w:p>
    <w:p>
      <w:pPr>
        <w:ind w:right="120" w:firstLine="228"/>
        <w:spacing w:after="0" w:line="256" w:lineRule="auto"/>
        <w:tabs>
          <w:tab w:leader="none" w:pos="63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Except as disclosed in Schedule 5.08 or in the Disclosure Documents, there are no actions, suits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could reasonably be expected, after offset for claims against insurers, to have a Material Adverse Effect.</w:t>
      </w:r>
    </w:p>
    <w:p>
      <w:pPr>
        <w:spacing w:after="0" w:line="197" w:lineRule="exact"/>
        <w:rPr>
          <w:rFonts w:ascii="Arial" w:cs="Arial" w:eastAsia="Arial" w:hAnsi="Arial"/>
          <w:sz w:val="18"/>
          <w:szCs w:val="18"/>
          <w:color w:val="auto"/>
        </w:rPr>
      </w:pPr>
    </w:p>
    <w:p>
      <w:pPr>
        <w:ind w:right="500" w:firstLine="228"/>
        <w:spacing w:after="0" w:line="332" w:lineRule="auto"/>
        <w:tabs>
          <w:tab w:leader="none" w:pos="64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Except as disclosed in Schedule 5.08 or in the Disclosure Documents, neither the Company nor any Subsidiary is in default under any term of any agreement or instrument to which it is a party or by which it is bound, or any order, judgment, decree or ruling of any court,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0" w:name="page321"/>
    <w:bookmarkEnd w:id="320"/>
    <w:p>
      <w:pPr>
        <w:ind w:right="140"/>
        <w:spacing w:after="0" w:line="332" w:lineRule="auto"/>
        <w:rPr>
          <w:sz w:val="20"/>
          <w:szCs w:val="20"/>
          <w:color w:val="auto"/>
        </w:rPr>
      </w:pPr>
      <w:r>
        <w:rPr>
          <w:rFonts w:ascii="Arial" w:cs="Arial" w:eastAsia="Arial" w:hAnsi="Arial"/>
          <w:sz w:val="16"/>
          <w:szCs w:val="16"/>
          <w:color w:val="auto"/>
        </w:rPr>
        <w:t>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33"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b w:val="1"/>
          <w:bCs w:val="1"/>
          <w:color w:val="auto"/>
        </w:rPr>
        <w:t>5.09 Taxes</w:t>
      </w:r>
      <w:r>
        <w:rPr>
          <w:rFonts w:ascii="Arial" w:cs="Arial" w:eastAsia="Arial" w:hAnsi="Arial"/>
          <w:sz w:val="16"/>
          <w:szCs w:val="16"/>
          <w:color w:val="auto"/>
        </w:rPr>
        <w:t>. The Company and its Subsidiaries have filed all tax returns that are required to have been filed in any jurisdiction, and have paid all taxes shown</w:t>
      </w:r>
      <w:r>
        <w:rPr>
          <w:rFonts w:ascii="Arial" w:cs="Arial" w:eastAsia="Arial" w:hAnsi="Arial"/>
          <w:sz w:val="16"/>
          <w:szCs w:val="16"/>
          <w:b w:val="1"/>
          <w:bCs w:val="1"/>
          <w:color w:val="auto"/>
        </w:rPr>
        <w:t xml:space="preserve"> </w:t>
      </w:r>
      <w:r>
        <w:rPr>
          <w:rFonts w:ascii="Arial" w:cs="Arial" w:eastAsia="Arial" w:hAnsi="Arial"/>
          <w:sz w:val="16"/>
          <w:szCs w:val="16"/>
          <w:color w:val="auto"/>
        </w:rPr>
        <w:t>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reasonably be expected to have a Material Adverse Effect. The charges, accruals and reserves on the books of the Company and its Subsidiaries in respect of federal, state or other taxes for all fiscal periods are adequate in accordance with GAAP. The federal income tax liabilities of the Company and its Subsidiaries have been determined by the IRS and paid for all fiscal years up to and including the fiscal year ended December 31, 1987.</w:t>
      </w:r>
    </w:p>
    <w:p>
      <w:pPr>
        <w:spacing w:after="0" w:line="167" w:lineRule="exact"/>
        <w:rPr>
          <w:sz w:val="20"/>
          <w:szCs w:val="20"/>
          <w:color w:val="auto"/>
        </w:rPr>
      </w:pPr>
    </w:p>
    <w:p>
      <w:pPr>
        <w:ind w:right="140" w:firstLine="220"/>
        <w:spacing w:after="0" w:line="296" w:lineRule="auto"/>
        <w:rPr>
          <w:sz w:val="20"/>
          <w:szCs w:val="20"/>
          <w:color w:val="auto"/>
        </w:rPr>
      </w:pPr>
      <w:r>
        <w:rPr>
          <w:rFonts w:ascii="Arial" w:cs="Arial" w:eastAsia="Arial" w:hAnsi="Arial"/>
          <w:sz w:val="16"/>
          <w:szCs w:val="16"/>
          <w:b w:val="1"/>
          <w:bCs w:val="1"/>
          <w:color w:val="auto"/>
        </w:rPr>
        <w:t xml:space="preserve">5.10 Title to Property; Leases. </w:t>
      </w:r>
      <w:r>
        <w:rPr>
          <w:rFonts w:ascii="Arial" w:cs="Arial" w:eastAsia="Arial" w:hAnsi="Arial"/>
          <w:sz w:val="16"/>
          <w:szCs w:val="16"/>
          <w:color w:val="auto"/>
        </w:rPr>
        <w:t>The Company and its Restricted Subsidiaries have good and sufficient title to their respective properties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Subsidiaries own or purport to own that individually or in the aggregate are Material, including all such properties reflected in the most recent audited balance sheet referred to in Section 5.05 or purported to have been acquired by the Company or any Restricted Subsidiary after said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5.11 Licenses, Permits, etc</w:t>
      </w:r>
      <w:r>
        <w:rPr>
          <w:rFonts w:ascii="Arial" w:cs="Arial" w:eastAsia="Arial" w:hAnsi="Arial"/>
          <w:sz w:val="18"/>
          <w:szCs w:val="18"/>
          <w:color w:val="auto"/>
        </w:rPr>
        <w:t>. Except as disclosed in Schedule 5.11,</w:t>
      </w:r>
    </w:p>
    <w:p>
      <w:pPr>
        <w:spacing w:after="0" w:line="231" w:lineRule="exact"/>
        <w:rPr>
          <w:sz w:val="20"/>
          <w:szCs w:val="20"/>
          <w:color w:val="auto"/>
        </w:rPr>
      </w:pPr>
    </w:p>
    <w:p>
      <w:pPr>
        <w:ind w:right="620" w:firstLine="228"/>
        <w:spacing w:after="0" w:line="370" w:lineRule="auto"/>
        <w:tabs>
          <w:tab w:leader="none" w:pos="634" w:val="left"/>
        </w:tabs>
        <w:numPr>
          <w:ilvl w:val="0"/>
          <w:numId w:val="388"/>
        </w:numPr>
        <w:rPr>
          <w:rFonts w:ascii="Arial" w:cs="Arial" w:eastAsia="Arial" w:hAnsi="Arial"/>
          <w:sz w:val="15"/>
          <w:szCs w:val="15"/>
          <w:color w:val="auto"/>
        </w:rPr>
      </w:pPr>
      <w:r>
        <w:rPr>
          <w:rFonts w:ascii="Arial" w:cs="Arial" w:eastAsia="Arial" w:hAnsi="Arial"/>
          <w:sz w:val="15"/>
          <w:szCs w:val="15"/>
          <w:color w:val="auto"/>
        </w:rPr>
        <w:t>the Company and its Restricted Subsidiaries own or possess all licenses, permits, franchises, authorizations, patents, copyrights, service marks, trademarks and trade names, or rights thereto, that individually or in the aggregate are Material, without known material conflict with the rights of others;</w:t>
      </w:r>
    </w:p>
    <w:p>
      <w:pPr>
        <w:spacing w:after="0" w:line="116" w:lineRule="exact"/>
        <w:rPr>
          <w:rFonts w:ascii="Arial" w:cs="Arial" w:eastAsia="Arial" w:hAnsi="Arial"/>
          <w:sz w:val="15"/>
          <w:szCs w:val="15"/>
          <w:color w:val="auto"/>
        </w:rPr>
      </w:pPr>
    </w:p>
    <w:p>
      <w:pPr>
        <w:ind w:right="300" w:firstLine="228"/>
        <w:spacing w:after="0" w:line="332" w:lineRule="auto"/>
        <w:tabs>
          <w:tab w:leader="none" w:pos="64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to the best knowledge of the Company, no product of the Company or any of its Restricted Subsidiaries infringes in any Material respect any license, permit, franchise, authorization, patent, copyright, service mark, trademark, trade name or other right owned by any other Person; and</w:t>
      </w:r>
    </w:p>
    <w:p>
      <w:pPr>
        <w:spacing w:after="0" w:line="139" w:lineRule="exact"/>
        <w:rPr>
          <w:rFonts w:ascii="Arial" w:cs="Arial" w:eastAsia="Arial" w:hAnsi="Arial"/>
          <w:sz w:val="16"/>
          <w:szCs w:val="16"/>
          <w:color w:val="auto"/>
        </w:rPr>
      </w:pPr>
    </w:p>
    <w:p>
      <w:pPr>
        <w:jc w:val="both"/>
        <w:ind w:right="320" w:firstLine="228"/>
        <w:spacing w:after="0" w:line="370" w:lineRule="auto"/>
        <w:tabs>
          <w:tab w:leader="none" w:pos="634" w:val="left"/>
        </w:tabs>
        <w:numPr>
          <w:ilvl w:val="0"/>
          <w:numId w:val="388"/>
        </w:numPr>
        <w:rPr>
          <w:rFonts w:ascii="Arial" w:cs="Arial" w:eastAsia="Arial" w:hAnsi="Arial"/>
          <w:sz w:val="15"/>
          <w:szCs w:val="15"/>
          <w:color w:val="auto"/>
        </w:rPr>
      </w:pPr>
      <w:r>
        <w:rPr>
          <w:rFonts w:ascii="Arial" w:cs="Arial" w:eastAsia="Arial" w:hAnsi="Arial"/>
          <w:sz w:val="15"/>
          <w:szCs w:val="15"/>
          <w:color w:val="auto"/>
        </w:rPr>
        <w:t>to the best knowledge of the Company, there is no Material violation by any Person of any right of the Company or any of its Restricted Subsidiaries with respect to any patent, copyright, service mark, trademark, trade name or other right owned or used by the Company or any of its Restricted Subsidiaries.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5.12 Compliance with ERISA</w:t>
      </w:r>
      <w:r>
        <w:rPr>
          <w:rFonts w:ascii="Arial" w:cs="Arial" w:eastAsia="Arial" w:hAnsi="Arial"/>
          <w:sz w:val="18"/>
          <w:szCs w:val="18"/>
          <w:color w:val="auto"/>
        </w:rPr>
        <w: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1" w:name="page322"/>
    <w:bookmarkEnd w:id="321"/>
    <w:p>
      <w:pPr>
        <w:ind w:right="40" w:firstLine="228"/>
        <w:spacing w:after="0" w:line="290" w:lineRule="auto"/>
        <w:tabs>
          <w:tab w:leader="none" w:pos="63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72" w:lineRule="exact"/>
        <w:rPr>
          <w:rFonts w:ascii="Arial" w:cs="Arial" w:eastAsia="Arial" w:hAnsi="Arial"/>
          <w:sz w:val="16"/>
          <w:szCs w:val="16"/>
          <w:color w:val="auto"/>
        </w:rPr>
      </w:pPr>
    </w:p>
    <w:p>
      <w:pPr>
        <w:ind w:right="20" w:firstLine="228"/>
        <w:spacing w:after="0" w:line="294" w:lineRule="auto"/>
        <w:tabs>
          <w:tab w:leader="none" w:pos="64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present value of the aggregate accrued benefits under each of the Plans that are subject to Title IV of ERISA (other than Multiemployer Plans), determined as of the valuation date for the most recently ended plan year on the basis of the actuarial assumptions specified for funding purposes in such Plan’s most recent actuarial valuation report, did not exceed the aggregate current value of the assets of such Plan allocable to such benefits (i) in the case of any single Plan, by an amount which, if said amount were immediately contributed to the Plan, could have a Material Adverse Effect, and (ii) in the case of all said Plans, by an amount which, if said amount were immediately contributed to the Plans, could have a Material Adverse Effect.</w:t>
      </w:r>
    </w:p>
    <w:p>
      <w:pPr>
        <w:spacing w:after="0" w:line="169" w:lineRule="exact"/>
        <w:rPr>
          <w:rFonts w:ascii="Arial" w:cs="Arial" w:eastAsia="Arial" w:hAnsi="Arial"/>
          <w:sz w:val="16"/>
          <w:szCs w:val="16"/>
          <w:color w:val="auto"/>
        </w:rPr>
      </w:pPr>
    </w:p>
    <w:p>
      <w:pPr>
        <w:ind w:left="640" w:hanging="412"/>
        <w:spacing w:after="0"/>
        <w:tabs>
          <w:tab w:leader="none" w:pos="6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Company and its ERISA Affiliates have not incurred withdrawal liabilities (and are not subject to contingent withdrawal liabilities)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4201 or 4204 of ERISA in respect of Multiemployer Plans that individually or in the aggregate are Material.</w:t>
      </w:r>
    </w:p>
    <w:p>
      <w:pPr>
        <w:spacing w:after="0" w:line="219" w:lineRule="exact"/>
        <w:rPr>
          <w:sz w:val="20"/>
          <w:szCs w:val="20"/>
          <w:color w:val="auto"/>
        </w:rPr>
      </w:pPr>
    </w:p>
    <w:p>
      <w:pPr>
        <w:ind w:right="120" w:firstLine="228"/>
        <w:spacing w:after="0" w:line="306" w:lineRule="auto"/>
        <w:tabs>
          <w:tab w:leader="none" w:pos="64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expected obligation for postretirement benefits other than pensions (determined as of the last day of the Company’s most recently ended fiscal year in accordance with Financial Accounting Standards Board Statement No. 106, without regard to liabilities attributable to continuation coverage mandated by Section 4980B of the Code and after taking into account any governmental reimbursements) of the Company and its Subsidiaries is not Material.</w:t>
      </w:r>
    </w:p>
    <w:p>
      <w:pPr>
        <w:spacing w:after="0" w:line="160" w:lineRule="exact"/>
        <w:rPr>
          <w:rFonts w:ascii="Arial" w:cs="Arial" w:eastAsia="Arial" w:hAnsi="Arial"/>
          <w:sz w:val="16"/>
          <w:szCs w:val="16"/>
          <w:color w:val="auto"/>
        </w:rPr>
      </w:pPr>
    </w:p>
    <w:p>
      <w:pPr>
        <w:ind w:right="80" w:firstLine="228"/>
        <w:spacing w:after="0" w:line="298" w:lineRule="auto"/>
        <w:tabs>
          <w:tab w:leader="none" w:pos="63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issuance and sale of the Letter of Credit Linked Notes and the Term Notes will not involve any transaction that is subject to the prohibitions of Section 406 of ERISA or in connection with which a tax could be imposed pursuant to Section 4975(c)(1)(A)-(D) of the Code. The representations by the Company in the first sentence of this Section 5.12(e) are made in reliance upon and subject to the accuracy of each Lender’s representations in Section 10.10(b) as to the sources of the funds used to pay the purchase price of its Participation under this Agreement.</w:t>
      </w:r>
    </w:p>
    <w:p>
      <w:pPr>
        <w:spacing w:after="0" w:line="161" w:lineRule="exact"/>
        <w:rPr>
          <w:sz w:val="20"/>
          <w:szCs w:val="20"/>
          <w:color w:val="auto"/>
        </w:rPr>
      </w:pPr>
    </w:p>
    <w:p>
      <w:pPr>
        <w:jc w:val="both"/>
        <w:ind w:right="280" w:firstLine="220"/>
        <w:spacing w:after="0" w:line="339" w:lineRule="auto"/>
        <w:rPr>
          <w:sz w:val="20"/>
          <w:szCs w:val="20"/>
          <w:color w:val="auto"/>
        </w:rPr>
      </w:pPr>
      <w:r>
        <w:rPr>
          <w:rFonts w:ascii="Arial" w:cs="Arial" w:eastAsia="Arial" w:hAnsi="Arial"/>
          <w:sz w:val="15"/>
          <w:szCs w:val="15"/>
          <w:b w:val="1"/>
          <w:bCs w:val="1"/>
          <w:color w:val="auto"/>
        </w:rPr>
        <w:t>5.13 Private Offering by Company</w:t>
      </w:r>
      <w:r>
        <w:rPr>
          <w:rFonts w:ascii="Arial" w:cs="Arial" w:eastAsia="Arial" w:hAnsi="Arial"/>
          <w:sz w:val="15"/>
          <w:szCs w:val="15"/>
          <w:color w:val="auto"/>
        </w:rPr>
        <w:t>. Neither the Company nor anyone acting on its behalf has offered the Letter of Credit Linked Notes or Term Notes or</w:t>
      </w:r>
      <w:r>
        <w:rPr>
          <w:rFonts w:ascii="Arial" w:cs="Arial" w:eastAsia="Arial" w:hAnsi="Arial"/>
          <w:sz w:val="15"/>
          <w:szCs w:val="15"/>
          <w:b w:val="1"/>
          <w:bCs w:val="1"/>
          <w:color w:val="auto"/>
        </w:rPr>
        <w:t xml:space="preserve"> </w:t>
      </w:r>
      <w:r>
        <w:rPr>
          <w:rFonts w:ascii="Arial" w:cs="Arial" w:eastAsia="Arial" w:hAnsi="Arial"/>
          <w:sz w:val="15"/>
          <w:szCs w:val="15"/>
          <w:color w:val="auto"/>
        </w:rPr>
        <w:t>any similar Securities for sale to, or solicited any offer to buy any of the same from, or otherwise approached or negotiated in respect thereof with, any Person other than the Lenders and not more than seventeen (17) other Institutional Investors, each of which has been offered the Letter of Credit Linked Notes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22" w:name="page323"/>
    <w:bookmarkEnd w:id="322"/>
    <w:p>
      <w:pPr>
        <w:ind w:right="280"/>
        <w:spacing w:after="0" w:line="332" w:lineRule="auto"/>
        <w:rPr>
          <w:sz w:val="20"/>
          <w:szCs w:val="20"/>
          <w:color w:val="auto"/>
        </w:rPr>
      </w:pPr>
      <w:r>
        <w:rPr>
          <w:rFonts w:ascii="Arial" w:cs="Arial" w:eastAsia="Arial" w:hAnsi="Arial"/>
          <w:sz w:val="16"/>
          <w:szCs w:val="16"/>
          <w:color w:val="auto"/>
        </w:rPr>
        <w:t>and Term Notes at a private sale for investment. Neither the Company nor anyone acting on its behalf has taken, or will take, any action that would subject the issuance or sale of the Letter of Credit Linked Notes or Term Notes to the registration requirements of Section 5 of the Securities Act.</w:t>
      </w:r>
    </w:p>
    <w:p>
      <w:pPr>
        <w:spacing w:after="0" w:line="133"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b w:val="1"/>
          <w:bCs w:val="1"/>
          <w:color w:val="auto"/>
        </w:rPr>
        <w:t>5.14 Use of Proceeds; Margin Regulations</w:t>
      </w:r>
      <w:r>
        <w:rPr>
          <w:rFonts w:ascii="Arial" w:cs="Arial" w:eastAsia="Arial" w:hAnsi="Arial"/>
          <w:sz w:val="16"/>
          <w:szCs w:val="16"/>
          <w:color w:val="auto"/>
        </w:rPr>
        <w:t>. The Company will apply the proceeds from the Advances and the Term Loans hereunder for general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Company and its Subsidiaries. No part of the proceeds from the Credit Extensions hereunder will be used, directly or indirectly, for the purpose of buying or carrying any margin stock within the meaning of Regulation U of the FRB (12 CFR 221), or for the purpose of buying or carrying or trading in any Securities under such circumstances as to involve the Company in a violation of Regulation X of said Board (12 CFR 224) or to involve any broker or dealer in a violation of Regulation T of the FRB (12 CFR 220). Margin stock does not constitute more than 5.0% of the value of the consolidated assets of the Company and its Subsidiaries and the Company does not have any present intention that margin stock will constitute more than 5.0% of the value of such assets. As used in this Section, the terms “margin stock” and “purpose of buying or carrying” shall have the meanings assigned to them in said Regulation U.</w:t>
      </w:r>
    </w:p>
    <w:p>
      <w:pPr>
        <w:spacing w:after="0" w:line="167" w:lineRule="exact"/>
        <w:rPr>
          <w:sz w:val="20"/>
          <w:szCs w:val="20"/>
          <w:color w:val="auto"/>
        </w:rPr>
      </w:pPr>
    </w:p>
    <w:p>
      <w:pPr>
        <w:ind w:right="60" w:firstLine="220"/>
        <w:spacing w:after="0" w:line="313" w:lineRule="auto"/>
        <w:rPr>
          <w:sz w:val="20"/>
          <w:szCs w:val="20"/>
          <w:color w:val="auto"/>
        </w:rPr>
      </w:pPr>
      <w:r>
        <w:rPr>
          <w:rFonts w:ascii="Arial" w:cs="Arial" w:eastAsia="Arial" w:hAnsi="Arial"/>
          <w:sz w:val="15"/>
          <w:szCs w:val="15"/>
          <w:b w:val="1"/>
          <w:bCs w:val="1"/>
          <w:color w:val="auto"/>
        </w:rPr>
        <w:t>5.15 Existing Indebtedness</w:t>
      </w:r>
      <w:r>
        <w:rPr>
          <w:rFonts w:ascii="Arial" w:cs="Arial" w:eastAsia="Arial" w:hAnsi="Arial"/>
          <w:sz w:val="15"/>
          <w:szCs w:val="15"/>
          <w:color w:val="auto"/>
        </w:rPr>
        <w:t>. Except as described therein, Schedule 5.15 sets forth a complete and correct list of all outstanding Indebtedness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its Restricted Subsidiaries as of March 31, 2003, specifying whether such Indebtedness is secured or unsecured. From March 31, 2003 to the Closing Date, there has been no material change in the amounts, interest rates, sinking funds, installment payments or maturities of such Indebtedness of the Company or its Restricted Subsidiaries. As of the Closing Date, neither the Company nor any Restricted Subsidiary is in default and no waiver of default is currently in effect, in the payment of any principal or interest on any such Indebtedness of the Company or such Restricted Subsidiary, and no event or condition exists with respect to any such Indebtedness of the Company or any Restricted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54" w:lineRule="exact"/>
        <w:rPr>
          <w:sz w:val="20"/>
          <w:szCs w:val="20"/>
          <w:color w:val="auto"/>
        </w:rPr>
      </w:pPr>
    </w:p>
    <w:p>
      <w:pPr>
        <w:ind w:right="60" w:firstLine="220"/>
        <w:spacing w:after="0" w:line="289" w:lineRule="auto"/>
        <w:rPr>
          <w:sz w:val="20"/>
          <w:szCs w:val="20"/>
          <w:color w:val="auto"/>
        </w:rPr>
      </w:pPr>
      <w:r>
        <w:rPr>
          <w:rFonts w:ascii="Arial" w:cs="Arial" w:eastAsia="Arial" w:hAnsi="Arial"/>
          <w:sz w:val="16"/>
          <w:szCs w:val="16"/>
          <w:b w:val="1"/>
          <w:bCs w:val="1"/>
          <w:color w:val="auto"/>
        </w:rPr>
        <w:t>5.16 Foreign Assets Control Regulations, etc</w:t>
      </w:r>
      <w:r>
        <w:rPr>
          <w:rFonts w:ascii="Arial" w:cs="Arial" w:eastAsia="Arial" w:hAnsi="Arial"/>
          <w:sz w:val="16"/>
          <w:szCs w:val="16"/>
          <w:color w:val="auto"/>
        </w:rPr>
        <w:t>. Neither any Credit Extension to the Company hereunder nor its use of the proceeds thereof will violate the</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or its Affiliates (a) is or will become a Person whose property or interests in property are blocked pursuant to Section 1 of Executive Order 13224 of September 23, 2001 Blocking Property and Prohibiting Transactions With Persons Who Commit, Threaten to Commit, or Support Terrorism (66 Fed. Reg. 49079 (2001)) or (b) engages or will engage in any dealings or transactions, or be otherwise associated, with any such Person. The Company and its Subsidiaries and its Affiliates are in compliance, in all Material respects, with the Uniting And Strengthening America By Providing Appropriate Tools Required To Intercept And Obstruct Terrorism (USA Patriot Act of 2001). No part of the proceeds from any Credit Extension hereunder will be used, directly or indirectly, for any payments to any governmental official or employee, political party, official of a political party, candidate for political office, or</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3" w:name="page324"/>
    <w:bookmarkEnd w:id="323"/>
    <w:p>
      <w:pPr>
        <w:ind w:right="160"/>
        <w:spacing w:after="0" w:line="268" w:lineRule="auto"/>
        <w:rPr>
          <w:sz w:val="20"/>
          <w:szCs w:val="20"/>
          <w:color w:val="auto"/>
        </w:rPr>
      </w:pPr>
      <w:r>
        <w:rPr>
          <w:rFonts w:ascii="Arial" w:cs="Arial" w:eastAsia="Arial" w:hAnsi="Arial"/>
          <w:sz w:val="18"/>
          <w:szCs w:val="18"/>
          <w:color w:val="auto"/>
        </w:rPr>
        <w:t>anyone else acting in an official capacity, in order to obtain, retain or direct business or obtain any improper advantage, in violation of the United States Foreign Corrupt Practices Act of 1977, as amended.</w:t>
      </w:r>
    </w:p>
    <w:p>
      <w:pPr>
        <w:spacing w:after="0" w:line="180" w:lineRule="exact"/>
        <w:rPr>
          <w:sz w:val="20"/>
          <w:szCs w:val="20"/>
          <w:color w:val="auto"/>
        </w:rPr>
      </w:pPr>
    </w:p>
    <w:p>
      <w:pPr>
        <w:ind w:right="20" w:firstLine="220"/>
        <w:spacing w:after="0" w:line="339" w:lineRule="auto"/>
        <w:rPr>
          <w:sz w:val="20"/>
          <w:szCs w:val="20"/>
          <w:color w:val="auto"/>
        </w:rPr>
      </w:pPr>
      <w:r>
        <w:rPr>
          <w:rFonts w:ascii="Arial" w:cs="Arial" w:eastAsia="Arial" w:hAnsi="Arial"/>
          <w:sz w:val="16"/>
          <w:szCs w:val="16"/>
          <w:b w:val="1"/>
          <w:bCs w:val="1"/>
          <w:color w:val="auto"/>
        </w:rPr>
        <w:t>5.17 Status under Certain Statutes</w:t>
      </w:r>
      <w:r>
        <w:rPr>
          <w:rFonts w:ascii="Arial" w:cs="Arial" w:eastAsia="Arial" w:hAnsi="Arial"/>
          <w:sz w:val="16"/>
          <w:szCs w:val="16"/>
          <w:color w:val="auto"/>
        </w:rPr>
        <w:t>. Neither the Company nor any Restricted Subsidiary is subject to regulation under the Investment Company Act of 1940,</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the Public Utility Holding Company Act of 1935, as amended, or, except as disclosed in Schedule 5.17, the Federal Power Act, as amended.</w:t>
      </w:r>
    </w:p>
    <w:p>
      <w:pPr>
        <w:spacing w:after="0" w:line="128" w:lineRule="exact"/>
        <w:rPr>
          <w:sz w:val="20"/>
          <w:szCs w:val="20"/>
          <w:color w:val="auto"/>
        </w:rPr>
      </w:pPr>
    </w:p>
    <w:p>
      <w:pPr>
        <w:ind w:right="120" w:firstLine="220"/>
        <w:spacing w:after="0" w:line="296" w:lineRule="auto"/>
        <w:rPr>
          <w:sz w:val="20"/>
          <w:szCs w:val="20"/>
          <w:color w:val="auto"/>
        </w:rPr>
      </w:pPr>
      <w:r>
        <w:rPr>
          <w:rFonts w:ascii="Arial" w:cs="Arial" w:eastAsia="Arial" w:hAnsi="Arial"/>
          <w:sz w:val="16"/>
          <w:szCs w:val="16"/>
          <w:b w:val="1"/>
          <w:bCs w:val="1"/>
          <w:color w:val="auto"/>
        </w:rPr>
        <w:t>5.18 Environmental Matters</w:t>
      </w:r>
      <w:r>
        <w:rPr>
          <w:rFonts w:ascii="Arial" w:cs="Arial" w:eastAsia="Arial" w:hAnsi="Arial"/>
          <w:sz w:val="16"/>
          <w:szCs w:val="16"/>
          <w:color w:val="auto"/>
        </w:rPr>
        <w:t>. Except as disclosed in the Disclosure Documents, neither the Company nor any Restricted Subsidiary has knowledge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claim or has received any notice of any Material claim, and no proceeding has been instituted raising any Material claim against the Company or any of its Restricted Subsidiaries or any of their 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each Lender in writing,</w:t>
      </w:r>
    </w:p>
    <w:p>
      <w:pPr>
        <w:spacing w:after="0" w:line="168" w:lineRule="exact"/>
        <w:rPr>
          <w:sz w:val="20"/>
          <w:szCs w:val="20"/>
          <w:color w:val="auto"/>
        </w:rPr>
      </w:pPr>
    </w:p>
    <w:p>
      <w:pPr>
        <w:ind w:right="380" w:firstLine="228"/>
        <w:spacing w:after="0" w:line="335" w:lineRule="auto"/>
        <w:tabs>
          <w:tab w:leader="none" w:pos="634" w:val="left"/>
        </w:tabs>
        <w:numPr>
          <w:ilvl w:val="0"/>
          <w:numId w:val="391"/>
        </w:numPr>
        <w:rPr>
          <w:rFonts w:ascii="Arial" w:cs="Arial" w:eastAsia="Arial" w:hAnsi="Arial"/>
          <w:sz w:val="15"/>
          <w:szCs w:val="15"/>
          <w:color w:val="auto"/>
        </w:rPr>
      </w:pPr>
      <w:r>
        <w:rPr>
          <w:rFonts w:ascii="Arial" w:cs="Arial" w:eastAsia="Arial" w:hAnsi="Arial"/>
          <w:sz w:val="15"/>
          <w:szCs w:val="15"/>
          <w:color w:val="auto"/>
        </w:rPr>
        <w:t>neither the Company nor any Restricted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142" w:lineRule="exact"/>
        <w:rPr>
          <w:rFonts w:ascii="Arial" w:cs="Arial" w:eastAsia="Arial" w:hAnsi="Arial"/>
          <w:sz w:val="15"/>
          <w:szCs w:val="15"/>
          <w:color w:val="auto"/>
        </w:rPr>
      </w:pPr>
    </w:p>
    <w:p>
      <w:pPr>
        <w:ind w:right="420" w:firstLine="228"/>
        <w:spacing w:after="0" w:line="306" w:lineRule="auto"/>
        <w:tabs>
          <w:tab w:leader="none" w:pos="64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neither the Company nor any of its Restricted Subsidiaries has stored any Hazardous Materials on real properties now or formerly owned, leased or operated by any of them in a manner contrary to any Environmental Laws and has not disposed of any Hazardous Materials in a manner contrary to any Environmental Laws, in each case in any manner that could reasonably be expected to result in a Material Adverse Effect; and</w:t>
      </w:r>
    </w:p>
    <w:p>
      <w:pPr>
        <w:spacing w:after="0" w:line="160" w:lineRule="exact"/>
        <w:rPr>
          <w:rFonts w:ascii="Arial" w:cs="Arial" w:eastAsia="Arial" w:hAnsi="Arial"/>
          <w:sz w:val="16"/>
          <w:szCs w:val="16"/>
          <w:color w:val="auto"/>
        </w:rPr>
      </w:pPr>
    </w:p>
    <w:p>
      <w:pPr>
        <w:ind w:right="20" w:firstLine="228"/>
        <w:spacing w:after="0" w:line="332" w:lineRule="auto"/>
        <w:tabs>
          <w:tab w:leader="none" w:pos="63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all buildings on all real properties now owned, leased or operated by the Company or any of its Restricted Subsidiaries are in compliance with applicable Environmental Laws, except where failure to comply could not reasonably be expected to result in a Material Adverse Effect.</w:t>
      </w:r>
    </w:p>
    <w:p>
      <w:pPr>
        <w:spacing w:after="0" w:line="133" w:lineRule="exact"/>
        <w:rPr>
          <w:sz w:val="20"/>
          <w:szCs w:val="20"/>
          <w:color w:val="auto"/>
        </w:rPr>
      </w:pPr>
    </w:p>
    <w:p>
      <w:pPr>
        <w:ind w:right="100" w:firstLine="220"/>
        <w:spacing w:after="0" w:line="275" w:lineRule="auto"/>
        <w:rPr>
          <w:sz w:val="20"/>
          <w:szCs w:val="20"/>
          <w:color w:val="auto"/>
        </w:rPr>
      </w:pPr>
      <w:r>
        <w:rPr>
          <w:rFonts w:ascii="Arial" w:cs="Arial" w:eastAsia="Arial" w:hAnsi="Arial"/>
          <w:sz w:val="18"/>
          <w:szCs w:val="18"/>
          <w:b w:val="1"/>
          <w:bCs w:val="1"/>
          <w:color w:val="auto"/>
        </w:rPr>
        <w:t>5.19 Compliance With Issuance Limits</w:t>
      </w:r>
      <w:r>
        <w:rPr>
          <w:rFonts w:ascii="Arial" w:cs="Arial" w:eastAsia="Arial" w:hAnsi="Arial"/>
          <w:sz w:val="18"/>
          <w:szCs w:val="18"/>
          <w:color w:val="auto"/>
        </w:rPr>
        <w:t>. Both before and after giving effect to any Credit Extension, all Credits issued and outstanding hereunder are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Issuance Limits.</w:t>
      </w:r>
    </w:p>
    <w:p>
      <w:pPr>
        <w:spacing w:after="0" w:line="174" w:lineRule="exact"/>
        <w:rPr>
          <w:sz w:val="20"/>
          <w:szCs w:val="20"/>
          <w:color w:val="auto"/>
        </w:rPr>
      </w:pPr>
    </w:p>
    <w:p>
      <w:pPr>
        <w:ind w:right="220" w:firstLine="220"/>
        <w:spacing w:after="0" w:line="275" w:lineRule="auto"/>
        <w:rPr>
          <w:sz w:val="20"/>
          <w:szCs w:val="20"/>
          <w:color w:val="auto"/>
        </w:rPr>
      </w:pPr>
      <w:r>
        <w:rPr>
          <w:rFonts w:ascii="Arial" w:cs="Arial" w:eastAsia="Arial" w:hAnsi="Arial"/>
          <w:sz w:val="18"/>
          <w:szCs w:val="18"/>
          <w:b w:val="1"/>
          <w:bCs w:val="1"/>
          <w:color w:val="auto"/>
        </w:rPr>
        <w:t>5.20 Tax Shelter Regulations</w:t>
      </w:r>
      <w:r>
        <w:rPr>
          <w:rFonts w:ascii="Arial" w:cs="Arial" w:eastAsia="Arial" w:hAnsi="Arial"/>
          <w:sz w:val="18"/>
          <w:szCs w:val="18"/>
          <w:color w:val="auto"/>
        </w:rPr>
        <w:t>. The Company does not intend to treat the Advances, Term Loans and Credits and related transactions as being a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(within the meaning of Treasury Regulation Section 1.6011-4).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So long as any Lender shall have any Credit-Linked Deposit, Letter of Credit Linked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Note or Term Note hereunder or any Credit hereunder shall remain outstanding:</w:t>
      </w:r>
    </w:p>
    <w:p>
      <w:pPr>
        <w:spacing w:after="0" w:line="219" w:lineRule="exact"/>
        <w:rPr>
          <w:sz w:val="20"/>
          <w:szCs w:val="20"/>
          <w:color w:val="auto"/>
        </w:rPr>
      </w:pPr>
    </w:p>
    <w:p>
      <w:pPr>
        <w:ind w:right="120" w:firstLine="220"/>
        <w:spacing w:after="0" w:line="275" w:lineRule="auto"/>
        <w:rPr>
          <w:sz w:val="20"/>
          <w:szCs w:val="20"/>
          <w:color w:val="auto"/>
        </w:rPr>
      </w:pPr>
      <w:r>
        <w:rPr>
          <w:rFonts w:ascii="Arial" w:cs="Arial" w:eastAsia="Arial" w:hAnsi="Arial"/>
          <w:sz w:val="18"/>
          <w:szCs w:val="18"/>
          <w:b w:val="1"/>
          <w:bCs w:val="1"/>
          <w:color w:val="auto"/>
        </w:rPr>
        <w:t>6.01 Financial and Business Information</w:t>
      </w:r>
      <w:r>
        <w:rPr>
          <w:rFonts w:ascii="Arial" w:cs="Arial" w:eastAsia="Arial" w:hAnsi="Arial"/>
          <w:sz w:val="18"/>
          <w:szCs w:val="18"/>
          <w:color w:val="auto"/>
        </w:rPr>
        <w:t>. The Company shall deliver to the Administrative Agent, the Issuer and to each of the Lenders, in form and detail</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Administrative Agent, the Issuer and the Required Credit-Linked Lenders:</w:t>
      </w:r>
    </w:p>
    <w:p>
      <w:pPr>
        <w:spacing w:after="0" w:line="180" w:lineRule="exact"/>
        <w:rPr>
          <w:sz w:val="20"/>
          <w:szCs w:val="20"/>
          <w:color w:val="auto"/>
        </w:rPr>
      </w:pPr>
    </w:p>
    <w:p>
      <w:pPr>
        <w:ind w:right="400" w:firstLine="228"/>
        <w:spacing w:after="0" w:line="268" w:lineRule="auto"/>
        <w:tabs>
          <w:tab w:leader="none" w:pos="63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Quarterly Statements — within 60 days after the end of each quarterly fiscal period in each fiscal year of the Company (other than the last quarterly fiscal period of each such fiscal year), duplicate copies of,</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quarter, and</w:t>
      </w:r>
    </w:p>
    <w:p>
      <w:pPr>
        <w:spacing w:after="0" w:line="225" w:lineRule="exact"/>
        <w:rPr>
          <w:rFonts w:ascii="Arial" w:cs="Arial" w:eastAsia="Arial" w:hAnsi="Arial"/>
          <w:sz w:val="18"/>
          <w:szCs w:val="18"/>
          <w:color w:val="auto"/>
        </w:rPr>
      </w:pPr>
    </w:p>
    <w:p>
      <w:pPr>
        <w:ind w:right="320" w:firstLine="447"/>
        <w:spacing w:after="0" w:line="268" w:lineRule="auto"/>
        <w:tabs>
          <w:tab w:leader="none" w:pos="69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 if applicable, shall be deemed to satisfy the requirements of this Section 6.01(a) so long as such Quarterly Report on Form 10-Q includes the financial statements identified in clauses (i) and (ii) above;</w:t>
      </w:r>
    </w:p>
    <w:p>
      <w:pPr>
        <w:spacing w:after="0" w:line="174" w:lineRule="exact"/>
        <w:rPr>
          <w:sz w:val="20"/>
          <w:szCs w:val="20"/>
          <w:color w:val="auto"/>
        </w:rPr>
      </w:pPr>
    </w:p>
    <w:p>
      <w:pPr>
        <w:ind w:left="640" w:hanging="412"/>
        <w:spacing w:after="0"/>
        <w:tabs>
          <w:tab w:leader="none" w:pos="6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Annual Statements — within 100 days after the end of each fiscal year of the Company, duplicate copies of,</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consolidated statements of income, shareholder’s equity and cash flows of the Company and its Subsidiaries, for such year,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Annual Report on Form 10-K for such fiscal year (together with the Company’s annual report to</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5" w:name="page326"/>
    <w:bookmarkEnd w:id="325"/>
    <w:p>
      <w:pPr>
        <w:ind w:right="220"/>
        <w:spacing w:after="0" w:line="259" w:lineRule="auto"/>
        <w:rPr>
          <w:sz w:val="20"/>
          <w:szCs w:val="20"/>
          <w:color w:val="auto"/>
        </w:rPr>
      </w:pPr>
      <w:r>
        <w:rPr>
          <w:rFonts w:ascii="Arial" w:cs="Arial" w:eastAsia="Arial" w:hAnsi="Arial"/>
          <w:sz w:val="18"/>
          <w:szCs w:val="18"/>
          <w:color w:val="auto"/>
        </w:rPr>
        <w:t>shareholders, if any, prepared pursuant to Rule 14a-3 under the Exchange Act) prepared in accordance with the requirements therefor and filed with the SEC, if applicable, shall be deemed to satisfy the requirements of this Section 6.01(b) so long as such Annual Report on Form 10-K includes the financial statements identified in clauses (i) and (ii) above;</w:t>
      </w:r>
    </w:p>
    <w:p>
      <w:pPr>
        <w:spacing w:after="0" w:line="194" w:lineRule="exact"/>
        <w:rPr>
          <w:sz w:val="20"/>
          <w:szCs w:val="20"/>
          <w:color w:val="auto"/>
        </w:rPr>
      </w:pPr>
    </w:p>
    <w:p>
      <w:pPr>
        <w:ind w:right="140" w:firstLine="228"/>
        <w:spacing w:after="0" w:line="268" w:lineRule="auto"/>
        <w:tabs>
          <w:tab w:leader="none" w:pos="63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SEC and Other Reports — promptly, following the filing or mailing thereof, copies of all material of a financial nature filed with the SEC or sent to the Company’s and its Subsidiaries’ stockholders generally;</w:t>
      </w:r>
    </w:p>
    <w:p>
      <w:pPr>
        <w:spacing w:after="0" w:line="185" w:lineRule="exact"/>
        <w:rPr>
          <w:rFonts w:ascii="Arial" w:cs="Arial" w:eastAsia="Arial" w:hAnsi="Arial"/>
          <w:sz w:val="18"/>
          <w:szCs w:val="18"/>
          <w:color w:val="auto"/>
        </w:rPr>
      </w:pPr>
    </w:p>
    <w:p>
      <w:pPr>
        <w:ind w:right="340" w:firstLine="228"/>
        <w:spacing w:after="0" w:line="268"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Outstanding Credits – not later than five (5) Business Days after the end of each quarter, the information with respect to the outstanding Credits as is required under Section 2.01(j);</w:t>
      </w:r>
    </w:p>
    <w:p>
      <w:pPr>
        <w:spacing w:after="0" w:line="185" w:lineRule="exact"/>
        <w:rPr>
          <w:rFonts w:ascii="Arial" w:cs="Arial" w:eastAsia="Arial" w:hAnsi="Arial"/>
          <w:sz w:val="18"/>
          <w:szCs w:val="18"/>
          <w:color w:val="auto"/>
        </w:rPr>
      </w:pPr>
    </w:p>
    <w:p>
      <w:pPr>
        <w:ind w:left="640" w:hanging="412"/>
        <w:spacing w:after="0"/>
        <w:tabs>
          <w:tab w:leader="none" w:pos="6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400" w:firstLine="228"/>
        <w:spacing w:after="0" w:line="259" w:lineRule="auto"/>
        <w:tabs>
          <w:tab w:leader="none" w:pos="61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Notice of Default or Event of Default – promptly, and in any event within five (5) Business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94" w:lineRule="exact"/>
        <w:rPr>
          <w:rFonts w:ascii="Arial" w:cs="Arial" w:eastAsia="Arial" w:hAnsi="Arial"/>
          <w:sz w:val="18"/>
          <w:szCs w:val="18"/>
          <w:color w:val="auto"/>
        </w:rPr>
      </w:pPr>
    </w:p>
    <w:p>
      <w:pPr>
        <w:ind w:right="440" w:firstLine="228"/>
        <w:spacing w:after="0" w:line="332" w:lineRule="auto"/>
        <w:tabs>
          <w:tab w:leader="none" w:pos="64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ERISA Matters — promptly, and in any event within five (5) Business Days after a Responsible Officer becoming aware of any of the following, a written notice setting forth the nature thereof and the action, if any, that the Company or an ERISA Affiliate proposes to take with respect thereto:</w:t>
      </w:r>
    </w:p>
    <w:p>
      <w:pPr>
        <w:spacing w:after="0" w:line="139" w:lineRule="exact"/>
        <w:rPr>
          <w:rFonts w:ascii="Arial" w:cs="Arial" w:eastAsia="Arial" w:hAnsi="Arial"/>
          <w:sz w:val="16"/>
          <w:szCs w:val="16"/>
          <w:color w:val="auto"/>
        </w:rPr>
      </w:pPr>
    </w:p>
    <w:p>
      <w:pPr>
        <w:ind w:right="160" w:firstLine="447"/>
        <w:spacing w:after="0" w:line="268" w:lineRule="auto"/>
        <w:tabs>
          <w:tab w:leader="none" w:pos="64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85" w:lineRule="exact"/>
        <w:rPr>
          <w:rFonts w:ascii="Arial" w:cs="Arial" w:eastAsia="Arial" w:hAnsi="Arial"/>
          <w:sz w:val="18"/>
          <w:szCs w:val="18"/>
          <w:color w:val="auto"/>
        </w:rPr>
      </w:pPr>
    </w:p>
    <w:p>
      <w:pPr>
        <w:ind w:right="240" w:firstLine="447"/>
        <w:spacing w:after="0" w:line="259" w:lineRule="auto"/>
        <w:tabs>
          <w:tab w:leader="none" w:pos="697"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94" w:lineRule="exact"/>
        <w:rPr>
          <w:rFonts w:ascii="Arial" w:cs="Arial" w:eastAsia="Arial" w:hAnsi="Arial"/>
          <w:sz w:val="18"/>
          <w:szCs w:val="18"/>
          <w:color w:val="auto"/>
        </w:rPr>
      </w:pPr>
    </w:p>
    <w:p>
      <w:pPr>
        <w:ind w:right="120" w:firstLine="447"/>
        <w:spacing w:after="0" w:line="298" w:lineRule="auto"/>
        <w:tabs>
          <w:tab w:leader="none" w:pos="74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any event, transaction or condition that would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66" w:lineRule="exact"/>
        <w:rPr>
          <w:rFonts w:ascii="Arial" w:cs="Arial" w:eastAsia="Arial" w:hAnsi="Arial"/>
          <w:sz w:val="16"/>
          <w:szCs w:val="16"/>
          <w:color w:val="auto"/>
        </w:rPr>
      </w:pPr>
    </w:p>
    <w:p>
      <w:pPr>
        <w:ind w:right="40" w:firstLine="228"/>
        <w:spacing w:after="0" w:line="259"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Notices from Governmental Authority — promptly, and in any event within 30 days of receipt thereof, copies of any notice to the Company or any Subsidiary from any federal or state Governmental Authority relating to any order, ruling, statute or other law or regulation that the Company reasonably believes could have a Material Adverse Effect;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6" w:name="page327"/>
    <w:bookmarkEnd w:id="326"/>
    <w:p>
      <w:pPr>
        <w:ind w:right="60" w:firstLine="228"/>
        <w:spacing w:after="0" w:line="254" w:lineRule="auto"/>
        <w:tabs>
          <w:tab w:leader="none" w:pos="59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Additional Reporting Requirement — in the event that Unrestricted Subsidiaries account for more than 10% of the Consolidated Total Assets of the Company and its Subsidiaries, or more than 10% of the consolidated revenue of the Company and its Subsidiaries, in each case as of the last day of the fiscal quarter or fiscal year for which the Company is delivering financial information pursuant to Sections 6.01(a) and (b), then each such set of financial information delivered pursuant to Sections 6.01(a) and (b) shall be accompanied by unaudited financial statements for all Unrestricted Subsidiaries of the Company taken as a group, together with consolidating statements reflecting eliminations or adjustments required to reconcile such group statements to the consolidated financial statements of the Company and its Subsidiaries;</w:t>
      </w:r>
    </w:p>
    <w:p>
      <w:pPr>
        <w:spacing w:after="0" w:line="198" w:lineRule="exact"/>
        <w:rPr>
          <w:rFonts w:ascii="Arial" w:cs="Arial" w:eastAsia="Arial" w:hAnsi="Arial"/>
          <w:sz w:val="18"/>
          <w:szCs w:val="18"/>
          <w:color w:val="auto"/>
        </w:rPr>
      </w:pPr>
    </w:p>
    <w:p>
      <w:pPr>
        <w:ind w:right="180" w:firstLine="228"/>
        <w:spacing w:after="0" w:line="294" w:lineRule="auto"/>
        <w:tabs>
          <w:tab w:leader="none" w:pos="60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Requested Information — with reasonable promptness, such other data and information relating to the business, operations, affairs, financial condition, assets or properties of the Company or any its Subsidiaries or relating to the ability of the Company to perform its obligations hereunder, under the Letter of Credit Linked Notes and under the Term Notes or the ability of Holdings to perform its obligations hereunder as from time to time may be reasonably requested by any Lender, including without limitation and subject to Section 10.07, such information as is required by SEC Rule 144A under the Securities Act to be delivered to a prospective transferee of the Letter of Credit Linked Notes or Term Notes.</w:t>
      </w:r>
    </w:p>
    <w:p>
      <w:pPr>
        <w:spacing w:after="0" w:line="164" w:lineRule="exact"/>
        <w:rPr>
          <w:sz w:val="20"/>
          <w:szCs w:val="20"/>
          <w:color w:val="auto"/>
        </w:rPr>
      </w:pPr>
    </w:p>
    <w:p>
      <w:pPr>
        <w:ind w:right="140" w:firstLine="220"/>
        <w:spacing w:after="0" w:line="275" w:lineRule="auto"/>
        <w:rPr>
          <w:sz w:val="20"/>
          <w:szCs w:val="20"/>
          <w:color w:val="auto"/>
        </w:rPr>
      </w:pPr>
      <w:r>
        <w:rPr>
          <w:rFonts w:ascii="Arial" w:cs="Arial" w:eastAsia="Arial" w:hAnsi="Arial"/>
          <w:sz w:val="18"/>
          <w:szCs w:val="18"/>
          <w:b w:val="1"/>
          <w:bCs w:val="1"/>
          <w:color w:val="auto"/>
        </w:rPr>
        <w:t>6.02 Officer’s Certificate</w:t>
      </w:r>
      <w:r>
        <w:rPr>
          <w:rFonts w:ascii="Arial" w:cs="Arial" w:eastAsia="Arial" w:hAnsi="Arial"/>
          <w:sz w:val="18"/>
          <w:szCs w:val="18"/>
          <w:color w:val="auto"/>
        </w:rPr>
        <w:t>. Each set of financial statements delivered to a Lender pursuant to Section 6.01(a) or Section 6.01(b) hereof shall be accompanied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certificate of a Senior Financial Officer setting forth:</w:t>
      </w:r>
    </w:p>
    <w:p>
      <w:pPr>
        <w:spacing w:after="0" w:line="180" w:lineRule="exact"/>
        <w:rPr>
          <w:sz w:val="20"/>
          <w:szCs w:val="20"/>
          <w:color w:val="auto"/>
        </w:rPr>
      </w:pPr>
    </w:p>
    <w:p>
      <w:pPr>
        <w:ind w:right="200" w:firstLine="228"/>
        <w:spacing w:after="0" w:line="298" w:lineRule="auto"/>
        <w:tabs>
          <w:tab w:leader="none" w:pos="63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Covenant Compliance — the information (including reasonably detailed calculations) required in order to establish whether the Company was in compliance with the requirements of Sections 7.02(c)(iv), 7.03(m), 7.04 and 7.05,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66" w:lineRule="exact"/>
        <w:rPr>
          <w:rFonts w:ascii="Arial" w:cs="Arial" w:eastAsia="Arial" w:hAnsi="Arial"/>
          <w:sz w:val="16"/>
          <w:szCs w:val="16"/>
          <w:color w:val="auto"/>
        </w:rPr>
      </w:pPr>
    </w:p>
    <w:p>
      <w:pPr>
        <w:ind w:right="140" w:firstLine="228"/>
        <w:spacing w:after="0" w:line="291" w:lineRule="auto"/>
        <w:tabs>
          <w:tab w:leader="none" w:pos="64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6.03 Inspection</w:t>
      </w:r>
      <w:r>
        <w:rPr>
          <w:rFonts w:ascii="Arial" w:cs="Arial" w:eastAsia="Arial" w:hAnsi="Arial"/>
          <w:sz w:val="18"/>
          <w:szCs w:val="18"/>
          <w:color w:val="auto"/>
        </w:rPr>
        <w:t>. The Company shall permit the representatives of each Lender:</w:t>
      </w:r>
    </w:p>
    <w:p>
      <w:pPr>
        <w:spacing w:after="0" w:line="231" w:lineRule="exact"/>
        <w:rPr>
          <w:sz w:val="20"/>
          <w:szCs w:val="20"/>
          <w:color w:val="auto"/>
        </w:rPr>
      </w:pPr>
    </w:p>
    <w:p>
      <w:pPr>
        <w:ind w:right="140" w:firstLine="228"/>
        <w:spacing w:after="0" w:line="268" w:lineRule="auto"/>
        <w:tabs>
          <w:tab w:leader="none" w:pos="63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 Default — if no Default or Event of Default then exists, at the expense of such Lender, to visit the principal executive office of the Company and to discuss the affairs, finances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27" w:name="page328"/>
    <w:bookmarkEnd w:id="327"/>
    <w:p>
      <w:pPr>
        <w:ind w:right="100"/>
        <w:spacing w:after="0" w:line="268" w:lineRule="auto"/>
        <w:rPr>
          <w:sz w:val="20"/>
          <w:szCs w:val="20"/>
          <w:color w:val="auto"/>
        </w:rPr>
      </w:pPr>
      <w:r>
        <w:rPr>
          <w:rFonts w:ascii="Arial" w:cs="Arial" w:eastAsia="Arial" w:hAnsi="Arial"/>
          <w:sz w:val="18"/>
          <w:szCs w:val="18"/>
          <w:color w:val="auto"/>
        </w:rPr>
        <w:t>and accounts of the Company and its Restricted Subsidiaries with the Company’s officers, all at such reasonable times during normal business hours and as often as may be reasonably requested in writing; and</w:t>
      </w:r>
    </w:p>
    <w:p>
      <w:pPr>
        <w:spacing w:after="0" w:line="186" w:lineRule="exact"/>
        <w:rPr>
          <w:sz w:val="20"/>
          <w:szCs w:val="20"/>
          <w:color w:val="auto"/>
        </w:rPr>
      </w:pPr>
    </w:p>
    <w:p>
      <w:pPr>
        <w:ind w:right="40" w:firstLine="228"/>
        <w:spacing w:after="0" w:line="291" w:lineRule="auto"/>
        <w:tabs>
          <w:tab w:leader="none" w:pos="644" w:val="left"/>
        </w:tabs>
        <w:numPr>
          <w:ilvl w:val="0"/>
          <w:numId w:val="398"/>
        </w:numPr>
        <w:rPr>
          <w:rFonts w:ascii="Arial" w:cs="Arial" w:eastAsia="Arial" w:hAnsi="Arial"/>
          <w:sz w:val="16"/>
          <w:szCs w:val="16"/>
          <w:color w:val="auto"/>
        </w:rPr>
      </w:pPr>
      <w:r>
        <w:rPr>
          <w:rFonts w:ascii="Arial" w:cs="Arial" w:eastAsia="Arial" w:hAnsi="Arial"/>
          <w:sz w:val="16"/>
          <w:szCs w:val="16"/>
          <w:color w:val="auto"/>
        </w:rPr>
        <w:t>Default — if a Default or Event of Default then exists, at the expense of the Company and upon reasonable prior notice, to visit the principal executive office of the Company, to examine all relevant books of account, records, reports and other papers relating to the Company’s and Holdings’ performance of their respective obligations under this Agreement, the Letter of Credit Linked Notes and the Term Notes and to make copies and abstracts therefrom, and to discuss the Company’s and its Restricted Subsidiaries’ affairs, finances and accounts with the Company’s officers and independent public accountants (and by this provision the Company authorizes said accountants to discuss the affairs, finances and accounts of the Company and its Restricted Subsidiaries), all at such reasonable times during normal business hours and as often as may be reasonably requested.</w:t>
      </w:r>
    </w:p>
    <w:p>
      <w:pPr>
        <w:spacing w:after="0" w:line="168" w:lineRule="exact"/>
        <w:rPr>
          <w:sz w:val="20"/>
          <w:szCs w:val="20"/>
          <w:color w:val="auto"/>
        </w:rPr>
      </w:pPr>
    </w:p>
    <w:p>
      <w:pPr>
        <w:ind w:right="220" w:firstLine="220"/>
        <w:spacing w:after="0" w:line="293" w:lineRule="auto"/>
        <w:rPr>
          <w:sz w:val="20"/>
          <w:szCs w:val="20"/>
          <w:color w:val="auto"/>
        </w:rPr>
      </w:pPr>
      <w:r>
        <w:rPr>
          <w:rFonts w:ascii="Arial" w:cs="Arial" w:eastAsia="Arial" w:hAnsi="Arial"/>
          <w:sz w:val="16"/>
          <w:szCs w:val="16"/>
          <w:b w:val="1"/>
          <w:bCs w:val="1"/>
          <w:color w:val="auto"/>
        </w:rPr>
        <w:t>6.04 Compliance with Laws</w:t>
      </w:r>
      <w:r>
        <w:rPr>
          <w:rFonts w:ascii="Arial" w:cs="Arial" w:eastAsia="Arial" w:hAnsi="Arial"/>
          <w:sz w:val="16"/>
          <w:szCs w:val="16"/>
          <w:color w:val="auto"/>
        </w:rPr>
        <w:t>. The Company will, and will cause each of its Subsidiaries to, comply with all laws, ordinances or governmental rules or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65" w:lineRule="exact"/>
        <w:rPr>
          <w:sz w:val="20"/>
          <w:szCs w:val="20"/>
          <w:color w:val="auto"/>
        </w:rPr>
      </w:pPr>
    </w:p>
    <w:p>
      <w:pPr>
        <w:ind w:right="240" w:firstLine="220"/>
        <w:spacing w:after="0" w:line="262" w:lineRule="auto"/>
        <w:rPr>
          <w:sz w:val="20"/>
          <w:szCs w:val="20"/>
          <w:color w:val="auto"/>
        </w:rPr>
      </w:pPr>
      <w:r>
        <w:rPr>
          <w:rFonts w:ascii="Arial" w:cs="Arial" w:eastAsia="Arial" w:hAnsi="Arial"/>
          <w:sz w:val="18"/>
          <w:szCs w:val="18"/>
          <w:b w:val="1"/>
          <w:bCs w:val="1"/>
          <w:color w:val="auto"/>
        </w:rPr>
        <w:t>6.05 Insurance</w:t>
      </w:r>
      <w:r>
        <w:rPr>
          <w:rFonts w:ascii="Arial" w:cs="Arial" w:eastAsia="Arial" w:hAnsi="Arial"/>
          <w:sz w:val="18"/>
          <w:szCs w:val="18"/>
          <w:color w:val="auto"/>
        </w:rPr>
        <w:t>. The Company will, and will cause each of its Restricted Subsidiaries to, maintain, with financially sound and reputable insurers,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their respective properties and businesses against such risks, of such types, on such terms and in such amounts as is customary in the case of entities of established reputations engaged in the same or a similar business and similarly situated.</w:t>
      </w:r>
    </w:p>
    <w:p>
      <w:pPr>
        <w:spacing w:after="0" w:line="186" w:lineRule="exact"/>
        <w:rPr>
          <w:sz w:val="20"/>
          <w:szCs w:val="20"/>
          <w:color w:val="auto"/>
        </w:rPr>
      </w:pPr>
    </w:p>
    <w:p>
      <w:pPr>
        <w:ind w:right="160" w:firstLine="220"/>
        <w:spacing w:after="0" w:line="296" w:lineRule="auto"/>
        <w:rPr>
          <w:sz w:val="20"/>
          <w:szCs w:val="20"/>
          <w:color w:val="auto"/>
        </w:rPr>
      </w:pPr>
      <w:r>
        <w:rPr>
          <w:rFonts w:ascii="Arial" w:cs="Arial" w:eastAsia="Arial" w:hAnsi="Arial"/>
          <w:sz w:val="16"/>
          <w:szCs w:val="16"/>
          <w:b w:val="1"/>
          <w:bCs w:val="1"/>
          <w:color w:val="auto"/>
        </w:rPr>
        <w:t>6.06 Maintenance of Properties</w:t>
      </w:r>
      <w:r>
        <w:rPr>
          <w:rFonts w:ascii="Arial" w:cs="Arial" w:eastAsia="Arial" w:hAnsi="Arial"/>
          <w:sz w:val="16"/>
          <w:szCs w:val="16"/>
          <w:color w:val="auto"/>
        </w:rPr>
        <w:t>. The Company will, and will cause each of its Restricted Subsidiaries to, maintain and keep, or cause to be maintained and</w:t>
      </w:r>
      <w:r>
        <w:rPr>
          <w:rFonts w:ascii="Arial" w:cs="Arial" w:eastAsia="Arial" w:hAnsi="Arial"/>
          <w:sz w:val="16"/>
          <w:szCs w:val="16"/>
          <w:b w:val="1"/>
          <w:bCs w:val="1"/>
          <w:color w:val="auto"/>
        </w:rPr>
        <w:t xml:space="preserve"> </w:t>
      </w:r>
      <w:r>
        <w:rPr>
          <w:rFonts w:ascii="Arial" w:cs="Arial" w:eastAsia="Arial" w:hAnsi="Arial"/>
          <w:sz w:val="16"/>
          <w:szCs w:val="16"/>
          <w:color w:val="auto"/>
        </w:rPr>
        <w:t>kept, their respective properties in good repair, working order and condition (other than ordinary wear and tear), so that the business carried on in connection therewith may be properly conducted at all times, provided that this Section shall not prevent the Company or any Restricted Subsidiary from discontinuing the operation and the maintenance of any of its properties or failing to carry on any such business if the Company has concluded that such discontinuance or failure could not, individually or in the aggregate, reasonably be expected to have a Material Adverse Effect.</w:t>
      </w:r>
    </w:p>
    <w:p>
      <w:pPr>
        <w:spacing w:after="0" w:line="162"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b w:val="1"/>
          <w:bCs w:val="1"/>
          <w:color w:val="auto"/>
        </w:rPr>
        <w:t xml:space="preserve">6.07 Payment of Taxes and Claims. </w:t>
      </w:r>
      <w:r>
        <w:rPr>
          <w:rFonts w:ascii="Arial" w:cs="Arial" w:eastAsia="Arial" w:hAnsi="Arial"/>
          <w:sz w:val="18"/>
          <w:szCs w:val="18"/>
          <w:color w:val="auto"/>
        </w:rPr>
        <w:t>The Company will, and will cause each of its Subsidiaries to, file all income tax and similar tax returns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in any jurisdiction and to pay and discharge all taxes shown to be due and payable on such returns and pay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8" w:name="page329"/>
    <w:bookmarkEnd w:id="328"/>
    <w:p>
      <w:pPr>
        <w:ind w:right="460"/>
        <w:spacing w:after="0" w:line="294" w:lineRule="auto"/>
        <w:rPr>
          <w:sz w:val="20"/>
          <w:szCs w:val="20"/>
          <w:color w:val="auto"/>
        </w:rPr>
      </w:pPr>
      <w:r>
        <w:rPr>
          <w:rFonts w:ascii="Arial" w:cs="Arial" w:eastAsia="Arial" w:hAnsi="Arial"/>
          <w:sz w:val="16"/>
          <w:szCs w:val="16"/>
          <w:color w:val="auto"/>
        </w:rPr>
        <w:t>Subsidiary, provided that neither the Company nor any Subsidiary need file any such returns or pay any such tax or assessment or claims (i) if the amount, applicability or validity thereof is contested by the Company or such Subsidiary on a timely basis in good faith and in appropriate proceedings, diligently conducted, and the Company or a Subsidiary has established adequate reserves therefor in accordance with GAAP on the books of the Company or such Subsidiary, or (ii) to the extent that the failure to file such returns and the nonpayment of all such taxes, assessments and claims, either individually or in the aggregate, could not reasonably be expected to have a Material Adverse Effect.</w:t>
      </w:r>
    </w:p>
    <w:p>
      <w:pPr>
        <w:spacing w:after="0" w:line="164"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b w:val="1"/>
          <w:bCs w:val="1"/>
          <w:color w:val="auto"/>
        </w:rPr>
        <w:t>6.08 Corporate Existence, Etc</w:t>
      </w:r>
      <w:r>
        <w:rPr>
          <w:rFonts w:ascii="Arial" w:cs="Arial" w:eastAsia="Arial" w:hAnsi="Arial"/>
          <w:sz w:val="18"/>
          <w:szCs w:val="18"/>
          <w:color w:val="auto"/>
        </w:rPr>
        <w:t>. Subject to Section 7.02, the Company will at all times preserve and keep in full force and effect its corporate existence,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at 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93" w:lineRule="exact"/>
        <w:rPr>
          <w:sz w:val="20"/>
          <w:szCs w:val="20"/>
          <w:color w:val="auto"/>
        </w:rPr>
      </w:pPr>
    </w:p>
    <w:p>
      <w:pPr>
        <w:ind w:right="100" w:firstLine="220"/>
        <w:spacing w:after="0" w:line="301" w:lineRule="auto"/>
        <w:rPr>
          <w:sz w:val="20"/>
          <w:szCs w:val="20"/>
          <w:color w:val="auto"/>
        </w:rPr>
      </w:pPr>
      <w:r>
        <w:rPr>
          <w:rFonts w:ascii="Arial" w:cs="Arial" w:eastAsia="Arial" w:hAnsi="Arial"/>
          <w:sz w:val="16"/>
          <w:szCs w:val="16"/>
          <w:b w:val="1"/>
          <w:bCs w:val="1"/>
          <w:color w:val="auto"/>
        </w:rPr>
        <w:t>6.09 Books and Records</w:t>
      </w:r>
      <w:r>
        <w:rPr>
          <w:rFonts w:ascii="Arial" w:cs="Arial" w:eastAsia="Arial" w:hAnsi="Arial"/>
          <w:sz w:val="16"/>
          <w:szCs w:val="16"/>
          <w:color w:val="auto"/>
        </w:rPr>
        <w:t>. The Company will, and will cause each Restricted Subsidiary to, (a) maintain proper books of record and account, in which full,</w:t>
      </w:r>
      <w:r>
        <w:rPr>
          <w:rFonts w:ascii="Arial" w:cs="Arial" w:eastAsia="Arial" w:hAnsi="Arial"/>
          <w:sz w:val="16"/>
          <w:szCs w:val="16"/>
          <w:b w:val="1"/>
          <w:bCs w:val="1"/>
          <w:color w:val="auto"/>
        </w:rPr>
        <w:t xml:space="preserve"> </w:t>
      </w:r>
      <w:r>
        <w:rPr>
          <w:rFonts w:ascii="Arial" w:cs="Arial" w:eastAsia="Arial" w:hAnsi="Arial"/>
          <w:sz w:val="16"/>
          <w:szCs w:val="16"/>
          <w:color w:val="auto"/>
        </w:rPr>
        <w:t>true and correct entries in conformity with GAAP consistently applied shall be made of all financial transactions and matters involving the assets and business of the Company or such Restricted Subsidiary, as the case may be; and (b) maintain such books of record and account in material conformity with all applicable requirements of any Governmental Authority having regulatory jurisdiction over the Company or such Restricted Subsidiary, as the case may be.</w:t>
      </w:r>
    </w:p>
    <w:p>
      <w:pPr>
        <w:spacing w:after="0" w:line="15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b w:val="1"/>
          <w:bCs w:val="1"/>
          <w:color w:val="auto"/>
        </w:rPr>
        <w:t>6.10 Purpose of Credits</w:t>
      </w:r>
      <w:r>
        <w:rPr>
          <w:rFonts w:ascii="Arial" w:cs="Arial" w:eastAsia="Arial" w:hAnsi="Arial"/>
          <w:sz w:val="18"/>
          <w:szCs w:val="18"/>
          <w:color w:val="auto"/>
        </w:rPr>
        <w:t>. Each Credit shall be used directly or indirectly to cover (a) a default in the performance of any non-financial or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or any Subsidiary under specific contracts, including a Credit issued in favor of a bank or other surety who in connection therewith issues a guarantee or similar undertaking, performance bond, surety bond or other similar instrument that covers a default in the performance of any non-financial or commercial obligations under specific contracts or the payment of any financial contractual obligation, or (b) the payment of any financial contractual obligation of the Company or any Subsidiary.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9" w:lineRule="exact"/>
        <w:rPr>
          <w:sz w:val="20"/>
          <w:szCs w:val="20"/>
          <w:color w:val="auto"/>
        </w:rPr>
      </w:pPr>
    </w:p>
    <w:p>
      <w:pPr>
        <w:ind w:right="640" w:firstLine="220"/>
        <w:spacing w:after="0" w:line="268" w:lineRule="auto"/>
        <w:rPr>
          <w:sz w:val="20"/>
          <w:szCs w:val="20"/>
          <w:color w:val="auto"/>
        </w:rPr>
      </w:pPr>
      <w:r>
        <w:rPr>
          <w:rFonts w:ascii="Arial" w:cs="Arial" w:eastAsia="Arial" w:hAnsi="Arial"/>
          <w:sz w:val="18"/>
          <w:szCs w:val="18"/>
          <w:color w:val="auto"/>
        </w:rPr>
        <w:t>So long as any Lender shall have any Credit-Linked Deposit, any Letter of Credit Linked Note or any Term Note hereunder or any Credit shall remain outstanding:</w:t>
      </w:r>
    </w:p>
    <w:p>
      <w:pPr>
        <w:spacing w:after="0" w:line="180" w:lineRule="exact"/>
        <w:rPr>
          <w:sz w:val="20"/>
          <w:szCs w:val="20"/>
          <w:color w:val="auto"/>
        </w:rPr>
      </w:pPr>
    </w:p>
    <w:p>
      <w:pPr>
        <w:ind w:right="120" w:firstLine="220"/>
        <w:spacing w:after="0" w:line="258" w:lineRule="auto"/>
        <w:rPr>
          <w:sz w:val="20"/>
          <w:szCs w:val="20"/>
          <w:color w:val="auto"/>
        </w:rPr>
      </w:pPr>
      <w:r>
        <w:rPr>
          <w:rFonts w:ascii="Arial" w:cs="Arial" w:eastAsia="Arial" w:hAnsi="Arial"/>
          <w:sz w:val="18"/>
          <w:szCs w:val="18"/>
          <w:b w:val="1"/>
          <w:bCs w:val="1"/>
          <w:color w:val="auto"/>
        </w:rPr>
        <w:t>7.01 Transactions with Affiliates</w:t>
      </w:r>
      <w:r>
        <w:rPr>
          <w:rFonts w:ascii="Arial" w:cs="Arial" w:eastAsia="Arial" w:hAnsi="Arial"/>
          <w:sz w:val="18"/>
          <w:szCs w:val="18"/>
          <w:color w:val="auto"/>
        </w:rPr>
        <w:t>. The Company will not, and will not permit any Restricted Subsidiary to, enter into directly or indirectly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Material group of related transactions (including without limitation the purchase, lease, sale or exchange of properties of any kind or the rendering of any service) with any Affiliate (other than the Company or another Restricted Subsidiary), except in the ordinary course and pursuant to the reasonable requirements of the Company’s or such Restricted Subsidiary’s business and upon</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9" w:name="page330"/>
    <w:bookmarkEnd w:id="329"/>
    <w:p>
      <w:pPr>
        <w:ind w:right="60"/>
        <w:spacing w:after="0" w:line="268" w:lineRule="auto"/>
        <w:rPr>
          <w:sz w:val="20"/>
          <w:szCs w:val="20"/>
          <w:color w:val="auto"/>
        </w:rPr>
      </w:pPr>
      <w:r>
        <w:rPr>
          <w:rFonts w:ascii="Arial" w:cs="Arial" w:eastAsia="Arial" w:hAnsi="Arial"/>
          <w:sz w:val="18"/>
          <w:szCs w:val="18"/>
          <w:color w:val="auto"/>
        </w:rPr>
        <w:t>fair and reasonable terms no less favorable to the Company or such Restricted Subsidiary than would be obtainable in a comparable arm’s-length transaction with a Person not an Affiliate.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7.02 Merger, Consolidation, Sale of Assets, etc</w:t>
      </w:r>
      <w:r>
        <w:rPr>
          <w:rFonts w:ascii="Arial" w:cs="Arial" w:eastAsia="Arial" w:hAnsi="Arial"/>
          <w:sz w:val="18"/>
          <w:szCs w:val="18"/>
          <w:color w:val="auto"/>
        </w:rPr>
        <w:t>.</w:t>
      </w:r>
    </w:p>
    <w:p>
      <w:pPr>
        <w:spacing w:after="0" w:line="231" w:lineRule="exact"/>
        <w:rPr>
          <w:sz w:val="20"/>
          <w:szCs w:val="20"/>
          <w:color w:val="auto"/>
        </w:rPr>
      </w:pPr>
    </w:p>
    <w:p>
      <w:pPr>
        <w:ind w:right="480" w:firstLine="228"/>
        <w:spacing w:after="0" w:line="268" w:lineRule="auto"/>
        <w:tabs>
          <w:tab w:leader="none" w:pos="63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consolidate with or merge with any other Person unless immediately after giving effect to any consolidation or merger no Default or Event of Default would exist and:</w:t>
      </w:r>
    </w:p>
    <w:p>
      <w:pPr>
        <w:spacing w:after="0" w:line="185" w:lineRule="exact"/>
        <w:rPr>
          <w:rFonts w:ascii="Arial" w:cs="Arial" w:eastAsia="Arial" w:hAnsi="Arial"/>
          <w:sz w:val="18"/>
          <w:szCs w:val="18"/>
          <w:color w:val="auto"/>
        </w:rPr>
      </w:pPr>
    </w:p>
    <w:p>
      <w:pPr>
        <w:ind w:right="400" w:firstLine="447"/>
        <w:spacing w:after="0" w:line="259" w:lineRule="auto"/>
        <w:tabs>
          <w:tab w:leader="none" w:pos="649"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the case of a consolidation or merger of a Restricted Subsidiary, either (x) the surviving or continuing corporation is the Company or another Restricted Subsidiary or (y) such consolidation or merger, if considered as the sale of the assets of such Restricted Subsidiary to such other Person, would be permitted by Section 7.02(c); and</w:t>
      </w:r>
    </w:p>
    <w:p>
      <w:pPr>
        <w:spacing w:after="0" w:line="194" w:lineRule="exact"/>
        <w:rPr>
          <w:rFonts w:ascii="Arial" w:cs="Arial" w:eastAsia="Arial" w:hAnsi="Arial"/>
          <w:sz w:val="18"/>
          <w:szCs w:val="18"/>
          <w:color w:val="auto"/>
        </w:rPr>
      </w:pPr>
    </w:p>
    <w:p>
      <w:pPr>
        <w:ind w:right="60" w:firstLine="447"/>
        <w:spacing w:after="0" w:line="289" w:lineRule="auto"/>
        <w:tabs>
          <w:tab w:leader="none" w:pos="697" w:val="left"/>
        </w:tabs>
        <w:numPr>
          <w:ilvl w:val="1"/>
          <w:numId w:val="399"/>
        </w:numPr>
        <w:rPr>
          <w:rFonts w:ascii="Arial" w:cs="Arial" w:eastAsia="Arial" w:hAnsi="Arial"/>
          <w:sz w:val="16"/>
          <w:szCs w:val="16"/>
          <w:color w:val="auto"/>
        </w:rPr>
      </w:pPr>
      <w:r>
        <w:rPr>
          <w:rFonts w:ascii="Arial" w:cs="Arial" w:eastAsia="Arial" w:hAnsi="Arial"/>
          <w:sz w:val="16"/>
          <w:szCs w:val="16"/>
          <w:color w:val="auto"/>
        </w:rPr>
        <w:t>in the case of a consolidation or merger of the Company, the successor corporation which results from such consolidation or merger (the “surviving corporation”), if not the Company,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72" w:lineRule="exact"/>
        <w:rPr>
          <w:rFonts w:ascii="Arial" w:cs="Arial" w:eastAsia="Arial" w:hAnsi="Arial"/>
          <w:sz w:val="16"/>
          <w:szCs w:val="16"/>
          <w:color w:val="auto"/>
        </w:rPr>
      </w:pPr>
    </w:p>
    <w:p>
      <w:pPr>
        <w:ind w:right="20" w:firstLine="228"/>
        <w:spacing w:after="0" w:line="268" w:lineRule="auto"/>
        <w:tabs>
          <w:tab w:leader="none" w:pos="64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Company will not sell, lease (as lessor) or otherwise transfer all or substantially all of its assets in a single transaction or series of transactions to any Person unless:</w:t>
      </w:r>
    </w:p>
    <w:p>
      <w:pPr>
        <w:spacing w:after="0" w:line="185" w:lineRule="exact"/>
        <w:rPr>
          <w:rFonts w:ascii="Arial" w:cs="Arial" w:eastAsia="Arial" w:hAnsi="Arial"/>
          <w:sz w:val="18"/>
          <w:szCs w:val="18"/>
          <w:color w:val="auto"/>
        </w:rPr>
      </w:pPr>
    </w:p>
    <w:p>
      <w:pPr>
        <w:ind w:left="660" w:hanging="213"/>
        <w:spacing w:after="0"/>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25" w:lineRule="exact"/>
        <w:rPr>
          <w:rFonts w:ascii="Arial" w:cs="Arial" w:eastAsia="Arial" w:hAnsi="Arial"/>
          <w:sz w:val="18"/>
          <w:szCs w:val="18"/>
          <w:color w:val="auto"/>
        </w:rPr>
      </w:pPr>
    </w:p>
    <w:p>
      <w:pPr>
        <w:ind w:right="60" w:firstLine="447"/>
        <w:spacing w:after="0" w:line="289" w:lineRule="auto"/>
        <w:tabs>
          <w:tab w:leader="none" w:pos="697"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successor corporation to which all or substantially all of the Company’s assets have been sold, leased or transferred (the “successor corporation”) shall have executed and delivered to the Issuer, the Administrative Agent and each Lender in writing its assumption of the due and punctual payment of all Credit Obligations, and the due and punctual performance and observation of all covenants in this Agreement, the Letter of Credit Linked Notes and the Term Notes, to be performed or observed by the Company hereunder and under the Credit Documents and shall furnish to the Issuer, the Administrative Agent and such Lenders a customary opinion of counsel solely to the effect that the instrument of assumption has been duly authorized, executed and delivered and constitutes the legal, valid and binding contract and agreement of the successor corporation enforceable in accordance with its terms, except as enforcement of such terms may be limited by bankruptcy, insolvency, reorganization, moratorium and similar laws affecting the enforcement of creditors’ rights generally and by general equitable principles.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0" w:name="page331"/>
    <w:bookmarkEnd w:id="330"/>
    <w:p>
      <w:pPr>
        <w:ind w:right="20" w:firstLine="220"/>
        <w:spacing w:after="0" w:line="332" w:lineRule="auto"/>
        <w:rPr>
          <w:sz w:val="20"/>
          <w:szCs w:val="20"/>
          <w:color w:val="auto"/>
        </w:rPr>
      </w:pPr>
      <w:r>
        <w:rPr>
          <w:rFonts w:ascii="Arial" w:cs="Arial" w:eastAsia="Arial" w:hAnsi="Arial"/>
          <w:sz w:val="16"/>
          <w:szCs w:val="16"/>
          <w:color w:val="auto"/>
        </w:rPr>
        <w:t>No such conveyance, transfer or lease of all or substantially all of the assets of the Company shall have the effect of releasing the Company or any successor corporation that shall theretofore have become such in the manner prescribed in this Section 7.02 from its liability under this Agreement or the Credit Documents.</w:t>
      </w:r>
    </w:p>
    <w:p>
      <w:pPr>
        <w:spacing w:after="0" w:line="139" w:lineRule="exact"/>
        <w:rPr>
          <w:sz w:val="20"/>
          <w:szCs w:val="20"/>
          <w:color w:val="auto"/>
        </w:rPr>
      </w:pPr>
    </w:p>
    <w:p>
      <w:pPr>
        <w:jc w:val="both"/>
        <w:ind w:right="160" w:firstLine="228"/>
        <w:spacing w:after="0" w:line="259" w:lineRule="auto"/>
        <w:tabs>
          <w:tab w:leader="none" w:pos="63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sell, lease (as lessor), transfer, abandon or otherwise dispose of (collectively, a “Disposition”) any assets in one or a series of transactions (including, without limitation, in any sale-leaseback transaction), other than those assets consisting of accounts receivable sold through any Permitted Receivables Transaction, to any Person other than:</w:t>
      </w:r>
    </w:p>
    <w:p>
      <w:pPr>
        <w:spacing w:after="0" w:line="194" w:lineRule="exact"/>
        <w:rPr>
          <w:rFonts w:ascii="Arial" w:cs="Arial" w:eastAsia="Arial" w:hAnsi="Arial"/>
          <w:sz w:val="18"/>
          <w:szCs w:val="18"/>
          <w:color w:val="auto"/>
        </w:rPr>
      </w:pPr>
    </w:p>
    <w:p>
      <w:pPr>
        <w:ind w:right="380" w:firstLine="447"/>
        <w:spacing w:after="0" w:line="268" w:lineRule="auto"/>
        <w:tabs>
          <w:tab w:leader="none" w:pos="64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Dispositions in the ordinary course of business of inventory or of equipment, fixtures, supplies or materials no longer required in the business of the Company or any of its Restricted Subsidiaries or that is obsolete;</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Dispositions by the Company to a Restricted Subsidiary or by a Restricted Subsidiary to the Company or to another Restricted Subsidiary;</w:t>
      </w:r>
    </w:p>
    <w:p>
      <w:pPr>
        <w:spacing w:after="0" w:line="248" w:lineRule="exact"/>
        <w:rPr>
          <w:rFonts w:ascii="Arial" w:cs="Arial" w:eastAsia="Arial" w:hAnsi="Arial"/>
          <w:sz w:val="16"/>
          <w:szCs w:val="16"/>
          <w:color w:val="auto"/>
        </w:rPr>
      </w:pPr>
    </w:p>
    <w:p>
      <w:pPr>
        <w:ind w:left="760" w:hanging="313"/>
        <w:spacing w:after="0"/>
        <w:tabs>
          <w:tab w:leader="none" w:pos="76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sale of assets for cash or other property if all of the following conditions are met:</w:t>
      </w:r>
    </w:p>
    <w:p>
      <w:pPr>
        <w:spacing w:after="0" w:line="225" w:lineRule="exact"/>
        <w:rPr>
          <w:rFonts w:ascii="Arial" w:cs="Arial" w:eastAsia="Arial" w:hAnsi="Arial"/>
          <w:sz w:val="18"/>
          <w:szCs w:val="18"/>
          <w:color w:val="auto"/>
        </w:rPr>
      </w:pPr>
    </w:p>
    <w:p>
      <w:pPr>
        <w:ind w:left="1340" w:hanging="424"/>
        <w:spacing w:after="0"/>
        <w:tabs>
          <w:tab w:leader="none" w:pos="1340" w:val="left"/>
        </w:tabs>
        <w:numPr>
          <w:ilvl w:val="2"/>
          <w:numId w:val="400"/>
        </w:numPr>
        <w:rPr>
          <w:rFonts w:ascii="Arial" w:cs="Arial" w:eastAsia="Arial" w:hAnsi="Arial"/>
          <w:sz w:val="16"/>
          <w:szCs w:val="16"/>
          <w:color w:val="auto"/>
        </w:rPr>
      </w:pPr>
      <w:r>
        <w:rPr>
          <w:rFonts w:ascii="Arial" w:cs="Arial" w:eastAsia="Arial" w:hAnsi="Arial"/>
          <w:sz w:val="16"/>
          <w:szCs w:val="16"/>
          <w:color w:val="auto"/>
        </w:rPr>
        <w:t>such assets (valued at book value) do not constitute a “substantial part” of the assets of the Company and its Restricted Subsidiaries;</w:t>
      </w:r>
    </w:p>
    <w:p>
      <w:pPr>
        <w:spacing w:after="0" w:line="248" w:lineRule="exact"/>
        <w:rPr>
          <w:rFonts w:ascii="Arial" w:cs="Arial" w:eastAsia="Arial" w:hAnsi="Arial"/>
          <w:sz w:val="16"/>
          <w:szCs w:val="16"/>
          <w:color w:val="auto"/>
        </w:rPr>
      </w:pPr>
    </w:p>
    <w:p>
      <w:pPr>
        <w:ind w:left="1360" w:hanging="444"/>
        <w:spacing w:after="0"/>
        <w:tabs>
          <w:tab w:leader="none" w:pos="1360" w:val="left"/>
        </w:tabs>
        <w:numPr>
          <w:ilvl w:val="2"/>
          <w:numId w:val="400"/>
        </w:numPr>
        <w:rPr>
          <w:rFonts w:ascii="Arial" w:cs="Arial" w:eastAsia="Arial" w:hAnsi="Arial"/>
          <w:sz w:val="16"/>
          <w:szCs w:val="16"/>
          <w:color w:val="auto"/>
        </w:rPr>
      </w:pPr>
      <w:r>
        <w:rPr>
          <w:rFonts w:ascii="Arial" w:cs="Arial" w:eastAsia="Arial" w:hAnsi="Arial"/>
          <w:sz w:val="16"/>
          <w:szCs w:val="16"/>
          <w:color w:val="auto"/>
        </w:rPr>
        <w:t>in the opinion of a Responsible Officer of the Company, the sale is for fair value and is in the best interests of the Company; and</w:t>
      </w:r>
    </w:p>
    <w:p>
      <w:pPr>
        <w:spacing w:after="0" w:line="248" w:lineRule="exact"/>
        <w:rPr>
          <w:rFonts w:ascii="Arial" w:cs="Arial" w:eastAsia="Arial" w:hAnsi="Arial"/>
          <w:sz w:val="16"/>
          <w:szCs w:val="16"/>
          <w:color w:val="auto"/>
        </w:rPr>
      </w:pPr>
    </w:p>
    <w:p>
      <w:pPr>
        <w:ind w:left="1360" w:hanging="444"/>
        <w:spacing w:after="0"/>
        <w:tabs>
          <w:tab w:leader="none" w:pos="1360" w:val="left"/>
        </w:tabs>
        <w:numPr>
          <w:ilvl w:val="2"/>
          <w:numId w:val="400"/>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 and after giving effect thereto, no Default or Event of Default would exist; or</w:t>
      </w:r>
    </w:p>
    <w:p>
      <w:pPr>
        <w:spacing w:after="0" w:line="248" w:lineRule="exact"/>
        <w:rPr>
          <w:rFonts w:ascii="Arial" w:cs="Arial" w:eastAsia="Arial" w:hAnsi="Arial"/>
          <w:sz w:val="16"/>
          <w:szCs w:val="16"/>
          <w:color w:val="auto"/>
        </w:rPr>
      </w:pPr>
    </w:p>
    <w:p>
      <w:pPr>
        <w:ind w:right="80" w:firstLine="447"/>
        <w:spacing w:after="0" w:line="288" w:lineRule="auto"/>
        <w:tabs>
          <w:tab w:leader="none" w:pos="736"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sale of assets meeting the conditions set forth in clauses (B) and (C) of clause (iii) above, as long as the cash proceeds from such sale in excess of a substantial part of the assets of the Company and its Restricted Subsidiaries (net of expenses of sale and an amount reasonably estimated by the Company to represent incremental income taxes due as a result of such sale) are (i) applied within 365 days of the date of receipt to the acquisition of productive assets useful and intended to be used in the operation or expansion of the business of the Company or its Restricted Subsidiaries, and/or (ii) used to repay any Indebtedness of the Company or its Restricted Subsidiaries (other than (x) Indebtedness that is in any manner subordinated in right of payment in any respect to Indebtedness arising or incurred under this Agreement, (y) Indebtedness owing to the Company, any of its Subsidiaries or any Affiliate, and (z) Indebtedness in respect of any revolving credit or similar credit facility providing the Company or any of its Restricted Subsidiaries with the right to obtain loans or other extensions of credit from time to time, except to the extent that in connection with such payment of Indebtedness the availability of credit under such credit facility is permanently reduced by an amount not less than the amount of such proceeds applied to the payment of such Indebtedness).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1" w:name="page332"/>
    <w:bookmarkEnd w:id="331"/>
    <w:p>
      <w:pPr>
        <w:ind w:firstLine="228"/>
        <w:spacing w:after="0" w:line="291" w:lineRule="auto"/>
        <w:tabs>
          <w:tab w:leader="none" w:pos="64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For purposes of Section 7.02(c), a sale of assets will be deemed to involve a “substantial part” of the assets of the Company and its Restricted Subsidiaries if the book value of such assets, together with all other assets sold, including mergers effected pursuant to Section 7.02(a)(i)(y) and the issuance, sale, transfer or disposition of stock or other Securities of Restricted Subsidiaries (except to the Company or another Restricted Subsidiary) effected pursuant to Section 7.02(e), during the same fiscal year (except (1) those assets sold pursuant to clauses (i) and (ii) of Section 7.02(c), and (2) those assets consisting of receivables sold through any Permitted Receivables Transaction permitted under Section 7.03(i)) equals at least 15.00% of the Consolidated Total Assets of the Company and its Restricted Subsidiaries determined as of the end of the immediately preceding fiscal year.</w:t>
      </w:r>
    </w:p>
    <w:p>
      <w:pPr>
        <w:spacing w:after="0" w:line="174" w:lineRule="exact"/>
        <w:rPr>
          <w:rFonts w:ascii="Arial" w:cs="Arial" w:eastAsia="Arial" w:hAnsi="Arial"/>
          <w:sz w:val="16"/>
          <w:szCs w:val="16"/>
          <w:color w:val="auto"/>
        </w:rPr>
      </w:pPr>
    </w:p>
    <w:p>
      <w:pPr>
        <w:ind w:right="20" w:firstLine="228"/>
        <w:spacing w:after="0" w:line="255" w:lineRule="auto"/>
        <w:tabs>
          <w:tab w:leader="none" w:pos="63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Company will not permit any Restricted Subsidiary to issue shares of stock or other Securities to any Person other than the Company or another Restricted Subsidiary. The Company will not, and will not permit any Restricted Subsidiary to, issue, sell, transfer or otherwise dispose of its interest in any stock or any other Securities (or any options or warrants to purchase stock or other Securities exchangeable for or convertible into stock or other Securities) of any Restricted Subsidiary (except to the Company or another Restricted Subsidiary) unless such issuance, sale, transfer or disposition (valued at book value) would be permitted under Section 7.02(c).</w:t>
      </w:r>
    </w:p>
    <w:p>
      <w:pPr>
        <w:spacing w:after="0" w:line="191" w:lineRule="exact"/>
        <w:rPr>
          <w:sz w:val="20"/>
          <w:szCs w:val="20"/>
          <w:color w:val="auto"/>
        </w:rPr>
      </w:pPr>
    </w:p>
    <w:p>
      <w:pPr>
        <w:ind w:firstLine="220"/>
        <w:spacing w:after="0" w:line="262" w:lineRule="auto"/>
        <w:rPr>
          <w:sz w:val="20"/>
          <w:szCs w:val="20"/>
          <w:color w:val="auto"/>
        </w:rPr>
      </w:pPr>
      <w:r>
        <w:rPr>
          <w:rFonts w:ascii="Arial" w:cs="Arial" w:eastAsia="Arial" w:hAnsi="Arial"/>
          <w:sz w:val="18"/>
          <w:szCs w:val="18"/>
          <w:b w:val="1"/>
          <w:bCs w:val="1"/>
          <w:color w:val="auto"/>
        </w:rPr>
        <w:t>7.03 Liens</w:t>
      </w:r>
      <w:r>
        <w:rPr>
          <w:rFonts w:ascii="Arial" w:cs="Arial" w:eastAsia="Arial" w:hAnsi="Arial"/>
          <w:sz w:val="18"/>
          <w:szCs w:val="18"/>
          <w:color w:val="auto"/>
        </w:rPr>
        <w:t>. The Company will not, and will not permit any of its Restricted Subsidiaries to, directly or indirectly create, incur, assume or permit to exist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happening of a contingency or otherwise) any Lien on or with respect to any of its properties or assets, whether now owned or hereafter acquired, except for the following (which are collectively referred to as “Permitted Liens”):</w:t>
      </w:r>
    </w:p>
    <w:p>
      <w:pPr>
        <w:spacing w:after="0" w:line="192" w:lineRule="exact"/>
        <w:rPr>
          <w:sz w:val="20"/>
          <w:szCs w:val="20"/>
          <w:color w:val="auto"/>
        </w:rPr>
      </w:pPr>
    </w:p>
    <w:p>
      <w:pPr>
        <w:ind w:right="500" w:firstLine="228"/>
        <w:spacing w:after="0" w:line="268" w:lineRule="auto"/>
        <w:tabs>
          <w:tab w:leader="none" w:pos="63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Mechanics’, materialmen’s, carriers’ or other like liens arising in the ordinary course of business (including construction of facilities) in respect of obligations that are not due or which are being contested in good faith;</w:t>
      </w:r>
    </w:p>
    <w:p>
      <w:pPr>
        <w:spacing w:after="0" w:line="185" w:lineRule="exact"/>
        <w:rPr>
          <w:rFonts w:ascii="Arial" w:cs="Arial" w:eastAsia="Arial" w:hAnsi="Arial"/>
          <w:sz w:val="18"/>
          <w:szCs w:val="18"/>
          <w:color w:val="auto"/>
        </w:rPr>
      </w:pPr>
    </w:p>
    <w:p>
      <w:pPr>
        <w:jc w:val="both"/>
        <w:ind w:right="220" w:firstLine="228"/>
        <w:spacing w:after="0" w:line="298" w:lineRule="auto"/>
        <w:tabs>
          <w:tab w:leader="none" w:pos="64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Liens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Lien arising by reason of one or more letters of credit in connection with any international waste management contract to be performed by the Company or any of its Subsidiaries or their respective Affiliates);</w:t>
      </w:r>
    </w:p>
    <w:p>
      <w:pPr>
        <w:spacing w:after="0" w:line="166" w:lineRule="exact"/>
        <w:rPr>
          <w:rFonts w:ascii="Arial" w:cs="Arial" w:eastAsia="Arial" w:hAnsi="Arial"/>
          <w:sz w:val="16"/>
          <w:szCs w:val="16"/>
          <w:color w:val="auto"/>
        </w:rPr>
      </w:pPr>
    </w:p>
    <w:p>
      <w:pPr>
        <w:ind w:right="440" w:firstLine="228"/>
        <w:spacing w:after="0" w:line="268" w:lineRule="auto"/>
        <w:tabs>
          <w:tab w:leader="none" w:pos="63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not yet delinquent or Liens for taxes, assessments or governmental charges or levies already delinquent but the validity of which is being contested in good faith;</w:t>
      </w:r>
    </w:p>
    <w:p>
      <w:pPr>
        <w:spacing w:after="0" w:line="185" w:lineRule="exact"/>
        <w:rPr>
          <w:rFonts w:ascii="Arial" w:cs="Arial" w:eastAsia="Arial" w:hAnsi="Arial"/>
          <w:sz w:val="18"/>
          <w:szCs w:val="18"/>
          <w:color w:val="auto"/>
        </w:rPr>
      </w:pPr>
    </w:p>
    <w:p>
      <w:pPr>
        <w:ind w:right="200" w:firstLine="228"/>
        <w:spacing w:after="0" w:line="268" w:lineRule="auto"/>
        <w:tabs>
          <w:tab w:leader="none" w:pos="64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(including judgment liens) arising in connection with legal proceedings so long as such proceedings are being contested in good faith and, in the case of judgment liens, execution thereon is stayed;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32" w:name="page333"/>
    <w:bookmarkEnd w:id="332"/>
    <w:p>
      <w:pPr>
        <w:ind w:left="640" w:hanging="412"/>
        <w:spacing w:after="0"/>
        <w:tabs>
          <w:tab w:leader="none" w:pos="64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Landlords’ liens on fixtures located on premises leased by the Company or any Restricted Subsidiary in the ordinary course of business;</w:t>
      </w:r>
    </w:p>
    <w:p>
      <w:pPr>
        <w:spacing w:after="0" w:line="248" w:lineRule="exact"/>
        <w:rPr>
          <w:rFonts w:ascii="Arial" w:cs="Arial" w:eastAsia="Arial" w:hAnsi="Arial"/>
          <w:sz w:val="16"/>
          <w:szCs w:val="16"/>
          <w:color w:val="auto"/>
        </w:rPr>
      </w:pPr>
    </w:p>
    <w:p>
      <w:pPr>
        <w:ind w:left="620" w:hanging="392"/>
        <w:spacing w:after="0"/>
        <w:tabs>
          <w:tab w:leader="none" w:pos="6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00" w:firstLine="228"/>
        <w:spacing w:after="0" w:line="268" w:lineRule="auto"/>
        <w:tabs>
          <w:tab w:leader="none" w:pos="64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arising by reason of deposits to qualify the Company or any Restricted Subsidiary to conduct business, to maintain self-insurance, or to obtain the benefit of, or comply with, Laws;</w:t>
      </w:r>
    </w:p>
    <w:p>
      <w:pPr>
        <w:spacing w:after="0" w:line="185" w:lineRule="exact"/>
        <w:rPr>
          <w:rFonts w:ascii="Arial" w:cs="Arial" w:eastAsia="Arial" w:hAnsi="Arial"/>
          <w:sz w:val="18"/>
          <w:szCs w:val="18"/>
          <w:color w:val="auto"/>
        </w:rPr>
      </w:pPr>
    </w:p>
    <w:p>
      <w:pPr>
        <w:ind w:right="40" w:firstLine="228"/>
        <w:spacing w:after="0" w:line="268" w:lineRule="auto"/>
        <w:tabs>
          <w:tab w:leader="none" w:pos="64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that secure any Indebtedness of a Restricted Subsidiary owing to the Company or another Restricted Subsidiary or by the Company to a Restricted Subsidiary;</w:t>
      </w:r>
    </w:p>
    <w:p>
      <w:pPr>
        <w:spacing w:after="0" w:line="185" w:lineRule="exact"/>
        <w:rPr>
          <w:rFonts w:ascii="Arial" w:cs="Arial" w:eastAsia="Arial" w:hAnsi="Arial"/>
          <w:sz w:val="18"/>
          <w:szCs w:val="18"/>
          <w:color w:val="auto"/>
        </w:rPr>
      </w:pPr>
    </w:p>
    <w:p>
      <w:pPr>
        <w:ind w:right="100" w:firstLine="228"/>
        <w:spacing w:after="0" w:line="291" w:lineRule="auto"/>
        <w:tabs>
          <w:tab w:leader="none" w:pos="60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Restricted Subsidiaries, as lessors or sublessors) from time to time purporting to secure the payment by the obligors describing the collateral securing such trade receivables (together with any financing statements signed by such obligors describing the collateral securing such trade receivables) pursuant to such Permitted Receivables Transactions;</w:t>
      </w:r>
    </w:p>
    <w:p>
      <w:pPr>
        <w:spacing w:after="0" w:line="174" w:lineRule="exact"/>
        <w:rPr>
          <w:rFonts w:ascii="Arial" w:cs="Arial" w:eastAsia="Arial" w:hAnsi="Arial"/>
          <w:sz w:val="16"/>
          <w:szCs w:val="16"/>
          <w:color w:val="auto"/>
        </w:rPr>
      </w:pPr>
    </w:p>
    <w:p>
      <w:pPr>
        <w:ind w:left="620" w:hanging="392"/>
        <w:spacing w:after="0"/>
        <w:tabs>
          <w:tab w:leader="none" w:pos="6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existing at Closing and reflected on Schedule 7.03 hereto;</w:t>
      </w:r>
    </w:p>
    <w:p>
      <w:pPr>
        <w:spacing w:after="0" w:line="225" w:lineRule="exact"/>
        <w:rPr>
          <w:rFonts w:ascii="Arial" w:cs="Arial" w:eastAsia="Arial" w:hAnsi="Arial"/>
          <w:sz w:val="18"/>
          <w:szCs w:val="18"/>
          <w:color w:val="auto"/>
        </w:rPr>
      </w:pPr>
    </w:p>
    <w:p>
      <w:pPr>
        <w:ind w:right="20" w:firstLine="228"/>
        <w:spacing w:after="0" w:line="285" w:lineRule="auto"/>
        <w:tabs>
          <w:tab w:leader="none" w:pos="64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 Liens upon property or assets which are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Lien secures or provides for the payment, financing or refinancing, directly or indirectly, of all or any part of the acquisition cost of such property or assets or the cost of construction, development or improvement thereof; or (ii) any Lien upon property or assets existing at the time of the acquisition thereof, which Lien secures obligations assumed by the Company or any Restricted Subsidiary; or (iii) any conditional sales agreement or other title retention agreement with respect to any property or assets acquired by the Company or any Restricted Subsidiary; or (iv) any Lien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(v) any Lien existing on the property, assets or shares of stock of any successor which shall have become the Company in accordance with the provisions set forth in Section 7.02; provided, in each case, that any such Lien described in the foregoing clauses (ii), (iii), (iv) or (v) does not attach to or affect property or assets owned by the Company or any Restricted Subsidiary prior to the event referred to in such clauses; provided further (for avoidance of doubt) that any such Lien described in the foregoing clauses (i), (ii) or (iii) may be created in favor of any Governmental Authority.</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3" w:name="page334"/>
    <w:bookmarkEnd w:id="333"/>
    <w:p>
      <w:pPr>
        <w:ind w:right="80" w:firstLine="228"/>
        <w:spacing w:after="0" w:line="256" w:lineRule="auto"/>
        <w:tabs>
          <w:tab w:leader="none" w:pos="59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extension, renewal or refunding (or successive extensions, renewals or refundings) in whole or in part of any Indebtedness secured by any Lien referred to in the foregoing clauses, inclusive, provided that the principal amount of the Indebtedness secured is not increased or the maturity thereof reduced and the Lien securing such Indebtedness shall be limited to the property or assets that, immediately prior to such extension, renewal or refunding, secured such Indebtedness and additions to such property or assets; and</w:t>
      </w:r>
    </w:p>
    <w:p>
      <w:pPr>
        <w:spacing w:after="0" w:line="197" w:lineRule="exact"/>
        <w:rPr>
          <w:rFonts w:ascii="Arial" w:cs="Arial" w:eastAsia="Arial" w:hAnsi="Arial"/>
          <w:sz w:val="18"/>
          <w:szCs w:val="18"/>
          <w:color w:val="auto"/>
        </w:rPr>
      </w:pPr>
    </w:p>
    <w:p>
      <w:pPr>
        <w:ind w:right="460" w:firstLine="228"/>
        <w:spacing w:after="0" w:line="332" w:lineRule="auto"/>
        <w:tabs>
          <w:tab w:leader="none" w:pos="69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Liens securing Priority Debt, provided that Priority Debt shall not at any time exceed 15.00% of Consolidated Tangible Assets as of the then most recently ended fiscal quarter or fiscal year of the Company for which financial information is reportable pursuant to Sections 6.01(a) and (b).</w:t>
      </w:r>
    </w:p>
    <w:p>
      <w:pPr>
        <w:spacing w:after="0" w:line="133" w:lineRule="exact"/>
        <w:rPr>
          <w:sz w:val="20"/>
          <w:szCs w:val="20"/>
          <w:color w:val="auto"/>
        </w:rPr>
      </w:pPr>
    </w:p>
    <w:p>
      <w:pPr>
        <w:ind w:right="180" w:firstLine="220"/>
        <w:spacing w:after="0" w:line="275" w:lineRule="auto"/>
        <w:rPr>
          <w:sz w:val="20"/>
          <w:szCs w:val="20"/>
          <w:color w:val="auto"/>
        </w:rPr>
      </w:pPr>
      <w:r>
        <w:rPr>
          <w:rFonts w:ascii="Arial" w:cs="Arial" w:eastAsia="Arial" w:hAnsi="Arial"/>
          <w:sz w:val="18"/>
          <w:szCs w:val="18"/>
          <w:b w:val="1"/>
          <w:bCs w:val="1"/>
          <w:color w:val="auto"/>
        </w:rPr>
        <w:t>7.04 Limitation on Consolidated Debt</w:t>
      </w:r>
      <w:r>
        <w:rPr>
          <w:rFonts w:ascii="Arial" w:cs="Arial" w:eastAsia="Arial" w:hAnsi="Arial"/>
          <w:sz w:val="18"/>
          <w:szCs w:val="18"/>
          <w:color w:val="auto"/>
        </w:rPr>
        <w:t>. The Company will not permit at any time the ratio of (a) Consolidated Debt to (b) Adjusted Consolidated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most recently ended period of four consecutive fiscal quarters of the Company to be greater than 3.75 to 1.00.</w:t>
      </w:r>
    </w:p>
    <w:p>
      <w:pPr>
        <w:spacing w:after="0" w:line="174" w:lineRule="exact"/>
        <w:rPr>
          <w:sz w:val="20"/>
          <w:szCs w:val="20"/>
          <w:color w:val="auto"/>
        </w:rPr>
      </w:pPr>
    </w:p>
    <w:p>
      <w:pPr>
        <w:ind w:right="20" w:firstLine="220"/>
        <w:spacing w:after="0" w:line="339" w:lineRule="auto"/>
        <w:rPr>
          <w:sz w:val="20"/>
          <w:szCs w:val="20"/>
          <w:color w:val="auto"/>
        </w:rPr>
      </w:pPr>
      <w:r>
        <w:rPr>
          <w:rFonts w:ascii="Arial" w:cs="Arial" w:eastAsia="Arial" w:hAnsi="Arial"/>
          <w:sz w:val="16"/>
          <w:szCs w:val="16"/>
          <w:b w:val="1"/>
          <w:bCs w:val="1"/>
          <w:color w:val="auto"/>
        </w:rPr>
        <w:t>7.05 Limitation on Priority Debt</w:t>
      </w:r>
      <w:r>
        <w:rPr>
          <w:rFonts w:ascii="Arial" w:cs="Arial" w:eastAsia="Arial" w:hAnsi="Arial"/>
          <w:sz w:val="16"/>
          <w:szCs w:val="16"/>
          <w:color w:val="auto"/>
        </w:rPr>
        <w:t>. The Company will not permit Priority Debt at any time to exceed 15.00% of Consolidated Tangible Assets as of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most recently ended fiscal quarter or fiscal year of the Company for which financial information is reportable pursuant to Sections 6.01(a) and (b).</w:t>
      </w:r>
    </w:p>
    <w:p>
      <w:pPr>
        <w:spacing w:after="0" w:line="128" w:lineRule="exact"/>
        <w:rPr>
          <w:sz w:val="20"/>
          <w:szCs w:val="20"/>
          <w:color w:val="auto"/>
        </w:rPr>
      </w:pPr>
    </w:p>
    <w:p>
      <w:pPr>
        <w:ind w:right="20" w:firstLine="220"/>
        <w:spacing w:after="0" w:line="339" w:lineRule="auto"/>
        <w:rPr>
          <w:sz w:val="20"/>
          <w:szCs w:val="20"/>
          <w:color w:val="auto"/>
        </w:rPr>
      </w:pPr>
      <w:r>
        <w:rPr>
          <w:rFonts w:ascii="Arial" w:cs="Arial" w:eastAsia="Arial" w:hAnsi="Arial"/>
          <w:sz w:val="15"/>
          <w:szCs w:val="15"/>
          <w:b w:val="1"/>
          <w:bCs w:val="1"/>
          <w:color w:val="auto"/>
        </w:rPr>
        <w:t>7.06 Nature of Business</w:t>
      </w:r>
      <w:r>
        <w:rPr>
          <w:rFonts w:ascii="Arial" w:cs="Arial" w:eastAsia="Arial" w:hAnsi="Arial"/>
          <w:sz w:val="15"/>
          <w:szCs w:val="15"/>
          <w:color w:val="auto"/>
        </w:rPr>
        <w:t>. The Company will not, and will not permit any Restricted Subsidiary to, engage in any business if, as a result, the general nature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business of the Company and its Restricted Subsidiaries, taken as a whole, which would then be engaged in by the Company and its Restricted Subsidiaries would be substantially changed from the nature of the business engaged in by the Company and its Restricted Subsidiaries, taken as a whole, on the Closing Date.</w:t>
      </w:r>
    </w:p>
    <w:p>
      <w:pPr>
        <w:spacing w:after="0" w:line="133"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b w:val="1"/>
          <w:bCs w:val="1"/>
          <w:color w:val="auto"/>
        </w:rPr>
        <w:t>7.07 Designation of Unrestricted Subsidiaries</w:t>
      </w:r>
      <w:r>
        <w:rPr>
          <w:rFonts w:ascii="Arial" w:cs="Arial" w:eastAsia="Arial" w:hAnsi="Arial"/>
          <w:sz w:val="16"/>
          <w:szCs w:val="16"/>
          <w:color w:val="auto"/>
        </w:rPr>
        <w:t>. The Company may designate any newly-formed or newly-acquired Subsidiary as a Restricted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an Unrestricted Subsidiary; provided that if the Company shall fail to so designate by the end of the fiscal quarter in which such Subsidiary is formed or acquired, such Subsidiary shall be deemed to be a Restricted Subsidiary. In addition, the Company may designate any Restricted Subsidiary as an Unrestricted Subsidiary and any Unrestricted Subsidiary as a Restricted Subsidiary; provided that, (a) if such Subsidiary initially is a Restricted Subsidiary, then such Restricted Subsidiary may be subsequently redesignated as an Unrestricted Subsidiary and such Unrestricted Subsidiary may be subsequently designated as a Restricted Subsidiary, but no further changes in designation may be made; (b) if such Subsidiary initially is an Unrestricted Subsidiary, then such Unrestricted Subsidiary may be subsequently designated as a Restricted Subsidiary and such Restricted Subsidiary may be subsequently redesignated as an Unrestricted Subsidiary, but no further changes in designation may be made; (c) immediately before and after designation of a Restricted Subsidiary as an Unrestricted Subsidiary or of an Unrestricted Subsidiary as a Restricted Subsidiary there exists no Default or Event of Default; and (d) Holdings may not be designated as an Unrestricted Subsidiary.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4" w:name="page335"/>
    <w:bookmarkEnd w:id="334"/>
    <w:p>
      <w:pPr>
        <w:ind w:right="540" w:firstLine="220"/>
        <w:spacing w:after="0" w:line="275" w:lineRule="auto"/>
        <w:rPr>
          <w:sz w:val="20"/>
          <w:szCs w:val="20"/>
          <w:color w:val="auto"/>
        </w:rPr>
      </w:pPr>
      <w:r>
        <w:rPr>
          <w:rFonts w:ascii="Arial" w:cs="Arial" w:eastAsia="Arial" w:hAnsi="Arial"/>
          <w:sz w:val="18"/>
          <w:szCs w:val="18"/>
          <w:b w:val="1"/>
          <w:bCs w:val="1"/>
          <w:color w:val="auto"/>
        </w:rPr>
        <w:t>7.08 Margin Stock</w:t>
      </w:r>
      <w:r>
        <w:rPr>
          <w:rFonts w:ascii="Arial" w:cs="Arial" w:eastAsia="Arial" w:hAnsi="Arial"/>
          <w:sz w:val="18"/>
          <w:szCs w:val="18"/>
          <w:color w:val="auto"/>
        </w:rPr>
        <w:t>. The Company shall not use the Credits, the Advances or the Term Loans, whether directly or indirectly, and whether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incidentally or ultimately, to purchase or carry margin stock with in the meaning of Regulation U of the FRB.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8.01 Events of Default</w:t>
      </w:r>
      <w:r>
        <w:rPr>
          <w:rFonts w:ascii="Arial" w:cs="Arial" w:eastAsia="Arial" w:hAnsi="Arial"/>
          <w:sz w:val="18"/>
          <w:szCs w:val="18"/>
          <w:color w:val="auto"/>
        </w:rPr>
        <w:t>. Any of the following shall constitute an Event of Default:</w:t>
      </w:r>
    </w:p>
    <w:p>
      <w:pPr>
        <w:spacing w:after="0" w:line="231" w:lineRule="exact"/>
        <w:rPr>
          <w:sz w:val="20"/>
          <w:szCs w:val="20"/>
          <w:color w:val="auto"/>
        </w:rPr>
      </w:pPr>
    </w:p>
    <w:p>
      <w:pPr>
        <w:ind w:right="20" w:firstLine="228"/>
        <w:spacing w:after="0" w:line="294" w:lineRule="auto"/>
        <w:tabs>
          <w:tab w:leader="none" w:pos="63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Non-Payment of Drawing or Principal Amount. The Company fails to pay when and as required to be paid herein or in any other Credit Document (i) within six Business Days after the applicable Reimbursement Date of any drawing under any Credit, the amount of such drawing (unless within such six Business Day period a Request for Term Loans has been received pursuant to Section 2.03(b), and such Term Loans are made in accordance with the terms and conditions of Sections 2.03, 4.02 and 4.03 within 15 Business Days of the receipt by the Administrative Agent of such Request for Term Loans), or (ii) on the Maturity Date, the aggregate principal amount of any Term Loan or Advances outstanding; or</w:t>
      </w:r>
    </w:p>
    <w:p>
      <w:pPr>
        <w:spacing w:after="0" w:line="169" w:lineRule="exact"/>
        <w:rPr>
          <w:rFonts w:ascii="Arial" w:cs="Arial" w:eastAsia="Arial" w:hAnsi="Arial"/>
          <w:sz w:val="16"/>
          <w:szCs w:val="16"/>
          <w:color w:val="auto"/>
        </w:rPr>
      </w:pPr>
    </w:p>
    <w:p>
      <w:pPr>
        <w:ind w:right="180" w:firstLine="228"/>
        <w:spacing w:after="0" w:line="259" w:lineRule="auto"/>
        <w:tabs>
          <w:tab w:leader="none" w:pos="64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Non-Payment of Interest and Other Amounts. The Company defaults in the payment of any interest on any Letter of Credit Linked Note or Term Note, any Facility Fee or Fronting Fee due hereunder, or other amount payable hereunder or under any other Credit Document for more than five (5) Business Days after the same becomes due and payable; or</w:t>
      </w:r>
    </w:p>
    <w:p>
      <w:pPr>
        <w:spacing w:after="0" w:line="194" w:lineRule="exact"/>
        <w:rPr>
          <w:rFonts w:ascii="Arial" w:cs="Arial" w:eastAsia="Arial" w:hAnsi="Arial"/>
          <w:sz w:val="18"/>
          <w:szCs w:val="18"/>
          <w:color w:val="auto"/>
        </w:rPr>
      </w:pPr>
    </w:p>
    <w:p>
      <w:pPr>
        <w:ind w:right="380" w:firstLine="228"/>
        <w:spacing w:after="0" w:line="332" w:lineRule="auto"/>
        <w:tabs>
          <w:tab w:leader="none" w:pos="63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Specific Covenants. The Company defaults in the performance of or compliance with (i) Section 7.05, which default is not remedied within ten (10) Business Days after a Responsible Officer obtaining actual knowledge of such default, or (ii) Sections 7.02, 7.03, or 7.04; or</w:t>
      </w:r>
    </w:p>
    <w:p>
      <w:pPr>
        <w:spacing w:after="0" w:line="139" w:lineRule="exact"/>
        <w:rPr>
          <w:rFonts w:ascii="Arial" w:cs="Arial" w:eastAsia="Arial" w:hAnsi="Arial"/>
          <w:sz w:val="16"/>
          <w:szCs w:val="16"/>
          <w:color w:val="auto"/>
        </w:rPr>
      </w:pPr>
    </w:p>
    <w:p>
      <w:pPr>
        <w:ind w:right="220" w:firstLine="228"/>
        <w:spacing w:after="0" w:line="259" w:lineRule="auto"/>
        <w:tabs>
          <w:tab w:leader="none" w:pos="64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Other Defaults. The Company defaults in the performance of or compliance with any term contained herein (other than those referred to in paragraphs (a), (b) and (c) of this Section 8.01) and such default is not remedied within thirty (30) days after a Responsible Officer obtaining actual knowledge of such default; or</w:t>
      </w:r>
    </w:p>
    <w:p>
      <w:pPr>
        <w:spacing w:after="0" w:line="194" w:lineRule="exact"/>
        <w:rPr>
          <w:rFonts w:ascii="Arial" w:cs="Arial" w:eastAsia="Arial" w:hAnsi="Arial"/>
          <w:sz w:val="18"/>
          <w:szCs w:val="18"/>
          <w:color w:val="auto"/>
        </w:rPr>
      </w:pPr>
    </w:p>
    <w:p>
      <w:pPr>
        <w:ind w:right="280" w:firstLine="228"/>
        <w:spacing w:after="0" w:line="259" w:lineRule="auto"/>
        <w:tabs>
          <w:tab w:leader="none" w:pos="63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Representations and Warranties. Any representation or warranty made in writing by or on behalf of the Company or Holdings or by any officer of the Company or Holdings in this Agreement or in any writing furnished in connection with the transactions contemplated hereby proves to have been false or incorrect in any material respect on the date as of which made; or</w:t>
      </w:r>
    </w:p>
    <w:p>
      <w:pPr>
        <w:spacing w:after="0" w:line="194" w:lineRule="exact"/>
        <w:rPr>
          <w:rFonts w:ascii="Arial" w:cs="Arial" w:eastAsia="Arial" w:hAnsi="Arial"/>
          <w:sz w:val="18"/>
          <w:szCs w:val="18"/>
          <w:color w:val="auto"/>
        </w:rPr>
      </w:pPr>
    </w:p>
    <w:p>
      <w:pPr>
        <w:ind w:right="180" w:firstLine="228"/>
        <w:spacing w:after="0" w:line="294" w:lineRule="auto"/>
        <w:tabs>
          <w:tab w:leader="none" w:pos="61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Cross-Defaults. (i) A default in the payment of any principal of or premium or make-whole amount or interest on any Material Debt has occurred and continues beyond any period of grace provided with respect thereto, or (ii) any other default in the performance of or compliance with any term of any evidence of any Material Debt or of any mortgage, indenture or other agreement relating thereto exists, and as a consequence of such default such Material Debt has become, or has been declared (or one or more Persons are entitled to declare such Material Debt to be), due and payable before its stated maturity or before its regularly scheduled dates of payment, or (iii) as a consequence of the occurrence or continuation of any event, (x) the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35" w:name="page336"/>
    <w:bookmarkEnd w:id="335"/>
    <w:p>
      <w:pPr>
        <w:ind w:right="140"/>
        <w:spacing w:after="0" w:line="305" w:lineRule="auto"/>
        <w:rPr>
          <w:sz w:val="20"/>
          <w:szCs w:val="20"/>
          <w:color w:val="auto"/>
        </w:rPr>
      </w:pPr>
      <w:r>
        <w:rPr>
          <w:rFonts w:ascii="Arial" w:cs="Arial" w:eastAsia="Arial" w:hAnsi="Arial"/>
          <w:sz w:val="15"/>
          <w:szCs w:val="15"/>
          <w:color w:val="auto"/>
        </w:rPr>
        <w:t>Company or any Restricted Subsidiary has become obligated to purchase or repay any Material Debt before its regular maturity or before its regularly scheduled dates of payment, or (y) one or more Persons have the right to require the Company or any Restricted Subsidiary so to purchase or repay any Material Debt, or</w:t>
      </w:r>
    </w:p>
    <w:p>
      <w:pPr>
        <w:ind w:left="300" w:hanging="292"/>
        <w:spacing w:after="0"/>
        <w:tabs>
          <w:tab w:leader="none" w:pos="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 event or condition shall occur which results in an “Event of Default” under the Ten Year Agreement or the Five Year Agreement; or</w:t>
      </w:r>
    </w:p>
    <w:p>
      <w:pPr>
        <w:spacing w:after="0" w:line="218" w:lineRule="exact"/>
        <w:rPr>
          <w:rFonts w:ascii="Arial" w:cs="Arial" w:eastAsia="Arial" w:hAnsi="Arial"/>
          <w:sz w:val="18"/>
          <w:szCs w:val="18"/>
          <w:color w:val="auto"/>
        </w:rPr>
      </w:pPr>
    </w:p>
    <w:p>
      <w:pPr>
        <w:ind w:right="160" w:firstLine="228"/>
        <w:spacing w:after="0" w:line="291" w:lineRule="auto"/>
        <w:tabs>
          <w:tab w:leader="none" w:pos="644" w:val="left"/>
        </w:tabs>
        <w:numPr>
          <w:ilvl w:val="1"/>
          <w:numId w:val="406"/>
        </w:numPr>
        <w:rPr>
          <w:rFonts w:ascii="Arial" w:cs="Arial" w:eastAsia="Arial" w:hAnsi="Arial"/>
          <w:sz w:val="16"/>
          <w:szCs w:val="16"/>
          <w:color w:val="auto"/>
        </w:rPr>
      </w:pPr>
      <w:r>
        <w:rPr>
          <w:rFonts w:ascii="Arial" w:cs="Arial" w:eastAsia="Arial" w:hAnsi="Arial"/>
          <w:sz w:val="16"/>
          <w:szCs w:val="16"/>
          <w:color w:val="auto"/>
        </w:rPr>
        <w:t>Failure to Pay Debts; Voluntary Proceedings. The Company, any Restricted Subsidiary or Holdings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74" w:lineRule="exact"/>
        <w:rPr>
          <w:rFonts w:ascii="Arial" w:cs="Arial" w:eastAsia="Arial" w:hAnsi="Arial"/>
          <w:sz w:val="16"/>
          <w:szCs w:val="16"/>
          <w:color w:val="auto"/>
        </w:rPr>
      </w:pPr>
    </w:p>
    <w:p>
      <w:pPr>
        <w:ind w:right="120" w:firstLine="228"/>
        <w:spacing w:after="0" w:line="254" w:lineRule="auto"/>
        <w:tabs>
          <w:tab w:leader="none" w:pos="64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Involuntary Proceedings. A court or governmental authority of competent jurisdiction enters an order appointing, without consent by the Company, any Restricted Subsidiary or Holdings, as applicable,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any Restricted Subsidiary or Holdings, or any such petition shall be filed against the Company, any Restricted Subsidiary or Holdings and such petition shall not be dismissed within 60 days; or</w:t>
      </w:r>
    </w:p>
    <w:p>
      <w:pPr>
        <w:spacing w:after="0" w:line="198" w:lineRule="exact"/>
        <w:rPr>
          <w:rFonts w:ascii="Arial" w:cs="Arial" w:eastAsia="Arial" w:hAnsi="Arial"/>
          <w:sz w:val="18"/>
          <w:szCs w:val="18"/>
          <w:color w:val="auto"/>
        </w:rPr>
      </w:pPr>
    </w:p>
    <w:p>
      <w:pPr>
        <w:ind w:right="220" w:firstLine="228"/>
        <w:spacing w:after="0" w:line="259" w:lineRule="auto"/>
        <w:tabs>
          <w:tab w:leader="none" w:pos="605" w:val="left"/>
        </w:tabs>
        <w:numPr>
          <w:ilvl w:val="1"/>
          <w:numId w:val="406"/>
        </w:numPr>
        <w:rPr>
          <w:rFonts w:ascii="Arial" w:cs="Arial" w:eastAsia="Arial" w:hAnsi="Arial"/>
          <w:sz w:val="18"/>
          <w:szCs w:val="18"/>
          <w:color w:val="auto"/>
        </w:rPr>
      </w:pPr>
      <w:r>
        <w:rPr>
          <w:rFonts w:ascii="Arial" w:cs="Arial" w:eastAsia="Arial" w:hAnsi="Arial"/>
          <w:sz w:val="18"/>
          <w:szCs w:val="18"/>
          <w:color w:val="auto"/>
        </w:rPr>
        <w:t>Judgments. A final judgment or judgments for the payment of money aggregating in excess of 10.00% of Consolidated Net Worth are rendered against one or more of the Company, any Restricted Subsidiary or Holdings and which judgments are not, within 60 days after entry thereof, bonded, discharged or stayed pending appeal, or are not discharged within 60 days after the expiration of such stay; or</w:t>
      </w:r>
    </w:p>
    <w:p>
      <w:pPr>
        <w:spacing w:after="0" w:line="194" w:lineRule="exact"/>
        <w:rPr>
          <w:rFonts w:ascii="Arial" w:cs="Arial" w:eastAsia="Arial" w:hAnsi="Arial"/>
          <w:sz w:val="18"/>
          <w:szCs w:val="18"/>
          <w:color w:val="auto"/>
        </w:rPr>
      </w:pPr>
    </w:p>
    <w:p>
      <w:pPr>
        <w:jc w:val="both"/>
        <w:ind w:right="120" w:firstLine="228"/>
        <w:spacing w:after="0" w:line="298" w:lineRule="auto"/>
        <w:tabs>
          <w:tab w:leader="none" w:pos="605"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Invalidity of Holdings Guaranty. If for any reason (other than payment in full of all obligations under this Agreement, the Letter of Credit Linked Notes and the Term Notes) the Holdings Guaranty shall cease to be in full force and effect (other than as expressly provided in Section 11.09 of this Agreement), or the Company or Holdings (or any other Person on behalf of the Company or Holdings) shall contest the validity or enforceability of such Holdings Guaranty, deny that Holdings has any further liability hereunder, or seek to revoke such Holdings Guaranty; or</w:t>
      </w:r>
    </w:p>
    <w:p>
      <w:pPr>
        <w:spacing w:after="0" w:line="166" w:lineRule="exact"/>
        <w:rPr>
          <w:rFonts w:ascii="Arial" w:cs="Arial" w:eastAsia="Arial" w:hAnsi="Arial"/>
          <w:sz w:val="16"/>
          <w:szCs w:val="16"/>
          <w:color w:val="auto"/>
        </w:rPr>
      </w:pPr>
    </w:p>
    <w:p>
      <w:pPr>
        <w:ind w:right="40" w:firstLine="228"/>
        <w:spacing w:after="0" w:line="256" w:lineRule="auto"/>
        <w:tabs>
          <w:tab w:leader="none" w:pos="64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ERISA.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6" w:name="page337"/>
    <w:bookmarkEnd w:id="336"/>
    <w:p>
      <w:pPr>
        <w:ind w:right="40"/>
        <w:spacing w:after="0" w:line="290" w:lineRule="auto"/>
        <w:rPr>
          <w:sz w:val="20"/>
          <w:szCs w:val="20"/>
          <w:color w:val="auto"/>
        </w:rPr>
      </w:pPr>
      <w:r>
        <w:rPr>
          <w:rFonts w:ascii="Arial" w:cs="Arial" w:eastAsia="Arial" w:hAnsi="Arial"/>
          <w:sz w:val="16"/>
          <w:szCs w:val="16"/>
          <w:color w:val="auto"/>
        </w:rPr>
        <w:t>ERISA Affiliate that a Plan may become a subject of any such proceedings, (iii) the aggregate “amount of unfunded benefit liabilities” (within the meaning of Section 4001(a)(18) of ERISA) under all Plans, determined in accordance with Title IV of ERISA, shall exceed 10.00% of Consolidated Net Worth,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 either individually or together with any other such event or events, could reasonably be expected to have a Material Adverse Effect; or</w:t>
      </w:r>
    </w:p>
    <w:p>
      <w:pPr>
        <w:spacing w:after="0" w:line="172" w:lineRule="exact"/>
        <w:rPr>
          <w:sz w:val="20"/>
          <w:szCs w:val="20"/>
          <w:color w:val="auto"/>
        </w:rPr>
      </w:pPr>
    </w:p>
    <w:p>
      <w:pPr>
        <w:ind w:right="40" w:firstLine="228"/>
        <w:spacing w:after="0" w:line="291" w:lineRule="auto"/>
        <w:tabs>
          <w:tab w:leader="none" w:pos="60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Change in Control. At any time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Company; or during any period of twelve consecutive calendar months, individuals who were directors of the Company on the first day of such period (together with any new directors whose election by such board or whose nomination for election by the shareholders of the Company was approved by a vote of a majority of the directors still in office who were either directors at the beginning of such period or whose election or nomination for election was previously so approved) shall cease to constitute a majority of the board of directors of the Company.</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used in Section 8.01(k), the terms “employee benefit plan” and “employee welfare benefit plan” shall have the respective meanings assigned to such terms in Section 3 of ERISA.</w:t>
      </w:r>
    </w:p>
    <w:p>
      <w:pPr>
        <w:spacing w:after="0" w:line="180" w:lineRule="exact"/>
        <w:rPr>
          <w:sz w:val="20"/>
          <w:szCs w:val="20"/>
          <w:color w:val="auto"/>
        </w:rPr>
      </w:pPr>
    </w:p>
    <w:p>
      <w:pPr>
        <w:jc w:val="both"/>
        <w:ind w:right="180" w:firstLine="220"/>
        <w:spacing w:after="0" w:line="26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Required Credit-Linked Lenders, take any or all of the following actions, which actions shall be taken simultaneously under this Agreement, the Ten Year Agreement and the Five Year Agreement:</w:t>
      </w:r>
    </w:p>
    <w:p>
      <w:pPr>
        <w:spacing w:after="0" w:line="192" w:lineRule="exact"/>
        <w:rPr>
          <w:sz w:val="20"/>
          <w:szCs w:val="20"/>
          <w:color w:val="auto"/>
        </w:rPr>
      </w:pPr>
    </w:p>
    <w:p>
      <w:pPr>
        <w:ind w:right="60" w:firstLine="228"/>
        <w:spacing w:after="0" w:line="268" w:lineRule="auto"/>
        <w:tabs>
          <w:tab w:leader="none" w:pos="63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declare any obligation of the Issuer to make Credit Extensions and the obligations of the Lenders to make Term Loans to be terminated, whereupon such commitments and obligation shall be terminated;</w:t>
      </w:r>
    </w:p>
    <w:p>
      <w:pPr>
        <w:spacing w:after="0" w:line="185" w:lineRule="exact"/>
        <w:rPr>
          <w:rFonts w:ascii="Arial" w:cs="Arial" w:eastAsia="Arial" w:hAnsi="Arial"/>
          <w:sz w:val="18"/>
          <w:szCs w:val="18"/>
          <w:color w:val="auto"/>
        </w:rPr>
      </w:pPr>
    </w:p>
    <w:p>
      <w:pPr>
        <w:ind w:right="40" w:firstLine="228"/>
        <w:spacing w:after="0" w:line="332" w:lineRule="auto"/>
        <w:tabs>
          <w:tab w:leader="none" w:pos="644" w:val="left"/>
        </w:tabs>
        <w:numPr>
          <w:ilvl w:val="0"/>
          <w:numId w:val="408"/>
        </w:numPr>
        <w:rPr>
          <w:rFonts w:ascii="Arial" w:cs="Arial" w:eastAsia="Arial" w:hAnsi="Arial"/>
          <w:sz w:val="16"/>
          <w:szCs w:val="16"/>
          <w:color w:val="auto"/>
        </w:rPr>
      </w:pPr>
      <w:r>
        <w:rPr>
          <w:rFonts w:ascii="Arial" w:cs="Arial" w:eastAsia="Arial" w:hAnsi="Arial"/>
          <w:sz w:val="16"/>
          <w:szCs w:val="16"/>
          <w:color w:val="auto"/>
        </w:rPr>
        <w:t>declare all amounts owing or payable hereunder (including the Prepayment Premium, if any) or under any other Credit Document to be immediately due and payable, without presentment, demand, protest or other notice of any kind, all of which are hereby expressly waived by the Company;</w:t>
      </w:r>
    </w:p>
    <w:p>
      <w:pPr>
        <w:spacing w:after="0" w:line="139" w:lineRule="exact"/>
        <w:rPr>
          <w:rFonts w:ascii="Arial" w:cs="Arial" w:eastAsia="Arial" w:hAnsi="Arial"/>
          <w:sz w:val="16"/>
          <w:szCs w:val="16"/>
          <w:color w:val="auto"/>
        </w:rPr>
      </w:pPr>
    </w:p>
    <w:p>
      <w:pPr>
        <w:ind w:right="480" w:firstLine="228"/>
        <w:spacing w:after="0" w:line="268" w:lineRule="auto"/>
        <w:tabs>
          <w:tab w:leader="none" w:pos="63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require that the Company Cash Collateralize the Credit Obligations (other than Advances and Term Loans) (in an amount equal to the Outstanding Amount thereof, as such amount may vary from time to time);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7" w:name="page338"/>
    <w:bookmarkEnd w:id="337"/>
    <w:p>
      <w:pPr>
        <w:ind w:right="180" w:firstLine="228"/>
        <w:spacing w:after="0" w:line="268" w:lineRule="auto"/>
        <w:tabs>
          <w:tab w:leader="none" w:pos="64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exercise on behalf of itself, the Issuer and the Lenders all rights and remedies available to it, the Issuer and the Lenders under the Credit Documents or applicable law;</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however, that upon the occurrence of an Event of Default pursuant to Sections 8.01(g) or (h), any obligation of the Issuer or the Lenders to make Credit Extensions shall automatically terminate, all unpaid amounts as aforesaid shall automatically become due and payable, and the obligation of the Company to Cash Collateralize the Credit Obligations (other than Advances and Term Loans) as aforesaid shall automatically become effective, in each case without further act of the Administrative Agent or any Lender.</w:t>
      </w:r>
    </w:p>
    <w:p>
      <w:pPr>
        <w:spacing w:after="0" w:line="197"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Thereafter, at the request of the Required Lenders, the Administrative Agent shall (x) withdraw from the Credit-Linked Deposit Account and distribute to the Lenders an amount equal to the excess of the Total Credit-Linked Deposit over the Outstanding Amount of the Credit Obligations (other than Advances and Term Loans), and (y) subject to, and to the extent of, the Company’s compliance with any Cash Collateralization requirements as aforesaid, withdraw from the Credit-Linked Deposit Account and distribute to the Lenders the aggregate amount of any remaining Credit-Linked Deposits to the extent of the amount credited to the Credit-Linked Deposit Account; in each case subject to any notice required pursuant to the Money Market Account Agreement.</w:t>
      </w:r>
    </w:p>
    <w:p>
      <w:pPr>
        <w:spacing w:after="0" w:line="164" w:lineRule="exact"/>
        <w:rPr>
          <w:sz w:val="20"/>
          <w:szCs w:val="20"/>
          <w:color w:val="auto"/>
        </w:rPr>
      </w:pPr>
    </w:p>
    <w:p>
      <w:pPr>
        <w:ind w:right="40" w:firstLine="220"/>
        <w:spacing w:after="0" w:line="258"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 Section 8.02 (or after the obligations of the Issuer to make Credit Extensions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automatically terminated and the Credit Obligations have automatically been required to be Cash Collateralized as set forth in the proviso to Section 8.02), any amounts received by the Administrative Agent, the Issuer or the Lenders on account of the Credit Obligations shall be applied by the Administrative Agent in the following order:</w:t>
      </w:r>
    </w:p>
    <w:p>
      <w:pPr>
        <w:spacing w:after="0" w:line="19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First, to payment of fees, indemnities, expenses and other amounts (including interest thereon, Attorney Costs and amounts payable under Article III) payable to the Administrative Agent in its capacity as such;</w:t>
      </w:r>
    </w:p>
    <w:p>
      <w:pPr>
        <w:spacing w:after="0" w:line="186"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Second, to payment of fees, indemnities and other amounts (excluding principal and interest on any Borrowings but including interest, if any, on any such fees, indemnities and other amounts) payable to the Issuer and the Lenders (including Attorney Costs and amounts payable under Article III), ratably among them in proportion to the amounts described in this clause Second payable to them;</w:t>
      </w:r>
    </w:p>
    <w:p>
      <w:pPr>
        <w:spacing w:after="0" w:line="194"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Third, to payment of that portion of the Credit Obligations constituting accrued and unpaid interest on the Borrowings, to the Issuer and ratably among the Lenders in proportion to the respective amounts described in this clause Third payable to them;</w:t>
      </w:r>
    </w:p>
    <w:p>
      <w:pPr>
        <w:spacing w:after="0" w:line="186"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Fourth, to payment of that portion of the Credit Obligations constituting unpaid principal of the Borrowings, to the Issuer and ratably among the Lenders in proportion to the respective amounts described in this clause Fourth held by them;</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Fifth, to the Administrative Agent for the account of the Issuer, to Cash Collateralize that portion of Credit Obligations comprised of the aggregate undrawn amount of Credits;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8" w:name="page339"/>
    <w:bookmarkEnd w:id="338"/>
    <w:p>
      <w:pPr>
        <w:ind w:left="220"/>
        <w:spacing w:after="0"/>
        <w:rPr>
          <w:sz w:val="20"/>
          <w:szCs w:val="20"/>
          <w:color w:val="auto"/>
        </w:rPr>
      </w:pPr>
      <w:r>
        <w:rPr>
          <w:rFonts w:ascii="Arial" w:cs="Arial" w:eastAsia="Arial" w:hAnsi="Arial"/>
          <w:sz w:val="18"/>
          <w:szCs w:val="18"/>
          <w:color w:val="auto"/>
        </w:rPr>
        <w:t>Last, the balance, if any, after all of the Credit Obligations have been paid in full, to the Company or as otherwise required by Law.</w:t>
      </w:r>
    </w:p>
    <w:p>
      <w:pPr>
        <w:spacing w:after="0" w:line="225" w:lineRule="exact"/>
        <w:rPr>
          <w:sz w:val="20"/>
          <w:szCs w:val="20"/>
          <w:color w:val="auto"/>
        </w:rPr>
      </w:pPr>
    </w:p>
    <w:p>
      <w:pPr>
        <w:ind w:right="180" w:firstLine="220"/>
        <w:spacing w:after="0" w:line="306" w:lineRule="auto"/>
        <w:rPr>
          <w:sz w:val="20"/>
          <w:szCs w:val="20"/>
          <w:color w:val="auto"/>
        </w:rPr>
      </w:pPr>
      <w:r>
        <w:rPr>
          <w:rFonts w:ascii="Arial" w:cs="Arial" w:eastAsia="Arial" w:hAnsi="Arial"/>
          <w:sz w:val="16"/>
          <w:szCs w:val="16"/>
          <w:color w:val="auto"/>
        </w:rPr>
        <w:t>Subject to Section 2.01(c), amounts used to Cash Collateralize the aggregate undrawn amount of Credits pursuant to clause Fifth above shall be applied to satisfy drawings under such Credits as they occur. If any amount remains on deposit as Cash Collateral after all Credits have either been fully drawn or expired, such remaining amount shall be applied to the other Credit Obligations, if any, in the order set forth above.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13"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b w:val="1"/>
          <w:bCs w:val="1"/>
          <w:color w:val="auto"/>
        </w:rPr>
        <w:t xml:space="preserve">9.01 Appointment and Authorization of Administrative Agent. </w:t>
      </w:r>
      <w:r>
        <w:rPr>
          <w:rFonts w:ascii="Arial" w:cs="Arial" w:eastAsia="Arial" w:hAnsi="Arial"/>
          <w:sz w:val="16"/>
          <w:szCs w:val="16"/>
          <w:color w:val="auto"/>
        </w:rPr>
        <w:t>(a) Each of the Lenders and the Issuer hereby irrevocably appoints, designates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the Administrative Agent to take such action on its behalf under the provisions of this Agreement and each other Credit Document and to exercise such powers and perform such duties as are expressly delegated to it by the terms of this Agreement or any other Credit Document, together with such powers as are reasonably incidental thereto. Notwithstanding any provision to the contrary contained elsewhere herein or in any other Credit Document, the Administrative Agent shall not have any duties or responsibilities, except those expressly set forth herein, nor shall the Administrative Agent have or be deemed to have any fiduciary relationship with the Issuer, any Lender or participant, and no implied covenants, functions, responsibilities, duties, obligations or liabilities shall be read into this Agreement or any other Credit Document or otherwise exist against the Administrative Agent. Without limiting the generality of the foregoing sentence, the use of the term “agent” herein and in the other Credit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5" w:lineRule="exact"/>
        <w:rPr>
          <w:sz w:val="20"/>
          <w:szCs w:val="20"/>
          <w:color w:val="auto"/>
        </w:rPr>
      </w:pPr>
    </w:p>
    <w:p>
      <w:pPr>
        <w:ind w:right="20" w:firstLine="228"/>
        <w:spacing w:after="0" w:line="294" w:lineRule="auto"/>
        <w:tabs>
          <w:tab w:leader="none" w:pos="64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Issuer shall act on behalf of the Lenders with respect to any Credits issued by it and the Issuer Documents associated therewith, and the Issuer shall have all of the benefits and immunities (i) provided to the Administrative Agent in this Article IX (other than Section 9.07) with respect to any acts taken or omissions suffered by the Issuer in connection with Credits issued by it or proposed to be issued by it and the Issuer Documents pertaining to such Credits as fully as if the term “Administrative Agent” as used in this Article IX and in the definition of “Agent-Related Person” included the Issuer with respect to such acts or omissions, and (ii) as additionally provided herein with respect to the Issuer.</w:t>
      </w:r>
    </w:p>
    <w:p>
      <w:pPr>
        <w:spacing w:after="0" w:line="164"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9.02 Delegation of Duties</w:t>
      </w:r>
      <w:r>
        <w:rPr>
          <w:rFonts w:ascii="Arial" w:cs="Arial" w:eastAsia="Arial" w:hAnsi="Arial"/>
          <w:sz w:val="18"/>
          <w:szCs w:val="18"/>
          <w:color w:val="auto"/>
        </w:rPr>
        <w:t>. The Administrative Agent may execute any of its duties under this Agreement or any other Credit Document by or through agents,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9" w:name="page340"/>
    <w:bookmarkEnd w:id="339"/>
    <w:p>
      <w:pPr>
        <w:ind w:right="40" w:firstLine="220"/>
        <w:spacing w:after="0" w:line="289" w:lineRule="auto"/>
        <w:rPr>
          <w:sz w:val="20"/>
          <w:szCs w:val="20"/>
          <w:color w:val="auto"/>
        </w:rPr>
      </w:pPr>
      <w:r>
        <w:rPr>
          <w:rFonts w:ascii="Arial" w:cs="Arial" w:eastAsia="Arial" w:hAnsi="Arial"/>
          <w:sz w:val="16"/>
          <w:szCs w:val="16"/>
          <w:b w:val="1"/>
          <w:bCs w:val="1"/>
          <w:color w:val="auto"/>
        </w:rPr>
        <w:t>9.03 Liability of Administrative Agent</w:t>
      </w:r>
      <w:r>
        <w:rPr>
          <w:rFonts w:ascii="Arial" w:cs="Arial" w:eastAsia="Arial" w:hAnsi="Arial"/>
          <w:sz w:val="16"/>
          <w:szCs w:val="16"/>
          <w:color w:val="auto"/>
        </w:rPr>
        <w:t>. No Agent-Related Person shall (a) be liable for any action taken or omitted to be taken by any of them 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or any other Credit Document or the transactions contemplated hereby (except for its own gross negligence or willful misconduct in connection with its duties expressly set forth herein), or (b) be responsible in any manner to any Lender or participant for any recital, statement, representation or warranty made by any Credit Party or any officer thereof, contained herein or in any other Credit Document, or in any certificate, report, statement or other document referred to or provided for in, or received by the Administrative Agent under or in connection with, this Agreement or any other Credit Document, or the validity, effectiveness, genuineness, enforceability or sufficiency of this Agreement or any other Credit Document, or for any failure of any Credit Party or any other party to any Credit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Credit Document, or to inspect the properties, books or records of any Credit Party or any Affiliate thereof.</w:t>
      </w:r>
    </w:p>
    <w:p>
      <w:pPr>
        <w:spacing w:after="0" w:line="167" w:lineRule="exact"/>
        <w:rPr>
          <w:sz w:val="20"/>
          <w:szCs w:val="20"/>
          <w:color w:val="auto"/>
        </w:rPr>
      </w:pPr>
    </w:p>
    <w:p>
      <w:pPr>
        <w:ind w:right="120" w:firstLine="220"/>
        <w:spacing w:after="0" w:line="288"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(a) The Administrative Agent shall be entitled to rely, and shall be fully protected in relying, upon any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Credit Party), independent accountants and other experts selected by the Administrative Agent. The Administrative Agent shall be fully justified in failing or refusing to take any action under any Credit Document unless it shall first receive such advice or concurrence of the Required Credit-Linked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Credit Document in accordance with a request or consent of the Required Lenders or Required Credit-Linked Lenders, as applicable (or such greater number of Lenders as may be expressly required hereby in any instance) and such request and any action taken or failure to act pursuant thereto shall be binding upon all the Lenders.</w:t>
      </w:r>
    </w:p>
    <w:p>
      <w:pPr>
        <w:spacing w:after="0" w:line="175" w:lineRule="exact"/>
        <w:rPr>
          <w:sz w:val="20"/>
          <w:szCs w:val="20"/>
          <w:color w:val="auto"/>
        </w:rPr>
      </w:pPr>
    </w:p>
    <w:p>
      <w:pPr>
        <w:ind w:right="60" w:firstLine="228"/>
        <w:spacing w:after="0" w:line="256" w:lineRule="auto"/>
        <w:tabs>
          <w:tab w:leader="none" w:pos="64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1"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9.05 Notice of Default</w:t>
      </w:r>
      <w:r>
        <w:rPr>
          <w:rFonts w:ascii="Arial" w:cs="Arial" w:eastAsia="Arial" w:hAnsi="Arial"/>
          <w:sz w:val="16"/>
          <w:szCs w:val="16"/>
          <w:color w:val="auto"/>
        </w:rPr>
        <w:t>. The Administrative Agent shall not be deemed to have knowledge or notice of the occurrence of any Default or 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with respect to defaults in the payment of principal, interest and fees required to be paid to the Administrative Agent for the account of the Lenders, unless the Administrative Agent shall have received written notice from the Issuer, a Lender or the Company referring to this Agreement, describing</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40" w:name="page341"/>
    <w:bookmarkEnd w:id="340"/>
    <w:p>
      <w:pPr>
        <w:ind w:right="180"/>
        <w:spacing w:after="0" w:line="255" w:lineRule="auto"/>
        <w:rPr>
          <w:sz w:val="20"/>
          <w:szCs w:val="20"/>
          <w:color w:val="auto"/>
        </w:rPr>
      </w:pPr>
      <w:r>
        <w:rPr>
          <w:rFonts w:ascii="Arial" w:cs="Arial" w:eastAsia="Arial" w:hAnsi="Arial"/>
          <w:sz w:val="18"/>
          <w:szCs w:val="18"/>
          <w:color w:val="auto"/>
        </w:rPr>
        <w:t>such Default or Event of Default and stating that such notice is a “notice of default.” The Administrative Agent will notify the Lenders of its receipt of any such notice. The Administrative Agent shall take such action with respect to such Default or Event of Default as may be directed by the Required Credit-Linked Lenders in accordance with Article VIII; provided, however,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Lenders.</w:t>
      </w:r>
    </w:p>
    <w:p>
      <w:pPr>
        <w:spacing w:after="0" w:line="191" w:lineRule="exact"/>
        <w:rPr>
          <w:sz w:val="20"/>
          <w:szCs w:val="20"/>
          <w:color w:val="auto"/>
        </w:rPr>
      </w:pPr>
    </w:p>
    <w:p>
      <w:pPr>
        <w:ind w:firstLine="220"/>
        <w:spacing w:after="0" w:line="285" w:lineRule="auto"/>
        <w:rPr>
          <w:sz w:val="20"/>
          <w:szCs w:val="20"/>
          <w:color w:val="auto"/>
        </w:rPr>
      </w:pPr>
      <w:r>
        <w:rPr>
          <w:rFonts w:ascii="Arial" w:cs="Arial" w:eastAsia="Arial" w:hAnsi="Arial"/>
          <w:sz w:val="16"/>
          <w:szCs w:val="16"/>
          <w:b w:val="1"/>
          <w:bCs w:val="1"/>
          <w:color w:val="auto"/>
        </w:rPr>
        <w:t>9.06 Credit Decision; Disclosure of Information by Administrative Agent</w:t>
      </w:r>
      <w:r>
        <w:rPr>
          <w:rFonts w:ascii="Arial" w:cs="Arial" w:eastAsia="Arial" w:hAnsi="Arial"/>
          <w:sz w:val="16"/>
          <w:szCs w:val="16"/>
          <w:color w:val="auto"/>
        </w:rPr>
        <w:t>. Each Lender and the Issuer acknowledges that no Agent-Related Person has</w:t>
      </w:r>
      <w:r>
        <w:rPr>
          <w:rFonts w:ascii="Arial" w:cs="Arial" w:eastAsia="Arial" w:hAnsi="Arial"/>
          <w:sz w:val="16"/>
          <w:szCs w:val="16"/>
          <w:b w:val="1"/>
          <w:bCs w:val="1"/>
          <w:color w:val="auto"/>
        </w:rPr>
        <w:t xml:space="preserve"> </w:t>
      </w:r>
      <w:r>
        <w:rPr>
          <w:rFonts w:ascii="Arial" w:cs="Arial" w:eastAsia="Arial" w:hAnsi="Arial"/>
          <w:sz w:val="16"/>
          <w:szCs w:val="16"/>
          <w:color w:val="auto"/>
        </w:rPr>
        <w:t>made any representation or warranty to it, and that no act by the Administrative Agent hereafter taken, including any consent to and acceptance of any assignment or review of the affairs of any Credit Party or any Affiliate thereof, shall be deemed to constitute any representation or warranty by any Agent-Related Person to any Lender as to any matter, including whether Agent-Related Persons have disclosed material information in their possession. Each Lender and the Issuer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Credit Parties and their respective Subsidiaries, and made its own decision to enter into this Agreement and to extend credit to the Company and any other Credit Parties hereunder. Each Lender and the Issuer hereby acknowledge that it has not relied on any Agent-Related Person (other than as a recipient of legal opinions of counsel to the Administrative Agent delivered pursuant to Section 4.01(a)(vi)) with respect to any bank or other regulatory Laws relating to the transactions contemplated hereby. Each Lender and the Issuer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Credit Documents, and to make such investigations as it deems necessary to inform itself as to the business, prospects, operations, property, financial and other condition and creditworthiness of the Company and the other Credit Parties. Except for notices, reports and other documents expressly required to be furnished to the Issuer and the Lenders by the Administrative Agent herein, the Administrative Agent shall not have any duty or responsibility to provide the Issuer or any Lender with any credit or other information concerning the business, prospects, operations, property, financial and other condition or creditworthiness of any of the Credit Parties or any of their respective Affiliates which may come into the possession of any Agent-Related Person.</w:t>
      </w:r>
    </w:p>
    <w:p>
      <w:pPr>
        <w:spacing w:after="0" w:line="175" w:lineRule="exact"/>
        <w:rPr>
          <w:sz w:val="20"/>
          <w:szCs w:val="20"/>
          <w:color w:val="auto"/>
        </w:rPr>
      </w:pPr>
    </w:p>
    <w:p>
      <w:pPr>
        <w:ind w:firstLine="220"/>
        <w:spacing w:after="0" w:line="296" w:lineRule="auto"/>
        <w:rPr>
          <w:sz w:val="20"/>
          <w:szCs w:val="20"/>
          <w:color w:val="auto"/>
        </w:rPr>
      </w:pPr>
      <w:r>
        <w:rPr>
          <w:rFonts w:ascii="Arial" w:cs="Arial" w:eastAsia="Arial" w:hAnsi="Arial"/>
          <w:sz w:val="16"/>
          <w:szCs w:val="16"/>
          <w:b w:val="1"/>
          <w:bCs w:val="1"/>
          <w:color w:val="auto"/>
        </w:rPr>
        <w:t>9.07 Indemnification of Administrative Agent</w:t>
      </w:r>
      <w:r>
        <w:rPr>
          <w:rFonts w:ascii="Arial" w:cs="Arial" w:eastAsia="Arial" w:hAnsi="Arial"/>
          <w:sz w:val="16"/>
          <w:szCs w:val="16"/>
          <w:color w:val="auto"/>
        </w:rPr>
        <w:t>. The Lenders shall indemnify upon demand, in Dollars, the Administrative Agent, in its capacity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the Affiliates (to the extent such Affiliates are acting for the Administrative Agent in such capacity), officers, directors, employees, agents and attorneys-in-fact thereof who are acting for or on behalf of the Administrative Agent (pursuant to the express authorization of, or by express delegation from, the Administrative Agent) in connection with this Agreement (to the extent not reimbursed by or on behalf of any Credit Party and without limiting the obligation of any Credit Party to do so),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its Pro Rata Share, and hold harmless each such</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1" w:name="page342"/>
    <w:bookmarkEnd w:id="341"/>
    <w:p>
      <w:pPr>
        <w:ind w:right="20"/>
        <w:spacing w:after="0" w:line="283" w:lineRule="auto"/>
        <w:rPr>
          <w:sz w:val="20"/>
          <w:szCs w:val="20"/>
          <w:color w:val="auto"/>
        </w:rPr>
      </w:pPr>
      <w:r>
        <w:rPr>
          <w:rFonts w:ascii="Arial" w:cs="Arial" w:eastAsia="Arial" w:hAnsi="Arial"/>
          <w:sz w:val="16"/>
          <w:szCs w:val="16"/>
          <w:color w:val="auto"/>
        </w:rPr>
        <w:t>Person from and against any and all liabilities, obligations, losses, damages, penalties, claims, demands, actions, judgments, suits, costs, expenses and disbursements (including reasonable Attorney Costs) of any kind or nature whatsoever which may at any time be imposed on, incurred by or asserted against any such Person in any way relating to or arising out of or in connection with (before or after the Closing Date) the execution, delivery, enforcement, performance or administration of any Credit Document or any other agreement, letter or instrument delivered in connection with the transactions contemplated thereby or the consummation of the transactions contemplated thereby (the “Agent Indemnified Liabilities”), incurred by any such Person in connection with the Administrative Agent’s exercise of powers and performance of duties expressly provided for under this Agreement; provided, however, that no Lender shall be liable for the payment to any such Person of any portion of such Agent Indemnified Liabilities resulting from such Person’s own gross negligence or willful misconduct; and provided further, however, that no action taken in accordance with the directions of the Required Lenders or Required Credit-Linked Lenders, as applicable, shall be deemed to constitute gross negligence or willful misconduct for purposes of this Section; and provided further, however, that the Agent Indemnified Liability was incurred by or asserted against the Administrative Agent in its capacity as such, or such Affiliate or other Person acting for the Administrative Agent in such capacity. Without limitation of the foregoing, each Lender shall reimburse the Administrative Agent upon demand for such Lender’s Pro Rata Share of any costs or out-of-pocket expenses (including reasonable Attorney Costs) incurred by the Administrative Agent (i) in connection with any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or (ii) otherwise, while an Event of Default exists, to the extent that the Administrative Agent is not reimbursed for such expenses by or on behalf of the Company within 30 days after demand therefor; provided in each case that such cost or expense was incurred by the Administrative Agent in its capacity as such; and provided, however, in each case that before making any demand on the Lenders for reimbursement of any such cost or expense, the Administrative Agent shall have first requested the Company to pay such amounts and made a good faith determination that the Company will not honor such request. Notwithstanding the foregoing, no Lender shall be liable for any indirect, special, punitive or consequential damages claimed by any Person under this Section 9.07 (other than such damages claimed by such Person as a result of such damages being claimed against such Person by a third party). The undertaking in this Section shall survive termination of the Credit-Linked Deposits, the payment of all other Credit Obligations and other amounts due hereunder and the resignation of the Administrative Agent. Notwithstanding the foregoing, (a) no Lender shall be obligated to reimburse or indemnify the Administrative Agent, in its capacity as Administrative Agent, and the Affiliates (to the extent such Affiliates are acting for the Administrative Agent in such capacity), officers, directors, employees, agents and attorneys-in-fact thereof, in respect of the transactions contemplated by Section 10.19 resulting from a Deposit Account Interest Non-Payment Event or in respect of any other nonpayment of funds owing to the Lenders, if such other nonpayment results solely from the Administrative Agent’s nonperformance of its paying agency duties hereunder (and not from any action or inaction of the Company or any other unrelated Person), and (b) no Lender shall be obligated to reimburse or indemnify BAS.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2" w:name="page343"/>
    <w:bookmarkEnd w:id="342"/>
    <w:p>
      <w:pPr>
        <w:ind w:right="80" w:firstLine="220"/>
        <w:spacing w:after="0" w:line="293" w:lineRule="auto"/>
        <w:rPr>
          <w:sz w:val="20"/>
          <w:szCs w:val="20"/>
          <w:color w:val="auto"/>
        </w:rPr>
      </w:pPr>
      <w:r>
        <w:rPr>
          <w:rFonts w:ascii="Arial" w:cs="Arial" w:eastAsia="Arial" w:hAnsi="Arial"/>
          <w:sz w:val="16"/>
          <w:szCs w:val="16"/>
          <w:b w:val="1"/>
          <w:bCs w:val="1"/>
          <w:color w:val="auto"/>
        </w:rPr>
        <w:t>9.08 Administrative Agent in its Individual Capacity</w:t>
      </w:r>
      <w:r>
        <w:rPr>
          <w:rFonts w:ascii="Arial" w:cs="Arial" w:eastAsia="Arial" w:hAnsi="Arial"/>
          <w:sz w:val="16"/>
          <w:szCs w:val="16"/>
          <w:color w:val="auto"/>
        </w:rPr>
        <w:t>. Bank of America and its Affiliates may make loans to, issue letters of credit and guarantees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undertakings for the account of, accept deposits from, acquire equity interests in and generally engage in any kind of banking, trust, financial advisory, underwriting or other business with each of the Credit Parties and their respective Affiliates as though Bank of America were not the Administrative Agent or the Issuer hereunder and without notice to or consent of the Lenders. The Lenders acknowledge that, pursuant to such activities, Bank of America or its Affiliates may receive information regarding any Credit Party or its Affiliates (including information that may be subject to confidentiality obligations in favor of such Credit Party or such Affiliate) and acknowledge that the Administrative Agent shall be under no obligation to provide such information to them.</w:t>
      </w:r>
    </w:p>
    <w:p>
      <w:pPr>
        <w:spacing w:after="0" w:line="165"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b w:val="1"/>
          <w:bCs w:val="1"/>
          <w:color w:val="auto"/>
        </w:rPr>
        <w:t>9.09 Successor Administrative Agent</w:t>
      </w:r>
      <w:r>
        <w:rPr>
          <w:rFonts w:ascii="Arial" w:cs="Arial" w:eastAsia="Arial" w:hAnsi="Arial"/>
          <w:sz w:val="16"/>
          <w:szCs w:val="16"/>
          <w:color w:val="auto"/>
        </w:rPr>
        <w:t>. The Administrative Agent may resign as Administrative Agent upon 30 days’ notice to the Lenders; provided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by Bank of America shall also constitute its resignation as Issuer under this Agreement; provided, however, the Administrative Agent may not resign if (i) it is the Issuer of any outstanding Credits under this Agreement or (ii) any Credit-Linked Deposits of any Lender exist. If the Administrative Agent resigns under this Agreement, the Required Credit-Linked Lenders shall appoint a successor administrative agent for the Lenders which successor administrative agent shall require the consent of the Company at all times other than during the existence of any Default or Event of Default (which consent of the Company shall not be unreasonably withheld or delayed). If no successor administrative agent is appointed prior to the effective date of the resignation of the Administrative Agent, the Administrative Agent may appoint, after consulting with the Credit-Linked Lenders and the Company, a successor administrative agent from among the Credit-Linked Lenders with the consent of such Credit-Linked Lender and the consent of the Company (which consent of the Company shall be required at all times other than during the existence of any Default or Event of Default and shall not be unreasonably withheld or delayed). The successor administrative agent under this Agreement, the Ten Year Agreement and the Five Year Agreement shall at all times be the same Person. Upon the acceptance of its appointment as successor administrative agent hereunder, the Person acting as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Article IX and Sections 10.04 and 10.05 shall inure to its benefit as to any actions taken or omitted to be taken by it while it was Administrative Agent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right="280" w:firstLine="220"/>
        <w:spacing w:after="0" w:line="301" w:lineRule="auto"/>
        <w:rPr>
          <w:sz w:val="20"/>
          <w:szCs w:val="20"/>
          <w:color w:val="auto"/>
        </w:rPr>
      </w:pPr>
      <w:r>
        <w:rPr>
          <w:rFonts w:ascii="Arial" w:cs="Arial" w:eastAsia="Arial" w:hAnsi="Arial"/>
          <w:sz w:val="16"/>
          <w:szCs w:val="16"/>
          <w:b w:val="1"/>
          <w:bCs w:val="1"/>
          <w:color w:val="auto"/>
        </w:rPr>
        <w:t>10.01 Amendments, Etc</w:t>
      </w:r>
      <w:r>
        <w:rPr>
          <w:rFonts w:ascii="Arial" w:cs="Arial" w:eastAsia="Arial" w:hAnsi="Arial"/>
          <w:sz w:val="16"/>
          <w:szCs w:val="16"/>
          <w:color w:val="auto"/>
        </w:rPr>
        <w:t>. No amendment or waiver of any provision of this Agreement or any other Credit Document (other than Issuer Documents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Section 2.01(b)), and no consent to any departure by the Company or any other Credit Party therefrom (other than a departure of Holdings pursuant to Section 11.09 of this Agreement), shall be effective unless (A) in writing signed by the Required Credit-Linked Lenders and the Company or the applicable Credit Party, as the case may be, and acknowledged by the Administrative</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3" w:name="page344"/>
    <w:bookmarkEnd w:id="343"/>
    <w:p>
      <w:pPr>
        <w:spacing w:after="0" w:line="294" w:lineRule="auto"/>
        <w:rPr>
          <w:sz w:val="20"/>
          <w:szCs w:val="20"/>
          <w:color w:val="auto"/>
        </w:rPr>
      </w:pPr>
      <w:r>
        <w:rPr>
          <w:rFonts w:ascii="Arial" w:cs="Arial" w:eastAsia="Arial" w:hAnsi="Arial"/>
          <w:sz w:val="16"/>
          <w:szCs w:val="16"/>
          <w:color w:val="auto"/>
        </w:rPr>
        <w:t>Agent and (B) a corresponding amendment, waiver or consent under (i) the Ten Year Agreement and (ii) the Five Year Agreement is also effective (it being understood that the same terms and conditions with respect to such amendment, waiver or consent shall apply to all Credit-Linked Lenders), and each such waiver or consent shall be effective only in the specific instance and for the specific purpose for which given; provided, however, that no such amendment, waiver or consent shall, without the written consent of each Lender with Credit Obligations directly affected (whose consent shall be required for any such amendment, waiver or consent in addition to that of the Required Credit-Linked Lenders):</w:t>
      </w:r>
    </w:p>
    <w:p>
      <w:pPr>
        <w:spacing w:after="0" w:line="170" w:lineRule="exact"/>
        <w:rPr>
          <w:sz w:val="20"/>
          <w:szCs w:val="20"/>
          <w:color w:val="auto"/>
        </w:rPr>
      </w:pPr>
    </w:p>
    <w:p>
      <w:pPr>
        <w:ind w:left="640" w:hanging="412"/>
        <w:spacing w:after="0"/>
        <w:tabs>
          <w:tab w:leader="none" w:pos="6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waive any condition set forth in Section 4.01;</w:t>
      </w:r>
    </w:p>
    <w:p>
      <w:pPr>
        <w:spacing w:after="0" w:line="225" w:lineRule="exact"/>
        <w:rPr>
          <w:rFonts w:ascii="Arial" w:cs="Arial" w:eastAsia="Arial" w:hAnsi="Arial"/>
          <w:sz w:val="18"/>
          <w:szCs w:val="18"/>
          <w:color w:val="auto"/>
        </w:rPr>
      </w:pPr>
    </w:p>
    <w:p>
      <w:pPr>
        <w:ind w:right="640" w:firstLine="228"/>
        <w:spacing w:after="0" w:line="268" w:lineRule="auto"/>
        <w:tabs>
          <w:tab w:leader="none" w:pos="64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extend the Maturity Date or increase the Credit-Linked Deposit of any Lender (or reinstate any obligation to make Credit Extensions terminated pursuant to Section 8.02 in which such Lender participates);</w:t>
      </w:r>
    </w:p>
    <w:p>
      <w:pPr>
        <w:spacing w:after="0" w:line="185" w:lineRule="exact"/>
        <w:rPr>
          <w:rFonts w:ascii="Arial" w:cs="Arial" w:eastAsia="Arial" w:hAnsi="Arial"/>
          <w:sz w:val="18"/>
          <w:szCs w:val="18"/>
          <w:color w:val="auto"/>
        </w:rPr>
      </w:pPr>
    </w:p>
    <w:p>
      <w:pPr>
        <w:ind w:right="220" w:firstLine="228"/>
        <w:spacing w:after="0" w:line="259" w:lineRule="auto"/>
        <w:tabs>
          <w:tab w:leader="none" w:pos="63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Credit Document (other than Issuer Documents to the extent permitted by Section 2.01(b)) for any payment of principal, interest, fees or other amounts due to the Lenders (or any of them) hereunder or under any other Credit Document (other than Issuer Documents to the extent permitted by Section 2.01(b));</w:t>
      </w:r>
    </w:p>
    <w:p>
      <w:pPr>
        <w:spacing w:after="0" w:line="194" w:lineRule="exact"/>
        <w:rPr>
          <w:rFonts w:ascii="Arial" w:cs="Arial" w:eastAsia="Arial" w:hAnsi="Arial"/>
          <w:sz w:val="18"/>
          <w:szCs w:val="18"/>
          <w:color w:val="auto"/>
        </w:rPr>
      </w:pPr>
    </w:p>
    <w:p>
      <w:pPr>
        <w:ind w:right="80" w:firstLine="228"/>
        <w:spacing w:after="0" w:line="291" w:lineRule="auto"/>
        <w:tabs>
          <w:tab w:leader="none" w:pos="644" w:val="left"/>
        </w:tabs>
        <w:numPr>
          <w:ilvl w:val="0"/>
          <w:numId w:val="412"/>
        </w:numPr>
        <w:rPr>
          <w:rFonts w:ascii="Arial" w:cs="Arial" w:eastAsia="Arial" w:hAnsi="Arial"/>
          <w:sz w:val="16"/>
          <w:szCs w:val="16"/>
          <w:color w:val="auto"/>
        </w:rPr>
      </w:pPr>
      <w:r>
        <w:rPr>
          <w:rFonts w:ascii="Arial" w:cs="Arial" w:eastAsia="Arial" w:hAnsi="Arial"/>
          <w:sz w:val="16"/>
          <w:szCs w:val="16"/>
          <w:color w:val="auto"/>
        </w:rPr>
        <w:t>reduce the principal of, or the rate of interest specified herein on, any Borrowing, or (subject to clause (iii) of the proviso below) any fees or other amounts payable hereunder or under any other Credit Document (other than Issuer Documents to the extent permitted by Section 2.01(b)); provided, however, that only the consent of the Required Credit-Linked Lenders shall be necessary to amend the definition of “Default Rate,” the amount of any increase in the Applicable Rate pursuant to the definition thereof during the existence of any Event of Default, or the interest rate applicable from time to time to Borrowings under Section 2.04(a)(ii), or to waive any obligation of the Company to pay interest at the Default Rate or at the rate set forth in Section 2.04(a)(ii), or to increase the Applicable Rate during the existence of an Event of Default;</w:t>
      </w:r>
    </w:p>
    <w:p>
      <w:pPr>
        <w:spacing w:after="0" w:line="174" w:lineRule="exact"/>
        <w:rPr>
          <w:rFonts w:ascii="Arial" w:cs="Arial" w:eastAsia="Arial" w:hAnsi="Arial"/>
          <w:sz w:val="16"/>
          <w:szCs w:val="16"/>
          <w:color w:val="auto"/>
        </w:rPr>
      </w:pPr>
    </w:p>
    <w:p>
      <w:pPr>
        <w:ind w:left="640" w:hanging="412"/>
        <w:spacing w:after="0"/>
        <w:tabs>
          <w:tab w:leader="none" w:pos="6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change Section 2.08 or Section 8.03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w:t>
      </w:r>
    </w:p>
    <w:p>
      <w:pPr>
        <w:spacing w:after="0" w:line="225" w:lineRule="exact"/>
        <w:rPr>
          <w:rFonts w:ascii="Arial" w:cs="Arial" w:eastAsia="Arial" w:hAnsi="Arial"/>
          <w:sz w:val="18"/>
          <w:szCs w:val="18"/>
          <w:color w:val="auto"/>
        </w:rPr>
      </w:pPr>
    </w:p>
    <w:p>
      <w:pPr>
        <w:ind w:right="300" w:firstLine="228"/>
        <w:spacing w:after="0" w:line="259" w:lineRule="auto"/>
        <w:tabs>
          <w:tab w:leader="none" w:pos="61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change any provision of this Section 10.01, or the definition of “Required Credit-Linked Lenders”, “Required Lenders” or any other provision hereof specifying the number or percentage of Lenders required to amend, waive or otherwise modify any rights hereunder or make any determination or grant any consent hereunder; or</w:t>
      </w:r>
    </w:p>
    <w:p>
      <w:pPr>
        <w:spacing w:after="0" w:line="194" w:lineRule="exact"/>
        <w:rPr>
          <w:rFonts w:ascii="Arial" w:cs="Arial" w:eastAsia="Arial" w:hAnsi="Arial"/>
          <w:sz w:val="18"/>
          <w:szCs w:val="18"/>
          <w:color w:val="auto"/>
        </w:rPr>
      </w:pPr>
    </w:p>
    <w:p>
      <w:pPr>
        <w:ind w:right="620" w:firstLine="228"/>
        <w:spacing w:after="0" w:line="268" w:lineRule="auto"/>
        <w:tabs>
          <w:tab w:leader="none" w:pos="64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release Holdings from any of the Guaranteed Obligations under the Holdings Guaranty (other than as expressly provided in Section 11.09 of this Agreement);</w:t>
      </w:r>
    </w:p>
    <w:p>
      <w:pPr>
        <w:spacing w:after="0" w:line="18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and, provided further, that (i) no amendment, waiver or consent shall, unless in writing and signed by the Issuer in addition to the Lenders required above, modify or waive any provision of Section 2.01(a) (including defined terms used therein) or otherwise affect the rights or duties of the Issuer under this Agreement or any Issuer Document relating to any Credit issued or to be issued by it; (ii) no amendment, waiver or consent shall, unless in writing and signed by the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4" w:name="page345"/>
    <w:bookmarkEnd w:id="344"/>
    <w:p>
      <w:pPr>
        <w:ind w:right="140"/>
        <w:spacing w:after="0" w:line="332" w:lineRule="auto"/>
        <w:rPr>
          <w:sz w:val="20"/>
          <w:szCs w:val="20"/>
          <w:color w:val="auto"/>
        </w:rPr>
      </w:pPr>
      <w:r>
        <w:rPr>
          <w:rFonts w:ascii="Arial" w:cs="Arial" w:eastAsia="Arial" w:hAnsi="Arial"/>
          <w:sz w:val="16"/>
          <w:szCs w:val="16"/>
          <w:color w:val="auto"/>
        </w:rPr>
        <w:t>Administrative Agent in addition to the Lenders required above, affect the rights or duties of the Administrative Agent under this Agreement or any other Credit Document; and (iii) the Fee Letter may be amended, or rights or privileges thereunder waived, in a writing executed only by the respective parties thereto.</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10.02 Notices and Other Communications; Facsimile Copies.</w:t>
      </w:r>
    </w:p>
    <w:p>
      <w:pPr>
        <w:spacing w:after="0" w:line="231" w:lineRule="exact"/>
        <w:rPr>
          <w:sz w:val="20"/>
          <w:szCs w:val="20"/>
          <w:color w:val="auto"/>
        </w:rPr>
      </w:pPr>
    </w:p>
    <w:p>
      <w:pPr>
        <w:ind w:right="400" w:firstLine="228"/>
        <w:spacing w:after="0" w:line="286" w:lineRule="auto"/>
        <w:tabs>
          <w:tab w:leader="none" w:pos="634" w:val="left"/>
        </w:tabs>
        <w:numPr>
          <w:ilvl w:val="1"/>
          <w:numId w:val="413"/>
        </w:numPr>
        <w:rPr>
          <w:rFonts w:ascii="Arial" w:cs="Arial" w:eastAsia="Arial" w:hAnsi="Arial"/>
          <w:sz w:val="16"/>
          <w:szCs w:val="16"/>
          <w:color w:val="auto"/>
        </w:rPr>
      </w:pPr>
      <w:r>
        <w:rPr>
          <w:rFonts w:ascii="Arial" w:cs="Arial" w:eastAsia="Arial" w:hAnsi="Arial"/>
          <w:sz w:val="16"/>
          <w:szCs w:val="16"/>
          <w:color w:val="auto"/>
        </w:rPr>
        <w:t>General. Unless otherwise expressly provided herein, all notices and other communications provided for hereunder shall be in writing (including by facsimile transmission). All such written notices shall be mailed, faxed or delivered to the applicable address, facsimile number or (subject to subsection</w:t>
      </w:r>
    </w:p>
    <w:p>
      <w:pPr>
        <w:ind w:right="620" w:firstLine="8"/>
        <w:spacing w:after="0" w:line="261" w:lineRule="auto"/>
        <w:tabs>
          <w:tab w:leader="none" w:pos="23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below) electronic mail address, and all notices and other communications expressly permitted hereunder to be given by telephone shall be made to the applicable telephone number, as follows:</w:t>
      </w:r>
    </w:p>
    <w:p>
      <w:pPr>
        <w:spacing w:after="0" w:line="191" w:lineRule="exact"/>
        <w:rPr>
          <w:rFonts w:ascii="Arial" w:cs="Arial" w:eastAsia="Arial" w:hAnsi="Arial"/>
          <w:sz w:val="18"/>
          <w:szCs w:val="18"/>
          <w:color w:val="auto"/>
        </w:rPr>
      </w:pPr>
    </w:p>
    <w:p>
      <w:pPr>
        <w:ind w:right="280" w:firstLine="447"/>
        <w:spacing w:after="0" w:line="259" w:lineRule="auto"/>
        <w:tabs>
          <w:tab w:leader="none" w:pos="649" w:val="left"/>
        </w:tabs>
        <w:numPr>
          <w:ilvl w:val="2"/>
          <w:numId w:val="414"/>
        </w:numPr>
        <w:rPr>
          <w:rFonts w:ascii="Arial" w:cs="Arial" w:eastAsia="Arial" w:hAnsi="Arial"/>
          <w:sz w:val="18"/>
          <w:szCs w:val="18"/>
          <w:color w:val="auto"/>
        </w:rPr>
      </w:pPr>
      <w:r>
        <w:rPr>
          <w:rFonts w:ascii="Arial" w:cs="Arial" w:eastAsia="Arial" w:hAnsi="Arial"/>
          <w:sz w:val="18"/>
          <w:szCs w:val="18"/>
          <w:color w:val="auto"/>
        </w:rPr>
        <w:t>if to the Company, Holdings, the Administrative Agent or the Issuer,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w:t>
      </w:r>
    </w:p>
    <w:p>
      <w:pPr>
        <w:spacing w:after="0" w:line="194" w:lineRule="exact"/>
        <w:rPr>
          <w:rFonts w:ascii="Arial" w:cs="Arial" w:eastAsia="Arial" w:hAnsi="Arial"/>
          <w:sz w:val="18"/>
          <w:szCs w:val="18"/>
          <w:color w:val="auto"/>
        </w:rPr>
      </w:pPr>
    </w:p>
    <w:p>
      <w:pPr>
        <w:ind w:right="60" w:firstLine="447"/>
        <w:spacing w:after="0" w:line="259" w:lineRule="auto"/>
        <w:tabs>
          <w:tab w:leader="none" w:pos="697" w:val="left"/>
        </w:tabs>
        <w:numPr>
          <w:ilvl w:val="2"/>
          <w:numId w:val="414"/>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Company, the Administrative Agent and the Issuer.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38" w:lineRule="exact"/>
        <w:rPr>
          <w:sz w:val="20"/>
          <w:szCs w:val="20"/>
          <w:color w:val="auto"/>
        </w:rPr>
      </w:pPr>
    </w:p>
    <w:p>
      <w:pPr>
        <w:ind w:right="20" w:firstLine="8"/>
        <w:spacing w:after="0" w:line="253" w:lineRule="auto"/>
        <w:tabs>
          <w:tab w:leader="none" w:pos="25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 if delivered by hand or by courier, when signed for by or on behalf of the relevant party hereto; (B) if delivered by mail, four Business Days after deposit in the mails, postage prepaid; (C) if delivered by facsimile, when sent and receipt has been confirmed by telephone; and (D) if delivered by electronic mail (which form of delivery is subject to the provisions of subsection (c) below), when delivered; provided, however, that notices and other communications to the Administrative Agent and the Issuer pursuant to Article II shall not be effective until actually received by any such Person. In no event shall a voicemail message be effective as a notice, communication or confirmation hereunder.</w:t>
      </w:r>
    </w:p>
    <w:p>
      <w:pPr>
        <w:spacing w:after="0" w:line="199" w:lineRule="exact"/>
        <w:rPr>
          <w:rFonts w:ascii="Arial" w:cs="Arial" w:eastAsia="Arial" w:hAnsi="Arial"/>
          <w:sz w:val="18"/>
          <w:szCs w:val="18"/>
          <w:color w:val="auto"/>
        </w:rPr>
      </w:pPr>
    </w:p>
    <w:p>
      <w:pPr>
        <w:ind w:right="100" w:firstLine="228"/>
        <w:spacing w:after="0" w:line="255" w:lineRule="auto"/>
        <w:tabs>
          <w:tab w:leader="none" w:pos="64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Effectiveness of Facsimile Documents and Signatures. Credit Documents may be transmitted and/or signed by facsimile. The effectiveness of any such documents and signatures shall, subject to applicable Law, have the same force and effect as manually-signed originals and shall be binding on all Credit Parties, the Administrative Agent, the Issuer and the Lenders. The Administrative Agent may also require that any such documents and signatures be confirmed by a manually-signed original thereof; provided, however, that the failure to request or deliver the same shall not limit the effectiveness of any facsimile document or signature.</w:t>
      </w:r>
    </w:p>
    <w:p>
      <w:pPr>
        <w:spacing w:after="0" w:line="196" w:lineRule="exact"/>
        <w:rPr>
          <w:rFonts w:ascii="Arial" w:cs="Arial" w:eastAsia="Arial" w:hAnsi="Arial"/>
          <w:sz w:val="18"/>
          <w:szCs w:val="18"/>
          <w:color w:val="auto"/>
        </w:rPr>
      </w:pPr>
    </w:p>
    <w:p>
      <w:pPr>
        <w:ind w:right="280" w:firstLine="228"/>
        <w:spacing w:after="0" w:line="259" w:lineRule="auto"/>
        <w:tabs>
          <w:tab w:leader="none" w:pos="63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Limited Use of Electronic Mail. Electronic mail and Internet and intranet websites may be used only to distribute routine communications, other than financial statements and other similar information, and to distribute Credit Documents for execution by the parties thereto, and may not be used for any other purpose.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45" w:name="page346"/>
    <w:bookmarkEnd w:id="345"/>
    <w:p>
      <w:pPr>
        <w:ind w:right="120" w:firstLine="228"/>
        <w:spacing w:after="0" w:line="291" w:lineRule="auto"/>
        <w:tabs>
          <w:tab w:leader="none" w:pos="64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Reliance by Administrative Agent, the Issuer and Lenders. The Administrative Agent, the Issuer and the Lenders shall be entitled to rely and act upon any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Agent-Related Person, each Issuer-Related Person and each Lender from all losses, costs, expenses and liabilities resulting from the reliance by such Person on each notice purportedly given by or on behalf of the Company. All telephonic notices to and other communications with the Administrative Agent may be recorded by the Administrative Agent, and each of the parties hereto hereby consents to such recording.</w:t>
      </w:r>
    </w:p>
    <w:p>
      <w:pPr>
        <w:spacing w:after="0" w:line="168" w:lineRule="exact"/>
        <w:rPr>
          <w:sz w:val="20"/>
          <w:szCs w:val="20"/>
          <w:color w:val="auto"/>
        </w:rPr>
      </w:pPr>
    </w:p>
    <w:p>
      <w:pPr>
        <w:jc w:val="both"/>
        <w:ind w:right="160" w:firstLine="220"/>
        <w:spacing w:after="0" w:line="301" w:lineRule="auto"/>
        <w:rPr>
          <w:sz w:val="20"/>
          <w:szCs w:val="20"/>
          <w:color w:val="auto"/>
        </w:rPr>
      </w:pPr>
      <w:r>
        <w:rPr>
          <w:rFonts w:ascii="Arial" w:cs="Arial" w:eastAsia="Arial" w:hAnsi="Arial"/>
          <w:sz w:val="16"/>
          <w:szCs w:val="16"/>
          <w:b w:val="1"/>
          <w:bCs w:val="1"/>
          <w:color w:val="auto"/>
        </w:rPr>
        <w:t>10.03 No Waiver; Cumulative Remedies</w:t>
      </w:r>
      <w:r>
        <w:rPr>
          <w:rFonts w:ascii="Arial" w:cs="Arial" w:eastAsia="Arial" w:hAnsi="Arial"/>
          <w:sz w:val="16"/>
          <w:szCs w:val="16"/>
          <w:color w:val="auto"/>
        </w:rPr>
        <w:t>. No failure by any Lender, the Issuer or the Administrative Agent to exercise, and no delay by any such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57" w:lineRule="exact"/>
        <w:rPr>
          <w:sz w:val="20"/>
          <w:szCs w:val="20"/>
          <w:color w:val="auto"/>
        </w:rPr>
      </w:pPr>
    </w:p>
    <w:p>
      <w:pPr>
        <w:ind w:firstLine="220"/>
        <w:spacing w:after="0" w:line="306" w:lineRule="auto"/>
        <w:rPr>
          <w:sz w:val="20"/>
          <w:szCs w:val="20"/>
          <w:color w:val="auto"/>
        </w:rPr>
      </w:pPr>
      <w:r>
        <w:rPr>
          <w:rFonts w:ascii="Arial" w:cs="Arial" w:eastAsia="Arial" w:hAnsi="Arial"/>
          <w:sz w:val="15"/>
          <w:szCs w:val="15"/>
          <w:b w:val="1"/>
          <w:bCs w:val="1"/>
          <w:color w:val="auto"/>
        </w:rPr>
        <w:t>10.04 Attorney Costs, Expenses and Taxes</w:t>
      </w:r>
      <w:r>
        <w:rPr>
          <w:rFonts w:ascii="Arial" w:cs="Arial" w:eastAsia="Arial" w:hAnsi="Arial"/>
          <w:sz w:val="15"/>
          <w:szCs w:val="15"/>
          <w:color w:val="auto"/>
        </w:rPr>
        <w:t>. The Company agrees (a) (i) to pay or reimburse each of the Administrative Agent, the Issuer and special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Lenders for all reasonable costs and expenses incurred in connection with the development, preparation, negotiation and execution of this Agreement and the other Credit Documents (whether or not the transactions contemplated hereby are consummated), and the consummation and administration of the transactions contemplated hereby, including all reasonable Attorney Costs, expenses and disbursements and (ii) to pay or reimburse each of the Administrative Agent, the Issuer and each Lender for all reasonable costs and expenses incurred in connection with any amendment, waiver, consent or other modification of the provisions of this Agreement and the other Credit Documents (whether or not the transactions contemplated thereby are consummated), including without limitation any out-of-pocket costs and expenses incurred in connection with the transactions contemplated by Section 10.19 of this Agreement, and the consummation and administration of the transactions contemplated thereby, including all reasonable Attorney Costs, expenses and disbursements, but excluding any such costs, expenses, attorneys’ fees, and disbursements of the Issuer and the Administrative Agent in connection with the transactions contemplated in Section 10.19 resulting from a Deposit Account Interest Non-Payment Event; and (b) to pay or reimburse the Administrative Agent, the Issuer and each Lender for all costs and expenses incurred in connection with the enforcement, attempted enforcement, or preservation of any rights or remedies under this Agreement or the other Credit Documents (including all such costs and expenses incurred during any “workout” or restructuring in respect of the Credit Obligations and during any legal proceeding, including any proceeding under any Debtor Relief Law), including all Attorney Costs.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the Administrative Agent, the Issuer or any Lender. All amounts due under this Section 10.04 shall be payable within ten Business Days after demand therefor. The agreements in this Section 10.04 shall</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t>survive the termination of the Credit-Linked Deposits and repayment of all Credit Obligations and all other amounts due hereunder.</w:t>
      </w:r>
    </w:p>
    <w:p>
      <w:pPr>
        <w:spacing w:after="0" w:line="219" w:lineRule="exact"/>
        <w:rPr>
          <w:sz w:val="20"/>
          <w:szCs w:val="20"/>
          <w:color w:val="auto"/>
        </w:rPr>
      </w:pPr>
    </w:p>
    <w:p>
      <w:pPr>
        <w:ind w:right="60" w:firstLine="220"/>
        <w:spacing w:after="0" w:line="284" w:lineRule="auto"/>
        <w:rPr>
          <w:sz w:val="20"/>
          <w:szCs w:val="20"/>
          <w:color w:val="auto"/>
        </w:rPr>
      </w:pPr>
      <w:r>
        <w:rPr>
          <w:rFonts w:ascii="Arial" w:cs="Arial" w:eastAsia="Arial" w:hAnsi="Arial"/>
          <w:sz w:val="16"/>
          <w:szCs w:val="16"/>
          <w:b w:val="1"/>
          <w:bCs w:val="1"/>
          <w:color w:val="auto"/>
        </w:rPr>
        <w:t>10.05 Indemnification by the Company</w:t>
      </w:r>
      <w:r>
        <w:rPr>
          <w:rFonts w:ascii="Arial" w:cs="Arial" w:eastAsia="Arial" w:hAnsi="Arial"/>
          <w:sz w:val="16"/>
          <w:szCs w:val="16"/>
          <w:color w:val="auto"/>
        </w:rPr>
        <w:t>. Whether or not the transactions contemplated hereby are consummated, the Company shall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each Agent-Related Person, each Issuer-Related Person, each Lender and their respective Affiliates, directors, officers, employees, counsel, agents and attorneys-in-fact (collectively, the “Indemnitees”) from and against any and all liabilities, obligations, losses, damages, penalties, claims, demands, actions, judgments, suits, costs, expenses and disbursements (including reasonable Attorney Costs) of any kind or nature whatsoever which may at any time be imposed on, incurred by or asserted against any such Indemnitee in any way relating to or arising out of or in connection with (before or after the Closing Date) (a) the execution, delivery, enforcement, performance or administration of any Credit Document or any other agreement, letter or instrument delivered in connection with the transactions contemplated thereby or the consummation of the transactions contemplated thereby, including without limitation the transactions contemplated by Section 10.19 of this Agreement but excluding any such liabilities, obligations, losses, damages, penalties, claims, demands, actions, judgments, suits, costs, expenses and disbursements of the Issuer and the Administrative Agent in connection with the transactions contemplated in Section 10.19 resulting from a Deposit Account Interest Non-Payment Event, (b) any Credit-Linked Deposit, Credit or the use or proposed use of the proceeds therefrom (including any refusal by the Issuer to honor a demand for payment under a Credit if the documents presented in connection with such demand do not strictly comply with the terms of such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“Indemnified Liabilities”), in all cases, whether or not caused by or arising, in whole or in part, out of the negligence of the Indemnitee; provided that such indemnity shall not, as to any Indemnitee, be available to the extent that such liabilities, obligations, losses, damages, penalties, claims, demands, actions, judgments, suits, costs, expenses or disbursements are determined by a court of competent jurisdiction by final and nonappealable judgment to have resulted from the gross negligence or willful misconduct of such Indemnitee. No Indemnitee shall be liable for any indirect, special, punitive or consequential damages relating to this Agreement or any other Credit Document or arising out of its activities in connection herewith or therewith (whether before or after the Closing Date). Notwithstanding the foregoing, the Company shall not be liable for any indirect, special, punitive or consequential damages claimed by an Indemnitee in connection with the transactions contemplated by Section 10.19 of this Agreement (other than such damages claimed by an Indemnitee as a result of such damages being claimed against such Indemnitee by a third party). All amounts due under this Section 10.05 shall be payable within ten Business Days after demand therefor. The agreements in this Section shall survive the resignation of the Administrative Agent, the replacement of any Lender, the termination of the Credit-Linked Deposits and the repayment, satisfaction or discharge of all the other Credit Obligations.</w:t>
      </w:r>
    </w:p>
    <w:p>
      <w:pPr>
        <w:spacing w:after="0" w:line="177" w:lineRule="exact"/>
        <w:rPr>
          <w:sz w:val="20"/>
          <w:szCs w:val="20"/>
          <w:color w:val="auto"/>
        </w:rPr>
      </w:pPr>
    </w:p>
    <w:p>
      <w:pPr>
        <w:ind w:right="80" w:firstLine="220"/>
        <w:spacing w:after="0" w:line="275" w:lineRule="auto"/>
        <w:rPr>
          <w:sz w:val="20"/>
          <w:szCs w:val="20"/>
          <w:color w:val="auto"/>
        </w:rPr>
      </w:pPr>
      <w:r>
        <w:rPr>
          <w:rFonts w:ascii="Arial" w:cs="Arial" w:eastAsia="Arial" w:hAnsi="Arial"/>
          <w:sz w:val="18"/>
          <w:szCs w:val="18"/>
          <w:b w:val="1"/>
          <w:bCs w:val="1"/>
          <w:color w:val="auto"/>
        </w:rPr>
        <w:t>10.06 Payments Set Aside</w:t>
      </w:r>
      <w:r>
        <w:rPr>
          <w:rFonts w:ascii="Arial" w:cs="Arial" w:eastAsia="Arial" w:hAnsi="Arial"/>
          <w:sz w:val="18"/>
          <w:szCs w:val="18"/>
          <w:color w:val="auto"/>
        </w:rPr>
        <w:t>. To the extent that any payment by or on behalf of the Company is made to the Administrative Agent, the Issuer or any Lender,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7" w:name="page348"/>
    <w:bookmarkEnd w:id="347"/>
    <w:p>
      <w:pPr>
        <w:ind w:right="180"/>
        <w:spacing w:after="0" w:line="303" w:lineRule="auto"/>
        <w:rPr>
          <w:sz w:val="20"/>
          <w:szCs w:val="20"/>
          <w:color w:val="auto"/>
        </w:rPr>
      </w:pPr>
      <w:r>
        <w:rPr>
          <w:rFonts w:ascii="Arial" w:cs="Arial" w:eastAsia="Arial" w:hAnsi="Arial"/>
          <w:sz w:val="15"/>
          <w:szCs w:val="15"/>
          <w:color w:val="auto"/>
        </w:rPr>
        <w:t>Agent, the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Issuer or such Lender in its discretion) to be repaid to a trustee, receiver or any other party, in connection with any proceeding under any Debtor Relief Law or otherwise, then</w:t>
      </w:r>
    </w:p>
    <w:p>
      <w:pPr>
        <w:spacing w:after="0" w:line="1" w:lineRule="exact"/>
        <w:rPr>
          <w:sz w:val="20"/>
          <w:szCs w:val="20"/>
          <w:color w:val="auto"/>
        </w:rPr>
      </w:pPr>
    </w:p>
    <w:p>
      <w:pPr>
        <w:jc w:val="both"/>
        <w:ind w:right="60" w:firstLine="8"/>
        <w:spacing w:after="0" w:line="320" w:lineRule="auto"/>
        <w:tabs>
          <w:tab w:leader="none" w:pos="239" w:val="left"/>
        </w:tabs>
        <w:numPr>
          <w:ilvl w:val="0"/>
          <w:numId w:val="417"/>
        </w:numPr>
        <w:rPr>
          <w:rFonts w:ascii="Arial" w:cs="Arial" w:eastAsia="Arial" w:hAnsi="Arial"/>
          <w:sz w:val="15"/>
          <w:szCs w:val="15"/>
          <w:color w:val="auto"/>
        </w:rPr>
      </w:pPr>
      <w:r>
        <w:rPr>
          <w:rFonts w:ascii="Arial" w:cs="Arial" w:eastAsia="Arial" w:hAnsi="Arial"/>
          <w:sz w:val="15"/>
          <w:szCs w:val="15"/>
          <w:color w:val="auto"/>
        </w:rPr>
        <w:t>to the extent of such recovery, the obligation or part thereof originally intended to be satisfied shall be revived and continued in full force and effect as if such payment had not been made or such set-off had not occurred, and (b) the Issuer and each Lender severally agree to pay to the Administrative Agent upon demand its applicable share of any amount so recovered from or paid by the Administrative Agent, plus interest thereon from the date of such demand to the date such payment is made at a rate per annum equal to the Federal Funds Rate from time to time in effect, in the applicable currency of such recovery or payment.</w:t>
      </w:r>
    </w:p>
    <w:p>
      <w:pPr>
        <w:spacing w:after="0" w:line="148" w:lineRule="exact"/>
        <w:rPr>
          <w:sz w:val="20"/>
          <w:szCs w:val="20"/>
          <w:color w:val="auto"/>
        </w:rPr>
      </w:pPr>
    </w:p>
    <w:p>
      <w:pPr>
        <w:ind w:right="40" w:firstLine="220"/>
        <w:spacing w:after="0" w:line="304" w:lineRule="auto"/>
        <w:rPr>
          <w:sz w:val="20"/>
          <w:szCs w:val="20"/>
          <w:color w:val="auto"/>
        </w:rPr>
      </w:pPr>
      <w:r>
        <w:rPr>
          <w:rFonts w:ascii="Arial" w:cs="Arial" w:eastAsia="Arial" w:hAnsi="Arial"/>
          <w:sz w:val="15"/>
          <w:szCs w:val="15"/>
          <w:b w:val="1"/>
          <w:bCs w:val="1"/>
          <w:color w:val="auto"/>
        </w:rPr>
        <w:t>10.07 Successors and Assigns</w:t>
      </w:r>
      <w:r>
        <w:rPr>
          <w:rFonts w:ascii="Arial" w:cs="Arial" w:eastAsia="Arial" w:hAnsi="Arial"/>
          <w:sz w:val="15"/>
          <w:szCs w:val="15"/>
          <w:color w:val="auto"/>
        </w:rPr>
        <w:t>. (a) The provisions of this Agreement shall be binding upon and inure to the benefit of the parties hereto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assigns permitted hereby, except that the Company may not assign or otherwise transfer any of its rights or obligations hereunder without the prior written consent of the Issuer and each Lender and no Lender may assign or otherwise transfer any of its rights or obligations hereunder except (i) to an Eligible Assignee in accordance with the provisions of subsection (b) of this Section 10.07, (ii) by way of participation in accordance with the provisions of subsection</w:t>
      </w:r>
    </w:p>
    <w:p>
      <w:pPr>
        <w:spacing w:after="0" w:line="3" w:lineRule="exact"/>
        <w:rPr>
          <w:sz w:val="20"/>
          <w:szCs w:val="20"/>
          <w:color w:val="auto"/>
        </w:rPr>
      </w:pPr>
    </w:p>
    <w:p>
      <w:pPr>
        <w:ind w:right="60" w:firstLine="8"/>
        <w:spacing w:after="0" w:line="253" w:lineRule="auto"/>
        <w:tabs>
          <w:tab w:leader="none" w:pos="249"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of this Section 10.07, (iii) by way of pledge or assignment of a security interest subject to the restrictions of subsection (f) of this Section 10.07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10.07 and, to the extent expressly contemplated hereby, the Indemnitees) any legal or equitable right, remedy or claim under or by reason of this Agreement.</w:t>
      </w:r>
    </w:p>
    <w:p>
      <w:pPr>
        <w:spacing w:after="0" w:line="199" w:lineRule="exact"/>
        <w:rPr>
          <w:rFonts w:ascii="Arial" w:cs="Arial" w:eastAsia="Arial" w:hAnsi="Arial"/>
          <w:sz w:val="18"/>
          <w:szCs w:val="18"/>
          <w:color w:val="auto"/>
        </w:rPr>
      </w:pPr>
    </w:p>
    <w:p>
      <w:pPr>
        <w:ind w:right="20" w:firstLine="228"/>
        <w:spacing w:after="0" w:line="286" w:lineRule="auto"/>
        <w:tabs>
          <w:tab w:leader="none" w:pos="634" w:val="left"/>
        </w:tabs>
        <w:numPr>
          <w:ilvl w:val="1"/>
          <w:numId w:val="418"/>
        </w:numPr>
        <w:rPr>
          <w:rFonts w:ascii="Arial" w:cs="Arial" w:eastAsia="Arial" w:hAnsi="Arial"/>
          <w:sz w:val="16"/>
          <w:szCs w:val="16"/>
          <w:color w:val="auto"/>
        </w:rPr>
      </w:pPr>
      <w:r>
        <w:rPr>
          <w:rFonts w:ascii="Arial" w:cs="Arial" w:eastAsia="Arial" w:hAnsi="Arial"/>
          <w:sz w:val="16"/>
          <w:szCs w:val="16"/>
          <w:color w:val="auto"/>
        </w:rPr>
        <w:t>Any Lender may at any time assign to another Lender or to one or more Eligible Assignees all or a portion of its rights and obligations under this Agreement (including all or a portion of its Credit-Linked Deposit and Credit Obligations at the time owing to it); provided that unless such assignment is to another Lender (i) upon such assignment, the aggregate principal amount of the Credit-Linked Deposit and Credit Obligations held by the assignee, determined as of the date the Assignment and Assumption with respect to such assignment is delivered to the Administrative Agent or, if “Trade Date” is specified in the Assignment and Assumption, as of the Trade Date, shall not be less than $5,000,000; (ii) each partial assignment shall be made as an assignment of a proportionate part of all the assigning Lender’s rights and obligations under this Agreement with respect to the Credit Obligations and the Credit-Linked Deposit assigned; and (iii) the parties to each assignment shall execute and deliver to the Administrative Agent an Assignment and Assumption. Subject to acceptance and recording thereof by the Administrative Agent pursuant to subsection (c) of this Section 10.07,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8" w:name="page349"/>
    <w:bookmarkEnd w:id="348"/>
    <w:p>
      <w:pPr>
        <w:ind w:right="100"/>
        <w:spacing w:after="0" w:line="254" w:lineRule="auto"/>
        <w:rPr>
          <w:sz w:val="20"/>
          <w:szCs w:val="20"/>
          <w:color w:val="auto"/>
        </w:rPr>
      </w:pPr>
      <w:r>
        <w:rPr>
          <w:rFonts w:ascii="Arial" w:cs="Arial" w:eastAsia="Arial" w:hAnsi="Arial"/>
          <w:sz w:val="18"/>
          <w:szCs w:val="18"/>
          <w:color w:val="auto"/>
        </w:rPr>
        <w:t>case of an Assignment and Assumption covering all of the assigning Lender’s rights and obligations under this Agreement, such Lender shall cease to be a party hereto but shall continue to be entitled to the benefits of Sections 3.01, 3.02, 3.03, 10.04 and 10.05 with respect to facts and circumstances occurring prior to the effective date of such assignment). Upon request, the Company (at its expense) shall execute and deliver a Letter of Credit Linked Note and one or more Term Notes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10.07.</w:t>
      </w:r>
    </w:p>
    <w:p>
      <w:pPr>
        <w:spacing w:after="0" w:line="198" w:lineRule="exact"/>
        <w:rPr>
          <w:sz w:val="20"/>
          <w:szCs w:val="20"/>
          <w:color w:val="auto"/>
        </w:rPr>
      </w:pPr>
    </w:p>
    <w:p>
      <w:pPr>
        <w:ind w:right="80" w:firstLine="228"/>
        <w:spacing w:after="0" w:line="291" w:lineRule="auto"/>
        <w:tabs>
          <w:tab w:leader="none" w:pos="631"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Company, shall maintain at the Administrative Agent’s Office a copy of each Assignment and Assumption delivered to it and a register for the recordation of the names and addresses of the Lenders, and the Credit-Linked Deposit of, and amounts of the Credit Obligations owing to, each Lender pursuant to the terms hereof from time to time (the “Register”). The entries in the Register shall be conclusive absent manifest error and the Company, the Administrative Agent, the Issuer and the Lenders may treat each Person whose name is recorded in the Register pursuant to the terms hereof as a Lender hereunder for all purposes of this Agreement, notwithstanding notice to the contrary. The Register shall be available for inspection by the Company, the Issuer and any Lender, at any reasonable time and from time to time upon reasonable prior notice.</w:t>
      </w:r>
    </w:p>
    <w:p>
      <w:pPr>
        <w:spacing w:after="0" w:line="174" w:lineRule="exact"/>
        <w:rPr>
          <w:rFonts w:ascii="Arial" w:cs="Arial" w:eastAsia="Arial" w:hAnsi="Arial"/>
          <w:sz w:val="16"/>
          <w:szCs w:val="16"/>
          <w:color w:val="auto"/>
        </w:rPr>
      </w:pPr>
    </w:p>
    <w:p>
      <w:pPr>
        <w:ind w:right="20" w:firstLine="228"/>
        <w:spacing w:after="0" w:line="286" w:lineRule="auto"/>
        <w:tabs>
          <w:tab w:leader="none" w:pos="634"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Any Lender may at any time, without notice to or the consent of the Administrative Agent, sell participations to any Person (other than a natural person or the Company or any of the Company’s Affiliates or Subsidiaries) (each, a “Participant”) in all or a portion of such Lender’s rights and/or obligations under this Agreement (including all or a portion of its Credit-Linked Deposit and/or such Lender’s Term Loans and/or Participations in Credit Obligations owing to it); provided that (i) such Lender’s obligations under this Agreement shall remain unchanged, (ii) such Lender shall remain solely responsible to the other parties hereto for the performance of such obligations and (iii) the Company, the Administrative Agent, the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Section 10.01 that directly affects such Participant. Subject to subsection (e) of this Section 10.07, the Company agrees that each Participant shall be entitled to the benefits of Sections 3.01, 3.02 and 3.03 to the same extent as if it were a Lender and had acquired its interest by assignment pursuant to subsection (b) of this Section 10.07. To the extent permitted by Law, each Participant also shall be entitled to the benefits of Section 10.09 as though it were a Lender, provided such Participant agrees to be subject to Section 2.09 as though it were a Lender.</w:t>
      </w:r>
    </w:p>
    <w:p>
      <w:pPr>
        <w:spacing w:after="0" w:line="174" w:lineRule="exact"/>
        <w:rPr>
          <w:rFonts w:ascii="Arial" w:cs="Arial" w:eastAsia="Arial" w:hAnsi="Arial"/>
          <w:sz w:val="16"/>
          <w:szCs w:val="16"/>
          <w:color w:val="auto"/>
        </w:rPr>
      </w:pPr>
    </w:p>
    <w:p>
      <w:pPr>
        <w:ind w:right="420" w:firstLine="228"/>
        <w:spacing w:after="0" w:line="268" w:lineRule="auto"/>
        <w:tabs>
          <w:tab w:leader="none" w:pos="624"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3.01 or 3.05 than the applicable Lender would have been entitled to receive with respect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49" w:name="page350"/>
    <w:bookmarkEnd w:id="349"/>
    <w:p>
      <w:pPr>
        <w:ind w:right="520"/>
        <w:spacing w:after="0" w:line="335" w:lineRule="auto"/>
        <w:rPr>
          <w:sz w:val="20"/>
          <w:szCs w:val="20"/>
          <w:color w:val="auto"/>
        </w:rPr>
      </w:pPr>
      <w:r>
        <w:rPr>
          <w:rFonts w:ascii="Arial" w:cs="Arial" w:eastAsia="Arial" w:hAnsi="Arial"/>
          <w:sz w:val="15"/>
          <w:szCs w:val="15"/>
          <w:color w:val="auto"/>
        </w:rPr>
        <w:t>to the participation sold to such Participant, unless the sale of the participation to such Participant is made with the Company’s prior written consent. A Participant that would be a Foreign Lender if it were a Lender shall not be entitled to the benefits of Section 3.01 unless the Company is notified of the participation sold to such Participant and such Participant agrees, for the benefit of the Company, to comply with Section 10.15 as though it were a Lender.</w:t>
      </w:r>
    </w:p>
    <w:p>
      <w:pPr>
        <w:spacing w:after="0" w:line="142" w:lineRule="exact"/>
        <w:rPr>
          <w:sz w:val="20"/>
          <w:szCs w:val="20"/>
          <w:color w:val="auto"/>
        </w:rPr>
      </w:pPr>
    </w:p>
    <w:p>
      <w:pPr>
        <w:ind w:right="420" w:firstLine="228"/>
        <w:spacing w:after="0" w:line="306" w:lineRule="auto"/>
        <w:tabs>
          <w:tab w:leader="none" w:pos="60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54" w:lineRule="exact"/>
        <w:rPr>
          <w:rFonts w:ascii="Arial" w:cs="Arial" w:eastAsia="Arial" w:hAnsi="Arial"/>
          <w:sz w:val="16"/>
          <w:szCs w:val="16"/>
          <w:color w:val="auto"/>
        </w:rPr>
      </w:pPr>
    </w:p>
    <w:p>
      <w:pPr>
        <w:ind w:right="140" w:firstLine="228"/>
        <w:spacing w:after="0" w:line="258" w:lineRule="auto"/>
        <w:tabs>
          <w:tab w:leader="none" w:pos="644"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Assignment of Credit-Linked Deposit</w:t>
      </w:r>
      <w:r>
        <w:rPr>
          <w:rFonts w:ascii="Arial" w:cs="Arial" w:eastAsia="Arial" w:hAnsi="Arial"/>
          <w:sz w:val="18"/>
          <w:szCs w:val="18"/>
          <w:color w:val="auto"/>
        </w:rPr>
        <w:t>. The Credit-Linked Deposit funded by any Lender under Section 2.01(c)(ii) shall not be released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assignment of its Credit-Linked Deposit, but shall instead be purchased by the relevant assignee and continue to be held for application (if not already applied in accordance with the terms of Section 2.01(c)(ii) or 2.03) pursuant to Section 2.01(c)(ii) in respect of such assignee’s obligations under the Credit-Linked Deposit assigned to it.</w:t>
      </w:r>
    </w:p>
    <w:p>
      <w:pPr>
        <w:spacing w:after="0" w:line="190" w:lineRule="exact"/>
        <w:rPr>
          <w:sz w:val="20"/>
          <w:szCs w:val="20"/>
          <w:color w:val="auto"/>
        </w:rPr>
      </w:pPr>
    </w:p>
    <w:p>
      <w:pPr>
        <w:ind w:firstLine="220"/>
        <w:spacing w:after="0" w:line="285" w:lineRule="auto"/>
        <w:rPr>
          <w:sz w:val="20"/>
          <w:szCs w:val="20"/>
          <w:color w:val="auto"/>
        </w:rPr>
      </w:pPr>
      <w:r>
        <w:rPr>
          <w:rFonts w:ascii="Arial" w:cs="Arial" w:eastAsia="Arial" w:hAnsi="Arial"/>
          <w:sz w:val="16"/>
          <w:szCs w:val="16"/>
          <w:b w:val="1"/>
          <w:bCs w:val="1"/>
          <w:color w:val="auto"/>
        </w:rPr>
        <w:t>10.08 Confidentiality</w:t>
      </w:r>
      <w:r>
        <w:rPr>
          <w:rFonts w:ascii="Arial" w:cs="Arial" w:eastAsia="Arial" w:hAnsi="Arial"/>
          <w:sz w:val="16"/>
          <w:szCs w:val="16"/>
          <w:color w:val="auto"/>
        </w:rPr>
        <w:t>. For the purposes of this Section 10.08, “Confidential Information” means information delivered to the Administrative Agent,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 or any Lender by or on behalf of the Company or any Subsidiary in connection with the transactions contemplated by or otherwise pursuant to this Agreement that is proprietary in nature and that was clearly marked or labeled or otherwise adequately identified when received by it as being confidential information of the Company or such Subsidiary, provided that such term does not include information that (a) was publicly known or otherwise known to it prior to the time of such disclosure, (b) subsequently becomes publicly known through no act or omission by it or any Person acting on its behalf, (c) otherwise becomes known to it other than through disclosure by the Company or any Subsidiary or (d) constitutes financial statements delivered to it under Section 6.01 that are otherwise publicly available. Each of the Administrative Agent, the Issuer and the Lenders will maintain the confidentiality of such Confidential Information delivered to or received by it in accordance with procedures adopted by it in good faith to protect confidential information of third parties delivered to it, provided that the Administrative Agent, the Issuer or any Lender may deliver or disclose Confidential Information to (i) its directors, officers, employees, agents, attorneys and Affiliates (to the extent such disclosure reasonably relates to the administration of the Credit Documents by the Administrative Agent, the Issuer or any Lender), (ii) its financial advisors and other professional advisors who agree to hold confidential the Confidential Information substantially in accordance with the terms of this Section 10.08, (iii) any other party to this Agreement, (iv) any Eligible Assignee to which any Lender sells or offers to sell its Credit-Linked Deposit and Credit Obligations or any part thereof or any Participation therein (if such Person has agreed in writing prior to its receipt of such Confidential Information to be bound by the provisions of this Section 10.08), (v) any Person from which it offers to purchase any security of the Company (if such Person has agreed in writing prior to its receipt of such Confidential Information to be bound by the provisions of this Section 10.08), (vi) any federal or state regulatory authority having jurisdiction over it, (vii) the National Association of Insurance Commissioners or any similar organization, or any nationally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50" w:name="page351"/>
    <w:bookmarkEnd w:id="350"/>
    <w:p>
      <w:pPr>
        <w:ind w:right="80"/>
        <w:spacing w:after="0" w:line="286" w:lineRule="auto"/>
        <w:rPr>
          <w:sz w:val="20"/>
          <w:szCs w:val="20"/>
          <w:color w:val="auto"/>
        </w:rPr>
      </w:pPr>
      <w:r>
        <w:rPr>
          <w:rFonts w:ascii="Arial" w:cs="Arial" w:eastAsia="Arial" w:hAnsi="Arial"/>
          <w:sz w:val="16"/>
          <w:szCs w:val="16"/>
          <w:color w:val="auto"/>
        </w:rPr>
        <w:t>recognized rating agency that requires access to information about its investment portfolio, or (viii) any other Person to which such delivery or disclosure may be necessary or appropriate (w) to effect compliance with any law, rule, regulation or order applicable to it, (x) in response to any subpoena or other legal process,</w:t>
      </w:r>
    </w:p>
    <w:p>
      <w:pPr>
        <w:ind w:right="80" w:firstLine="8"/>
        <w:spacing w:after="0" w:line="286" w:lineRule="auto"/>
        <w:tabs>
          <w:tab w:leader="none" w:pos="249" w:val="left"/>
        </w:tabs>
        <w:numPr>
          <w:ilvl w:val="0"/>
          <w:numId w:val="421"/>
        </w:numPr>
        <w:rPr>
          <w:rFonts w:ascii="Arial" w:cs="Arial" w:eastAsia="Arial" w:hAnsi="Arial"/>
          <w:sz w:val="16"/>
          <w:szCs w:val="16"/>
          <w:color w:val="auto"/>
        </w:rPr>
      </w:pPr>
      <w:r>
        <w:rPr>
          <w:rFonts w:ascii="Arial" w:cs="Arial" w:eastAsia="Arial" w:hAnsi="Arial"/>
          <w:sz w:val="16"/>
          <w:szCs w:val="16"/>
          <w:color w:val="auto"/>
        </w:rPr>
        <w:t>in connection with any litigation to which it is a party or (z) if an Event of Default has occurred and is continuing, to the extent it may reasonably determine such delivery and disclosure to be necessary or appropriate in the enforcement or for the protection of the rights and remedies under the Letter of Credit Linked Notes, the Term Notes and this Agreement. Each Eligible Assignee, by its execution of an Assignment and Assumption, will be deemed to have agreed to be bound by and to be entitled to the benefits of this Section 10.08 as though it were a party to this Agreement. Notwithstanding anything herein to the contrary, “Confidential Information” shall not include, and the Issuer, the Administrative Agent and each Lender may disclose without limitation of any kind, any information with respect to the “tax treatment” and “tax structure” (in each case, within the meaning of Treasury Regulation Section 1.6011-4) of the transactions contemplated hereby and all materials of any kind (including opinions or other tax analyses) that are provided to the Issuer, the Administrative Agent or such Lender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tax treatment or tax structure of the Credits, Advances, Term Loans and transactions contemplated hereby.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10.09 [Intentionally Omitted]</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10.10 Representations and Warranties of Each Lender</w:t>
      </w:r>
      <w:r>
        <w:rPr>
          <w:rFonts w:ascii="Arial" w:cs="Arial" w:eastAsia="Arial" w:hAnsi="Arial"/>
          <w:sz w:val="16"/>
          <w:szCs w:val="16"/>
          <w:color w:val="auto"/>
        </w:rPr>
        <w:t>. Each Lender (for itself, and not for any other Lender) represents and warrants to the Issuer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right="20" w:firstLine="228"/>
        <w:spacing w:after="0" w:line="253" w:lineRule="auto"/>
        <w:tabs>
          <w:tab w:leader="none" w:pos="63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Purchase for Investment. Such Lender is an institutional “accredited investor” within the meaning of subparagraphs (1), (2), (3) or (7) of Rule 501(a) promulgated under the Securities Act. Such Lender represents that it is purchasing its Participation in this Agreement, its Letter of Credit Linked Note and its Term Notes, if any, for its own account or for one or more separate accounts maintained by it or for the account of one or more pension or trust funds and not with a view to the distribution thereof, provided that the disposition of its or their property shall at all times be within its or their control. Such Lender understands that the Letter of Credit Linked Notes and Term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Issuer, the Administrative Agent and the Company are not required to register the Letter of Credit Linked Notes and Term Notes.</w:t>
      </w:r>
    </w:p>
    <w:p>
      <w:pPr>
        <w:spacing w:after="0" w:line="199" w:lineRule="exact"/>
        <w:rPr>
          <w:rFonts w:ascii="Arial" w:cs="Arial" w:eastAsia="Arial" w:hAnsi="Arial"/>
          <w:sz w:val="18"/>
          <w:szCs w:val="18"/>
          <w:color w:val="auto"/>
        </w:rPr>
      </w:pPr>
    </w:p>
    <w:p>
      <w:pPr>
        <w:ind w:right="700" w:firstLine="228"/>
        <w:spacing w:after="0" w:line="268" w:lineRule="auto"/>
        <w:tabs>
          <w:tab w:leader="none" w:pos="64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Source of Funds. Such Lender represents that at least one of the following statements is an accurate representation as to each source of funds (a “Source”) to be used by it to pay the purchase price of its Participation in this Agreement:</w:t>
      </w:r>
    </w:p>
    <w:p>
      <w:pPr>
        <w:spacing w:after="0" w:line="185" w:lineRule="exact"/>
        <w:rPr>
          <w:rFonts w:ascii="Arial" w:cs="Arial" w:eastAsia="Arial" w:hAnsi="Arial"/>
          <w:sz w:val="18"/>
          <w:szCs w:val="18"/>
          <w:color w:val="auto"/>
        </w:rPr>
      </w:pPr>
    </w:p>
    <w:p>
      <w:pPr>
        <w:ind w:right="620" w:firstLine="447"/>
        <w:spacing w:after="0" w:line="332" w:lineRule="auto"/>
        <w:tabs>
          <w:tab w:leader="none" w:pos="649" w:val="left"/>
        </w:tabs>
        <w:numPr>
          <w:ilvl w:val="1"/>
          <w:numId w:val="422"/>
        </w:numPr>
        <w:rPr>
          <w:rFonts w:ascii="Arial" w:cs="Arial" w:eastAsia="Arial" w:hAnsi="Arial"/>
          <w:sz w:val="16"/>
          <w:szCs w:val="16"/>
          <w:color w:val="auto"/>
        </w:rPr>
      </w:pPr>
      <w:r>
        <w:rPr>
          <w:rFonts w:ascii="Arial" w:cs="Arial" w:eastAsia="Arial" w:hAnsi="Arial"/>
          <w:sz w:val="16"/>
          <w:szCs w:val="16"/>
          <w:color w:val="auto"/>
        </w:rPr>
        <w:t>the Source is an “insurance company general account” (as the term is defined in the United States Department of Labor’s Prohibited Transaction Exemption (“PTE”) 95-60) in respect of which the reserves and liabilities (as defined by the annual statement for life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1" w:name="page352"/>
    <w:bookmarkEnd w:id="351"/>
    <w:p>
      <w:pPr>
        <w:ind w:right="20"/>
        <w:spacing w:after="0" w:line="294" w:lineRule="auto"/>
        <w:rPr>
          <w:sz w:val="20"/>
          <w:szCs w:val="20"/>
          <w:color w:val="auto"/>
        </w:rPr>
      </w:pPr>
      <w:r>
        <w:rPr>
          <w:rFonts w:ascii="Arial" w:cs="Arial" w:eastAsia="Arial" w:hAnsi="Arial"/>
          <w:sz w:val="16"/>
          <w:szCs w:val="16"/>
          <w:color w:val="auto"/>
        </w:rPr>
        <w:t>insurance companies approved by the National Association of Insurance Commissioners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Lender’s state of domicile; or</w:t>
      </w:r>
    </w:p>
    <w:p>
      <w:pPr>
        <w:spacing w:after="0" w:line="170" w:lineRule="exact"/>
        <w:rPr>
          <w:sz w:val="20"/>
          <w:szCs w:val="20"/>
          <w:color w:val="auto"/>
        </w:rPr>
      </w:pPr>
    </w:p>
    <w:p>
      <w:pPr>
        <w:ind w:right="200" w:firstLine="447"/>
        <w:spacing w:after="0" w:line="306" w:lineRule="auto"/>
        <w:tabs>
          <w:tab w:leader="none" w:pos="69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Source is a separate account that is maintained solely in connection with such Lender’s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0" w:lineRule="exact"/>
        <w:rPr>
          <w:rFonts w:ascii="Arial" w:cs="Arial" w:eastAsia="Arial" w:hAnsi="Arial"/>
          <w:sz w:val="16"/>
          <w:szCs w:val="16"/>
          <w:color w:val="auto"/>
        </w:rPr>
      </w:pPr>
    </w:p>
    <w:p>
      <w:pPr>
        <w:ind w:right="60" w:firstLine="447"/>
        <w:spacing w:after="0" w:line="256" w:lineRule="auto"/>
        <w:tabs>
          <w:tab w:leader="none" w:pos="74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Source is either (A) an insurance company pooled separate account, within the meaning of PTE 90-1 or (B) a bank collective investment fund, within the meaning of the PTE 91-38 and, except as disclosed by such Lender to the Issuer and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spacing w:after="0" w:line="197" w:lineRule="exact"/>
        <w:rPr>
          <w:rFonts w:ascii="Arial" w:cs="Arial" w:eastAsia="Arial" w:hAnsi="Arial"/>
          <w:sz w:val="18"/>
          <w:szCs w:val="18"/>
          <w:color w:val="auto"/>
        </w:rPr>
      </w:pPr>
    </w:p>
    <w:p>
      <w:pPr>
        <w:ind w:right="60" w:firstLine="447"/>
        <w:spacing w:after="0" w:line="289" w:lineRule="auto"/>
        <w:tabs>
          <w:tab w:leader="none" w:pos="73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Source constitutes assets of an “investment fund” (within the meaning of Part V of PTE 84-14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Section I(c) and (g) of the QPAM Exemption are satisfied, neither the QPAM nor a person controlling or controlled by the QPAM (applying the definition of “control” in Section V(e) of the QPAM Exemption) owns a 5% or more interest in the Issuer or the Company and (i) the identity of such QPAM and (ii) the names of all employee benefit plans whose assets are included in such investment fund have been disclosed to the Issuer and the Company in writing pursuant to this clause (iv); or</w:t>
      </w:r>
    </w:p>
    <w:p>
      <w:pPr>
        <w:spacing w:after="0" w:line="172" w:lineRule="exact"/>
        <w:rPr>
          <w:rFonts w:ascii="Arial" w:cs="Arial" w:eastAsia="Arial" w:hAnsi="Arial"/>
          <w:sz w:val="16"/>
          <w:szCs w:val="16"/>
          <w:color w:val="auto"/>
        </w:rPr>
      </w:pPr>
    </w:p>
    <w:p>
      <w:pPr>
        <w:ind w:right="60" w:firstLine="447"/>
        <w:spacing w:after="0" w:line="294" w:lineRule="auto"/>
        <w:tabs>
          <w:tab w:leader="none" w:pos="688"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Source constitutes assets of one or more “plans” (within the meaning of Part IV of PTE 96-23 (the “INHAM Exemption”)) managed by an “in-house asset manager” or “INHAM” (within the meaning of Part IV of the INHAM exemption), the conditions of Section I(a), (g) and (h) of the INHAM Exemption are satisfied, neither the INHAM nor a person controlling or controlled by the INHAM (applying the definition of “control” in Section IV(d)(3) of the INHAM Exemption) owns a 5% or more interest in the Issuer or the Company and (A) the identity of such INHAM and (B) the name(s) of the employee benefit plan(s) whose assets constitute the Source have been disclosed to the Issuer and the Company in writing pursuant to this clause (v); or</w:t>
      </w:r>
    </w:p>
    <w:p>
      <w:pPr>
        <w:spacing w:after="0" w:line="169" w:lineRule="exact"/>
        <w:rPr>
          <w:rFonts w:ascii="Arial" w:cs="Arial" w:eastAsia="Arial" w:hAnsi="Arial"/>
          <w:sz w:val="16"/>
          <w:szCs w:val="16"/>
          <w:color w:val="auto"/>
        </w:rPr>
      </w:pPr>
    </w:p>
    <w:p>
      <w:pPr>
        <w:ind w:left="740" w:hanging="293"/>
        <w:spacing w:after="0"/>
        <w:tabs>
          <w:tab w:leader="none" w:pos="7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2" w:name="page353"/>
    <w:bookmarkEnd w:id="352"/>
    <w:p>
      <w:pPr>
        <w:ind w:right="80" w:firstLine="447"/>
        <w:spacing w:after="0" w:line="268" w:lineRule="auto"/>
        <w:tabs>
          <w:tab w:leader="none" w:pos="78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Issuer and the Company in writing pursuant to this clause (vii); or</w:t>
      </w:r>
    </w:p>
    <w:p>
      <w:pPr>
        <w:spacing w:after="0" w:line="185" w:lineRule="exact"/>
        <w:rPr>
          <w:rFonts w:ascii="Arial" w:cs="Arial" w:eastAsia="Arial" w:hAnsi="Arial"/>
          <w:sz w:val="18"/>
          <w:szCs w:val="18"/>
          <w:color w:val="auto"/>
        </w:rPr>
      </w:pPr>
    </w:p>
    <w:p>
      <w:pPr>
        <w:ind w:left="840" w:hanging="393"/>
        <w:spacing w:after="0"/>
        <w:tabs>
          <w:tab w:leader="none" w:pos="8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Source does not include assets of any employee benefit plan, other than a plan exempt from the coverage of ERISA.</w:t>
      </w:r>
    </w:p>
    <w:p>
      <w:pPr>
        <w:spacing w:after="0" w:line="225"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As used in this Section 10.10(b), the terms “employee benefit plan”, “governmental plan”, “party in interest” and “separate account” shall have the respective meanings assigned to such terms in Section 3 of ERISA.</w:t>
      </w:r>
    </w:p>
    <w:p>
      <w:pPr>
        <w:spacing w:after="0" w:line="186" w:lineRule="exact"/>
        <w:rPr>
          <w:sz w:val="20"/>
          <w:szCs w:val="20"/>
          <w:color w:val="auto"/>
        </w:rPr>
      </w:pPr>
    </w:p>
    <w:p>
      <w:pPr>
        <w:ind w:right="80" w:firstLine="228"/>
        <w:spacing w:after="0" w:line="256" w:lineRule="auto"/>
        <w:tabs>
          <w:tab w:leader="none" w:pos="62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Authorization; Enforceability. The execution, delivery and performance of this Agreement has been duly authorized by all necessary corporate action on the part of such Lender. This Agreement has been duly executed and delivered by such Lender and is the legally valid and binding obligation of such Lender, enforceable against such Lender in accordance with its terms, except as may be limited by bankruptcy, insolvency, reorganization, moratorium or similar laws relating to or limiting creditors’ rights generally or by equitable principles.</w:t>
      </w:r>
    </w:p>
    <w:p>
      <w:pPr>
        <w:spacing w:after="0" w:line="197" w:lineRule="exact"/>
        <w:rPr>
          <w:rFonts w:ascii="Arial" w:cs="Arial" w:eastAsia="Arial" w:hAnsi="Arial"/>
          <w:sz w:val="18"/>
          <w:szCs w:val="18"/>
          <w:color w:val="auto"/>
        </w:rPr>
      </w:pPr>
    </w:p>
    <w:p>
      <w:pPr>
        <w:ind w:right="180" w:firstLine="228"/>
        <w:spacing w:after="0" w:line="256" w:lineRule="auto"/>
        <w:tabs>
          <w:tab w:leader="none" w:pos="64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 Withholding. As of the date hereof and as of the date of any assignment under Section 10.07 (after giving effect thereto), no Lender is subject to United States federal withholding taxes on amounts payable pursuant to the terms of this Agreement. Each Lender has delivered to the Administrative Agent all forms required pursuant to Section 10.15(b) to ensure that the Administrative Agent shall not be required to effect any withholding with respect to any amounts payable pursuant to the terms of this Agreement.</w:t>
      </w:r>
    </w:p>
    <w:p>
      <w:pPr>
        <w:spacing w:after="0" w:line="191" w:lineRule="exact"/>
        <w:rPr>
          <w:sz w:val="20"/>
          <w:szCs w:val="20"/>
          <w:color w:val="auto"/>
        </w:rPr>
      </w:pPr>
    </w:p>
    <w:p>
      <w:pPr>
        <w:ind w:right="40" w:firstLine="220"/>
        <w:spacing w:after="0" w:line="275" w:lineRule="auto"/>
        <w:rPr>
          <w:sz w:val="20"/>
          <w:szCs w:val="20"/>
          <w:color w:val="auto"/>
        </w:rPr>
      </w:pPr>
      <w:r>
        <w:rPr>
          <w:rFonts w:ascii="Arial" w:cs="Arial" w:eastAsia="Arial" w:hAnsi="Arial"/>
          <w:sz w:val="18"/>
          <w:szCs w:val="18"/>
          <w:b w:val="1"/>
          <w:bCs w:val="1"/>
          <w:color w:val="auto"/>
        </w:rPr>
        <w:t>10.11 Counterparts</w:t>
      </w:r>
      <w:r>
        <w:rPr>
          <w:rFonts w:ascii="Arial" w:cs="Arial" w:eastAsia="Arial" w:hAnsi="Arial"/>
          <w:sz w:val="18"/>
          <w:szCs w:val="18"/>
          <w:color w:val="auto"/>
        </w:rPr>
        <w:t>. This Agreement may be executed in one or more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74"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b w:val="1"/>
          <w:bCs w:val="1"/>
          <w:color w:val="auto"/>
        </w:rPr>
        <w:t>10.12 Integration</w:t>
      </w:r>
      <w:r>
        <w:rPr>
          <w:rFonts w:ascii="Arial" w:cs="Arial" w:eastAsia="Arial" w:hAnsi="Arial"/>
          <w:sz w:val="18"/>
          <w:szCs w:val="18"/>
          <w:color w:val="auto"/>
        </w:rPr>
        <w:t>. This Agreement, together with the other Credit Documents, comprises the complete and integrated agreement of the parties on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thereof and supersedes all prior agreements, written or oral, on such subject matter. In the event of any conflict between the provisions of this Agreement and those of any other Credit Document, the provisions of this Agreement shall control; provided that the inclusion of supplemental rights or remedies in favor of the Administrative Agent, the Issuer or the Lenders in any other Credit Document shall not be deemed a conflict with this Agreement. Each Credit Document was drafted with the joint participation of the respective parties thereto and shall be construed neither against nor in favor of any party, but rather in accordance with the fair meaning thereof.</w:t>
      </w:r>
    </w:p>
    <w:p>
      <w:pPr>
        <w:spacing w:after="0" w:line="193"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b w:val="1"/>
          <w:bCs w:val="1"/>
          <w:color w:val="auto"/>
        </w:rPr>
        <w:t>10.13 Survival of Representations and Warranties</w:t>
      </w:r>
      <w:r>
        <w:rPr>
          <w:rFonts w:ascii="Arial" w:cs="Arial" w:eastAsia="Arial" w:hAnsi="Arial"/>
          <w:sz w:val="18"/>
          <w:szCs w:val="18"/>
          <w:color w:val="auto"/>
        </w:rPr>
        <w:t>. All representations and warranties made hereunder and in any other Credit Document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delivered pursuant hereto or thereto or in connection herewith or therewith shall survive the execution and delivery hereof and thereof. Such representations and warranties have been or will be relied upon by the Administrative Agent, the Issuer and each Lender, regardless of any investigation made by the Administrative Agent, the Issuer or any Lender or on their behalf and notwithstanding that the Administrative Agent, the Issuer or any Lender may have had notice or</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3" w:name="page354"/>
    <w:bookmarkEnd w:id="353"/>
    <w:p>
      <w:pPr>
        <w:ind w:right="200"/>
        <w:spacing w:after="0" w:line="268" w:lineRule="auto"/>
        <w:rPr>
          <w:sz w:val="20"/>
          <w:szCs w:val="20"/>
          <w:color w:val="auto"/>
        </w:rPr>
      </w:pPr>
      <w:r>
        <w:rPr>
          <w:rFonts w:ascii="Arial" w:cs="Arial" w:eastAsia="Arial" w:hAnsi="Arial"/>
          <w:sz w:val="18"/>
          <w:szCs w:val="18"/>
          <w:color w:val="auto"/>
        </w:rPr>
        <w:t>knowledge of any Default or Event of Default at the time of any Credit Extension, and shall continue in full force and effect as long as any Credit Obligation or any other Credit Obligation shall remain unpaid or unsatisfied or any Credit shall remain outstanding.</w:t>
      </w:r>
    </w:p>
    <w:p>
      <w:pPr>
        <w:spacing w:after="0" w:line="180" w:lineRule="exact"/>
        <w:rPr>
          <w:sz w:val="20"/>
          <w:szCs w:val="20"/>
          <w:color w:val="auto"/>
        </w:rPr>
      </w:pPr>
    </w:p>
    <w:p>
      <w:pPr>
        <w:ind w:right="200" w:firstLine="220"/>
        <w:spacing w:after="0" w:line="256" w:lineRule="auto"/>
        <w:rPr>
          <w:sz w:val="20"/>
          <w:szCs w:val="20"/>
          <w:color w:val="auto"/>
        </w:rPr>
      </w:pPr>
      <w:r>
        <w:rPr>
          <w:rFonts w:ascii="Arial" w:cs="Arial" w:eastAsia="Arial" w:hAnsi="Arial"/>
          <w:sz w:val="18"/>
          <w:szCs w:val="18"/>
          <w:b w:val="1"/>
          <w:bCs w:val="1"/>
          <w:color w:val="auto"/>
        </w:rPr>
        <w:t>10.14 Severability</w:t>
      </w:r>
      <w:r>
        <w:rPr>
          <w:rFonts w:ascii="Arial" w:cs="Arial" w:eastAsia="Arial" w:hAnsi="Arial"/>
          <w:sz w:val="18"/>
          <w:szCs w:val="18"/>
          <w:color w:val="auto"/>
        </w:rPr>
        <w:t>. If any provision of this Agreement or the other Credit Documents is held to be illegal, invalid or unenforceable, (a)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remaining provisions of this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3" w:lineRule="exact"/>
        <w:rPr>
          <w:sz w:val="20"/>
          <w:szCs w:val="20"/>
          <w:color w:val="auto"/>
        </w:rPr>
      </w:pPr>
    </w:p>
    <w:p>
      <w:pPr>
        <w:ind w:right="60" w:firstLine="220"/>
        <w:spacing w:after="0" w:line="284" w:lineRule="auto"/>
        <w:rPr>
          <w:sz w:val="20"/>
          <w:szCs w:val="20"/>
          <w:color w:val="auto"/>
        </w:rPr>
      </w:pPr>
      <w:r>
        <w:rPr>
          <w:rFonts w:ascii="Arial" w:cs="Arial" w:eastAsia="Arial" w:hAnsi="Arial"/>
          <w:sz w:val="16"/>
          <w:szCs w:val="16"/>
          <w:b w:val="1"/>
          <w:bCs w:val="1"/>
          <w:color w:val="auto"/>
        </w:rPr>
        <w:t xml:space="preserve">10.15 Tax Forms. </w:t>
      </w:r>
      <w:r>
        <w:rPr>
          <w:rFonts w:ascii="Arial" w:cs="Arial" w:eastAsia="Arial" w:hAnsi="Arial"/>
          <w:sz w:val="16"/>
          <w:szCs w:val="16"/>
          <w:color w:val="auto"/>
        </w:rPr>
        <w:t>(a) (i) Each Lender and the Issuer that is not a “United States person” within the meaning of Section 7701(a)(30) of the Code (a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deliver to the Administrative Agent, prior to receipt of any payment subject to withholding under the Code (or upon accepting an assignment of an interest herein), two duly signed completed copies of either IRS Form W-8BEN or any successor thereto (relating to such Foreign Lender and entitling it to an exemption from, or reduction of, withholding tax on all payments to be made to such Foreign Lender by the Company pursuant to this Agreement) or IRS Form W-8ECI or any successor thereto (relating to all payments to be made to such Foreign Lender by the Company pursuant to this Agreement), and, if necessary, such other evidence satisfactory to the Company and the Administrative Agent that such Foreign Lender is entitled to an exemption from, or reduction of, U.S. withholding tax, including any exemption pursuant to Section 881(c) of the Code. Thereafter and from time to time, each such Foreign Lender shall</w:t>
      </w:r>
    </w:p>
    <w:p>
      <w:pPr>
        <w:spacing w:after="0" w:line="1" w:lineRule="exact"/>
        <w:rPr>
          <w:sz w:val="20"/>
          <w:szCs w:val="20"/>
          <w:color w:val="auto"/>
        </w:rPr>
      </w:pPr>
    </w:p>
    <w:p>
      <w:pPr>
        <w:ind w:right="60" w:firstLine="8"/>
        <w:spacing w:after="0" w:line="252" w:lineRule="auto"/>
        <w:tabs>
          <w:tab w:leader="none" w:pos="288" w:val="left"/>
        </w:tabs>
        <w:numPr>
          <w:ilvl w:val="0"/>
          <w:numId w:val="426"/>
        </w:numPr>
        <w:rPr>
          <w:rFonts w:ascii="Arial" w:cs="Arial" w:eastAsia="Arial" w:hAnsi="Arial"/>
          <w:sz w:val="18"/>
          <w:szCs w:val="18"/>
          <w:color w:val="auto"/>
        </w:rPr>
      </w:pPr>
      <w:r>
        <w:rPr>
          <w:rFonts w:ascii="Arial" w:cs="Arial" w:eastAsia="Arial" w:hAnsi="Arial"/>
          <w:sz w:val="18"/>
          <w:szCs w:val="18"/>
          <w:color w:val="auto"/>
        </w:rPr>
        <w:t>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Company and the Administrative Agent of any available exemption from or reduction of, United States withholding taxes in respect of all payments to be made to such Foreign Lender by the Company pursuant to this Agreement, (B) promptly notify the Administrative Agent of any change in circumstances which would modify or render invalid any claimed exemption or reduction, and (C) take such steps as shall not be materially disadvantageous to it, in the reasonable judgment of such Foreign Lender, and as may be reasonably necessary (including the re-designation of its Lending Office) to avoid any requirement of applicable Laws that the Company make any deduction or withholding for taxes from amounts payable to such Foreign Lender.</w:t>
      </w:r>
    </w:p>
    <w:p>
      <w:pPr>
        <w:spacing w:after="0" w:line="199" w:lineRule="exact"/>
        <w:rPr>
          <w:rFonts w:ascii="Arial" w:cs="Arial" w:eastAsia="Arial" w:hAnsi="Arial"/>
          <w:sz w:val="18"/>
          <w:szCs w:val="18"/>
          <w:color w:val="auto"/>
        </w:rPr>
      </w:pPr>
    </w:p>
    <w:p>
      <w:pPr>
        <w:ind w:right="20" w:firstLine="447"/>
        <w:spacing w:after="0" w:line="294" w:lineRule="auto"/>
        <w:tabs>
          <w:tab w:leader="none" w:pos="69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Each Foreign Lender, to the extent it does not act or ceases to act for its own account with respect to any portion of any sums paid or payable to such Foreign Lender under any of the Credit Documents (for example, in the case of a typical participation by such Foreign Lender), shall deliver to the Administrative Agent on the date when such Foreign Lender ceases to act for its own account with respect to any portion of any such sums paid or payable, and at such other times as may be necessary in the determination of the Administrative Agent (in the reasonable exercise of its discretion), (A) two duly signed completed copies of the forms or statements required to be provided by such Foreign Lender as set forth above, to establish the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54" w:name="page355"/>
    <w:bookmarkEnd w:id="354"/>
    <w:p>
      <w:pPr>
        <w:ind w:right="120"/>
        <w:spacing w:after="0" w:line="298" w:lineRule="auto"/>
        <w:rPr>
          <w:sz w:val="20"/>
          <w:szCs w:val="20"/>
          <w:color w:val="auto"/>
        </w:rPr>
      </w:pPr>
      <w:r>
        <w:rPr>
          <w:rFonts w:ascii="Arial" w:cs="Arial" w:eastAsia="Arial" w:hAnsi="Arial"/>
          <w:sz w:val="16"/>
          <w:szCs w:val="16"/>
          <w:color w:val="auto"/>
        </w:rPr>
        <w:t>portion of any such sums paid or payable with respect to which such Foreign Lender acts for its own account that is exempt from, or subject to a reduced rate of, U.S. withholding tax, and (B) two duly signed completed copies of IRS Form W-8IMY (or any successor thereto), together with any information such Foreign Lender chooses to transmit with such form, and any other certificate or statement of exemption required under the Code, to establish that such Foreign Lender is not acting for its own account with respect to a portion of any such sums payable to such Foreign Lender.</w:t>
      </w:r>
    </w:p>
    <w:p>
      <w:pPr>
        <w:spacing w:after="0" w:line="167" w:lineRule="exact"/>
        <w:rPr>
          <w:sz w:val="20"/>
          <w:szCs w:val="20"/>
          <w:color w:val="auto"/>
        </w:rPr>
      </w:pPr>
    </w:p>
    <w:p>
      <w:pPr>
        <w:ind w:right="20" w:firstLine="447"/>
        <w:spacing w:after="0" w:line="288" w:lineRule="auto"/>
        <w:tabs>
          <w:tab w:leader="none" w:pos="743"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Company shall not be required to pay any additional amount to any Foreign Lender under Section 3.01 (A) with respect to any Taxes required to be deducted or withheld on the basis of the information, certificates or statements of exemption such Foreign Lender transmits with an IRS Form W-8IMY pursuant to this Section 10.15(a) or (B) if such Foreign Lender shall have failed to satisfy the foregoing provisions of this Section 10.15(a); provided that if such Foreign Lender shall have satisfied the requirement of this Section 10.15(a) on the date such Foreign Lender became a Lender or ceased to act for its own account with respect to any payment under any of the Credit Documents, nothing in this Section 10.15(a) shall relieve the Company of its obligation to pay any amounts pursuant to Section 3.01 in the event that, as a result of any change in any applicable law, treaty or governmental rule, regulation or order, or any change in the interpretation, administration or application thereof, such Foreign Lender is no longer properly entitled to deliver forms, certificates or other evidence at a subsequent date establishing the fact that such Foreign Lender or other Person for the account of which such Foreign Lender receives any sums payable under any of the Credit Documents is not subject to withholding or is subject to withholding at a reduced rate.</w:t>
      </w:r>
    </w:p>
    <w:p>
      <w:pPr>
        <w:spacing w:after="0" w:line="173" w:lineRule="exact"/>
        <w:rPr>
          <w:rFonts w:ascii="Arial" w:cs="Arial" w:eastAsia="Arial" w:hAnsi="Arial"/>
          <w:sz w:val="16"/>
          <w:szCs w:val="16"/>
          <w:color w:val="auto"/>
        </w:rPr>
      </w:pPr>
    </w:p>
    <w:p>
      <w:pPr>
        <w:ind w:right="60" w:firstLine="447"/>
        <w:spacing w:after="0" w:line="332" w:lineRule="auto"/>
        <w:tabs>
          <w:tab w:leader="none" w:pos="733"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Administrative Agent may, without reduction, withhold any Taxes required to be deducted and withheld from any payment under any of the Credit Documents with respect to which the Company is not required to pay additional amounts under this Section 10.15(a) or Section 3.01.</w:t>
      </w:r>
    </w:p>
    <w:p>
      <w:pPr>
        <w:spacing w:after="0" w:line="139" w:lineRule="exact"/>
        <w:rPr>
          <w:rFonts w:ascii="Arial" w:cs="Arial" w:eastAsia="Arial" w:hAnsi="Arial"/>
          <w:sz w:val="16"/>
          <w:szCs w:val="16"/>
          <w:color w:val="auto"/>
        </w:rPr>
      </w:pPr>
    </w:p>
    <w:p>
      <w:pPr>
        <w:ind w:right="100" w:firstLine="228"/>
        <w:spacing w:after="0" w:line="256" w:lineRule="auto"/>
        <w:tabs>
          <w:tab w:leader="none" w:pos="64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Upon the request of the Administrative Agent, the Issuer and each Lender that is a “United States person” within the meaning of Section 7701(a)(30) of the Code shall deliver to the Administrative Agent two duly signed completed copies of IRS Form W-9. If the Issuer or such Lender fails to deliver such forms, then the Administrative Agent may withhold from any interest payment to the Issuer or such Lender an amount equivalent to the applicable back-up withholding tax imposed by the Code, without reduction.</w:t>
      </w:r>
    </w:p>
    <w:p>
      <w:pPr>
        <w:spacing w:after="0" w:line="197" w:lineRule="exact"/>
        <w:rPr>
          <w:rFonts w:ascii="Arial" w:cs="Arial" w:eastAsia="Arial" w:hAnsi="Arial"/>
          <w:sz w:val="18"/>
          <w:szCs w:val="18"/>
          <w:color w:val="auto"/>
        </w:rPr>
      </w:pPr>
    </w:p>
    <w:p>
      <w:pPr>
        <w:ind w:right="100" w:firstLine="228"/>
        <w:spacing w:after="0" w:line="254" w:lineRule="auto"/>
        <w:tabs>
          <w:tab w:leader="none" w:pos="63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any Governmental Authority asserts that the Administrative Agent did not properly withhold or backup withhold, as the case may be, any tax or other amount from payments made to or for the account of the Issuer or any Lender, the Issuer or such Lender shall indemnify the Administrative Agent therefor, including all penalties and interest, any taxes imposed by any jurisdiction on the amounts payable to the Administrative Agent under this Section, and costs and expenses (including reasonable Attorney Costs) of the Administrative Agent. The obligation of the Issuer and the Lenders under this Section shall survive the termination of the Credit-Linked Deposits, repayment of all Credit Obligations and all other amounts due hereunder and the resignation or replacement of the Administrative Agent.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55" w:name="page356"/>
    <w:bookmarkEnd w:id="355"/>
    <w:p>
      <w:pPr>
        <w:ind w:right="160" w:firstLine="220"/>
        <w:spacing w:after="0" w:line="310" w:lineRule="auto"/>
        <w:rPr>
          <w:sz w:val="20"/>
          <w:szCs w:val="20"/>
          <w:color w:val="auto"/>
        </w:rPr>
      </w:pPr>
      <w:r>
        <w:rPr>
          <w:rFonts w:ascii="Arial" w:cs="Arial" w:eastAsia="Arial" w:hAnsi="Arial"/>
          <w:sz w:val="16"/>
          <w:szCs w:val="16"/>
          <w:b w:val="1"/>
          <w:bCs w:val="1"/>
          <w:color w:val="auto"/>
        </w:rPr>
        <w:t>10.16 Governing Law</w:t>
      </w:r>
      <w:r>
        <w:rPr>
          <w:rFonts w:ascii="Arial" w:cs="Arial" w:eastAsia="Arial" w:hAnsi="Arial"/>
          <w:sz w:val="16"/>
          <w:szCs w:val="16"/>
          <w:color w:val="auto"/>
        </w:rPr>
        <w:t>. THIS AGREEMENT SHALL BE GOVERNED BY, AND CONSTRUED IN ACCORDANCE WITH, THE LAW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 APPLICABLE TO AGREEMENTS MADE AND TO BE PERFORMED ENTIRELY WITHIN SUCH STATE; PROVIDED THAT THE ADMINISTRATIVE AGENT, THE ISSUER AND EACH LENDER SHALL RETAIN ALL RIGHTS ARISING UNDER FEDERAL LAW.</w:t>
      </w:r>
    </w:p>
    <w:p>
      <w:pPr>
        <w:spacing w:after="0" w:line="157" w:lineRule="exact"/>
        <w:rPr>
          <w:sz w:val="20"/>
          <w:szCs w:val="20"/>
          <w:color w:val="auto"/>
        </w:rPr>
      </w:pPr>
    </w:p>
    <w:p>
      <w:pPr>
        <w:ind w:right="40" w:firstLine="210"/>
        <w:spacing w:after="0" w:line="253" w:lineRule="auto"/>
        <w:rPr>
          <w:sz w:val="20"/>
          <w:szCs w:val="20"/>
          <w:color w:val="auto"/>
        </w:rPr>
      </w:pPr>
      <w:r>
        <w:rPr>
          <w:rFonts w:ascii="Arial" w:cs="Arial" w:eastAsia="Arial" w:hAnsi="Arial"/>
          <w:sz w:val="18"/>
          <w:szCs w:val="18"/>
          <w:color w:val="auto"/>
        </w:rPr>
        <w:t xml:space="preserve">ANY LEGAL ACTION OR PROCEEDING WITH RESPECT TO THIS AGREEMENT OR ANY OTHER CREDIT DOCUMENT MAY BE BROUGHT IN THE COURTS OF THE STATE OF NEW YORK SITTING IN NEW YORK OR OF THE UNITED STATES FOR SOUTHERN DISTRICT OF SUCH STATE, AND BY EXECUTION AND DELIVERY OF THIS AGREEMENT, THE COMPANY CONSENTS, FOR ITSELF AND IN RESPECT OF ITS PROPERTY, TO THE NON-EXCLUSIVE JURISDICTION OF THOSE COURTS. THE COMPANY IRREVOCABLY WAIVES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CREDIT DOCUMENT OR OTHER DOCUMENT RELATED THERETO.</w:t>
      </w:r>
    </w:p>
    <w:p>
      <w:pPr>
        <w:spacing w:after="0" w:line="195"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b w:val="1"/>
          <w:bCs w:val="1"/>
          <w:color w:val="auto"/>
        </w:rPr>
        <w:t>10.17 Waiver of Right to Trial by Jury</w:t>
      </w:r>
      <w:r>
        <w:rPr>
          <w:rFonts w:ascii="Arial" w:cs="Arial" w:eastAsia="Arial" w:hAnsi="Arial"/>
          <w:sz w:val="16"/>
          <w:szCs w:val="16"/>
          <w:color w:val="auto"/>
        </w:rPr>
        <w:t>. EACH PARTY TO THIS AGREEMENT HEREBY EXPRESSLY WAIVES ANY RIGHT TO TRIAL BY JURY</w:t>
      </w:r>
      <w:r>
        <w:rPr>
          <w:rFonts w:ascii="Arial" w:cs="Arial" w:eastAsia="Arial" w:hAnsi="Arial"/>
          <w:sz w:val="16"/>
          <w:szCs w:val="16"/>
          <w:b w:val="1"/>
          <w:bCs w:val="1"/>
          <w:color w:val="auto"/>
        </w:rPr>
        <w:t xml:space="preserve"> </w:t>
      </w:r>
      <w:r>
        <w:rPr>
          <w:rFonts w:ascii="Arial" w:cs="Arial" w:eastAsia="Arial" w:hAnsi="Arial"/>
          <w:sz w:val="16"/>
          <w:szCs w:val="16"/>
          <w:color w:val="auto"/>
        </w:rPr>
        <w:t>OF ANY CLAIM, DEMAND, ACTION OR CAUSE OF ACTION ARISING UNDER ANY CREDIT DOCUMENT OR IN ANY WAY CONNECTED WITH OR RELATED OR INCIDENTAL TO THE DEALINGS OF THE PARTIES HERETO OR ANY OF THEM WITH RESPECT TO ANY CREDIT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10.18 Time of the Essence</w:t>
      </w:r>
      <w:r>
        <w:rPr>
          <w:rFonts w:ascii="Arial" w:cs="Arial" w:eastAsia="Arial" w:hAnsi="Arial"/>
          <w:sz w:val="18"/>
          <w:szCs w:val="18"/>
          <w:color w:val="auto"/>
        </w:rPr>
        <w:t>. Time is of the essence of the Credit Documents.</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b w:val="1"/>
          <w:bCs w:val="1"/>
          <w:color w:val="auto"/>
        </w:rPr>
        <w:t>10.19 Credit Rating Downgrade Event or Deposit Account Interest Non-Payment Event</w:t>
      </w:r>
      <w:r>
        <w:rPr>
          <w:rFonts w:ascii="Arial" w:cs="Arial" w:eastAsia="Arial" w:hAnsi="Arial"/>
          <w:sz w:val="16"/>
          <w:szCs w:val="16"/>
          <w:color w:val="auto"/>
        </w:rPr>
        <w:t>. (a) For purposes of this Section 10.19, (i) the term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Rating Downgrade Event” means that the credit ratings established by S&amp;P and Moody’s with respect to the senior, unsecured long-term, non-credit enhanced debt securities (“Long-Term Debt”) of Bank of America Corporation have been lowered below “A-” by S&amp;P and below “A3” by Moody’s or that the Long-Term Debt of Bank of America Corporation has ceased to be rated by S&amp;P and Moody’s for a period of more than ten (10) consecutive Business Days, in each case as evidenced by the public announcement thereof; provided that if the credit ratings established for the Long-Term Debt of Bank of America Corporation by either S&amp;P or Moody’s are unavailable for any reason, the rating established by the other rating agency shall be used for purposes of this Section 10.19; and (ii) the term “Deposit Account Interest Non-Payment Event” means that an</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6" w:name="page357"/>
    <w:bookmarkEnd w:id="356"/>
    <w:p>
      <w:pPr>
        <w:jc w:val="both"/>
        <w:ind w:right="20"/>
        <w:spacing w:after="0" w:line="298" w:lineRule="auto"/>
        <w:rPr>
          <w:sz w:val="20"/>
          <w:szCs w:val="20"/>
          <w:color w:val="auto"/>
        </w:rPr>
      </w:pPr>
      <w:r>
        <w:rPr>
          <w:rFonts w:ascii="Arial" w:cs="Arial" w:eastAsia="Arial" w:hAnsi="Arial"/>
          <w:sz w:val="16"/>
          <w:szCs w:val="16"/>
          <w:color w:val="auto"/>
        </w:rPr>
        <w:t>interest payment in respect of the Credit-Linked Deposits payable pursuant to Section 2.01(j)(i) shall not have been made by Bank of America and distributed by the Administrative Agent to the Lenders pursuant to Section 2.01(j)(i) within five (5) Business Days of when due. The Administrative Agent will promptly notify each Lender (A) after officers within the agency management group (or similar group performing the functions of the present agency management group) of Bank of America obtain knowledge, if a Credit Rating Downgrade Event has occurred, and (B) if a Deposit Interest Non-Payment Event has occurred.</w:t>
      </w:r>
    </w:p>
    <w:p>
      <w:pPr>
        <w:spacing w:after="0" w:line="167" w:lineRule="exact"/>
        <w:rPr>
          <w:sz w:val="20"/>
          <w:szCs w:val="20"/>
          <w:color w:val="auto"/>
        </w:rPr>
      </w:pPr>
    </w:p>
    <w:p>
      <w:pPr>
        <w:ind w:right="440" w:firstLine="228"/>
        <w:spacing w:after="0" w:line="298" w:lineRule="auto"/>
        <w:tabs>
          <w:tab w:leader="none" w:pos="644"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 the event that a Credit Rating Downgrade Event or a Deposit Account Interest Non-Payment Event has occurred and is continuing, the Required Lenders may, by notice to the Administrative Agent and the Company (each a “Required Notice”), identify the Credit Rating Downgrade Event or Deposit Account Interest Non-Payment Event which then exists, and request that either of the following actions be taken, and upon such request the Company, the Administrative Agent, the Issuer and the Lenders agree to use reasonable commercial efforts to cause such action to be taken:</w:t>
      </w:r>
    </w:p>
    <w:p>
      <w:pPr>
        <w:spacing w:after="0" w:line="166" w:lineRule="exact"/>
        <w:rPr>
          <w:rFonts w:ascii="Arial" w:cs="Arial" w:eastAsia="Arial" w:hAnsi="Arial"/>
          <w:sz w:val="16"/>
          <w:szCs w:val="16"/>
          <w:color w:val="auto"/>
        </w:rPr>
      </w:pPr>
    </w:p>
    <w:p>
      <w:pPr>
        <w:ind w:right="80" w:firstLine="447"/>
        <w:spacing w:after="0" w:line="287" w:lineRule="auto"/>
        <w:tabs>
          <w:tab w:leader="none" w:pos="639"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A new deposit account (the “New Account”) shall be opened by the Administrative Agent at a bank which has a credit rating of at least “A+” from S&amp;P and “A1” from Moody’s (the “New Depository Bank”). The New Depository Bank, the Administrative Agent, the Issuer, the Company and the Lenders shall execute such documents as may be reasonably necessary or appropriate so that the Issuer is granted by the Administrative Agent and the Lenders a first priority perfected security interest in the New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New Depository Bank for credit to the New Account. Thereafter, the New Account shall be deemed to be the “Credit-Linked Deposit Account” under this Agreement and the provisions of this Agreement relating to the Credit-Linked Deposit Account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New Account. Except for the transfer of the Credit-Linked Deposit Account as provided above, the rights of the Administrative Agent, on behalf of the Issuer and the Lenders, in and to the Credit-Linked Deposit Account hereunder shall remain unchanged and in full force and effect.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that the interest payable by the New Depository Bank on the funds on deposit in the New Account is less than the interest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2.01(j)(i) of this Agreement with respect to the Total Credit-Linked Deposit, then the Company shall pay such additional amounts at such times as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so that the Lenders receive no less than the interest payable under Section 2.01(j)(i), at the times set forth in Section 2.01(j)(i). If a Deposit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Non-Payment Event has triggered the procedures set forth in this Section 10.l9(b), then Bank of America shall (A) indemnify the Company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amounts the Company pays pursuant to the immediately preceding sentence and (B) reimburse the Company and each Lender for all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including Attorney Costs, incurred in connection with such Deposit Account Interest Non-Payment Event.</w:t>
      </w:r>
    </w:p>
    <w:p>
      <w:pPr>
        <w:spacing w:after="0" w:line="219"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The parties to this Agreement shall execute and deliver an amendment to this Agreement and such other documents as may be reasonably required to accomplish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7" w:name="page358"/>
    <w:bookmarkEnd w:id="357"/>
    <w:p>
      <w:pPr>
        <w:ind w:right="120"/>
        <w:spacing w:after="0" w:line="306" w:lineRule="auto"/>
        <w:rPr>
          <w:sz w:val="20"/>
          <w:szCs w:val="20"/>
          <w:color w:val="auto"/>
        </w:rPr>
      </w:pPr>
      <w:r>
        <w:rPr>
          <w:rFonts w:ascii="Arial" w:cs="Arial" w:eastAsia="Arial" w:hAnsi="Arial"/>
          <w:sz w:val="16"/>
          <w:szCs w:val="16"/>
          <w:color w:val="auto"/>
        </w:rPr>
        <w:t>foregoing. Notwithstanding anything to the contrary in this Section 10.19(b)(i), the documentation, terms and conditions utilized to establish and grant a security interest in the New Account and the other documentation (including legal opinions) and actions contemplated herein (including any amendment of this Agreement) shall be reasonably satisfactory in form and substance to the Company, the Issuer, the Administrative Agent and each Lender.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20" w:firstLine="447"/>
        <w:spacing w:after="0" w:line="286" w:lineRule="auto"/>
        <w:tabs>
          <w:tab w:leader="none" w:pos="694"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Lenders shall cause to be established, and beneficially owned by the Lenders, a trust (the “Trust”) which shall in turn establish a securities account (the “Securities Account”) at a securities intermediary (the “Securities Intermediary”) having a credit rating of at least “A+” from S&amp;P and at least “A1” from Moody’s. The Securities Intermediary, the Administrative Agent, the Issuer, the Company and the Lenders shall execute such documents as may be reasonably necessary or appropriate so that the Issuer is granted by the Trust, the Administrative Agent and the Lenders, as appropriate, a first priority perfected security interest in the Securities Account securing the Participations. Upon execution and delivery of such documents (including customary legal opinions), and evidence reasonably satisfactory to the Issuer of perfection with first priority of such security interest, all funds then held in the Credit-Linked Deposit Account shall be transferred in immediately available funds to the Securities Intermediary for credit to the Securities Account. Such funds shall be invested in such LIBOR-based short-term debt investments, having a credit rating of at least “A+” from S&amp;P and at least “A1” from Moody’s as may be reasonably agreed upon by the Required Lenders, the Administrative Agent, the Issuer and the Company. Thereafter, the Securities Account shall be deemed to be the “Credit Linked Deposit Account” under this Agreement and the provisions of this Agreement relating to the Credit-Linked Deposit Account shall apply </w:t>
      </w: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to the Securities Account. Except for the transfer of funds from the Credit-Linked Deposit Account to the Securities Account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of the Administrative Agent, on behalf of the Issuer and the Lenders, in and to the Securities Account hereunder shall remain unchanged and in full force and effect.</w:t>
      </w:r>
    </w:p>
    <w:p>
      <w:pPr>
        <w:spacing w:after="0" w:line="175"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In the event that the interest payable with respect to the investments in the Securities Account is less than the interest set forth in Section 2.01(j)(i) with respect to the Total Credit-Linked Deposit, then the Company shall pay such additional amounts at such times as may be required so that the Lenders receive no less than the interest payable under Section 2.01(j)(i), at the times set forth in Section 2.01(j)(i). If a Deposit Account Interest Non-Payment Event has triggered the procedures set forth in this Section 10.l9(b), then Bank of America shall (A) indemnify the Company for all additional amounts the Company pays pursuant to the immediately preceding sentence and (B) reimburse the Company and each Lender for all costs and expenses, including Attorney Costs, incurred in connection with such Deposit Account Interest Non-Payment Event.</w:t>
      </w:r>
    </w:p>
    <w:p>
      <w:pPr>
        <w:spacing w:after="0" w:line="174" w:lineRule="exact"/>
        <w:rPr>
          <w:sz w:val="20"/>
          <w:szCs w:val="20"/>
          <w:color w:val="auto"/>
        </w:rPr>
      </w:pPr>
    </w:p>
    <w:p>
      <w:pPr>
        <w:ind w:right="120" w:firstLine="436"/>
        <w:spacing w:after="0" w:line="306" w:lineRule="auto"/>
        <w:rPr>
          <w:sz w:val="20"/>
          <w:szCs w:val="20"/>
          <w:color w:val="auto"/>
        </w:rPr>
      </w:pPr>
      <w:r>
        <w:rPr>
          <w:rFonts w:ascii="Arial" w:cs="Arial" w:eastAsia="Arial" w:hAnsi="Arial"/>
          <w:sz w:val="16"/>
          <w:szCs w:val="16"/>
          <w:color w:val="auto"/>
        </w:rPr>
        <w:t>The parties to this Agreement shall execute and deliver an amendment to this Agreement and such other documents as may be reasonably required to accomplish the foregoing. Notwithstanding anything to the contrary in this Section 10.19(b)(ii), the documentation, terms and conditions utilized to establish the Trust and Securities Account and to grant a security interest in and to the Security Account and the other documentation (including</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58" w:name="page359"/>
    <w:bookmarkEnd w:id="358"/>
    <w:p>
      <w:pPr>
        <w:ind w:right="480"/>
        <w:spacing w:after="0" w:line="268" w:lineRule="auto"/>
        <w:rPr>
          <w:sz w:val="20"/>
          <w:szCs w:val="20"/>
          <w:color w:val="auto"/>
        </w:rPr>
      </w:pPr>
      <w:r>
        <w:rPr>
          <w:rFonts w:ascii="Arial" w:cs="Arial" w:eastAsia="Arial" w:hAnsi="Arial"/>
          <w:sz w:val="18"/>
          <w:szCs w:val="18"/>
          <w:color w:val="auto"/>
        </w:rPr>
        <w:t>legal opinions) and actions contemplated herein (including any amendment of this Agreement) shall be reasonably satisfactory in form and substance to the Company, the Issuer, the Administrative Agent and each Lender.</w:t>
      </w:r>
    </w:p>
    <w:p>
      <w:pPr>
        <w:spacing w:after="0" w:line="186" w:lineRule="exact"/>
        <w:rPr>
          <w:sz w:val="20"/>
          <w:szCs w:val="20"/>
          <w:color w:val="auto"/>
        </w:rPr>
      </w:pPr>
    </w:p>
    <w:p>
      <w:pPr>
        <w:ind w:firstLine="447"/>
        <w:spacing w:after="0" w:line="285" w:lineRule="auto"/>
        <w:tabs>
          <w:tab w:leader="none" w:pos="74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Company hereby agrees to use commercially reasonable efforts from time to time to inform the Administrative Agent, which shall promptly inform the Lenders upon receipt of such information, of the status of the transactions contemplated in Sections 10.19(b)(i) or (ii), as applicable. In the event that neither of the transactions contemplated in subsections (i) or (ii) above, or transactions substantially similar to the transactions in such sections, are consummated in form and substance reasonably satisfactory to the Issuer, the Administrative Agent, the Company and each Lender within 120 days (or such longer period as the Company and the Required Lenders may mutually agree) after the receipt by the Company of a Required Notice, then the Required Lenders may, by notice to the Administrative Agent, terminate the credit facility established under Section 2.01. The Required Lenders may, within 90 days of issuing a Required Notice, provide the Company written notice of their election to retract such Required Notice, but shall have no right to retract the Required Notice after such 90 day period. Upon delivery of a notice of retraction, the actions required by Section 10.19(b)(i) or (ii) shall no longer be required to be taken in connection with the event described in the Required Notice. After delivery of a retraction notice or in the event the credit facility is not terminated at the end of the 120 day period, the Required Lenders may not deliver another Required Notice under this Section 10.19 unless the credit ratings from S&amp;P or Moody’s on the Long-Term Debt of Bank of America are further lowered. Upon such termination, all funds then or at any time thereafter held in the Credit-Linked Deposit Account in excess of the sum of the then Outstanding Amount of all Credit Obligations (other than Advances and Term Loans) shall be withdrawn from the Credit-Linked Deposit Account by the Administrative Agent and distributed by the Administrative Agent to each Lender in accordance with its Pro Rata Share, subject to any notice required pursuant to the Money Market Account Agreement; provided that the Company may, pursuant to Section 2.03(b), request that the Lenders make Term Loans as provided in Section 2.03(b)(i); and with respect to all Term Loans (whether then outstanding or thereafter made), the restriction that Term Loans cannot be prepaid until after the second anniversary of the Closing Date set forth in Section 2.03(b)(vi) and the Prepayment Premium, if any, shall continue to apply.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GUARANTY</w:t>
      </w:r>
    </w:p>
    <w:p>
      <w:pPr>
        <w:spacing w:after="0" w:line="213"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b w:val="1"/>
          <w:bCs w:val="1"/>
          <w:color w:val="auto"/>
        </w:rPr>
        <w:t xml:space="preserve">11.01 Guaranty. </w:t>
      </w:r>
      <w:r>
        <w:rPr>
          <w:rFonts w:ascii="Arial" w:cs="Arial" w:eastAsia="Arial" w:hAnsi="Arial"/>
          <w:sz w:val="18"/>
          <w:szCs w:val="18"/>
          <w:color w:val="auto"/>
        </w:rPr>
        <w:t>For value received and hereby acknowledged and as an inducement to the Lenders and the Issuer to make the Credit Extensions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Holdings hereby unconditionally and irrevocably guarantees (a) the full punctual payment when due, whether at stated maturity, by acceleration or otherwise, of all Credit Obligations of the Company now or hereafter existing whether for principal, interest, fees, expenses or otherwise, and (b) the strict performance and observance by the Company of all agreements, warranties and covenants applicable to the Company in the Credit Documents and (c) the obligations of the Company under the Credit Documents (such Credit Obligations collectively being hereafter referred to as the “Guaranteed Obligations”). The foregoing guaranty is a guaranty of payment</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t>and not of collection. For purposes of this Article XI, the obligations of Holdings under this Article XI are referred to as the “Holdings Guaranty.”</w:t>
      </w:r>
    </w:p>
    <w:p>
      <w:pPr>
        <w:spacing w:after="0" w:line="219" w:lineRule="exact"/>
        <w:rPr>
          <w:sz w:val="20"/>
          <w:szCs w:val="20"/>
          <w:color w:val="auto"/>
        </w:rPr>
      </w:pPr>
    </w:p>
    <w:p>
      <w:pPr>
        <w:ind w:right="120" w:firstLine="220"/>
        <w:spacing w:after="0" w:line="258" w:lineRule="auto"/>
        <w:rPr>
          <w:sz w:val="20"/>
          <w:szCs w:val="20"/>
          <w:color w:val="auto"/>
        </w:rPr>
      </w:pPr>
      <w:r>
        <w:rPr>
          <w:rFonts w:ascii="Arial" w:cs="Arial" w:eastAsia="Arial" w:hAnsi="Arial"/>
          <w:sz w:val="18"/>
          <w:szCs w:val="18"/>
          <w:b w:val="1"/>
          <w:bCs w:val="1"/>
          <w:color w:val="auto"/>
        </w:rPr>
        <w:t xml:space="preserve">11.02 Guaranty Absolute. </w:t>
      </w:r>
      <w:r>
        <w:rPr>
          <w:rFonts w:ascii="Arial" w:cs="Arial" w:eastAsia="Arial" w:hAnsi="Arial"/>
          <w:sz w:val="18"/>
          <w:szCs w:val="18"/>
          <w:color w:val="auto"/>
        </w:rPr>
        <w:t>Holdings guarantees that the Guaranteed Obligations will be paid strictly in accordance with the terms hereof, regardless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law, regulation or order now or hereafter in effect in any jurisdiction affecting any of such terms or the rights of any Lender, the Issuer or the Administrative Agent with respect thereto. The liability of Holdings under the Holdings Guaranty with regard to the Guaranteed Obligations shall be absolute and unconditional irrespective of</w:t>
      </w:r>
    </w:p>
    <w:p>
      <w:pPr>
        <w:spacing w:after="0" w:line="196" w:lineRule="exact"/>
        <w:rPr>
          <w:sz w:val="20"/>
          <w:szCs w:val="20"/>
          <w:color w:val="auto"/>
        </w:rPr>
      </w:pPr>
    </w:p>
    <w:p>
      <w:pPr>
        <w:ind w:right="460" w:firstLine="228"/>
        <w:spacing w:after="0" w:line="332" w:lineRule="auto"/>
        <w:tabs>
          <w:tab w:leader="none" w:pos="634" w:val="left"/>
        </w:tabs>
        <w:numPr>
          <w:ilvl w:val="0"/>
          <w:numId w:val="432"/>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its Guaranteed Obligations or any other amendment or waiver of or any consent to departure from this Agreement or any other Credit Document (with regard to such Guaranteed Obligations);</w:t>
      </w:r>
    </w:p>
    <w:p>
      <w:pPr>
        <w:spacing w:after="0" w:line="139" w:lineRule="exact"/>
        <w:rPr>
          <w:rFonts w:ascii="Arial" w:cs="Arial" w:eastAsia="Arial" w:hAnsi="Arial"/>
          <w:sz w:val="16"/>
          <w:szCs w:val="16"/>
          <w:color w:val="auto"/>
        </w:rPr>
      </w:pPr>
    </w:p>
    <w:p>
      <w:pPr>
        <w:ind w:left="660" w:hanging="432"/>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release or amendment or waiver of or consent to departure from any other guaranty for all or any of its Guaranteed Obligations;</w:t>
      </w:r>
    </w:p>
    <w:p>
      <w:pPr>
        <w:spacing w:after="0" w:line="225" w:lineRule="exact"/>
        <w:rPr>
          <w:rFonts w:ascii="Arial" w:cs="Arial" w:eastAsia="Arial" w:hAnsi="Arial"/>
          <w:sz w:val="18"/>
          <w:szCs w:val="18"/>
          <w:color w:val="auto"/>
        </w:rPr>
      </w:pPr>
    </w:p>
    <w:p>
      <w:pPr>
        <w:ind w:left="640" w:hanging="412"/>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change in ownership of the Company;</w:t>
      </w:r>
    </w:p>
    <w:p>
      <w:pPr>
        <w:spacing w:after="0" w:line="225" w:lineRule="exact"/>
        <w:rPr>
          <w:rFonts w:ascii="Arial" w:cs="Arial" w:eastAsia="Arial" w:hAnsi="Arial"/>
          <w:sz w:val="18"/>
          <w:szCs w:val="18"/>
          <w:color w:val="auto"/>
        </w:rPr>
      </w:pPr>
    </w:p>
    <w:p>
      <w:pPr>
        <w:ind w:left="660" w:hanging="432"/>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acceptance of any partial payment(s) from the Company or Holdings; or</w:t>
      </w:r>
    </w:p>
    <w:p>
      <w:pPr>
        <w:spacing w:after="0" w:line="225" w:lineRule="exact"/>
        <w:rPr>
          <w:rFonts w:ascii="Arial" w:cs="Arial" w:eastAsia="Arial" w:hAnsi="Arial"/>
          <w:sz w:val="18"/>
          <w:szCs w:val="18"/>
          <w:color w:val="auto"/>
        </w:rPr>
      </w:pPr>
    </w:p>
    <w:p>
      <w:pPr>
        <w:ind w:right="120" w:firstLine="228"/>
        <w:spacing w:after="0" w:line="268" w:lineRule="auto"/>
        <w:tabs>
          <w:tab w:leader="none" w:pos="63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other circumstance similar or dissimilar to the foregoing which might otherwise constitute a defense available to, or a discharge of, the Company in respect of its Credit Obligations under any Credit Document.</w:t>
      </w:r>
    </w:p>
    <w:p>
      <w:pPr>
        <w:spacing w:after="0" w:line="180" w:lineRule="exact"/>
        <w:rPr>
          <w:sz w:val="20"/>
          <w:szCs w:val="20"/>
          <w:color w:val="auto"/>
        </w:rPr>
      </w:pPr>
    </w:p>
    <w:p>
      <w:pPr>
        <w:jc w:val="both"/>
        <w:ind w:right="680" w:firstLine="216"/>
        <w:spacing w:after="0" w:line="262" w:lineRule="auto"/>
        <w:rPr>
          <w:sz w:val="20"/>
          <w:szCs w:val="20"/>
          <w:color w:val="auto"/>
        </w:rPr>
      </w:pPr>
      <w:r>
        <w:rPr>
          <w:rFonts w:ascii="Arial" w:cs="Arial" w:eastAsia="Arial" w:hAnsi="Arial"/>
          <w:sz w:val="18"/>
          <w:szCs w:val="18"/>
          <w:color w:val="auto"/>
        </w:rPr>
        <w:t xml:space="preserve">The Holdings Guaranty </w:t>
      </w:r>
      <w:r>
        <w:rPr>
          <w:rFonts w:ascii="Arial" w:cs="Arial" w:eastAsia="Arial" w:hAnsi="Arial"/>
          <w:sz w:val="18"/>
          <w:szCs w:val="18"/>
          <w:b w:val="1"/>
          <w:bCs w:val="1"/>
          <w:color w:val="auto"/>
        </w:rPr>
        <w:t>s</w:t>
      </w:r>
      <w:r>
        <w:rPr>
          <w:rFonts w:ascii="Arial" w:cs="Arial" w:eastAsia="Arial" w:hAnsi="Arial"/>
          <w:sz w:val="18"/>
          <w:szCs w:val="18"/>
          <w:color w:val="auto"/>
        </w:rPr>
        <w:t>hall continue to be effective or be reinstated, as the case may be, if at any time any payment of any Guaranteed Obligation is rescinded or must otherwise be returned by the Lenders, the Issuer or the Administrative Agent upon the insolvency, bankruptcy or reorganization of the Company or otherwise, all as though such payment had not been made.</w:t>
      </w:r>
    </w:p>
    <w:p>
      <w:pPr>
        <w:spacing w:after="0" w:line="186" w:lineRule="exact"/>
        <w:rPr>
          <w:sz w:val="20"/>
          <w:szCs w:val="20"/>
          <w:color w:val="auto"/>
        </w:rPr>
      </w:pPr>
    </w:p>
    <w:p>
      <w:pPr>
        <w:ind w:right="40" w:firstLine="220"/>
        <w:spacing w:after="0" w:line="289" w:lineRule="auto"/>
        <w:rPr>
          <w:sz w:val="20"/>
          <w:szCs w:val="20"/>
          <w:color w:val="auto"/>
        </w:rPr>
      </w:pPr>
      <w:r>
        <w:rPr>
          <w:rFonts w:ascii="Arial" w:cs="Arial" w:eastAsia="Arial" w:hAnsi="Arial"/>
          <w:sz w:val="16"/>
          <w:szCs w:val="16"/>
          <w:b w:val="1"/>
          <w:bCs w:val="1"/>
          <w:color w:val="auto"/>
        </w:rPr>
        <w:t xml:space="preserve">11.03 Effectiveness; Enforcement. </w:t>
      </w:r>
      <w:r>
        <w:rPr>
          <w:rFonts w:ascii="Arial" w:cs="Arial" w:eastAsia="Arial" w:hAnsi="Arial"/>
          <w:sz w:val="16"/>
          <w:szCs w:val="16"/>
          <w:color w:val="auto"/>
        </w:rPr>
        <w:t>The Holdings Guaranty shall be effective and shall be deemed to be made with respect to each Credit Extension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it is made, issued or extended. No invalidity, irregularity or unenforceability by reason of any bankruptcy or similar law, or any law or order of any government or agency thereof purporting to reduce, amend or otherwise affect any liability of the Company, and no defect in or insufficiency or want of powers of the Company or irregular or improperly recorded exercise thereof, shall impair, affect, be a defense to or claim against such guaranty. The Holding Guaranty is a continuing guaranty and shall (a) survive any termination of this Agreement, and (b) remain in full force and effect until payment in full of, and performance of, all Guaranteed Obligations and all other amounts payable under this Agreement. The Holdings Guaranty is made for the benefit of the Administrative Agent, the Issuer and the Lenders and their successors and assigns, and may be enforced from time to time as often as occasion therefor may arise and without requirement on the part of the Administrative Agent, the Issuer or the Lenders first to exercise any rights against the Company, or to resort to any other source or means of obtaining payment of any of the said obligations or to elect any other remedy.</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60" w:name="page361"/>
    <w:bookmarkEnd w:id="360"/>
    <w:p>
      <w:pPr>
        <w:ind w:right="160" w:firstLine="220"/>
        <w:spacing w:after="0" w:line="255" w:lineRule="auto"/>
        <w:rPr>
          <w:sz w:val="20"/>
          <w:szCs w:val="20"/>
          <w:color w:val="auto"/>
        </w:rPr>
      </w:pPr>
      <w:r>
        <w:rPr>
          <w:rFonts w:ascii="Arial" w:cs="Arial" w:eastAsia="Arial" w:hAnsi="Arial"/>
          <w:sz w:val="18"/>
          <w:szCs w:val="18"/>
          <w:b w:val="1"/>
          <w:bCs w:val="1"/>
          <w:color w:val="auto"/>
        </w:rPr>
        <w:t xml:space="preserve">11.04 Waiver. </w:t>
      </w:r>
      <w:r>
        <w:rPr>
          <w:rFonts w:ascii="Arial" w:cs="Arial" w:eastAsia="Arial" w:hAnsi="Arial"/>
          <w:sz w:val="18"/>
          <w:szCs w:val="18"/>
          <w:color w:val="auto"/>
        </w:rPr>
        <w:t>Except as otherwise specifically provided in any of the Credit Documents, Holdings hereby waives promptness, diligence, protest,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all suretyship defenses, notice of acceptance and any other notice with respect to any of its Guaranteed Obligations and the Holdings Guaranty and any requirement that the Lenders, the Issuer or the Administrative Agent protect, secure, perfect any security interest or Lien or any property subject thereto or exhaust any right or take any action against the Company or any other Person. Holdings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93" w:lineRule="exact"/>
        <w:rPr>
          <w:sz w:val="20"/>
          <w:szCs w:val="20"/>
          <w:color w:val="auto"/>
        </w:rPr>
      </w:pPr>
    </w:p>
    <w:p>
      <w:pPr>
        <w:ind w:right="40" w:firstLine="220"/>
        <w:spacing w:after="0" w:line="287" w:lineRule="auto"/>
        <w:rPr>
          <w:sz w:val="20"/>
          <w:szCs w:val="20"/>
          <w:color w:val="auto"/>
        </w:rPr>
      </w:pPr>
      <w:r>
        <w:rPr>
          <w:rFonts w:ascii="Arial" w:cs="Arial" w:eastAsia="Arial" w:hAnsi="Arial"/>
          <w:sz w:val="16"/>
          <w:szCs w:val="16"/>
          <w:b w:val="1"/>
          <w:bCs w:val="1"/>
          <w:color w:val="auto"/>
        </w:rPr>
        <w:t xml:space="preserve">11.05 Expenses. </w:t>
      </w:r>
      <w:r>
        <w:rPr>
          <w:rFonts w:ascii="Arial" w:cs="Arial" w:eastAsia="Arial" w:hAnsi="Arial"/>
          <w:sz w:val="16"/>
          <w:szCs w:val="16"/>
          <w:color w:val="auto"/>
        </w:rPr>
        <w:t>Holdings hereby promises to reimburse (a) the Administrative Agent, the Issuer and the Lenders for all reasonable out-of-pocket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disbursements (including all reasonable Attorneys Costs), incurred or expended in connection with the preparation, filing or recording, or interpretation of the Holdings Guaranty, the other Credit Documents to which Holdings is a party, or any amendment, modification, approval, consent or waiver hereof or thereof, and</w:t>
      </w:r>
    </w:p>
    <w:p>
      <w:pPr>
        <w:spacing w:after="0" w:line="1" w:lineRule="exact"/>
        <w:rPr>
          <w:sz w:val="20"/>
          <w:szCs w:val="20"/>
          <w:color w:val="auto"/>
        </w:rPr>
      </w:pPr>
    </w:p>
    <w:p>
      <w:pPr>
        <w:ind w:right="160" w:firstLine="8"/>
        <w:spacing w:after="0" w:line="253" w:lineRule="auto"/>
        <w:tabs>
          <w:tab w:leader="none" w:pos="24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Administrative Agent, the Issuer and the Lenders and their respective affiliates for all reasonable out-of-pocket fees and disbursements (including reasonable Attorney Costs), incurred or expended in connection with the enforcement of its Guaranteed Obligations (whether or not legal proceedings are instituted). Holdings will pay any taxes (including any interest and penalties in respect thereof) other than the Lenders’ taxes based on overall income or profits, payable on or with respect to the transactions contemplated by the Holdings Guaranty, Holdings hereby agreeing jointly and severally to indemnify each Lender with respect thereto.</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11.06 Concerning Joint and Several Liability of Holdings.</w:t>
      </w:r>
    </w:p>
    <w:p>
      <w:pPr>
        <w:spacing w:after="0" w:line="231" w:lineRule="exact"/>
        <w:rPr>
          <w:sz w:val="20"/>
          <w:szCs w:val="20"/>
          <w:color w:val="auto"/>
        </w:rPr>
      </w:pPr>
    </w:p>
    <w:p>
      <w:pPr>
        <w:jc w:val="both"/>
        <w:ind w:right="100" w:firstLine="228"/>
        <w:spacing w:after="0" w:line="256" w:lineRule="auto"/>
        <w:tabs>
          <w:tab w:leader="none" w:pos="63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Holdings hereby irrevocably and unconditionally accepts, not merely as a surety but also as a co-debtor, joint and several liability with the Company, with respect to the payment and performance of all of its Guaranteed Obligations (including, without limitation, any Guaranteed Obligations arising under this Article XI), it being the intention of the parties hereto that all such Guaranteed Obligations shall be the joint and several Guaranteed Obligations of Holdings and the Company without preferences or distinction among them.</w:t>
      </w:r>
    </w:p>
    <w:p>
      <w:pPr>
        <w:spacing w:after="0" w:line="197" w:lineRule="exact"/>
        <w:rPr>
          <w:rFonts w:ascii="Arial" w:cs="Arial" w:eastAsia="Arial" w:hAnsi="Arial"/>
          <w:sz w:val="18"/>
          <w:szCs w:val="18"/>
          <w:color w:val="auto"/>
        </w:rPr>
      </w:pPr>
    </w:p>
    <w:p>
      <w:pPr>
        <w:ind w:right="140" w:firstLine="228"/>
        <w:spacing w:after="0" w:line="259" w:lineRule="auto"/>
        <w:tabs>
          <w:tab w:leader="none" w:pos="64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If and to the extent that the Company shall fail to make any payment with respect to any of its Credit Obligations as and when due or to perform any of its Guaranteed Obligations in accordance with the terns thereof, then in each such event Holdings will make such payment with respect to, or perform, such Guaranteed Obligation.</w:t>
      </w:r>
    </w:p>
    <w:p>
      <w:pPr>
        <w:spacing w:after="0" w:line="194" w:lineRule="exact"/>
        <w:rPr>
          <w:rFonts w:ascii="Arial" w:cs="Arial" w:eastAsia="Arial" w:hAnsi="Arial"/>
          <w:sz w:val="18"/>
          <w:szCs w:val="18"/>
          <w:color w:val="auto"/>
        </w:rPr>
      </w:pPr>
    </w:p>
    <w:p>
      <w:pPr>
        <w:ind w:right="440" w:firstLine="228"/>
        <w:spacing w:after="0" w:line="259" w:lineRule="auto"/>
        <w:tabs>
          <w:tab w:leader="none" w:pos="63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Guaranteed Obligations of Holdings under the provisions of this Article XI constitute full recourse obligations of Holdings enforceable against Holdings to the full extent of its properties and assets, irrespective of the validity, regularity or enforceability of this Agreement or any other circumstance whatsoever.</w:t>
      </w:r>
    </w:p>
    <w:p>
      <w:pPr>
        <w:spacing w:after="0" w:line="194" w:lineRule="exact"/>
        <w:rPr>
          <w:rFonts w:ascii="Arial" w:cs="Arial" w:eastAsia="Arial" w:hAnsi="Arial"/>
          <w:sz w:val="18"/>
          <w:szCs w:val="18"/>
          <w:color w:val="auto"/>
        </w:rPr>
      </w:pPr>
    </w:p>
    <w:p>
      <w:pPr>
        <w:ind w:right="120" w:firstLine="228"/>
        <w:spacing w:after="0" w:line="259" w:lineRule="auto"/>
        <w:tabs>
          <w:tab w:leader="none" w:pos="64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Holdings hereby waives notice of acceptance of its joint and several liability, notice of any Credit Extensions made or issued under this Agreement, notice of any action at any time taken or omitted by the Administrative Agent, the Issuer or the Lenders under or in respect of any of the Guaranteed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1" w:name="page362"/>
    <w:bookmarkEnd w:id="361"/>
    <w:p>
      <w:pPr>
        <w:ind w:right="60"/>
        <w:spacing w:after="0" w:line="284" w:lineRule="auto"/>
        <w:rPr>
          <w:sz w:val="20"/>
          <w:szCs w:val="20"/>
          <w:color w:val="auto"/>
        </w:rPr>
      </w:pPr>
      <w:r>
        <w:rPr>
          <w:rFonts w:ascii="Arial" w:cs="Arial" w:eastAsia="Arial" w:hAnsi="Arial"/>
          <w:sz w:val="16"/>
          <w:szCs w:val="16"/>
          <w:color w:val="auto"/>
        </w:rPr>
        <w:t>Obligations, and, generally, to the extent permitted by applicable law, all demands, notices and other formalities of every kind in connection with this Agreement. Holdings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Issuer or the Lenders at any time or times in respect of any Default or Event of Default by the Company or Holdings in the performance or satisfaction of any term, covenant, condition or provision of this Agreement or any other Credit Document, any and all other indulgences whatsoever by the Administrative Agent, the Issuer or the Lenders in respect of any of the Guaranteed Obligations, and the taking, addition, substitution or release, in whole or in part, at any time or times, of any security for any of the Guaranteed Obligations or the addition, substitution or release, in whole or in part, of the Company or Holdings. Without limiting the generality of the foregoing, Holdings assents to any other action or delay in acting or failure to act on the part of the Lenders, the Issuer or the Administrative Agent with respect to the failure by the Company or Holdings to comply with its respective Credit Obligations or Guaranteed Obligations, including, without limitation, any failure strictly or diligently to assert any right or to pursue any remedy or to comply fully with applicable laws or regulations thereunder, which might, but for the provisions of this Article XI, afford grounds for terminating, discharging or relieving Holdings, in whole or in part, from any of the Guaranteed Obligations under this Article XI, it being the intention of Holdings that, so long as any of the Guaranteed Obligations hereunder remain unsatisfied, the Guaranteed Obligations of Holdings under this Article XI shall not be discharged except by performance and then only to the extent of such performance. The Guaranteed Obligations of Holdings under this Article XI shall not be diminished or rendered unenforceable by any winding up, reorganization, arrangement, liquidation, reconstruction or similar proceeding with respect to the Company or Holdings or the Lenders, the Issuer or the Administrative Agent. The joint and several liability of Holdings hereunder shall continue in full force and effect notwithstanding any absorption, merger, consolidation, amalgamation or any other change whatsoever in the name, membership, constitution or place of formation of the Company or Holdings, the Lenders, the Issuer or the Administrative Agent.</w:t>
      </w:r>
    </w:p>
    <w:p>
      <w:pPr>
        <w:spacing w:after="0" w:line="187" w:lineRule="exact"/>
        <w:rPr>
          <w:sz w:val="20"/>
          <w:szCs w:val="20"/>
          <w:color w:val="auto"/>
        </w:rPr>
      </w:pPr>
    </w:p>
    <w:p>
      <w:pPr>
        <w:ind w:right="100" w:firstLine="228"/>
        <w:spacing w:after="0" w:line="253" w:lineRule="auto"/>
        <w:tabs>
          <w:tab w:leader="none" w:pos="63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Holdings shall be liable under this Article XI only for the maximum amount of such liabilities that can be incurred under applicable law without rendering this Article XI voidable under applicable law relating to fraudulent conveyance and fraudulent transfer, and not for any greater amount. Accordingly, if any obligation under any provision under this Article XI shall be declared to be invalid or unenforceable in any respect or to any extent, it is the stated intention and agreement of Holdings, the Administrative Agent, the Issuer and the Lenders that any balance of the obligation created by such provision and all other obligations of Holdings under this Article XI to the Lenders, the Issuer or the Administrative Agent shall remain valid and enforceable, and that all sums not in excess of those permitted under applicable law shall remain fully collectible by the Lenders, the Issuer and the Administrative Agent from the Company or Holdings, as the case may be.</w:t>
      </w:r>
    </w:p>
    <w:p>
      <w:pPr>
        <w:spacing w:after="0" w:line="201" w:lineRule="exact"/>
        <w:rPr>
          <w:rFonts w:ascii="Arial" w:cs="Arial" w:eastAsia="Arial" w:hAnsi="Arial"/>
          <w:sz w:val="18"/>
          <w:szCs w:val="18"/>
          <w:color w:val="auto"/>
        </w:rPr>
      </w:pPr>
    </w:p>
    <w:p>
      <w:pPr>
        <w:ind w:right="200" w:firstLine="228"/>
        <w:spacing w:after="0" w:line="268" w:lineRule="auto"/>
        <w:tabs>
          <w:tab w:leader="none" w:pos="61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provisions of this Article XI are made for the benefit of the Administrative Agent, the Issuer and the Lenders and their successors and assigns, and may be enforced in good faith by them from time to time against Holdings as often as occasion therefor may arise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62" w:name="page363"/>
    <w:bookmarkEnd w:id="362"/>
    <w:p>
      <w:pPr>
        <w:spacing w:after="0" w:line="289" w:lineRule="auto"/>
        <w:rPr>
          <w:sz w:val="20"/>
          <w:szCs w:val="20"/>
          <w:color w:val="auto"/>
        </w:rPr>
      </w:pPr>
      <w:r>
        <w:rPr>
          <w:rFonts w:ascii="Arial" w:cs="Arial" w:eastAsia="Arial" w:hAnsi="Arial"/>
          <w:sz w:val="16"/>
          <w:szCs w:val="16"/>
          <w:color w:val="auto"/>
        </w:rPr>
        <w:t>without requirement on the part of the Administrative Agent, the Issuer or the Lenders first to marshal any of their claims or to exercise any of their rights against the Company or Holdings or to exhaust any remedies available to them against the Company or Holdings or to resort to any other source or means of obtaining payment of any of the obligations hereunder or to elect any other remedy. The provisions of this Article XI shall remain in effect until all of the Guaranteed Obligations shall have been paid in full or otherwise fully satisfied, any remaining Credit-Linked Deposits in the Credit-Linked Deposit Account are withdrawn and distributed to the Lenders in accordance with their respective Pro Rata Shares, and all outstanding Credit shall have expired, matured or otherwise been terminated. If at any time, any payment, or any part thereof, made in respect of any of the Guaranteed Obligations, is rescinded or must otherwise be restored or returned by the Lenders, the Issuer or the Administrative Agent upon the insolvency, bankruptcy or reorganization of the Company or Holdings, or otherwise, the provisions of this Article XI will forthwith be reinstated in effect, as though such payment had not been made.</w:t>
      </w:r>
    </w:p>
    <w:p>
      <w:pPr>
        <w:spacing w:after="0" w:line="166" w:lineRule="exact"/>
        <w:rPr>
          <w:sz w:val="20"/>
          <w:szCs w:val="20"/>
          <w:color w:val="auto"/>
        </w:rPr>
      </w:pPr>
    </w:p>
    <w:p>
      <w:pPr>
        <w:ind w:right="180" w:firstLine="220"/>
        <w:spacing w:after="0" w:line="293" w:lineRule="auto"/>
        <w:rPr>
          <w:sz w:val="20"/>
          <w:szCs w:val="20"/>
          <w:color w:val="auto"/>
        </w:rPr>
      </w:pPr>
      <w:r>
        <w:rPr>
          <w:rFonts w:ascii="Arial" w:cs="Arial" w:eastAsia="Arial" w:hAnsi="Arial"/>
          <w:sz w:val="16"/>
          <w:szCs w:val="16"/>
          <w:b w:val="1"/>
          <w:bCs w:val="1"/>
          <w:color w:val="auto"/>
        </w:rPr>
        <w:t xml:space="preserve">11.07 Waiver. </w:t>
      </w:r>
      <w:r>
        <w:rPr>
          <w:rFonts w:ascii="Arial" w:cs="Arial" w:eastAsia="Arial" w:hAnsi="Arial"/>
          <w:sz w:val="16"/>
          <w:szCs w:val="16"/>
          <w:color w:val="auto"/>
        </w:rPr>
        <w:t>Until the final payment and performance in full of all of the Credit Obligations, Holdings shall not exercise and Holdings hereby waives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rights Holdings may have against the Company arising as a result of payment by Holdings hereunder, by way of subrogation, reimbursement, restitution, contribution or otherwise, and will not prove any claim in competition with the Administrative Agent, the Issuer or any Lender in respect of any payment hereunder in any bankruptcy, insolvency or reorganization case or proceedings of any nature; Holdings will not claim any setoff, recoupment or counterclaim against the Company in respect of any liability of the Company to Holdings; and Holdings waives any benefit of and any right to participate in any collateral security which may be held by the Administrative Agent, the Issuer or any Lender.</w:t>
      </w:r>
    </w:p>
    <w:p>
      <w:pPr>
        <w:spacing w:after="0" w:line="165"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b w:val="1"/>
          <w:bCs w:val="1"/>
          <w:color w:val="auto"/>
        </w:rPr>
        <w:t xml:space="preserve">11.08 Subrogation; Subordination. </w:t>
      </w:r>
      <w:r>
        <w:rPr>
          <w:rFonts w:ascii="Arial" w:cs="Arial" w:eastAsia="Arial" w:hAnsi="Arial"/>
          <w:sz w:val="16"/>
          <w:szCs w:val="16"/>
          <w:color w:val="auto"/>
        </w:rPr>
        <w:t>The payment of any amounts due with respect to any indebtedness of the Company for money borrowed or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now or hereafter owed to Holdings is hereby subordinated to the prior payment in full of all of the Credit Obligations. Holdings agrees that, after the occurrence of any default in the payment or performance of any of the Credit Obligations, Holdings will not demand, sue for or otherwise attempt to collect any such indebtedness of the Company to Holdings until all of the Credit Obligations shall have been paid in full. If, notwithstanding the foregoing sentence, Holdings shall collect, enforce or receive any amounts in respect of such indebtedness while any Credit Obligations are still outstanding, such amounts shall be collected, enforced and received by Holdings as trustee for the Lenders, the Issuer and the Administrative Agent and be paid over to the Administrative Agent at Default, for the benefit of the Lenders, the Issuer, and the Administrative Agent on account of the Credit Obligations without affecting in any manner the liability of Holdings under the other provisions hereof.</w:t>
      </w:r>
    </w:p>
    <w:p>
      <w:pPr>
        <w:spacing w:after="0" w:line="166" w:lineRule="exact"/>
        <w:rPr>
          <w:sz w:val="20"/>
          <w:szCs w:val="20"/>
          <w:color w:val="auto"/>
        </w:rPr>
      </w:pPr>
    </w:p>
    <w:p>
      <w:pPr>
        <w:ind w:right="20" w:firstLine="220"/>
        <w:spacing w:after="0" w:line="258" w:lineRule="auto"/>
        <w:rPr>
          <w:sz w:val="20"/>
          <w:szCs w:val="20"/>
          <w:color w:val="auto"/>
        </w:rPr>
      </w:pPr>
      <w:r>
        <w:rPr>
          <w:rFonts w:ascii="Arial" w:cs="Arial" w:eastAsia="Arial" w:hAnsi="Arial"/>
          <w:sz w:val="18"/>
          <w:szCs w:val="18"/>
          <w:b w:val="1"/>
          <w:bCs w:val="1"/>
          <w:color w:val="auto"/>
        </w:rPr>
        <w:t>11.09 Release of Guaranty</w:t>
      </w:r>
      <w:r>
        <w:rPr>
          <w:rFonts w:ascii="Arial" w:cs="Arial" w:eastAsia="Arial" w:hAnsi="Arial"/>
          <w:sz w:val="18"/>
          <w:szCs w:val="18"/>
          <w:color w:val="auto"/>
        </w:rPr>
        <w:t>. The Administrative Agent, the Issuer and the Lenders hereby agree that the foregoing Holdings Guaranty shall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until the occurrence of either (a) the consolidation or merger of Holdings into the Company or its successors, (b) the consolidation or merger of the Company or its successors into Holdings, or (c) the release of Holdings from all other guarantees of the Company’s obligations under the Company’s existing credit facilities or other senior indebtedness, at which time the foregoing</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t>Holdings Guaranty shall be concurrently released without any further action on the part of the Lenders, the Administrative Agent or the Issuer.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AGREEMENT</w:t>
      </w:r>
    </w:p>
    <w:p>
      <w:pPr>
        <w:spacing w:after="0" w:line="213" w:lineRule="exact"/>
        <w:rPr>
          <w:sz w:val="20"/>
          <w:szCs w:val="20"/>
          <w:color w:val="auto"/>
        </w:rPr>
      </w:pPr>
    </w:p>
    <w:p>
      <w:pPr>
        <w:jc w:val="both"/>
        <w:ind w:right="320" w:firstLine="220"/>
        <w:spacing w:after="0" w:line="262" w:lineRule="auto"/>
        <w:rPr>
          <w:sz w:val="20"/>
          <w:szCs w:val="20"/>
          <w:color w:val="auto"/>
        </w:rPr>
      </w:pPr>
      <w:r>
        <w:rPr>
          <w:rFonts w:ascii="Arial" w:cs="Arial" w:eastAsia="Arial" w:hAnsi="Arial"/>
          <w:sz w:val="18"/>
          <w:szCs w:val="18"/>
          <w:b w:val="1"/>
          <w:bCs w:val="1"/>
          <w:color w:val="auto"/>
        </w:rPr>
        <w:t xml:space="preserve">12.01 Entire Agreement. </w:t>
      </w:r>
      <w:r>
        <w:rPr>
          <w:rFonts w:ascii="Arial" w:cs="Arial" w:eastAsia="Arial" w:hAnsi="Arial"/>
          <w:sz w:val="18"/>
          <w:szCs w:val="18"/>
          <w:color w:val="auto"/>
        </w:rPr>
        <w:t>THIS AGREEMENT AND THE OTHER CREDIT DOCUMENTS REPRESENT THE FINAL AGREEMENT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MAY NOT BE CONTRADICTED BY EVIDENCE OF PRIOR, CONTEMPORANEOUS, OR SUBSEQUENT ORAL AGREEMENTS OF THE PARTIES. THERE ARE NO UNWRITTEN ORAL AGREEMENTS AMONG THE PARTIES.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64" w:name="page365"/>
    <w:bookmarkEnd w:id="364"/>
    <w:p>
      <w:pPr>
        <w:ind w:right="300" w:firstLine="220"/>
        <w:spacing w:after="0" w:line="268" w:lineRule="auto"/>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Seven Year Letter of Credit and Term Loan Agreement to be duly executed as of the date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0784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&amp; Treasurer</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HOLDINGS, INC.</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 the limited purposes of Article XI)</w:t>
      </w: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0784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&amp; Treasurer</w:t>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Jay Clement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0784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Jay Clement</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Assistant Treasurer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65" w:name="page366"/>
    <w:bookmarkEnd w:id="365"/>
    <w:p>
      <w:pPr>
        <w:ind w:left="45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 and Issuer</w:t>
      </w:r>
    </w:p>
    <w:p>
      <w:pPr>
        <w:spacing w:after="0" w:line="246"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By:/s/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71120</wp:posOffset>
            </wp:positionV>
            <wp:extent cx="31470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Brian D. Corum</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8" w:right="239" w:bottom="1440" w:gutter="0" w:footer="0" w:header="0"/>
        </w:sectPr>
      </w:pPr>
    </w:p>
    <w:bookmarkStart w:id="366" w:name="page367"/>
    <w:bookmarkEnd w:id="366"/>
    <w:p>
      <w:pPr>
        <w:ind w:left="452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HANCOCK LIFE INSURANCE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Kathleen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71120</wp:posOffset>
            </wp:positionV>
            <wp:extent cx="31470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Kathleen E. McDonough</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8" w:right="239" w:bottom="1440" w:gutter="0" w:footer="0" w:header="0"/>
        </w:sectPr>
      </w:pPr>
    </w:p>
    <w:bookmarkStart w:id="367" w:name="page368"/>
    <w:bookmarkEnd w:id="367"/>
    <w:p>
      <w:pPr>
        <w:ind w:left="4520"/>
        <w:spacing w:after="0"/>
        <w:rPr>
          <w:sz w:val="20"/>
          <w:szCs w:val="20"/>
          <w:color w:val="auto"/>
        </w:rPr>
      </w:pPr>
      <w:r>
        <w:rPr>
          <w:rFonts w:ascii="Arial" w:cs="Arial" w:eastAsia="Arial" w:hAnsi="Arial"/>
          <w:sz w:val="18"/>
          <w:szCs w:val="18"/>
          <w:b w:val="1"/>
          <w:bCs w:val="1"/>
          <w:color w:val="auto"/>
        </w:rPr>
        <w:t>METROPOLITAN LIFE INSURANCE COMPANY</w:t>
      </w: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 Dennis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71120</wp:posOffset>
            </wp:positionV>
            <wp:extent cx="31470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A. Dennis White</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8" w:right="239" w:bottom="1440" w:gutter="0" w:footer="0" w:header="0"/>
        </w:sectPr>
      </w:pPr>
    </w:p>
    <w:bookmarkStart w:id="368" w:name="page369"/>
    <w:bookmarkEnd w:id="368"/>
    <w:p>
      <w:pPr>
        <w:ind w:left="4500"/>
        <w:spacing w:after="0"/>
        <w:rPr>
          <w:sz w:val="20"/>
          <w:szCs w:val="20"/>
          <w:color w:val="auto"/>
        </w:rPr>
      </w:pPr>
      <w:r>
        <w:rPr>
          <w:rFonts w:ascii="Arial" w:cs="Arial" w:eastAsia="Arial" w:hAnsi="Arial"/>
          <w:sz w:val="18"/>
          <w:szCs w:val="18"/>
          <w:b w:val="1"/>
          <w:bCs w:val="1"/>
          <w:color w:val="auto"/>
        </w:rPr>
        <w:t>ALLSTATE LIFE INSURANCE COMPANY</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Robert B. Bodett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Robert B. Bodett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Jerry D. Zinkula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Jerry D. Zinkula</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Authorized Signatories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9" w:right="239" w:bottom="1440" w:gutter="0" w:footer="0" w:header="0"/>
        </w:sectPr>
      </w:pPr>
    </w:p>
    <w:bookmarkStart w:id="369" w:name="page370"/>
    <w:bookmarkEnd w:id="369"/>
    <w:p>
      <w:pPr>
        <w:ind w:left="4500"/>
        <w:spacing w:after="0"/>
        <w:rPr>
          <w:sz w:val="20"/>
          <w:szCs w:val="20"/>
          <w:color w:val="auto"/>
        </w:rPr>
      </w:pPr>
      <w:r>
        <w:rPr>
          <w:rFonts w:ascii="Arial" w:cs="Arial" w:eastAsia="Arial" w:hAnsi="Arial"/>
          <w:sz w:val="18"/>
          <w:szCs w:val="18"/>
          <w:b w:val="1"/>
          <w:bCs w:val="1"/>
          <w:color w:val="auto"/>
        </w:rPr>
        <w:t>NATIONWIDE LIFE INSURANCE COMPANY</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Joseph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Joseph P. Young</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Associate Vice President</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9" w:right="239" w:bottom="1440" w:gutter="0" w:footer="0" w:header="0"/>
        </w:sectPr>
      </w:pPr>
    </w:p>
    <w:bookmarkStart w:id="370" w:name="page371"/>
    <w:bookmarkEnd w:id="370"/>
    <w:p>
      <w:pPr>
        <w:ind w:left="4500"/>
        <w:spacing w:after="0"/>
        <w:rPr>
          <w:sz w:val="20"/>
          <w:szCs w:val="20"/>
          <w:color w:val="auto"/>
        </w:rPr>
      </w:pPr>
      <w:r>
        <w:rPr>
          <w:rFonts w:ascii="Arial" w:cs="Arial" w:eastAsia="Arial" w:hAnsi="Arial"/>
          <w:sz w:val="18"/>
          <w:szCs w:val="18"/>
          <w:b w:val="1"/>
          <w:bCs w:val="1"/>
          <w:color w:val="auto"/>
        </w:rPr>
        <w:t>MASSACHUSETTS MUTUAL LIFE INSURANCE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David L. Babson &amp; Company Inc. as</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Investment Adviser</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Mark A.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A. Ahmed</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C.M. LIFE INSURANCE COMPANY</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David L. Babson &amp; Company Inc. as</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Investment Sub-Adviser</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Mark A.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A. Ahmed</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78" w:right="239" w:bottom="1440" w:gutter="0" w:footer="0" w:header="0"/>
        </w:sectPr>
      </w:pPr>
    </w:p>
    <w:bookmarkStart w:id="371" w:name="page372"/>
    <w:bookmarkEnd w:id="371"/>
    <w:p>
      <w:pPr>
        <w:ind w:left="4500"/>
        <w:spacing w:after="0"/>
        <w:rPr>
          <w:sz w:val="20"/>
          <w:szCs w:val="20"/>
          <w:color w:val="auto"/>
        </w:rPr>
      </w:pPr>
      <w:r>
        <w:rPr>
          <w:rFonts w:ascii="Arial" w:cs="Arial" w:eastAsia="Arial" w:hAnsi="Arial"/>
          <w:sz w:val="18"/>
          <w:szCs w:val="18"/>
          <w:b w:val="1"/>
          <w:bCs w:val="1"/>
          <w:color w:val="auto"/>
        </w:rPr>
        <w:t>GENERAL ELECTRIC CAPITAL ASSURANCE COMPANY</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GE Asset Management Inc., its investment</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adviser</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John R. Endres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30784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John R. Endres</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 Private Investments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Seven Year Letter of Credit and Term Loan Agreement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220"/>
          </w:cols>
          <w:pgMar w:left="1440" w:top="1178"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WASTE MANAGEMENT, INC.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(Established January 30,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Purpose</w:t>
      </w:r>
    </w:p>
    <w:p>
      <w:pPr>
        <w:spacing w:after="0" w:line="231"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Waste Management, Inc. (the “Company”), hereby establishes the 2003 Waste Management, Inc. Directors’ Deferred Compensation Plan for the purpose of providing nonemployee directors (“Directors”) of the Company the opportunity to defer all or a portion of their cash compensation, to promote the long-term growth of the Company by increasing the proprietary interest of Directors in the Company, to attract and retain Directors with outstanding competence and ability, to stimulate the active interest of such persons in the development and financial success of the Company and to further the identity of interests of such Directors with those of the Company’s stockholders generally.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Definitions</w:t>
      </w:r>
    </w:p>
    <w:p>
      <w:pPr>
        <w:spacing w:after="0" w:line="231" w:lineRule="exact"/>
        <w:rPr>
          <w:sz w:val="20"/>
          <w:szCs w:val="20"/>
          <w:color w:val="auto"/>
        </w:rPr>
      </w:pPr>
    </w:p>
    <w:p>
      <w:pPr>
        <w:ind w:left="1120" w:right="220" w:hanging="558"/>
        <w:spacing w:after="0" w:line="259" w:lineRule="auto"/>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Stock Retainer </w:t>
      </w:r>
      <w:r>
        <w:rPr>
          <w:rFonts w:ascii="Arial" w:cs="Arial" w:eastAsia="Arial" w:hAnsi="Arial"/>
          <w:sz w:val="18"/>
          <w:szCs w:val="18"/>
          <w:color w:val="auto"/>
        </w:rPr>
        <w:t>means the portion of the annual retainer paid to Directors in Stock Units, as determined from time to time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Committee, the Board or another committee thereof. Any portion of an annual retainer paid in cash shall be considered Cash Compensation and may be deferred only by election under </w:t>
      </w:r>
      <w:r>
        <w:rPr>
          <w:rFonts w:ascii="Arial" w:cs="Arial" w:eastAsia="Arial" w:hAnsi="Arial"/>
          <w:sz w:val="18"/>
          <w:szCs w:val="18"/>
          <w:b w:val="1"/>
          <w:bCs w:val="1"/>
          <w:color w:val="auto"/>
        </w:rPr>
        <w:t>§</w:t>
      </w:r>
      <w:r>
        <w:rPr>
          <w:rFonts w:ascii="Arial" w:cs="Arial" w:eastAsia="Arial" w:hAnsi="Arial"/>
          <w:sz w:val="18"/>
          <w:szCs w:val="18"/>
          <w:color w:val="auto"/>
        </w:rPr>
        <w:t xml:space="preserve"> 3.2(a).</w:t>
      </w:r>
    </w:p>
    <w:p>
      <w:pPr>
        <w:spacing w:after="0" w:line="194" w:lineRule="exact"/>
        <w:rPr>
          <w:rFonts w:ascii="Arial" w:cs="Arial" w:eastAsia="Arial" w:hAnsi="Arial"/>
          <w:sz w:val="18"/>
          <w:szCs w:val="18"/>
          <w:color w:val="auto"/>
        </w:rPr>
      </w:pPr>
    </w:p>
    <w:p>
      <w:pPr>
        <w:ind w:left="1120" w:hanging="558"/>
        <w:spacing w:after="0" w:line="268" w:lineRule="auto"/>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Beneficiary </w:t>
      </w:r>
      <w:r>
        <w:rPr>
          <w:rFonts w:ascii="Arial" w:cs="Arial" w:eastAsia="Arial" w:hAnsi="Arial"/>
          <w:sz w:val="18"/>
          <w:szCs w:val="18"/>
          <w:color w:val="auto"/>
        </w:rPr>
        <w:t>means the person or persons designated by the Participant, as provided in § 4.3, to receive any payments otherwise due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Plan in the event of the Participant’s death.</w:t>
      </w:r>
    </w:p>
    <w:p>
      <w:pPr>
        <w:spacing w:after="0" w:line="185" w:lineRule="exact"/>
        <w:rPr>
          <w:rFonts w:ascii="Arial" w:cs="Arial" w:eastAsia="Arial" w:hAnsi="Arial"/>
          <w:sz w:val="18"/>
          <w:szCs w:val="18"/>
          <w:color w:val="auto"/>
        </w:rPr>
      </w:pPr>
    </w:p>
    <w:p>
      <w:pPr>
        <w:ind w:left="1120" w:hanging="558"/>
        <w:spacing w:after="0"/>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left="1120" w:right="100" w:hanging="558"/>
        <w:spacing w:after="0" w:line="332" w:lineRule="auto"/>
        <w:tabs>
          <w:tab w:leader="none" w:pos="1120" w:val="left"/>
        </w:tabs>
        <w:numPr>
          <w:ilvl w:val="0"/>
          <w:numId w:val="4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Compensation </w:t>
      </w:r>
      <w:r>
        <w:rPr>
          <w:rFonts w:ascii="Arial" w:cs="Arial" w:eastAsia="Arial" w:hAnsi="Arial"/>
          <w:sz w:val="16"/>
          <w:szCs w:val="16"/>
          <w:color w:val="auto"/>
        </w:rPr>
        <w:t>means all of the cash compensation payable to a Participant, for service on the Board and its committees, including the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any annual retainer, meeting, and other fees, but excluding any expense reimbursements.</w:t>
      </w:r>
    </w:p>
    <w:p>
      <w:pPr>
        <w:spacing w:after="0" w:line="139" w:lineRule="exact"/>
        <w:rPr>
          <w:rFonts w:ascii="Arial" w:cs="Arial" w:eastAsia="Arial" w:hAnsi="Arial"/>
          <w:sz w:val="16"/>
          <w:szCs w:val="16"/>
          <w:color w:val="auto"/>
        </w:rPr>
      </w:pPr>
    </w:p>
    <w:p>
      <w:pPr>
        <w:ind w:left="1120" w:hanging="558"/>
        <w:spacing w:after="0"/>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Nominating &amp; Governance Committee of the Board as is designated by the Board.</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Company’s common stock, $.01 par value.</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4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Waste Management,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3" w:name="page374"/>
    <w:bookmarkEnd w:id="373"/>
    <w:p>
      <w:pPr>
        <w:ind w:left="1160" w:hanging="598"/>
        <w:spacing w:after="0"/>
        <w:tabs>
          <w:tab w:leader="none" w:pos="1160" w:val="left"/>
        </w:tabs>
        <w:numPr>
          <w:ilvl w:val="0"/>
          <w:numId w:val="43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Determination Date </w:t>
      </w:r>
      <w:r>
        <w:rPr>
          <w:rFonts w:ascii="Arial" w:cs="Arial" w:eastAsia="Arial" w:hAnsi="Arial"/>
          <w:sz w:val="15"/>
          <w:szCs w:val="15"/>
          <w:color w:val="auto"/>
        </w:rPr>
        <w:t>means the date on which payment of a Participant’s deferred compensation is made, as determined in accordance with § 4.1.</w:t>
      </w:r>
    </w:p>
    <w:p>
      <w:pPr>
        <w:spacing w:after="0" w:line="259" w:lineRule="exact"/>
        <w:rPr>
          <w:rFonts w:ascii="Arial" w:cs="Arial" w:eastAsia="Arial" w:hAnsi="Arial"/>
          <w:sz w:val="15"/>
          <w:szCs w:val="15"/>
          <w:color w:val="auto"/>
        </w:rPr>
      </w:pPr>
    </w:p>
    <w:p>
      <w:pPr>
        <w:ind w:left="1160" w:hanging="598"/>
        <w:spacing w:after="0"/>
        <w:tabs>
          <w:tab w:leader="none" w:pos="1160" w:val="left"/>
        </w:tabs>
        <w:numPr>
          <w:ilvl w:val="0"/>
          <w:numId w:val="4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Director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Eligible Director </w:t>
      </w:r>
      <w:r>
        <w:rPr>
          <w:rFonts w:ascii="Arial" w:cs="Arial" w:eastAsia="Arial" w:hAnsi="Arial"/>
          <w:sz w:val="16"/>
          <w:szCs w:val="16"/>
          <w:color w:val="auto"/>
        </w:rPr>
        <w:t>means each member of the Board of the Company who is not an employee of the Company or any subsidiary.</w:t>
      </w:r>
    </w:p>
    <w:p>
      <w:pPr>
        <w:spacing w:after="0" w:line="248" w:lineRule="exact"/>
        <w:rPr>
          <w:rFonts w:ascii="Arial" w:cs="Arial" w:eastAsia="Arial" w:hAnsi="Arial"/>
          <w:sz w:val="16"/>
          <w:szCs w:val="16"/>
          <w:color w:val="auto"/>
        </w:rPr>
      </w:pPr>
    </w:p>
    <w:p>
      <w:pPr>
        <w:ind w:left="1160" w:hanging="598"/>
        <w:spacing w:after="0"/>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January 30, 2003.</w:t>
      </w:r>
    </w:p>
    <w:p>
      <w:pPr>
        <w:spacing w:after="0" w:line="225" w:lineRule="exact"/>
        <w:rPr>
          <w:rFonts w:ascii="Arial" w:cs="Arial" w:eastAsia="Arial" w:hAnsi="Arial"/>
          <w:sz w:val="18"/>
          <w:szCs w:val="18"/>
          <w:color w:val="auto"/>
        </w:rPr>
      </w:pPr>
    </w:p>
    <w:p>
      <w:pPr>
        <w:ind w:left="1160" w:right="180" w:hanging="598"/>
        <w:spacing w:after="0" w:line="268" w:lineRule="auto"/>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Election Date </w:t>
      </w:r>
      <w:r>
        <w:rPr>
          <w:rFonts w:ascii="Arial" w:cs="Arial" w:eastAsia="Arial" w:hAnsi="Arial"/>
          <w:sz w:val="18"/>
          <w:szCs w:val="18"/>
          <w:color w:val="auto"/>
        </w:rPr>
        <w:t>means the date on which the Director makes an election to defer receipt of all or a portion of Cash Compensation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Plan.</w:t>
      </w:r>
    </w:p>
    <w:p>
      <w:pPr>
        <w:spacing w:after="0" w:line="185" w:lineRule="exact"/>
        <w:rPr>
          <w:rFonts w:ascii="Arial" w:cs="Arial" w:eastAsia="Arial" w:hAnsi="Arial"/>
          <w:sz w:val="18"/>
          <w:szCs w:val="18"/>
          <w:color w:val="auto"/>
        </w:rPr>
      </w:pPr>
    </w:p>
    <w:p>
      <w:pPr>
        <w:ind w:left="1160" w:hanging="598"/>
        <w:spacing w:after="0" w:line="268" w:lineRule="auto"/>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Election Effective Date </w:t>
      </w:r>
      <w:r>
        <w:rPr>
          <w:rFonts w:ascii="Arial" w:cs="Arial" w:eastAsia="Arial" w:hAnsi="Arial"/>
          <w:sz w:val="18"/>
          <w:szCs w:val="18"/>
          <w:color w:val="auto"/>
        </w:rPr>
        <w:t>means a date upon which a Participant’s deferred compensation is credited to his or her Stock Unit Account pursuant to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of this Plan.</w:t>
      </w:r>
    </w:p>
    <w:p>
      <w:pPr>
        <w:spacing w:after="0" w:line="185" w:lineRule="exact"/>
        <w:rPr>
          <w:rFonts w:ascii="Arial" w:cs="Arial" w:eastAsia="Arial" w:hAnsi="Arial"/>
          <w:sz w:val="18"/>
          <w:szCs w:val="18"/>
          <w:color w:val="auto"/>
        </w:rPr>
      </w:pPr>
    </w:p>
    <w:p>
      <w:pPr>
        <w:ind w:left="1160" w:right="100" w:hanging="598"/>
        <w:spacing w:after="0" w:line="306" w:lineRule="auto"/>
        <w:tabs>
          <w:tab w:leader="none" w:pos="1160" w:val="left"/>
        </w:tabs>
        <w:numPr>
          <w:ilvl w:val="0"/>
          <w:numId w:val="4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of a share of Common Stock means, as of a particular date, the lowest reported trading price of a share of Common Stock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New York Stock Exchange, or if no sales occurred on such day, then on the last preceding day on which there were such sales. </w:t>
      </w:r>
      <w:r>
        <w:rPr>
          <w:rFonts w:ascii="Arial" w:cs="Arial" w:eastAsia="Arial" w:hAnsi="Arial"/>
          <w:sz w:val="16"/>
          <w:szCs w:val="16"/>
          <w:b w:val="1"/>
          <w:bCs w:val="1"/>
          <w:i w:val="1"/>
          <w:iCs w:val="1"/>
          <w:color w:val="auto"/>
        </w:rPr>
        <w:t>Fair Market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Value </w:t>
      </w:r>
      <w:r>
        <w:rPr>
          <w:rFonts w:ascii="Arial" w:cs="Arial" w:eastAsia="Arial" w:hAnsi="Arial"/>
          <w:sz w:val="16"/>
          <w:szCs w:val="16"/>
          <w:color w:val="auto"/>
        </w:rPr>
        <w:t>of a Stock Unit shall be deemed to be equal to the Fair Market Value of one share of Common Stock.</w:t>
      </w:r>
    </w:p>
    <w:p>
      <w:pPr>
        <w:spacing w:after="0" w:line="160" w:lineRule="exact"/>
        <w:rPr>
          <w:rFonts w:ascii="Arial" w:cs="Arial" w:eastAsia="Arial" w:hAnsi="Arial"/>
          <w:sz w:val="16"/>
          <w:szCs w:val="16"/>
          <w:color w:val="auto"/>
        </w:rPr>
      </w:pPr>
    </w:p>
    <w:p>
      <w:pPr>
        <w:ind w:left="1160" w:hanging="598"/>
        <w:spacing w:after="0"/>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Eligible Director of the Company.</w:t>
      </w:r>
    </w:p>
    <w:p>
      <w:pPr>
        <w:spacing w:after="0" w:line="225" w:lineRule="exact"/>
        <w:rPr>
          <w:rFonts w:ascii="Arial" w:cs="Arial" w:eastAsia="Arial" w:hAnsi="Arial"/>
          <w:sz w:val="18"/>
          <w:szCs w:val="18"/>
          <w:color w:val="auto"/>
        </w:rPr>
      </w:pPr>
    </w:p>
    <w:p>
      <w:pPr>
        <w:ind w:left="1160" w:hanging="598"/>
        <w:spacing w:after="0"/>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2003 Waste Management, Inc. Directors’ Deferred Compensation Plan, as amended from time to time.</w:t>
      </w:r>
    </w:p>
    <w:p>
      <w:pPr>
        <w:spacing w:after="0" w:line="225" w:lineRule="exact"/>
        <w:rPr>
          <w:rFonts w:ascii="Arial" w:cs="Arial" w:eastAsia="Arial" w:hAnsi="Arial"/>
          <w:sz w:val="18"/>
          <w:szCs w:val="18"/>
          <w:color w:val="auto"/>
        </w:rPr>
      </w:pPr>
    </w:p>
    <w:p>
      <w:pPr>
        <w:ind w:left="1160" w:right="360" w:hanging="598"/>
        <w:spacing w:after="0" w:line="268" w:lineRule="auto"/>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Unit Account </w:t>
      </w:r>
      <w:r>
        <w:rPr>
          <w:rFonts w:ascii="Arial" w:cs="Arial" w:eastAsia="Arial" w:hAnsi="Arial"/>
          <w:sz w:val="18"/>
          <w:szCs w:val="18"/>
          <w:color w:val="auto"/>
        </w:rPr>
        <w:t>means the bookkeeping account maintained for each Participant to record certain amounts deferred by the Participant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Article III hereof.</w:t>
      </w:r>
    </w:p>
    <w:p>
      <w:pPr>
        <w:spacing w:after="0" w:line="185" w:lineRule="exact"/>
        <w:rPr>
          <w:rFonts w:ascii="Arial" w:cs="Arial" w:eastAsia="Arial" w:hAnsi="Arial"/>
          <w:sz w:val="18"/>
          <w:szCs w:val="18"/>
          <w:color w:val="auto"/>
        </w:rPr>
      </w:pPr>
    </w:p>
    <w:p>
      <w:pPr>
        <w:ind w:left="1160" w:hanging="598"/>
        <w:spacing w:after="0"/>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Unit </w:t>
      </w:r>
      <w:r>
        <w:rPr>
          <w:rFonts w:ascii="Arial" w:cs="Arial" w:eastAsia="Arial" w:hAnsi="Arial"/>
          <w:sz w:val="18"/>
          <w:szCs w:val="18"/>
          <w:color w:val="auto"/>
        </w:rPr>
        <w:t>means a unit equal to one share of Common Stock (as adjusted pursuant to § 3.5).</w:t>
      </w:r>
    </w:p>
    <w:p>
      <w:pPr>
        <w:spacing w:after="0" w:line="225" w:lineRule="exact"/>
        <w:rPr>
          <w:rFonts w:ascii="Arial" w:cs="Arial" w:eastAsia="Arial" w:hAnsi="Arial"/>
          <w:sz w:val="18"/>
          <w:szCs w:val="18"/>
          <w:color w:val="auto"/>
        </w:rPr>
      </w:pPr>
    </w:p>
    <w:p>
      <w:pPr>
        <w:ind w:left="1160" w:right="220" w:hanging="598"/>
        <w:spacing w:after="0" w:line="268" w:lineRule="auto"/>
        <w:tabs>
          <w:tab w:leader="none" w:pos="1160" w:val="left"/>
        </w:tabs>
        <w:numPr>
          <w:ilvl w:val="0"/>
          <w:numId w:val="4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Date </w:t>
      </w:r>
      <w:r>
        <w:rPr>
          <w:rFonts w:ascii="Arial" w:cs="Arial" w:eastAsia="Arial" w:hAnsi="Arial"/>
          <w:sz w:val="18"/>
          <w:szCs w:val="18"/>
          <w:color w:val="auto"/>
        </w:rPr>
        <w:t>means each day on which a sale or sales of the Common Stock on the New York Stock Exchange is reported or a quotation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Common Stock is available.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 OF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Committee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Plan shall be administered by the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Committee’s Powers</w:t>
      </w:r>
    </w:p>
    <w:p>
      <w:pPr>
        <w:spacing w:after="0" w:line="231" w:lineRule="exact"/>
        <w:rPr>
          <w:sz w:val="20"/>
          <w:szCs w:val="20"/>
          <w:color w:val="auto"/>
        </w:rPr>
      </w:pPr>
    </w:p>
    <w:p>
      <w:pPr>
        <w:ind w:right="560" w:firstLine="220"/>
        <w:spacing w:after="0" w:line="268" w:lineRule="auto"/>
        <w:rPr>
          <w:sz w:val="20"/>
          <w:szCs w:val="20"/>
          <w:color w:val="auto"/>
        </w:rPr>
      </w:pPr>
      <w:r>
        <w:rPr>
          <w:rFonts w:ascii="Arial" w:cs="Arial" w:eastAsia="Arial" w:hAnsi="Arial"/>
          <w:sz w:val="18"/>
          <w:szCs w:val="18"/>
          <w:color w:val="auto"/>
        </w:rPr>
        <w:t>Subject to the provisions hereof, the Committee shall have full and exclusive power and authority to administer this Plan and to take all actions that are specifically contemplated hereby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74" w:name="page375"/>
    <w:bookmarkEnd w:id="374"/>
    <w:p>
      <w:pPr>
        <w:ind w:right="80"/>
        <w:spacing w:after="0" w:line="254" w:lineRule="auto"/>
        <w:rPr>
          <w:sz w:val="20"/>
          <w:szCs w:val="20"/>
          <w:color w:val="auto"/>
        </w:rPr>
      </w:pPr>
      <w:r>
        <w:rPr>
          <w:rFonts w:ascii="Arial" w:cs="Arial" w:eastAsia="Arial" w:hAnsi="Arial"/>
          <w:sz w:val="18"/>
          <w:szCs w:val="18"/>
          <w:color w:val="auto"/>
        </w:rPr>
        <w:t>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determine the eligibility of individuals to participate herein, determine the amount of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Committee Determinations Conclusive</w:t>
      </w:r>
    </w:p>
    <w:p>
      <w:pPr>
        <w:spacing w:after="0" w:line="231" w:lineRule="exact"/>
        <w:rPr>
          <w:sz w:val="20"/>
          <w:szCs w:val="20"/>
          <w:color w:val="auto"/>
        </w:rPr>
      </w:pPr>
    </w:p>
    <w:p>
      <w:pPr>
        <w:ind w:right="780" w:firstLine="210"/>
        <w:spacing w:after="0" w:line="268" w:lineRule="auto"/>
        <w:rPr>
          <w:sz w:val="20"/>
          <w:szCs w:val="20"/>
          <w:color w:val="auto"/>
        </w:rPr>
      </w:pPr>
      <w:r>
        <w:rPr>
          <w:rFonts w:ascii="Arial" w:cs="Arial" w:eastAsia="Arial" w:hAnsi="Arial"/>
          <w:sz w:val="18"/>
          <w:szCs w:val="18"/>
          <w:color w:val="auto"/>
        </w:rPr>
        <w:t>Any decision of the Committee in the interpretation and administration of this Plan shall lie within its sole and absolute discretion and shall be final, conclusive, and binding on all parties concerned.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Committee Liability</w:t>
      </w:r>
    </w:p>
    <w:p>
      <w:pPr>
        <w:spacing w:after="0" w:line="231" w:lineRule="exact"/>
        <w:rPr>
          <w:sz w:val="20"/>
          <w:szCs w:val="20"/>
          <w:color w:val="auto"/>
        </w:rPr>
      </w:pPr>
    </w:p>
    <w:p>
      <w:pPr>
        <w:ind w:right="140" w:firstLine="220"/>
        <w:spacing w:after="0" w:line="306" w:lineRule="auto"/>
        <w:rPr>
          <w:sz w:val="20"/>
          <w:szCs w:val="20"/>
          <w:color w:val="auto"/>
        </w:rPr>
      </w:pPr>
      <w:r>
        <w:rPr>
          <w:rFonts w:ascii="Arial" w:cs="Arial" w:eastAsia="Arial" w:hAnsi="Arial"/>
          <w:sz w:val="16"/>
          <w:szCs w:val="16"/>
          <w:color w:val="auto"/>
        </w:rPr>
        <w:t>No member of the Committee or officer or employee of the Company to whom the Committee has delegated authority in accordance with the provisions of § 2.5 of this Plan shall be liable for anything done or omitted to be done by him or her, by any member of the Committee, or by any officer or employee of the Company in connection with the performance of any duties under this Plan, except for his or her own willful misconduct or as expressly provided by statute.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Delegation of Authority</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Committee may delegate to the Chief Executive Officer or to other senior officers of the Company its duties under this Plan pursuant to such conditions or limitations as the Committee may establish.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Shares Available under the Plan</w:t>
      </w:r>
    </w:p>
    <w:p>
      <w:pPr>
        <w:spacing w:after="0" w:line="231" w:lineRule="exact"/>
        <w:rPr>
          <w:sz w:val="20"/>
          <w:szCs w:val="20"/>
          <w:color w:val="auto"/>
        </w:rPr>
      </w:pPr>
    </w:p>
    <w:p>
      <w:pPr>
        <w:ind w:right="200" w:firstLine="220"/>
        <w:spacing w:after="0" w:line="294" w:lineRule="auto"/>
        <w:rPr>
          <w:sz w:val="20"/>
          <w:szCs w:val="20"/>
          <w:color w:val="auto"/>
        </w:rPr>
      </w:pPr>
      <w:r>
        <w:rPr>
          <w:rFonts w:ascii="Arial" w:cs="Arial" w:eastAsia="Arial" w:hAnsi="Arial"/>
          <w:sz w:val="16"/>
          <w:szCs w:val="16"/>
          <w:color w:val="auto"/>
        </w:rPr>
        <w:t>Subject to the provisions of § 3.5(b) hereof, no shares of Common Stock shall be issued under this Plan if it shall result in the aggregate number of shares of Common Stock issued under the Plan to exceed 500,000 shares. The Committee may from time to time adopt and observe such procedures concerning the counting of shares against the Plan maximum as it may deem appropriate.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the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375" w:name="page376"/>
    <w:bookmarkEnd w:id="375"/>
    <w:p>
      <w:pPr>
        <w:ind w:left="518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Establishment of Accounts</w:t>
      </w:r>
    </w:p>
    <w:p>
      <w:pPr>
        <w:spacing w:after="0" w:line="231" w:lineRule="exact"/>
        <w:rPr>
          <w:sz w:val="20"/>
          <w:szCs w:val="20"/>
          <w:color w:val="auto"/>
        </w:rPr>
      </w:pPr>
    </w:p>
    <w:p>
      <w:pPr>
        <w:ind w:right="220" w:firstLine="220"/>
        <w:spacing w:after="0" w:line="256" w:lineRule="auto"/>
        <w:rPr>
          <w:sz w:val="20"/>
          <w:szCs w:val="20"/>
          <w:color w:val="auto"/>
        </w:rPr>
      </w:pPr>
      <w:r>
        <w:rPr>
          <w:rFonts w:ascii="Arial" w:cs="Arial" w:eastAsia="Arial" w:hAnsi="Arial"/>
          <w:sz w:val="18"/>
          <w:szCs w:val="18"/>
          <w:color w:val="auto"/>
        </w:rPr>
        <w:t>Each Eligible Director as of the Effective Date shall become a Participant as of the Effective Date. The Company shall set up an appropriate record (hereinafter called the “Stock Unit Account”) which will from time to time reflect the name of each Participant, the number of Stock Units credited to such Participant pursuant to § 3.2, and the Fair Market Value of that number of Stock Units credited to the Participant determined as of a relevant Election Effective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Amount of Deferral</w:t>
      </w:r>
    </w:p>
    <w:p>
      <w:pPr>
        <w:spacing w:after="0" w:line="231" w:lineRule="exact"/>
        <w:rPr>
          <w:sz w:val="20"/>
          <w:szCs w:val="20"/>
          <w:color w:val="auto"/>
        </w:rPr>
      </w:pPr>
    </w:p>
    <w:p>
      <w:pPr>
        <w:jc w:val="both"/>
        <w:ind w:left="1120" w:right="60" w:hanging="558"/>
        <w:spacing w:after="0" w:line="306" w:lineRule="auto"/>
        <w:tabs>
          <w:tab w:leader="none" w:pos="1120" w:val="left"/>
        </w:tabs>
        <w:numPr>
          <w:ilvl w:val="0"/>
          <w:numId w:val="4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Deferral. </w:t>
      </w:r>
      <w:r>
        <w:rPr>
          <w:rFonts w:ascii="Arial" w:cs="Arial" w:eastAsia="Arial" w:hAnsi="Arial"/>
          <w:sz w:val="16"/>
          <w:szCs w:val="16"/>
          <w:color w:val="auto"/>
        </w:rPr>
        <w:t>A Participant may elect to defer receipt of one hundred (100%) percent or fifty (50%) percent of the Cash Compensation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Participant for serving on the Company’s Board of Directors, and any committees thereof, for each calendar year for which such deferral is elected. The amount deferred shall be credited to his or her Stock Unit Account in accordance with § 3.3 below.</w:t>
      </w:r>
    </w:p>
    <w:p>
      <w:pPr>
        <w:spacing w:after="0" w:line="160" w:lineRule="exact"/>
        <w:rPr>
          <w:rFonts w:ascii="Arial" w:cs="Arial" w:eastAsia="Arial" w:hAnsi="Arial"/>
          <w:sz w:val="16"/>
          <w:szCs w:val="16"/>
          <w:color w:val="auto"/>
        </w:rPr>
      </w:pPr>
    </w:p>
    <w:p>
      <w:pPr>
        <w:ind w:left="1120" w:hanging="558"/>
        <w:spacing w:after="0"/>
        <w:tabs>
          <w:tab w:leader="none" w:pos="1120" w:val="left"/>
        </w:tabs>
        <w:numPr>
          <w:ilvl w:val="0"/>
          <w:numId w:val="4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Stock Retainer. </w:t>
      </w:r>
      <w:r>
        <w:rPr>
          <w:rFonts w:ascii="Arial" w:cs="Arial" w:eastAsia="Arial" w:hAnsi="Arial"/>
          <w:sz w:val="16"/>
          <w:szCs w:val="16"/>
          <w:color w:val="auto"/>
        </w:rPr>
        <w:t>The Annual Stock Retainer will be credited to a Director’s Stock Unit Account in accordance with § 3.3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Crediting of Deferred Amounts</w:t>
      </w:r>
    </w:p>
    <w:p>
      <w:pPr>
        <w:spacing w:after="0" w:line="231" w:lineRule="exact"/>
        <w:rPr>
          <w:sz w:val="20"/>
          <w:szCs w:val="20"/>
          <w:color w:val="auto"/>
        </w:rPr>
      </w:pPr>
    </w:p>
    <w:p>
      <w:pPr>
        <w:ind w:left="1120" w:hanging="558"/>
        <w:spacing w:after="0" w:line="298" w:lineRule="auto"/>
        <w:tabs>
          <w:tab w:leader="none" w:pos="1120" w:val="left"/>
        </w:tabs>
        <w:numPr>
          <w:ilvl w:val="0"/>
          <w:numId w:val="4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2003 Elections. </w:t>
      </w:r>
      <w:r>
        <w:rPr>
          <w:rFonts w:ascii="Arial" w:cs="Arial" w:eastAsia="Arial" w:hAnsi="Arial"/>
          <w:sz w:val="16"/>
          <w:szCs w:val="16"/>
          <w:color w:val="auto"/>
        </w:rPr>
        <w:t>One-half of the portion of the Participant’s Annual Stock Retainer for 2003 shall be credited to his or her account on February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and the other one-half of the Annual Stock Retainer for 2003, along with, if a Participant elects to defer any portion of his or her annual Cash Compensation for 2003, the Cash Compensation the Participant has elected to defer pursuant to the initial election described in Section 5.1, shall be credited in Stock Units to a Participant’s Stock Unit Account on July 15, 2003.</w:t>
      </w:r>
    </w:p>
    <w:p>
      <w:pPr>
        <w:spacing w:after="0" w:line="166" w:lineRule="exact"/>
        <w:rPr>
          <w:rFonts w:ascii="Arial" w:cs="Arial" w:eastAsia="Arial" w:hAnsi="Arial"/>
          <w:sz w:val="16"/>
          <w:szCs w:val="16"/>
          <w:color w:val="auto"/>
        </w:rPr>
      </w:pPr>
    </w:p>
    <w:p>
      <w:pPr>
        <w:ind w:left="1120" w:right="80" w:hanging="558"/>
        <w:spacing w:after="0" w:line="256" w:lineRule="auto"/>
        <w:tabs>
          <w:tab w:leader="none" w:pos="1120" w:val="left"/>
        </w:tabs>
        <w:numPr>
          <w:ilvl w:val="0"/>
          <w:numId w:val="4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Elections after 2003. </w:t>
      </w:r>
      <w:r>
        <w:rPr>
          <w:rFonts w:ascii="Arial" w:cs="Arial" w:eastAsia="Arial" w:hAnsi="Arial"/>
          <w:sz w:val="18"/>
          <w:szCs w:val="18"/>
          <w:color w:val="auto"/>
        </w:rPr>
        <w:t>After 2003, one-half of the Annual Stock Retainer for the calendar year along with one-half of the Cash Compensation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elects to defer in such year, shall be credited in Stock Units to a Participant’s Stock Unit Account on the fifteenth (15th) day of January and the fifteenth (15th) day of July of such calendar year (the “Election Effective Date”) based upon the Fair Market Value of a share of Common Stock on such Election Effective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Dividends</w:t>
      </w:r>
    </w:p>
    <w:p>
      <w:pPr>
        <w:spacing w:after="0" w:line="231" w:lineRule="exact"/>
        <w:rPr>
          <w:sz w:val="20"/>
          <w:szCs w:val="20"/>
          <w:color w:val="auto"/>
        </w:rPr>
      </w:pPr>
    </w:p>
    <w:p>
      <w:pPr>
        <w:ind w:right="40" w:firstLine="210"/>
        <w:spacing w:after="0" w:line="306" w:lineRule="auto"/>
        <w:rPr>
          <w:sz w:val="20"/>
          <w:szCs w:val="20"/>
          <w:color w:val="auto"/>
        </w:rPr>
      </w:pPr>
      <w:r>
        <w:rPr>
          <w:rFonts w:ascii="Arial" w:cs="Arial" w:eastAsia="Arial" w:hAnsi="Arial"/>
          <w:sz w:val="16"/>
          <w:szCs w:val="16"/>
          <w:color w:val="auto"/>
        </w:rPr>
        <w:t>As of each date that dividends are paid with respect to Common Stock, a Participant who has any outstanding Stock Units credited to his or her Stock Unit Account shall have an additional amount of Stock Units credited to his or her Stock Unit Account equal to the number of Stock Units having a Fair Market Value on the payment date of such dividend equal to the dollar amount of dividends paid per share of Common Stock multiplied by the number of Stock</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t>Units credited to the Participant’s Stock Unit Account immediately before payment of such dividend.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Adjustments</w:t>
      </w:r>
    </w:p>
    <w:p>
      <w:pPr>
        <w:spacing w:after="0" w:line="231" w:lineRule="exact"/>
        <w:rPr>
          <w:sz w:val="20"/>
          <w:szCs w:val="20"/>
          <w:color w:val="auto"/>
        </w:rPr>
      </w:pPr>
    </w:p>
    <w:p>
      <w:pPr>
        <w:ind w:left="1120" w:right="60" w:hanging="558"/>
        <w:spacing w:after="0" w:line="291" w:lineRule="auto"/>
        <w:tabs>
          <w:tab w:leader="none" w:pos="1120" w:val="left"/>
        </w:tabs>
        <w:numPr>
          <w:ilvl w:val="0"/>
          <w:numId w:val="4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of Corporate Powers. </w:t>
      </w:r>
      <w:r>
        <w:rPr>
          <w:rFonts w:ascii="Arial" w:cs="Arial" w:eastAsia="Arial" w:hAnsi="Arial"/>
          <w:sz w:val="16"/>
          <w:szCs w:val="16"/>
          <w:color w:val="auto"/>
        </w:rPr>
        <w:t>The existence of this Plan and any outstanding Stock Units credited hereunder shall not affect in any manner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74" w:lineRule="exact"/>
        <w:rPr>
          <w:rFonts w:ascii="Arial" w:cs="Arial" w:eastAsia="Arial" w:hAnsi="Arial"/>
          <w:sz w:val="16"/>
          <w:szCs w:val="16"/>
          <w:color w:val="auto"/>
        </w:rPr>
      </w:pPr>
    </w:p>
    <w:p>
      <w:pPr>
        <w:ind w:left="1120" w:hanging="558"/>
        <w:spacing w:after="0" w:line="286" w:lineRule="auto"/>
        <w:tabs>
          <w:tab w:leader="none" w:pos="1120" w:val="left"/>
        </w:tabs>
        <w:numPr>
          <w:ilvl w:val="0"/>
          <w:numId w:val="4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Recapitalizations, Reorganizations and Other Activities. </w:t>
      </w:r>
      <w:r>
        <w:rPr>
          <w:rFonts w:ascii="Arial" w:cs="Arial" w:eastAsia="Arial" w:hAnsi="Arial"/>
          <w:sz w:val="16"/>
          <w:szCs w:val="16"/>
          <w:color w:val="auto"/>
        </w:rPr>
        <w:t>In the event of any subdivision or consolidation of outstanding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declaration of a dividend payable in shares of Common Stock or other stock split, then (i) the number of Stock Units and shares of Common Stock available for grant under the Plan and (ii) the appropriate Fair Market Value and other price determinations for such Stock Units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Board shall make appropriate adjustments to (i) the number of Stock Units and shares of Common Stock available for grant under the Plan and (ii) the appropriate Fair Market Value and other price determinations for such Stock Units to give effect to such transaction; provided that such adjustments shall only be such as are necessary to preserve, without increasing, the value of such Stock Units. In the event of a corporate merger, consolidation, acquisition of property or stock, separation, reorganization or liquidation, the Board shall be authorized to issue or assume units by means of substitution of new units, as appropriate, for previously issued units or an assumption of previously issued units as part of such adjustment.</w:t>
      </w:r>
    </w:p>
    <w:p>
      <w:pPr>
        <w:spacing w:after="0" w:line="17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Period of Deferral</w:t>
      </w:r>
    </w:p>
    <w:p>
      <w:pPr>
        <w:spacing w:after="0" w:line="231" w:lineRule="exact"/>
        <w:rPr>
          <w:sz w:val="20"/>
          <w:szCs w:val="20"/>
          <w:color w:val="auto"/>
        </w:rPr>
      </w:pPr>
    </w:p>
    <w:p>
      <w:pPr>
        <w:ind w:right="60" w:firstLine="210"/>
        <w:spacing w:after="0" w:line="268" w:lineRule="auto"/>
        <w:rPr>
          <w:sz w:val="20"/>
          <w:szCs w:val="20"/>
          <w:color w:val="auto"/>
        </w:rPr>
      </w:pPr>
      <w:r>
        <w:rPr>
          <w:rFonts w:ascii="Arial" w:cs="Arial" w:eastAsia="Arial" w:hAnsi="Arial"/>
          <w:sz w:val="18"/>
          <w:szCs w:val="18"/>
          <w:color w:val="auto"/>
        </w:rPr>
        <w:t>A Participant may elect that payment of the Stock Units credited to the Participant under the Plan be made on any date permitted by the Committee, beginning (i), in the case of Stock Units attributable to Cash Compensation deferred under the Plan, no earlier than the date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377" w:name="page378"/>
    <w:bookmarkEnd w:id="377"/>
    <w:p>
      <w:pPr>
        <w:spacing w:after="0" w:line="294" w:lineRule="auto"/>
        <w:rPr>
          <w:sz w:val="20"/>
          <w:szCs w:val="20"/>
          <w:color w:val="auto"/>
        </w:rPr>
      </w:pPr>
      <w:r>
        <w:rPr>
          <w:rFonts w:ascii="Arial" w:cs="Arial" w:eastAsia="Arial" w:hAnsi="Arial"/>
          <w:sz w:val="16"/>
          <w:szCs w:val="16"/>
          <w:color w:val="auto"/>
        </w:rPr>
        <w:t>termination of Board service, or (ii), in the case of Stock Units attributable to an Annual Stock Retainer, no earlier than one year following the Participant’s date of termination of Board service, in either case as specified on the deferral election form (each such date is hereinafter referred to as the “Determination Date” for the relevant portion of the Participant’s Stock Unit Account). If no effective election is made by a Participant, all Stock Units credited to the Participant shall be distributed on the date one year following the Participant’s date of termination of Board service, and such date shall be his or her Determination Date. In the event of the death of a Director prior to the date specified on the deferral election form, such Director’s date of death shall be his or her Determination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Form of Payment</w:t>
      </w:r>
    </w:p>
    <w:p>
      <w:pPr>
        <w:spacing w:after="0" w:line="231" w:lineRule="exact"/>
        <w:rPr>
          <w:sz w:val="20"/>
          <w:szCs w:val="20"/>
          <w:color w:val="auto"/>
        </w:rPr>
      </w:pPr>
    </w:p>
    <w:p>
      <w:pPr>
        <w:ind w:right="60" w:firstLine="220"/>
        <w:spacing w:after="0" w:line="318" w:lineRule="auto"/>
        <w:rPr>
          <w:sz w:val="20"/>
          <w:szCs w:val="20"/>
          <w:color w:val="auto"/>
        </w:rPr>
      </w:pPr>
      <w:r>
        <w:rPr>
          <w:rFonts w:ascii="Arial" w:cs="Arial" w:eastAsia="Arial" w:hAnsi="Arial"/>
          <w:sz w:val="15"/>
          <w:szCs w:val="15"/>
          <w:color w:val="auto"/>
        </w:rPr>
        <w:t>Distribution to a Participant of the number of shares of Common Stock represented by the Stock Units credited to the Participant’s Stock Unit Account attributable to deferred Cash Compensation or an Annual Stock Retainer, as applicable, shall be made in Common Stock as soon as administratively feasible (but not later than sixty (60) days) following the relevant Determination Date, except in the case of the death of the Participant. In lieu of issuing fractional shares, a cash payment shall be made for any fractional share by multiplying such fraction by the closing sale price for a share of Common Stock on the Determination Date (or if such date is not a day on which exchange trading takes place in Common Stock, the immediately preceding day on which such trading occurred).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Death Prior to Payment</w:t>
      </w:r>
    </w:p>
    <w:p>
      <w:pPr>
        <w:spacing w:after="0" w:line="231" w:lineRule="exact"/>
        <w:rPr>
          <w:sz w:val="20"/>
          <w:szCs w:val="20"/>
          <w:color w:val="auto"/>
        </w:rPr>
      </w:pPr>
    </w:p>
    <w:p>
      <w:pPr>
        <w:jc w:val="both"/>
        <w:ind w:right="60" w:firstLine="220"/>
        <w:spacing w:after="0" w:line="298" w:lineRule="auto"/>
        <w:rPr>
          <w:sz w:val="20"/>
          <w:szCs w:val="20"/>
          <w:color w:val="auto"/>
        </w:rPr>
      </w:pPr>
      <w:r>
        <w:rPr>
          <w:rFonts w:ascii="Arial" w:cs="Arial" w:eastAsia="Arial" w:hAnsi="Arial"/>
          <w:sz w:val="16"/>
          <w:szCs w:val="16"/>
          <w:color w:val="auto"/>
        </w:rPr>
        <w:t>In the event that a Participant dies prior to payment pursuant to the Plan, any such unpaid amounts, shall be paid to the Participant’s designated Beneficiary in Common Stock within sixty (60) days following the Company’s notification of the Participant’s death. If no Beneficiary has been designated, such payment shall be made to the Participant’s estate. A beneficiary designation, or revocation of a prior beneficiary designation, shall be effective only if it is made in writing on a form provided by the Company, signed by the Participant and received by the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Payments to Minors and Incompetents</w:t>
      </w:r>
    </w:p>
    <w:p>
      <w:pPr>
        <w:spacing w:after="0" w:line="231"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Should the Participant become incompetent or should the Participant designate a Beneficiary who is a minor or incompetent, the Company shall be authorized to make such payment in Common Stock to a parent or guardian of such minor or incompetent, or directly to such minor or incompetent, whichever manner the Committee shall determine in its sole discretion.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ELECTING DEFERRALS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Manner of Electing Deferral</w:t>
      </w:r>
    </w:p>
    <w:p>
      <w:pPr>
        <w:spacing w:after="0" w:line="231" w:lineRule="exact"/>
        <w:rPr>
          <w:sz w:val="20"/>
          <w:szCs w:val="20"/>
          <w:color w:val="auto"/>
        </w:rPr>
      </w:pPr>
    </w:p>
    <w:p>
      <w:pPr>
        <w:ind w:right="420" w:firstLine="220"/>
        <w:spacing w:after="0" w:line="332" w:lineRule="auto"/>
        <w:rPr>
          <w:sz w:val="20"/>
          <w:szCs w:val="20"/>
          <w:color w:val="auto"/>
        </w:rPr>
      </w:pPr>
      <w:r>
        <w:rPr>
          <w:rFonts w:ascii="Arial" w:cs="Arial" w:eastAsia="Arial" w:hAnsi="Arial"/>
          <w:sz w:val="16"/>
          <w:szCs w:val="16"/>
          <w:color w:val="auto"/>
        </w:rPr>
        <w:t>Each election made by a Participant to defer Cash Compensation under the Plan (i) shall take the form of a written document (provided by the Company) signed by the Participant and filed with the Committee, (ii) shall designate the calendar year for which the deferral is made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78" w:name="page379"/>
    <w:bookmarkEnd w:id="378"/>
    <w:p>
      <w:pPr>
        <w:ind w:right="100"/>
        <w:spacing w:after="0" w:line="256" w:lineRule="auto"/>
        <w:rPr>
          <w:sz w:val="20"/>
          <w:szCs w:val="20"/>
          <w:color w:val="auto"/>
        </w:rPr>
      </w:pPr>
      <w:r>
        <w:rPr>
          <w:rFonts w:ascii="Arial" w:cs="Arial" w:eastAsia="Arial" w:hAnsi="Arial"/>
          <w:sz w:val="18"/>
          <w:szCs w:val="18"/>
          <w:color w:val="auto"/>
        </w:rPr>
        <w:t>the period of deferral, and (iii) cannot be revoked or modified if the proposed revocation or modification applies to amounts deferred with respect to a calendar year which has already commenced at the time such revocation or modification is proposed to be effected; provided, however, that Eligible Directors as of the Effective Date may elect within thirty (30) days after approval of this Plan by the Board of Directors to defer fifty (50%) percent or one hundred (100%) percent of the remainder of the Cash Compensation payable for calendar year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Election by a New Director</w:t>
      </w:r>
    </w:p>
    <w:p>
      <w:pPr>
        <w:spacing w:after="0" w:line="231" w:lineRule="exact"/>
        <w:rPr>
          <w:sz w:val="20"/>
          <w:szCs w:val="20"/>
          <w:color w:val="auto"/>
        </w:rPr>
      </w:pPr>
    </w:p>
    <w:p>
      <w:pPr>
        <w:ind w:right="760" w:firstLine="210"/>
        <w:spacing w:after="0" w:line="268" w:lineRule="auto"/>
        <w:rPr>
          <w:sz w:val="20"/>
          <w:szCs w:val="20"/>
          <w:color w:val="auto"/>
        </w:rPr>
      </w:pPr>
      <w:r>
        <w:rPr>
          <w:rFonts w:ascii="Arial" w:cs="Arial" w:eastAsia="Arial" w:hAnsi="Arial"/>
          <w:sz w:val="18"/>
          <w:szCs w:val="18"/>
          <w:color w:val="auto"/>
        </w:rPr>
        <w:t>An election to defer Cash Compensation under the Plan may be made by a new Director of the Company within thirty (30) days after election to the Company’s Board of Directors and shall apply to Cash Compensation payable after the date of such election.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Unfunded Plan</w:t>
      </w:r>
    </w:p>
    <w:p>
      <w:pPr>
        <w:spacing w:after="0" w:line="231"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Nothing contained herein shall be deemed to create a trust of any kind or create any fiduciary relationship. This Plan shall be unfunded. Any funds invested hereunder shall continue for all purposes to be part of the general funds of the Company. To the extent that a Participant acquires a right to receive payments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who are entitled to rights under this Plan, any such accounts shall be used merely as a bookkeeping convenience. The Company shall not be required to segregate any assets that may at any time be represented by cash, stock or rights thereto, nor shall this Plan be construed as providing for such segregation, nor shall the Company, the Board or the Committee be deemed to be a trustee of any cash, stock or rights thereto granted or to be granted under this Plan. Any liability or obligation of the Company to any Participant with respect to cash,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Title to Funds Remains with Company</w:t>
      </w:r>
    </w:p>
    <w:p>
      <w:pPr>
        <w:spacing w:after="0" w:line="231" w:lineRule="exact"/>
        <w:rPr>
          <w:sz w:val="20"/>
          <w:szCs w:val="20"/>
          <w:color w:val="auto"/>
        </w:rPr>
      </w:pPr>
    </w:p>
    <w:p>
      <w:pPr>
        <w:ind w:right="100" w:firstLine="210"/>
        <w:spacing w:after="0" w:line="259" w:lineRule="auto"/>
        <w:rPr>
          <w:sz w:val="20"/>
          <w:szCs w:val="20"/>
          <w:color w:val="auto"/>
        </w:rPr>
      </w:pPr>
      <w:r>
        <w:rPr>
          <w:rFonts w:ascii="Arial" w:cs="Arial" w:eastAsia="Arial" w:hAnsi="Arial"/>
          <w:sz w:val="18"/>
          <w:szCs w:val="18"/>
          <w:color w:val="auto"/>
        </w:rPr>
        <w:t>Amounts or shares credited to each Participant’s Stock Unit Account shall not be specifically set aside or otherwise segregated, but will be combined with corporate assets. Title to such funds or shares will remain with the Company and the Company’s only obligation will be to make timely payments to Participants in accordance with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Statement of Account</w:t>
      </w:r>
    </w:p>
    <w:p>
      <w:pPr>
        <w:spacing w:after="0" w:line="231" w:lineRule="exact"/>
        <w:rPr>
          <w:sz w:val="20"/>
          <w:szCs w:val="20"/>
          <w:color w:val="auto"/>
        </w:rPr>
      </w:pPr>
    </w:p>
    <w:p>
      <w:pPr>
        <w:ind w:right="300" w:firstLine="210"/>
        <w:spacing w:after="0" w:line="268" w:lineRule="auto"/>
        <w:rPr>
          <w:sz w:val="20"/>
          <w:szCs w:val="20"/>
          <w:color w:val="auto"/>
        </w:rPr>
      </w:pPr>
      <w:r>
        <w:rPr>
          <w:rFonts w:ascii="Arial" w:cs="Arial" w:eastAsia="Arial" w:hAnsi="Arial"/>
          <w:sz w:val="18"/>
          <w:szCs w:val="18"/>
          <w:color w:val="auto"/>
        </w:rPr>
        <w:t>A statement will be furnished to each Participant not less often than annually and shall reflect the balance of the Participant’s Stock Unit Account as of the preceding December 31.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b w:val="1"/>
          <w:bCs w:val="1"/>
          <w:color w:val="auto"/>
        </w:rPr>
        <w:t>6.4 Assignability</w:t>
      </w:r>
    </w:p>
    <w:p>
      <w:pPr>
        <w:spacing w:after="0" w:line="231"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Except as provided in § 4.3, no right to receive payment hereunder shall be transferable or assignable by a Participant except by will or the laws of descent and distribution or pursuant to a qualified domestic relations order as defined by the Code or Title I of the Employee Retirement Income Security Act of 1974, as amended, or the rules thereunder. Any attempted assignment of any benefit under this Plan in violation of this § 6.4 shall be null and void.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Amendment, Modification, Suspension, or Termination</w:t>
      </w:r>
    </w:p>
    <w:p>
      <w:pPr>
        <w:spacing w:after="0" w:line="231" w:lineRule="exact"/>
        <w:rPr>
          <w:sz w:val="20"/>
          <w:szCs w:val="20"/>
          <w:color w:val="auto"/>
        </w:rPr>
      </w:pPr>
    </w:p>
    <w:p>
      <w:pPr>
        <w:ind w:right="100" w:firstLine="216"/>
        <w:spacing w:after="0" w:line="289" w:lineRule="auto"/>
        <w:rPr>
          <w:sz w:val="20"/>
          <w:szCs w:val="20"/>
          <w:color w:val="auto"/>
        </w:rPr>
      </w:pPr>
      <w:r>
        <w:rPr>
          <w:rFonts w:ascii="Arial" w:cs="Arial" w:eastAsia="Arial" w:hAnsi="Arial"/>
          <w:sz w:val="16"/>
          <w:szCs w:val="16"/>
          <w:color w:val="auto"/>
        </w:rPr>
        <w:t>The Board may amend, modify, suspend, or terminate this Plan for the purpose of meeting or addressing any changes in legal requirements or for any other purpose permitted by law, except that no amendment, modification, or termination shall, without the consent of the Participant, impair the rights of any Participant to the balance in such Participant’s Stock Unit Account as of the date of such amendment, modification, or termination. The Board may at any time and from time to time delegate to the Committee any or all of its authority under this § 6.5. Notwithstanding the foregoing, if an amendment would constitute a material revision of the Plan, then to the extent required by applicable law, or deemed necessary by the Board or Committee, such amendment shall be subject to stockholder approval. A “material revision” includes, but is not limited to, a revision that: (i) materially increases the benefits accruing to Participants under this Plan, (ii) materially increases the aggregate number of securities that may be issued under this Plan, (iii) materially modifies the requirements as to eligibility for participation in this Plan, (iv) changes the types of awards available under the Plan, or (v) materially extends the term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Governing Law</w:t>
      </w:r>
    </w:p>
    <w:p>
      <w:pPr>
        <w:spacing w:after="0" w:line="231" w:lineRule="exact"/>
        <w:rPr>
          <w:sz w:val="20"/>
          <w:szCs w:val="20"/>
          <w:color w:val="auto"/>
        </w:rPr>
      </w:pPr>
    </w:p>
    <w:p>
      <w:pPr>
        <w:ind w:right="340" w:firstLine="216"/>
        <w:spacing w:after="0" w:line="332" w:lineRule="auto"/>
        <w:rPr>
          <w:sz w:val="20"/>
          <w:szCs w:val="20"/>
          <w:color w:val="auto"/>
        </w:rPr>
      </w:pPr>
      <w:r>
        <w:rPr>
          <w:rFonts w:ascii="Arial" w:cs="Arial" w:eastAsia="Arial" w:hAnsi="Arial"/>
          <w:sz w:val="16"/>
          <w:szCs w:val="16"/>
          <w:color w:val="auto"/>
        </w:rPr>
        <w:t>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6.7 Effective Date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Plan shall be effective as of the Effective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935" w:right="259"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Ratios)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60325</wp:posOffset>
            </wp:positionV>
            <wp:extent cx="15265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before income taxes, cumulative effect of changes in accounting</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 and minority interests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38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$574</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Fixed charges deducted from income:</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Implicit interest in rents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Earnings available for fixed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$219</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Capitalized interest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fixed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Ratio of earnings to fixed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935" w:right="2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 Maurice Myers, certify that:</w:t>
      </w:r>
    </w:p>
    <w:p>
      <w:pPr>
        <w:spacing w:after="0" w:line="252" w:lineRule="exact"/>
        <w:rPr>
          <w:sz w:val="20"/>
          <w:szCs w:val="20"/>
          <w:color w:val="auto"/>
        </w:rPr>
      </w:pPr>
    </w:p>
    <w:p>
      <w:pPr>
        <w:ind w:left="500" w:hanging="168"/>
        <w:spacing w:after="0"/>
        <w:tabs>
          <w:tab w:leader="none" w:pos="5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52" w:lineRule="exact"/>
        <w:rPr>
          <w:rFonts w:ascii="Arial" w:cs="Arial" w:eastAsia="Arial" w:hAnsi="Arial"/>
          <w:sz w:val="18"/>
          <w:szCs w:val="18"/>
          <w:color w:val="auto"/>
        </w:rPr>
      </w:pPr>
    </w:p>
    <w:p>
      <w:pPr>
        <w:jc w:val="both"/>
        <w:ind w:right="700" w:firstLine="332"/>
        <w:spacing w:after="0" w:line="370" w:lineRule="auto"/>
        <w:tabs>
          <w:tab w:leader="none" w:pos="500" w:val="left"/>
        </w:tabs>
        <w:numPr>
          <w:ilvl w:val="0"/>
          <w:numId w:val="4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firstLine="332"/>
        <w:spacing w:after="0" w:line="268" w:lineRule="auto"/>
        <w:tabs>
          <w:tab w:leader="none" w:pos="5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right="700" w:firstLine="332"/>
        <w:spacing w:after="0" w:line="268" w:lineRule="auto"/>
        <w:tabs>
          <w:tab w:leader="none" w:pos="49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212" w:lineRule="exact"/>
        <w:rPr>
          <w:rFonts w:ascii="Arial" w:cs="Arial" w:eastAsia="Arial" w:hAnsi="Arial"/>
          <w:sz w:val="18"/>
          <w:szCs w:val="18"/>
          <w:color w:val="auto"/>
        </w:rPr>
      </w:pPr>
    </w:p>
    <w:p>
      <w:pPr>
        <w:ind w:left="360" w:right="140" w:firstLine="323"/>
        <w:spacing w:after="0" w:line="259" w:lineRule="auto"/>
        <w:tabs>
          <w:tab w:leader="none" w:pos="85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48" w:lineRule="exact"/>
        <w:rPr>
          <w:rFonts w:ascii="Arial" w:cs="Arial" w:eastAsia="Arial" w:hAnsi="Arial"/>
          <w:sz w:val="18"/>
          <w:szCs w:val="18"/>
          <w:color w:val="auto"/>
        </w:rPr>
      </w:pPr>
    </w:p>
    <w:p>
      <w:pPr>
        <w:ind w:left="360" w:right="440" w:firstLine="323"/>
        <w:spacing w:after="0" w:line="332" w:lineRule="auto"/>
        <w:tabs>
          <w:tab w:leader="none" w:pos="86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16"/>
          <w:szCs w:val="16"/>
          <w:color w:val="auto"/>
        </w:rPr>
      </w:pPr>
    </w:p>
    <w:p>
      <w:pPr>
        <w:ind w:left="360" w:right="100" w:firstLine="323"/>
        <w:spacing w:after="0" w:line="259" w:lineRule="auto"/>
        <w:tabs>
          <w:tab w:leader="none" w:pos="85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right="400" w:firstLine="332"/>
        <w:spacing w:after="0" w:line="332" w:lineRule="auto"/>
        <w:tabs>
          <w:tab w:leader="none" w:pos="49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360" w:right="40" w:firstLine="323"/>
        <w:spacing w:after="0" w:line="268" w:lineRule="auto"/>
        <w:tabs>
          <w:tab w:leader="none" w:pos="85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360" w:right="160" w:firstLine="323"/>
        <w:spacing w:after="0" w:line="268" w:lineRule="auto"/>
        <w:tabs>
          <w:tab w:leader="none" w:pos="8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45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 MAURICE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 Maurice Myers</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2003</w:t>
      </w:r>
    </w:p>
    <w:p>
      <w:pPr>
        <w:sectPr>
          <w:pgSz w:w="11900" w:h="16838" w:orient="portrait"/>
          <w:cols w:equalWidth="0" w:num="1">
            <w:col w:w="11420"/>
          </w:cols>
          <w:pgMar w:left="240" w:top="936"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52" w:lineRule="exact"/>
        <w:rPr>
          <w:sz w:val="20"/>
          <w:szCs w:val="20"/>
          <w:color w:val="auto"/>
        </w:rPr>
      </w:pPr>
    </w:p>
    <w:p>
      <w:pPr>
        <w:ind w:left="500" w:hanging="168"/>
        <w:spacing w:after="0"/>
        <w:tabs>
          <w:tab w:leader="none" w:pos="5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52" w:lineRule="exact"/>
        <w:rPr>
          <w:rFonts w:ascii="Arial" w:cs="Arial" w:eastAsia="Arial" w:hAnsi="Arial"/>
          <w:sz w:val="18"/>
          <w:szCs w:val="18"/>
          <w:color w:val="auto"/>
        </w:rPr>
      </w:pPr>
    </w:p>
    <w:p>
      <w:pPr>
        <w:jc w:val="both"/>
        <w:ind w:right="700" w:firstLine="332"/>
        <w:spacing w:after="0" w:line="370" w:lineRule="auto"/>
        <w:tabs>
          <w:tab w:leader="none" w:pos="500" w:val="left"/>
        </w:tabs>
        <w:numPr>
          <w:ilvl w:val="0"/>
          <w:numId w:val="4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firstLine="332"/>
        <w:spacing w:after="0" w:line="268" w:lineRule="auto"/>
        <w:tabs>
          <w:tab w:leader="none" w:pos="5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right="700" w:firstLine="332"/>
        <w:spacing w:after="0" w:line="268" w:lineRule="auto"/>
        <w:tabs>
          <w:tab w:leader="none" w:pos="497"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212" w:lineRule="exact"/>
        <w:rPr>
          <w:rFonts w:ascii="Arial" w:cs="Arial" w:eastAsia="Arial" w:hAnsi="Arial"/>
          <w:sz w:val="18"/>
          <w:szCs w:val="18"/>
          <w:color w:val="auto"/>
        </w:rPr>
      </w:pPr>
    </w:p>
    <w:p>
      <w:pPr>
        <w:ind w:left="360" w:right="140" w:firstLine="323"/>
        <w:spacing w:after="0" w:line="259" w:lineRule="auto"/>
        <w:tabs>
          <w:tab w:leader="none" w:pos="85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48" w:lineRule="exact"/>
        <w:rPr>
          <w:rFonts w:ascii="Arial" w:cs="Arial" w:eastAsia="Arial" w:hAnsi="Arial"/>
          <w:sz w:val="18"/>
          <w:szCs w:val="18"/>
          <w:color w:val="auto"/>
        </w:rPr>
      </w:pPr>
    </w:p>
    <w:p>
      <w:pPr>
        <w:ind w:left="360" w:right="440" w:firstLine="323"/>
        <w:spacing w:after="0" w:line="332" w:lineRule="auto"/>
        <w:tabs>
          <w:tab w:leader="none" w:pos="860" w:val="left"/>
        </w:tabs>
        <w:numPr>
          <w:ilvl w:val="1"/>
          <w:numId w:val="4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16"/>
          <w:szCs w:val="16"/>
          <w:color w:val="auto"/>
        </w:rPr>
      </w:pPr>
    </w:p>
    <w:p>
      <w:pPr>
        <w:ind w:left="360" w:right="100" w:firstLine="323"/>
        <w:spacing w:after="0" w:line="259" w:lineRule="auto"/>
        <w:tabs>
          <w:tab w:leader="none" w:pos="85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right="400" w:firstLine="332"/>
        <w:spacing w:after="0" w:line="332" w:lineRule="auto"/>
        <w:tabs>
          <w:tab w:leader="none" w:pos="497"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360" w:right="40" w:firstLine="323"/>
        <w:spacing w:after="0" w:line="268" w:lineRule="auto"/>
        <w:tabs>
          <w:tab w:leader="none" w:pos="85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360" w:right="160" w:firstLine="323"/>
        <w:spacing w:after="0" w:line="268" w:lineRule="auto"/>
        <w:tabs>
          <w:tab w:leader="none" w:pos="8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2003</w:t>
      </w:r>
    </w:p>
    <w:p>
      <w:pPr>
        <w:sectPr>
          <w:pgSz w:w="11900" w:h="16838" w:orient="portrait"/>
          <w:cols w:equalWidth="0" w:num="1">
            <w:col w:w="11420"/>
          </w:cols>
          <w:pgMar w:left="240" w:top="935"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2003 as filed with the Securities and Exchange Commission on the date hereof (the “Report”), I, A. Maurice Myers, Chief Executive Officer of the Company, certify, pursuant to 18 U.S.C. § 1350, as adopted pursuant to § 906 of the Sarbanes-Oxley Act of 2002, that:</w:t>
      </w:r>
    </w:p>
    <w:p>
      <w:pPr>
        <w:spacing w:after="0" w:line="221" w:lineRule="exact"/>
        <w:rPr>
          <w:sz w:val="20"/>
          <w:szCs w:val="20"/>
          <w:color w:val="auto"/>
        </w:rPr>
      </w:pPr>
    </w:p>
    <w:p>
      <w:pPr>
        <w:ind w:left="920" w:hanging="237"/>
        <w:spacing w:after="0"/>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360" w:right="300" w:hanging="6677"/>
        <w:spacing w:after="0" w:line="391" w:lineRule="auto"/>
        <w:tabs>
          <w:tab w:leader="none" w:pos="93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 Maurice Myers</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5, 2003</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Waste Management, Inc. and will be retained by Waste Management, Inc.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In connection with the Quarterly Report of Waste Management, Inc. (the “Company”) on Form 10-Q for the period ended June 30, 2003 as filed with the Securities and Exchange Commission on the date hereof (the “Report”), I, David P. Steiner, Chief Financial Officer of the Company, certify, pursuant to 18 U.S.C.</w:t>
      </w:r>
    </w:p>
    <w:p>
      <w:pPr>
        <w:ind w:left="140" w:hanging="132"/>
        <w:spacing w:after="0"/>
        <w:tabs>
          <w:tab w:leader="none" w:pos="1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45" w:lineRule="exact"/>
        <w:rPr>
          <w:rFonts w:ascii="Arial" w:cs="Arial" w:eastAsia="Arial" w:hAnsi="Arial"/>
          <w:sz w:val="18"/>
          <w:szCs w:val="18"/>
          <w:color w:val="auto"/>
        </w:rPr>
      </w:pPr>
    </w:p>
    <w:p>
      <w:pPr>
        <w:ind w:left="1100" w:hanging="417"/>
        <w:spacing w:after="0"/>
        <w:tabs>
          <w:tab w:leader="none" w:pos="11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1100" w:hanging="417"/>
        <w:spacing w:after="0"/>
        <w:tabs>
          <w:tab w:leader="none" w:pos="110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5, 2003</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Waste Management, Inc. and will be retained by Waste Management, Inc. and furnished to the Securities and Exchange Commission or its staff upon request.</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677B7C"/>
    <w:multiLevelType w:val="hybridMultilevel"/>
    <w:lvl w:ilvl="0">
      <w:lvlJc w:val="left"/>
      <w:lvlText w:val="☑"/>
      <w:numFmt w:val="bullet"/>
      <w:start w:val="1"/>
    </w:lvl>
  </w:abstractNum>
  <w:abstractNum w:abstractNumId="1">
    <w:nsid w:val="378D97C0"/>
    <w:multiLevelType w:val="hybridMultilevel"/>
    <w:lvl w:ilvl="0">
      <w:lvlJc w:val="left"/>
      <w:lvlText w:val="o"/>
      <w:numFmt w:val="bullet"/>
      <w:start w:val="1"/>
    </w:lvl>
  </w:abstractNum>
  <w:abstractNum w:abstractNumId="2">
    <w:nsid w:val="1D91467C"/>
    <w:multiLevelType w:val="hybridMultilevel"/>
    <w:lvl w:ilvl="0">
      <w:lvlJc w:val="left"/>
      <w:lvlText w:val="%1."/>
      <w:numFmt w:val="decimal"/>
      <w:start w:val="1"/>
    </w:lvl>
  </w:abstractNum>
  <w:abstractNum w:abstractNumId="3">
    <w:nsid w:val="316032BB"/>
    <w:multiLevelType w:val="hybridMultilevel"/>
    <w:lvl w:ilvl="0">
      <w:lvlJc w:val="left"/>
      <w:lvlText w:val="%1."/>
      <w:numFmt w:val="decimal"/>
      <w:start w:val="2"/>
    </w:lvl>
  </w:abstractNum>
  <w:abstractNum w:abstractNumId="4">
    <w:nsid w:val="44344C22"/>
    <w:multiLevelType w:val="hybridMultilevel"/>
    <w:lvl w:ilvl="0">
      <w:lvlJc w:val="left"/>
      <w:lvlText w:val="%1)"/>
      <w:numFmt w:val="lowerLetter"/>
      <w:start w:val="1"/>
    </w:lvl>
  </w:abstractNum>
  <w:abstractNum w:abstractNumId="5">
    <w:nsid w:val="13CDFCFC"/>
    <w:multiLevelType w:val="hybridMultilevel"/>
    <w:lvl w:ilvl="0">
      <w:lvlJc w:val="left"/>
      <w:lvlText w:val="%1)"/>
      <w:numFmt w:val="lowerLetter"/>
      <w:start w:val="1"/>
    </w:lvl>
  </w:abstractNum>
  <w:abstractNum w:abstractNumId="6">
    <w:nsid w:val="471745E4"/>
    <w:multiLevelType w:val="hybridMultilevel"/>
    <w:lvl w:ilvl="0">
      <w:lvlJc w:val="left"/>
      <w:lvlText w:val="%1)"/>
      <w:numFmt w:val="lowerLetter"/>
      <w:start w:val="2"/>
    </w:lvl>
  </w:abstractNum>
  <w:abstractNum w:abstractNumId="7">
    <w:nsid w:val="1DDBC66"/>
    <w:multiLevelType w:val="hybridMultilevel"/>
    <w:lvl w:ilvl="0">
      <w:lvlJc w:val="left"/>
      <w:lvlText w:val="%1)"/>
      <w:numFmt w:val="lowerLetter"/>
      <w:start w:val="1"/>
    </w:lvl>
  </w:abstractNum>
  <w:abstractNum w:abstractNumId="8">
    <w:nsid w:val="30AADFDA"/>
    <w:multiLevelType w:val="hybridMultilevel"/>
    <w:lvl w:ilvl="0">
      <w:lvlJc w:val="left"/>
      <w:lvlText w:val="%1)"/>
      <w:numFmt w:val="lowerLetter"/>
      <w:start w:val="1"/>
    </w:lvl>
  </w:abstractNum>
  <w:abstractNum w:abstractNumId="9">
    <w:nsid w:val="30EADA61"/>
    <w:multiLevelType w:val="hybridMultilevel"/>
    <w:lvl w:ilvl="0">
      <w:lvlJc w:val="left"/>
      <w:lvlText w:val="%1."/>
      <w:numFmt w:val="decimal"/>
      <w:start w:val="4"/>
    </w:lvl>
  </w:abstractNum>
  <w:abstractNum w:abstractNumId="10">
    <w:nsid w:val="27179C0B"/>
    <w:multiLevelType w:val="hybridMultilevel"/>
    <w:lvl w:ilvl="0">
      <w:lvlJc w:val="left"/>
      <w:lvlText w:val="%1."/>
      <w:numFmt w:val="decimal"/>
      <w:start w:val="5"/>
    </w:lvl>
  </w:abstractNum>
  <w:abstractNum w:abstractNumId="11">
    <w:nsid w:val="5E636063"/>
    <w:multiLevelType w:val="hybridMultilevel"/>
    <w:lvl w:ilvl="0">
      <w:lvlJc w:val="left"/>
      <w:lvlText w:val="%1."/>
      <w:numFmt w:val="decimal"/>
      <w:start w:val="6"/>
    </w:lvl>
  </w:abstractNum>
  <w:abstractNum w:abstractNumId="12">
    <w:nsid w:val="215641AF"/>
    <w:multiLevelType w:val="hybridMultilevel"/>
    <w:lvl w:ilvl="0">
      <w:lvlJc w:val="left"/>
      <w:lvlText w:val="%1."/>
      <w:numFmt w:val="decimal"/>
      <w:start w:val="7"/>
    </w:lvl>
  </w:abstractNum>
  <w:abstractNum w:abstractNumId="13">
    <w:nsid w:val="53280662"/>
    <w:multiLevelType w:val="hybridMultilevel"/>
    <w:lvl w:ilvl="0">
      <w:lvlJc w:val="left"/>
      <w:lvlText w:val="%1)"/>
      <w:numFmt w:val="lowerLetter"/>
      <w:start w:val="1"/>
    </w:lvl>
  </w:abstractNum>
  <w:abstractNum w:abstractNumId="14">
    <w:nsid w:val="46B24DBC"/>
    <w:multiLevelType w:val="hybridMultilevel"/>
    <w:lvl w:ilvl="0">
      <w:lvlJc w:val="left"/>
      <w:lvlText w:val="%1."/>
      <w:numFmt w:val="decimal"/>
      <w:start w:val="8"/>
    </w:lvl>
  </w:abstractNum>
  <w:abstractNum w:abstractNumId="15">
    <w:nsid w:val="75B52783"/>
    <w:multiLevelType w:val="hybridMultilevel"/>
    <w:lvl w:ilvl="0">
      <w:lvlJc w:val="left"/>
      <w:lvlText w:val="•"/>
      <w:numFmt w:val="bullet"/>
      <w:start w:val="1"/>
    </w:lvl>
  </w:abstractNum>
  <w:abstractNum w:abstractNumId="16">
    <w:nsid w:val="57CE66B4"/>
    <w:multiLevelType w:val="hybridMultilevel"/>
    <w:lvl w:ilvl="0">
      <w:lvlJc w:val="left"/>
      <w:lvlText w:val="•"/>
      <w:numFmt w:val="bullet"/>
      <w:start w:val="1"/>
    </w:lvl>
  </w:abstractNum>
  <w:abstractNum w:abstractNumId="17">
    <w:nsid w:val="67A70B69"/>
    <w:multiLevelType w:val="hybridMultilevel"/>
    <w:lvl w:ilvl="0">
      <w:lvlJc w:val="left"/>
      <w:lvlText w:val="(%1)"/>
      <w:numFmt w:val="lowerRoman"/>
      <w:start w:val="2"/>
    </w:lvl>
  </w:abstractNum>
  <w:abstractNum w:abstractNumId="18">
    <w:nsid w:val="5953172F"/>
    <w:multiLevelType w:val="hybridMultilevel"/>
    <w:lvl w:ilvl="0">
      <w:lvlJc w:val="left"/>
      <w:lvlText w:val="%1."/>
      <w:numFmt w:val="decimal"/>
      <w:start w:val="9"/>
    </w:lvl>
  </w:abstractNum>
  <w:abstractNum w:abstractNumId="19">
    <w:nsid w:val="27EDFE3A"/>
    <w:multiLevelType w:val="hybridMultilevel"/>
    <w:lvl w:ilvl="0">
      <w:lvlJc w:val="left"/>
      <w:lvlText w:val="%1."/>
      <w:numFmt w:val="decimal"/>
      <w:start w:val="10"/>
    </w:lvl>
  </w:abstractNum>
  <w:abstractNum w:abstractNumId="20">
    <w:nsid w:val="52AC7DFF"/>
    <w:multiLevelType w:val="hybridMultilevel"/>
    <w:lvl w:ilvl="0">
      <w:lvlJc w:val="left"/>
      <w:lvlText w:val="%1."/>
      <w:numFmt w:val="decimal"/>
      <w:start w:val="11"/>
    </w:lvl>
  </w:abstractNum>
  <w:abstractNum w:abstractNumId="21">
    <w:nsid w:val="C4C3AF"/>
    <w:multiLevelType w:val="hybridMultilevel"/>
    <w:lvl w:ilvl="0">
      <w:lvlJc w:val="left"/>
      <w:lvlText w:val="%1)"/>
      <w:numFmt w:val="lowerLetter"/>
      <w:start w:val="1"/>
    </w:lvl>
  </w:abstractNum>
  <w:abstractNum w:abstractNumId="22">
    <w:nsid w:val="44380727"/>
    <w:multiLevelType w:val="hybridMultilevel"/>
    <w:lvl w:ilvl="0">
      <w:lvlJc w:val="left"/>
      <w:lvlText w:val="%1"/>
      <w:numFmt w:val="decimal"/>
      <w:start w:val="1"/>
    </w:lvl>
    <w:lvl w:ilvl="1">
      <w:lvlJc w:val="left"/>
      <w:lvlText w:val="%2)"/>
      <w:numFmt w:val="lowerLetter"/>
      <w:start w:val="1"/>
    </w:lvl>
  </w:abstractNum>
  <w:abstractNum w:abstractNumId="23">
    <w:nsid w:val="6C053B16"/>
    <w:multiLevelType w:val="hybridMultilevel"/>
    <w:lvl w:ilvl="0">
      <w:lvlJc w:val="left"/>
      <w:lvlText w:val="%1."/>
      <w:numFmt w:val="decimal"/>
      <w:start w:val="12"/>
    </w:lvl>
    <w:lvl w:ilvl="1">
      <w:lvlJc w:val="left"/>
      <w:lvlText w:val="%2"/>
      <w:numFmt w:val="lowerLetter"/>
      <w:start w:val="1"/>
    </w:lvl>
  </w:abstractNum>
  <w:abstractNum w:abstractNumId="24">
    <w:nsid w:val="4F294393"/>
    <w:multiLevelType w:val="hybridMultilevel"/>
    <w:lvl w:ilvl="0">
      <w:lvlJc w:val="left"/>
      <w:lvlText w:val="%1."/>
      <w:numFmt w:val="decimal"/>
      <w:start w:val="13"/>
    </w:lvl>
  </w:abstractNum>
  <w:abstractNum w:abstractNumId="25">
    <w:nsid w:val="5243BFAC"/>
    <w:multiLevelType w:val="hybridMultilevel"/>
    <w:lvl w:ilvl="0">
      <w:lvlJc w:val="left"/>
      <w:lvlText w:val="%1."/>
      <w:numFmt w:val="decimal"/>
      <w:start w:val="14"/>
    </w:lvl>
  </w:abstractNum>
  <w:abstractNum w:abstractNumId="26">
    <w:nsid w:val="425EB207"/>
    <w:multiLevelType w:val="hybridMultilevel"/>
    <w:lvl w:ilvl="0">
      <w:lvlJc w:val="left"/>
      <w:lvlText w:val="•"/>
      <w:numFmt w:val="bullet"/>
      <w:start w:val="1"/>
    </w:lvl>
  </w:abstractNum>
  <w:abstractNum w:abstractNumId="27">
    <w:nsid w:val="334A6F1F"/>
    <w:multiLevelType w:val="hybridMultilevel"/>
    <w:lvl w:ilvl="0">
      <w:lvlJc w:val="left"/>
      <w:lvlText w:val="%1)"/>
      <w:numFmt w:val="lowerLetter"/>
      <w:start w:val="1"/>
    </w:lvl>
  </w:abstractNum>
  <w:abstractNum w:abstractNumId="28">
    <w:nsid w:val="2E5B12B8"/>
    <w:multiLevelType w:val="hybridMultilevel"/>
    <w:lvl w:ilvl="0">
      <w:lvlJc w:val="left"/>
      <w:lvlText w:val="•"/>
      <w:numFmt w:val="bullet"/>
      <w:start w:val="1"/>
    </w:lvl>
  </w:abstractNum>
  <w:abstractNum w:abstractNumId="29">
    <w:nsid w:val="5C03D76D"/>
    <w:multiLevelType w:val="hybridMultilevel"/>
    <w:lvl w:ilvl="0">
      <w:lvlJc w:val="left"/>
      <w:lvlText w:val="•"/>
      <w:numFmt w:val="bullet"/>
      <w:start w:val="1"/>
    </w:lvl>
  </w:abstractNum>
  <w:abstractNum w:abstractNumId="30">
    <w:nsid w:val="66A48D11"/>
    <w:multiLevelType w:val="hybridMultilevel"/>
    <w:lvl w:ilvl="0">
      <w:lvlJc w:val="left"/>
      <w:lvlText w:val="•"/>
      <w:numFmt w:val="bullet"/>
      <w:start w:val="1"/>
    </w:lvl>
  </w:abstractNum>
  <w:abstractNum w:abstractNumId="31">
    <w:nsid w:val="56C28E34"/>
    <w:multiLevelType w:val="hybridMultilevel"/>
    <w:lvl w:ilvl="0">
      <w:lvlJc w:val="left"/>
      <w:lvlText w:val="(%1)"/>
      <w:numFmt w:val="lowerRoman"/>
      <w:start w:val="3"/>
    </w:lvl>
  </w:abstractNum>
  <w:abstractNum w:abstractNumId="32">
    <w:nsid w:val="13916F2D"/>
    <w:multiLevelType w:val="hybridMultilevel"/>
    <w:lvl w:ilvl="0">
      <w:lvlJc w:val="left"/>
      <w:lvlText w:val="•"/>
      <w:numFmt w:val="bullet"/>
      <w:start w:val="1"/>
    </w:lvl>
  </w:abstractNum>
  <w:abstractNum w:abstractNumId="33">
    <w:nsid w:val="435D38D"/>
    <w:multiLevelType w:val="hybridMultilevel"/>
    <w:lvl w:ilvl="0">
      <w:lvlJc w:val="left"/>
      <w:lvlText w:val="%1)"/>
      <w:numFmt w:val="lowerLetter"/>
      <w:start w:val="1"/>
    </w:lvl>
  </w:abstractNum>
  <w:abstractNum w:abstractNumId="34">
    <w:nsid w:val="822C0EF"/>
    <w:multiLevelType w:val="hybridMultilevel"/>
    <w:lvl w:ilvl="0">
      <w:lvlJc w:val="left"/>
      <w:lvlText w:val="•"/>
      <w:numFmt w:val="bullet"/>
      <w:start w:val="1"/>
    </w:lvl>
  </w:abstractNum>
  <w:abstractNum w:abstractNumId="35">
    <w:nsid w:val="57C5BB4F"/>
    <w:multiLevelType w:val="hybridMultilevel"/>
    <w:lvl w:ilvl="0">
      <w:lvlJc w:val="left"/>
      <w:lvlText w:val="%1)"/>
      <w:numFmt w:val="lowerLetter"/>
      <w:start w:val="1"/>
    </w:lvl>
  </w:abstractNum>
  <w:abstractNum w:abstractNumId="36">
    <w:nsid w:val="1803D089"/>
    <w:multiLevelType w:val="hybridMultilevel"/>
    <w:lvl w:ilvl="0">
      <w:lvlJc w:val="left"/>
      <w:lvlText w:val="(%1)"/>
      <w:numFmt w:val="lowerLetter"/>
      <w:start w:val="1"/>
    </w:lvl>
  </w:abstractNum>
  <w:abstractNum w:abstractNumId="37">
    <w:nsid w:val="4F3A06D4"/>
    <w:multiLevelType w:val="hybridMultilevel"/>
    <w:lvl w:ilvl="0">
      <w:lvlJc w:val="left"/>
      <w:lvlText w:val="(%1)"/>
      <w:numFmt w:val="lowerLetter"/>
      <w:start w:val="2"/>
    </w:lvl>
  </w:abstractNum>
  <w:abstractNum w:abstractNumId="38">
    <w:nsid w:val="59A377B6"/>
    <w:multiLevelType w:val="hybridMultilevel"/>
    <w:lvl w:ilvl="0">
      <w:lvlJc w:val="left"/>
      <w:lvlText w:val="%1."/>
      <w:numFmt w:val="decimal"/>
      <w:start w:val="1"/>
    </w:lvl>
  </w:abstractNum>
  <w:abstractNum w:abstractNumId="39">
    <w:nsid w:val="48AEB063"/>
    <w:multiLevelType w:val="hybridMultilevel"/>
    <w:lvl w:ilvl="0">
      <w:lvlJc w:val="left"/>
      <w:lvlText w:val="%1."/>
      <w:numFmt w:val="decimal"/>
      <w:start w:val="2"/>
    </w:lvl>
  </w:abstractNum>
  <w:abstractNum w:abstractNumId="40">
    <w:nsid w:val="24E135"/>
    <w:multiLevelType w:val="hybridMultilevel"/>
    <w:lvl w:ilvl="0">
      <w:lvlJc w:val="left"/>
      <w:lvlText w:val="(%1)"/>
      <w:numFmt w:val="decimal"/>
      <w:start w:val="2"/>
    </w:lvl>
    <w:lvl w:ilvl="1">
      <w:lvlJc w:val="left"/>
      <w:lvlText w:val="%2."/>
      <w:numFmt w:val="decimal"/>
      <w:start w:val="3"/>
    </w:lvl>
  </w:abstractNum>
  <w:abstractNum w:abstractNumId="41">
    <w:nsid w:val="BB13C1"/>
    <w:multiLevelType w:val="hybridMultilevel"/>
    <w:lvl w:ilvl="0">
      <w:lvlJc w:val="left"/>
      <w:lvlText w:val="(%1)"/>
      <w:numFmt w:val="lowerLetter"/>
      <w:start w:val="1"/>
    </w:lvl>
  </w:abstractNum>
  <w:abstractNum w:abstractNumId="42">
    <w:nsid w:val="271210C7"/>
    <w:multiLevelType w:val="hybridMultilevel"/>
    <w:lvl w:ilvl="0">
      <w:lvlJc w:val="left"/>
      <w:lvlText w:val="%1."/>
      <w:numFmt w:val="decimal"/>
      <w:start w:val="4"/>
    </w:lvl>
  </w:abstractNum>
  <w:abstractNum w:abstractNumId="43">
    <w:nsid w:val="217B22E4"/>
    <w:multiLevelType w:val="hybridMultilevel"/>
    <w:lvl w:ilvl="0">
      <w:lvlJc w:val="left"/>
      <w:lvlText w:val="(%1)"/>
      <w:numFmt w:val="lowerLetter"/>
      <w:start w:val="1"/>
    </w:lvl>
  </w:abstractNum>
  <w:abstractNum w:abstractNumId="44">
    <w:nsid w:val="53E31A24"/>
    <w:multiLevelType w:val="hybridMultilevel"/>
    <w:lvl w:ilvl="0">
      <w:lvlJc w:val="left"/>
      <w:lvlText w:val="(%1)"/>
      <w:numFmt w:val="lowerLetter"/>
      <w:start w:val="5"/>
    </w:lvl>
  </w:abstractNum>
  <w:abstractNum w:abstractNumId="45">
    <w:nsid w:val="6DC45E83"/>
    <w:multiLevelType w:val="hybridMultilevel"/>
    <w:lvl w:ilvl="0">
      <w:lvlJc w:val="left"/>
      <w:lvlText w:val="%1."/>
      <w:numFmt w:val="decimal"/>
      <w:start w:val="5"/>
    </w:lvl>
  </w:abstractNum>
  <w:abstractNum w:abstractNumId="46">
    <w:nsid w:val="17304A67"/>
    <w:multiLevelType w:val="hybridMultilevel"/>
    <w:lvl w:ilvl="0">
      <w:lvlJc w:val="left"/>
      <w:lvlText w:val="(%1)"/>
      <w:numFmt w:val="lowerLetter"/>
      <w:start w:val="1"/>
    </w:lvl>
    <w:lvl w:ilvl="1">
      <w:lvlJc w:val="left"/>
      <w:lvlText w:val="(%2)"/>
      <w:numFmt w:val="lowerRoman"/>
      <w:start w:val="1"/>
    </w:lvl>
  </w:abstractNum>
  <w:abstractNum w:abstractNumId="47">
    <w:nsid w:val="2BB180D8"/>
    <w:multiLevelType w:val="hybridMultilevel"/>
    <w:lvl w:ilvl="0">
      <w:lvlJc w:val="left"/>
      <w:lvlText w:val="(%1)"/>
      <w:numFmt w:val="lowerLetter"/>
      <w:start w:val="4"/>
    </w:lvl>
    <w:lvl w:ilvl="1">
      <w:lvlJc w:val="left"/>
      <w:lvlText w:val="(%2)"/>
      <w:numFmt w:val="lowerLetter"/>
      <w:start w:val="9"/>
    </w:lvl>
  </w:abstractNum>
  <w:abstractNum w:abstractNumId="48">
    <w:nsid w:val="556B69ED"/>
    <w:multiLevelType w:val="hybridMultilevel"/>
    <w:lvl w:ilvl="0">
      <w:lvlJc w:val="left"/>
      <w:lvlText w:val="%1"/>
      <w:numFmt w:val="lowerLetter"/>
      <w:start w:val="1"/>
    </w:lvl>
    <w:lvl w:ilvl="1">
      <w:lvlJc w:val="left"/>
      <w:lvlText w:val="(%2)"/>
      <w:numFmt w:val="lowerLetter"/>
      <w:start w:val="35"/>
    </w:lvl>
  </w:abstractNum>
  <w:abstractNum w:abstractNumId="49">
    <w:nsid w:val="70836196"/>
    <w:multiLevelType w:val="hybridMultilevel"/>
    <w:lvl w:ilvl="0">
      <w:lvlJc w:val="left"/>
      <w:lvlText w:val="(%1)"/>
      <w:numFmt w:val="lowerLetter"/>
      <w:start w:val="5"/>
    </w:lvl>
    <w:lvl w:ilvl="1">
      <w:lvlJc w:val="left"/>
      <w:lvlText w:val="%2"/>
      <w:numFmt w:val="lowerLetter"/>
      <w:start w:val="1"/>
    </w:lvl>
  </w:abstractNum>
  <w:abstractNum w:abstractNumId="50">
    <w:nsid w:val="539F7F12"/>
    <w:multiLevelType w:val="hybridMultilevel"/>
    <w:lvl w:ilvl="0">
      <w:lvlJc w:val="left"/>
      <w:lvlText w:val="(%1)"/>
      <w:numFmt w:val="lowerLetter"/>
      <w:start w:val="6"/>
    </w:lvl>
  </w:abstractNum>
  <w:abstractNum w:abstractNumId="51">
    <w:nsid w:val="2817E7EC"/>
    <w:multiLevelType w:val="hybridMultilevel"/>
    <w:lvl w:ilvl="0">
      <w:lvlJc w:val="left"/>
      <w:lvlText w:val="%1."/>
      <w:numFmt w:val="decimal"/>
      <w:start w:val="6"/>
    </w:lvl>
  </w:abstractNum>
  <w:abstractNum w:abstractNumId="52">
    <w:nsid w:val="71482545"/>
    <w:multiLevelType w:val="hybridMultilevel"/>
    <w:lvl w:ilvl="0">
      <w:lvlJc w:val="left"/>
      <w:lvlText w:val="(%1)"/>
      <w:numFmt w:val="lowerLetter"/>
      <w:start w:val="1"/>
    </w:lvl>
    <w:lvl w:ilvl="1">
      <w:lvlJc w:val="left"/>
      <w:lvlText w:val="(%2)"/>
      <w:numFmt w:val="lowerRoman"/>
      <w:start w:val="1"/>
    </w:lvl>
  </w:abstractNum>
  <w:abstractNum w:abstractNumId="53">
    <w:nsid w:val="17D78639"/>
    <w:multiLevelType w:val="hybridMultilevel"/>
    <w:lvl w:ilvl="0">
      <w:lvlJc w:val="left"/>
      <w:lvlText w:val="%1"/>
      <w:numFmt w:val="lowerLetter"/>
      <w:start w:val="1"/>
    </w:lvl>
    <w:lvl w:ilvl="1">
      <w:lvlJc w:val="left"/>
      <w:lvlText w:val="(%2)"/>
      <w:numFmt w:val="lowerRoman"/>
      <w:start w:val="2"/>
    </w:lvl>
  </w:abstractNum>
  <w:abstractNum w:abstractNumId="54">
    <w:nsid w:val="141D2302"/>
    <w:multiLevelType w:val="hybridMultilevel"/>
    <w:lvl w:ilvl="0">
      <w:lvlJc w:val="left"/>
      <w:lvlText w:val="(%1)"/>
      <w:numFmt w:val="lowerLetter"/>
      <w:start w:val="3"/>
    </w:lvl>
    <w:lvl w:ilvl="1">
      <w:lvlJc w:val="left"/>
      <w:lvlText w:val="(%2)"/>
      <w:numFmt w:val="lowerRoman"/>
      <w:start w:val="1"/>
    </w:lvl>
  </w:abstractNum>
  <w:abstractNum w:abstractNumId="55">
    <w:nsid w:val="407168D8"/>
    <w:multiLevelType w:val="hybridMultilevel"/>
    <w:lvl w:ilvl="0">
      <w:lvlJc w:val="left"/>
      <w:lvlText w:val="(%1)"/>
      <w:numFmt w:val="lowerLetter"/>
      <w:start w:val="4"/>
    </w:lvl>
    <w:lvl w:ilvl="1">
      <w:lvlJc w:val="left"/>
      <w:lvlText w:val="(%2)"/>
      <w:numFmt w:val="lowerRoman"/>
      <w:start w:val="1"/>
    </w:lvl>
  </w:abstractNum>
  <w:abstractNum w:abstractNumId="56">
    <w:nsid w:val="6A1B45E5"/>
    <w:multiLevelType w:val="hybridMultilevel"/>
    <w:lvl w:ilvl="0">
      <w:lvlJc w:val="left"/>
      <w:lvlText w:val="%1"/>
      <w:numFmt w:val="lowerLetter"/>
      <w:start w:val="1"/>
    </w:lvl>
    <w:lvl w:ilvl="1">
      <w:lvlJc w:val="left"/>
      <w:lvlText w:val="(%2)"/>
      <w:numFmt w:val="lowerLetter"/>
      <w:start w:val="22"/>
    </w:lvl>
  </w:abstractNum>
  <w:abstractNum w:abstractNumId="57">
    <w:nsid w:val="567BD50A"/>
    <w:multiLevelType w:val="hybridMultilevel"/>
    <w:lvl w:ilvl="0">
      <w:lvlJc w:val="left"/>
      <w:lvlText w:val="(%1)"/>
      <w:numFmt w:val="lowerLetter"/>
      <w:start w:val="6"/>
    </w:lvl>
    <w:lvl w:ilvl="1">
      <w:lvlJc w:val="left"/>
      <w:lvlText w:val="%2"/>
      <w:numFmt w:val="lowerLetter"/>
      <w:start w:val="1"/>
    </w:lvl>
  </w:abstractNum>
  <w:abstractNum w:abstractNumId="58">
    <w:nsid w:val="73BBD7F8"/>
    <w:multiLevelType w:val="hybridMultilevel"/>
    <w:lvl w:ilvl="0">
      <w:lvlJc w:val="left"/>
      <w:lvlText w:val="%1."/>
      <w:numFmt w:val="decimal"/>
      <w:start w:val="7"/>
    </w:lvl>
  </w:abstractNum>
  <w:abstractNum w:abstractNumId="59">
    <w:nsid w:val="1876589D"/>
    <w:multiLevelType w:val="hybridMultilevel"/>
    <w:lvl w:ilvl="0">
      <w:lvlJc w:val="left"/>
      <w:lvlText w:val="(%1)"/>
      <w:numFmt w:val="lowerLetter"/>
      <w:start w:val="1"/>
    </w:lvl>
  </w:abstractNum>
  <w:abstractNum w:abstractNumId="60">
    <w:nsid w:val="327FAC77"/>
    <w:multiLevelType w:val="hybridMultilevel"/>
    <w:lvl w:ilvl="0">
      <w:lvlJc w:val="left"/>
      <w:lvlText w:val="%1"/>
      <w:numFmt w:val="lowerLetter"/>
      <w:start w:val="1"/>
    </w:lvl>
    <w:lvl w:ilvl="1">
      <w:lvlJc w:val="left"/>
      <w:lvlText w:val="(%2)"/>
      <w:numFmt w:val="lowerRoman"/>
      <w:start w:val="1"/>
    </w:lvl>
  </w:abstractNum>
  <w:abstractNum w:abstractNumId="61">
    <w:nsid w:val="5A606509"/>
    <w:multiLevelType w:val="hybridMultilevel"/>
    <w:lvl w:ilvl="0">
      <w:lvlJc w:val="left"/>
      <w:lvlText w:val="(%1)"/>
      <w:numFmt w:val="lowerLetter"/>
      <w:start w:val="2"/>
    </w:lvl>
    <w:lvl w:ilvl="1">
      <w:lvlJc w:val="left"/>
      <w:lvlText w:val="(%2)"/>
      <w:numFmt w:val="lowerRoman"/>
      <w:start w:val="1"/>
    </w:lvl>
  </w:abstractNum>
  <w:abstractNum w:abstractNumId="62">
    <w:nsid w:val="6F38E6D1"/>
    <w:multiLevelType w:val="hybridMultilevel"/>
    <w:lvl w:ilvl="0">
      <w:lvlJc w:val="left"/>
      <w:lvlText w:val="(%1)"/>
      <w:numFmt w:val="lowerRoman"/>
      <w:start w:val="3"/>
    </w:lvl>
  </w:abstractNum>
  <w:abstractNum w:abstractNumId="63">
    <w:nsid w:val="46111BA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2"/>
    </w:lvl>
  </w:abstractNum>
  <w:abstractNum w:abstractNumId="64">
    <w:nsid w:val="5E96389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5">
    <w:nsid w:val="775BA7C1"/>
    <w:multiLevelType w:val="hybridMultilevel"/>
    <w:lvl w:ilvl="0">
      <w:lvlJc w:val="left"/>
      <w:lvlText w:val="(%1)"/>
      <w:numFmt w:val="lowerRoman"/>
      <w:start w:val="2"/>
    </w:lvl>
  </w:abstractNum>
  <w:abstractNum w:abstractNumId="66">
    <w:nsid w:val="1DD6D6F4"/>
    <w:multiLevelType w:val="hybridMultilevel"/>
    <w:lvl w:ilvl="0">
      <w:lvlJc w:val="left"/>
      <w:lvlText w:val="(%1)"/>
      <w:numFmt w:val="lowerRoman"/>
      <w:start w:val="1"/>
    </w:lvl>
  </w:abstractNum>
  <w:abstractNum w:abstractNumId="67">
    <w:nsid w:val="769A091F"/>
    <w:multiLevelType w:val="hybridMultilevel"/>
    <w:lvl w:ilvl="0">
      <w:lvlJc w:val="left"/>
      <w:lvlText w:val="%1."/>
      <w:numFmt w:val="decimal"/>
      <w:start w:val="8"/>
    </w:lvl>
  </w:abstractNum>
  <w:abstractNum w:abstractNumId="68">
    <w:nsid w:val="4695AE95"/>
    <w:multiLevelType w:val="hybridMultilevel"/>
    <w:lvl w:ilvl="0">
      <w:lvlJc w:val="left"/>
      <w:lvlText w:val="(%1)"/>
      <w:numFmt w:val="lowerLetter"/>
      <w:start w:val="1"/>
    </w:lvl>
  </w:abstractNum>
  <w:abstractNum w:abstractNumId="69">
    <w:nsid w:val="777A4EAA"/>
    <w:multiLevelType w:val="hybridMultilevel"/>
    <w:lvl w:ilvl="0">
      <w:lvlJc w:val="left"/>
      <w:lvlText w:val="(%1)"/>
      <w:numFmt w:val="lowerLetter"/>
      <w:start w:val="4"/>
    </w:lvl>
  </w:abstractNum>
  <w:abstractNum w:abstractNumId="70">
    <w:nsid w:val="3F48B982"/>
    <w:multiLevelType w:val="hybridMultilevel"/>
    <w:lvl w:ilvl="0">
      <w:lvlJc w:val="left"/>
      <w:lvlText w:val="%1"/>
      <w:numFmt w:val="lowerLetter"/>
      <w:start w:val="1"/>
    </w:lvl>
    <w:lvl w:ilvl="1">
      <w:lvlJc w:val="left"/>
      <w:lvlText w:val="(%2)"/>
      <w:numFmt w:val="lowerLetter"/>
      <w:start w:val="5"/>
    </w:lvl>
  </w:abstractNum>
  <w:abstractNum w:abstractNumId="71">
    <w:nsid w:val="46BA8FCA"/>
    <w:multiLevelType w:val="hybridMultilevel"/>
    <w:lvl w:ilvl="0">
      <w:lvlJc w:val="left"/>
      <w:lvlText w:val="(%1)"/>
      <w:numFmt w:val="lowerLetter"/>
      <w:start w:val="9"/>
    </w:lvl>
    <w:lvl w:ilvl="1">
      <w:lvlJc w:val="left"/>
      <w:lvlText w:val="%2"/>
      <w:numFmt w:val="lowerLetter"/>
      <w:start w:val="1"/>
    </w:lvl>
  </w:abstractNum>
  <w:abstractNum w:abstractNumId="72">
    <w:nsid w:val="7835626C"/>
    <w:multiLevelType w:val="hybridMultilevel"/>
    <w:lvl w:ilvl="0">
      <w:lvlJc w:val="left"/>
      <w:lvlText w:val="(%1)"/>
      <w:numFmt w:val="lowerLetter"/>
      <w:start w:val="6"/>
    </w:lvl>
  </w:abstractNum>
  <w:abstractNum w:abstractNumId="73">
    <w:nsid w:val="665ACA49"/>
    <w:multiLevelType w:val="hybridMultilevel"/>
    <w:lvl w:ilvl="0">
      <w:lvlJc w:val="left"/>
      <w:lvlText w:val="%1."/>
      <w:numFmt w:val="decimal"/>
      <w:start w:val="9"/>
    </w:lvl>
  </w:abstractNum>
  <w:abstractNum w:abstractNumId="74">
    <w:nsid w:val="6835B2AE"/>
    <w:multiLevelType w:val="hybridMultilevel"/>
    <w:lvl w:ilvl="0">
      <w:lvlJc w:val="left"/>
      <w:lvlText w:val="(%1)"/>
      <w:numFmt w:val="lowerLetter"/>
      <w:start w:val="1"/>
    </w:lvl>
  </w:abstractNum>
  <w:abstractNum w:abstractNumId="75">
    <w:nsid w:val="4C187C90"/>
    <w:multiLevelType w:val="hybridMultilevel"/>
    <w:lvl w:ilvl="0">
      <w:lvlJc w:val="left"/>
      <w:lvlText w:val="%1."/>
      <w:numFmt w:val="decimal"/>
      <w:start w:val="10"/>
    </w:lvl>
  </w:abstractNum>
  <w:abstractNum w:abstractNumId="76">
    <w:nsid w:val="541F28CD"/>
    <w:multiLevelType w:val="hybridMultilevel"/>
    <w:lvl w:ilvl="0">
      <w:lvlJc w:val="left"/>
      <w:lvlText w:val="%1."/>
      <w:numFmt w:val="decimal"/>
      <w:start w:val="11"/>
    </w:lvl>
  </w:abstractNum>
  <w:abstractNum w:abstractNumId="77">
    <w:nsid w:val="7F65FD16"/>
    <w:multiLevelType w:val="hybridMultilevel"/>
    <w:lvl w:ilvl="0">
      <w:lvlJc w:val="left"/>
      <w:lvlText w:val="%1."/>
      <w:numFmt w:val="decimal"/>
      <w:start w:val="12"/>
    </w:lvl>
  </w:abstractNum>
  <w:abstractNum w:abstractNumId="78">
    <w:nsid w:val="77C9FD68"/>
    <w:multiLevelType w:val="hybridMultilevel"/>
    <w:lvl w:ilvl="0">
      <w:lvlJc w:val="left"/>
      <w:lvlText w:val="%1."/>
      <w:numFmt w:val="decimal"/>
      <w:start w:val="13"/>
    </w:lvl>
  </w:abstractNum>
  <w:abstractNum w:abstractNumId="79">
    <w:nsid w:val="298A92BA"/>
    <w:multiLevelType w:val="hybridMultilevel"/>
    <w:lvl w:ilvl="0">
      <w:lvlJc w:val="left"/>
      <w:lvlText w:val="%1."/>
      <w:numFmt w:val="decimal"/>
      <w:start w:val="14"/>
    </w:lvl>
  </w:abstractNum>
  <w:abstractNum w:abstractNumId="80">
    <w:nsid w:val="6FE95EAC"/>
    <w:multiLevelType w:val="hybridMultilevel"/>
    <w:lvl w:ilvl="0">
      <w:lvlJc w:val="left"/>
      <w:lvlText w:val="%1."/>
      <w:numFmt w:val="decimal"/>
      <w:start w:val="15"/>
    </w:lvl>
  </w:abstractNum>
  <w:abstractNum w:abstractNumId="81">
    <w:nsid w:val="4B697C7A"/>
    <w:multiLevelType w:val="hybridMultilevel"/>
    <w:lvl w:ilvl="0">
      <w:lvlJc w:val="left"/>
      <w:lvlText w:val="%1."/>
      <w:numFmt w:val="decimal"/>
      <w:start w:val="16"/>
    </w:lvl>
  </w:abstractNum>
  <w:abstractNum w:abstractNumId="82">
    <w:nsid w:val="51A27AA6"/>
    <w:multiLevelType w:val="hybridMultilevel"/>
    <w:lvl w:ilvl="0">
      <w:lvlJc w:val="left"/>
      <w:lvlText w:val="%1."/>
      <w:numFmt w:val="decimal"/>
      <w:start w:val="17"/>
    </w:lvl>
  </w:abstractNum>
  <w:abstractNum w:abstractNumId="83">
    <w:nsid w:val="613183F2"/>
    <w:multiLevelType w:val="hybridMultilevel"/>
    <w:lvl w:ilvl="0">
      <w:lvlJc w:val="left"/>
      <w:lvlText w:val="%1."/>
      <w:numFmt w:val="decimal"/>
      <w:start w:val="18"/>
    </w:lvl>
  </w:abstractNum>
  <w:abstractNum w:abstractNumId="84">
    <w:nsid w:val="634102B4"/>
    <w:multiLevelType w:val="hybridMultilevel"/>
    <w:lvl w:ilvl="0">
      <w:lvlJc w:val="left"/>
      <w:lvlText w:val="%1."/>
      <w:numFmt w:val="decimal"/>
      <w:start w:val="19"/>
    </w:lvl>
  </w:abstractNum>
  <w:abstractNum w:abstractNumId="85">
    <w:nsid w:val="65BF9DA8"/>
    <w:multiLevelType w:val="hybridMultilevel"/>
    <w:lvl w:ilvl="0">
      <w:lvlJc w:val="left"/>
      <w:lvlText w:val="(%1)"/>
      <w:numFmt w:val="lowerLetter"/>
      <w:start w:val="1"/>
    </w:lvl>
  </w:abstractNum>
  <w:abstractNum w:abstractNumId="86">
    <w:nsid w:val="21A2ECCA"/>
    <w:multiLevelType w:val="hybridMultilevel"/>
    <w:lvl w:ilvl="0">
      <w:lvlJc w:val="left"/>
      <w:lvlText w:val="A"/>
      <w:numFmt w:val="bullet"/>
      <w:start w:val="1"/>
    </w:lvl>
  </w:abstractNum>
  <w:abstractNum w:abstractNumId="87">
    <w:nsid w:val="4D5C4899"/>
    <w:multiLevelType w:val="hybridMultilevel"/>
    <w:lvl w:ilvl="0">
      <w:lvlJc w:val="left"/>
      <w:lvlText w:val="A"/>
      <w:numFmt w:val="bullet"/>
      <w:start w:val="1"/>
    </w:lvl>
  </w:abstractNum>
  <w:abstractNum w:abstractNumId="88">
    <w:nsid w:val="3C3B72B2"/>
    <w:multiLevelType w:val="hybridMultilevel"/>
    <w:lvl w:ilvl="0">
      <w:lvlJc w:val="left"/>
      <w:lvlText w:val="B"/>
      <w:numFmt w:val="bullet"/>
      <w:start w:val="1"/>
    </w:lvl>
  </w:abstractNum>
  <w:abstractNum w:abstractNumId="89">
    <w:nsid w:val="155EC4C2"/>
    <w:multiLevelType w:val="hybridMultilevel"/>
    <w:lvl w:ilvl="0">
      <w:lvlJc w:val="left"/>
      <w:lvlText w:val="D"/>
      <w:numFmt w:val="bullet"/>
      <w:start w:val="1"/>
    </w:lvl>
  </w:abstractNum>
  <w:abstractNum w:abstractNumId="90">
    <w:nsid w:val="65D2A137"/>
    <w:multiLevelType w:val="hybridMultilevel"/>
    <w:lvl w:ilvl="0">
      <w:lvlJc w:val="left"/>
      <w:lvlText w:val="E"/>
      <w:numFmt w:val="bullet"/>
      <w:start w:val="1"/>
    </w:lvl>
  </w:abstractNum>
  <w:abstractNum w:abstractNumId="91">
    <w:nsid w:val="6EBB1F2A"/>
    <w:multiLevelType w:val="hybridMultilevel"/>
    <w:lvl w:ilvl="0">
      <w:lvlJc w:val="left"/>
      <w:lvlText w:val="F"/>
      <w:numFmt w:val="bullet"/>
      <w:start w:val="1"/>
    </w:lvl>
  </w:abstractNum>
  <w:abstractNum w:abstractNumId="92">
    <w:nsid w:val="6FBF29CB"/>
    <w:multiLevelType w:val="hybridMultilevel"/>
    <w:lvl w:ilvl="0">
      <w:lvlJc w:val="left"/>
      <w:lvlText w:val="G"/>
      <w:numFmt w:val="bullet"/>
      <w:start w:val="1"/>
    </w:lvl>
  </w:abstractNum>
  <w:abstractNum w:abstractNumId="93">
    <w:nsid w:val="550B8808"/>
    <w:multiLevelType w:val="hybridMultilevel"/>
    <w:lvl w:ilvl="0">
      <w:lvlJc w:val="left"/>
      <w:lvlText w:val="H"/>
      <w:numFmt w:val="bullet"/>
      <w:start w:val="1"/>
    </w:lvl>
  </w:abstractNum>
  <w:abstractNum w:abstractNumId="94">
    <w:nsid w:val="34CC3ACF"/>
    <w:multiLevelType w:val="hybridMultilevel"/>
    <w:lvl w:ilvl="0">
      <w:lvlJc w:val="left"/>
      <w:lvlText w:val="(%1)"/>
      <w:numFmt w:val="lowerRoman"/>
      <w:start w:val="1"/>
    </w:lvl>
  </w:abstractNum>
  <w:abstractNum w:abstractNumId="95">
    <w:nsid w:val="4E556261"/>
    <w:multiLevelType w:val="hybridMultilevel"/>
    <w:lvl w:ilvl="0">
      <w:lvlJc w:val="left"/>
      <w:lvlText w:val="(%1)"/>
      <w:numFmt w:val="lowerRoman"/>
      <w:start w:val="1"/>
    </w:lvl>
  </w:abstractNum>
  <w:abstractNum w:abstractNumId="96">
    <w:nsid w:val="4C672FC9"/>
    <w:multiLevelType w:val="hybridMultilevel"/>
    <w:lvl w:ilvl="0">
      <w:lvlJc w:val="left"/>
      <w:lvlText w:val="(%1)"/>
      <w:numFmt w:val="lowerRoman"/>
      <w:start w:val="1"/>
    </w:lvl>
  </w:abstractNum>
  <w:abstractNum w:abstractNumId="97">
    <w:nsid w:val="52A311C3"/>
    <w:multiLevelType w:val="hybridMultilevel"/>
    <w:lvl w:ilvl="0">
      <w:lvlJc w:val="left"/>
      <w:lvlText w:val="(%1)"/>
      <w:numFmt w:val="lowerRoman"/>
      <w:start w:val="2"/>
    </w:lvl>
  </w:abstractNum>
  <w:abstractNum w:abstractNumId="98">
    <w:nsid w:val="44EF6B80"/>
    <w:multiLevelType w:val="hybridMultilevel"/>
    <w:lvl w:ilvl="0">
      <w:lvlJc w:val="left"/>
      <w:lvlText w:val="(%1)"/>
      <w:numFmt w:val="lowerLetter"/>
      <w:start w:val="1"/>
    </w:lvl>
  </w:abstractNum>
  <w:abstractNum w:abstractNumId="99">
    <w:nsid w:val="12FCDE5E"/>
    <w:multiLevelType w:val="hybridMultilevel"/>
    <w:lvl w:ilvl="0">
      <w:lvlJc w:val="left"/>
      <w:lvlText w:val="(%1)"/>
      <w:numFmt w:val="lowerLetter"/>
      <w:start w:val="1"/>
    </w:lvl>
    <w:lvl w:ilvl="1">
      <w:lvlJc w:val="left"/>
      <w:lvlText w:val="(%2)"/>
      <w:numFmt w:val="lowerRoman"/>
      <w:start w:val="2"/>
    </w:lvl>
  </w:abstractNum>
  <w:abstractNum w:abstractNumId="100">
    <w:nsid w:val="4A1D606E"/>
    <w:multiLevelType w:val="hybridMultilevel"/>
    <w:lvl w:ilvl="0">
      <w:lvlJc w:val="left"/>
      <w:lvlText w:val="(%1)"/>
      <w:numFmt w:val="lowerLetter"/>
      <w:start w:val="2"/>
    </w:lvl>
  </w:abstractNum>
  <w:abstractNum w:abstractNumId="101">
    <w:nsid w:val="4382503"/>
    <w:multiLevelType w:val="hybridMultilevel"/>
    <w:lvl w:ilvl="0">
      <w:lvlJc w:val="left"/>
      <w:lvlText w:val="(%1)"/>
      <w:numFmt w:val="lowerLetter"/>
      <w:start w:val="1"/>
    </w:lvl>
    <w:lvl w:ilvl="1">
      <w:lvlJc w:val="left"/>
      <w:lvlText w:val="(%2)"/>
      <w:numFmt w:val="lowerLetter"/>
      <w:start w:val="9"/>
    </w:lvl>
  </w:abstractNum>
  <w:abstractNum w:abstractNumId="102">
    <w:nsid w:val="59B76E28"/>
    <w:multiLevelType w:val="hybridMultilevel"/>
    <w:lvl w:ilvl="0">
      <w:lvlJc w:val="left"/>
      <w:lvlText w:val="(%1)"/>
      <w:numFmt w:val="upperLetter"/>
      <w:start w:val="1"/>
    </w:lvl>
  </w:abstractNum>
  <w:abstractNum w:abstractNumId="103">
    <w:nsid w:val="4252C2DA"/>
    <w:multiLevelType w:val="hybridMultilevel"/>
    <w:lvl w:ilvl="0">
      <w:lvlJc w:val="left"/>
      <w:lvlText w:val="(%1)"/>
      <w:numFmt w:val="lowerRoman"/>
      <w:start w:val="2"/>
    </w:lvl>
    <w:lvl w:ilvl="1">
      <w:lvlJc w:val="left"/>
      <w:lvlText w:val="(%2)"/>
      <w:numFmt w:val="upperLetter"/>
      <w:start w:val="1"/>
    </w:lvl>
  </w:abstractNum>
  <w:abstractNum w:abstractNumId="104">
    <w:nsid w:val="6A92EF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5">
    <w:nsid w:val="41ED20D7"/>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6">
    <w:nsid w:val="E6B3F6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7">
    <w:nsid w:val="3EB21819"/>
    <w:multiLevelType w:val="hybridMultilevel"/>
    <w:lvl w:ilvl="0">
      <w:lvlJc w:val="left"/>
      <w:lvlText w:val="(%1)"/>
      <w:numFmt w:val="lowerRoman"/>
      <w:start w:val="2"/>
    </w:lvl>
  </w:abstractNum>
  <w:abstractNum w:abstractNumId="108">
    <w:nsid w:val="41531DED"/>
    <w:multiLevelType w:val="hybridMultilevel"/>
    <w:lvl w:ilvl="0">
      <w:lvlJc w:val="left"/>
      <w:lvlText w:val="%1"/>
      <w:numFmt w:val="lowerLetter"/>
      <w:start w:val="1"/>
    </w:lvl>
    <w:lvl w:ilvl="1">
      <w:lvlJc w:val="left"/>
      <w:lvlText w:val="(%2)"/>
      <w:numFmt w:val="lowerRoman"/>
      <w:start w:val="4"/>
    </w:lvl>
  </w:abstractNum>
  <w:abstractNum w:abstractNumId="109">
    <w:nsid w:val="6353CD2"/>
    <w:multiLevelType w:val="hybridMultilevel"/>
    <w:lvl w:ilvl="0">
      <w:lvlJc w:val="left"/>
      <w:lvlText w:val="(%1)"/>
      <w:numFmt w:val="lowerLetter"/>
      <w:start w:val="3"/>
    </w:lvl>
    <w:lvl w:ilvl="1">
      <w:lvlJc w:val="left"/>
      <w:lvlText w:val="(%2)"/>
      <w:numFmt w:val="lowerRoman"/>
      <w:start w:val="1"/>
    </w:lvl>
  </w:abstractNum>
  <w:abstractNum w:abstractNumId="110">
    <w:nsid w:val="683CAAD3"/>
    <w:multiLevelType w:val="hybridMultilevel"/>
    <w:lvl w:ilvl="0">
      <w:lvlJc w:val="left"/>
      <w:lvlText w:val="(%1)"/>
      <w:numFmt w:val="lowerRoman"/>
      <w:start w:val="2"/>
    </w:lvl>
  </w:abstractNum>
  <w:abstractNum w:abstractNumId="111">
    <w:nsid w:val="313C7C99"/>
    <w:multiLevelType w:val="hybridMultilevel"/>
    <w:lvl w:ilvl="0">
      <w:lvlJc w:val="left"/>
      <w:lvlText w:val="%1"/>
      <w:numFmt w:val="lowerLetter"/>
      <w:start w:val="1"/>
    </w:lvl>
    <w:lvl w:ilvl="1">
      <w:lvlJc w:val="left"/>
      <w:lvlText w:val="(%2)"/>
      <w:numFmt w:val="lowerRoman"/>
      <w:start w:val="3"/>
    </w:lvl>
  </w:abstractNum>
  <w:abstractNum w:abstractNumId="112">
    <w:nsid w:val="519EB94C"/>
    <w:multiLevelType w:val="hybridMultilevel"/>
    <w:lvl w:ilvl="0">
      <w:lvlJc w:val="left"/>
      <w:lvlText w:val="(%1)"/>
      <w:numFmt w:val="lowerLetter"/>
      <w:start w:val="4"/>
    </w:lvl>
    <w:lvl w:ilvl="1">
      <w:lvlJc w:val="left"/>
      <w:lvlText w:val="(%2)"/>
      <w:numFmt w:val="lowerRoman"/>
      <w:start w:val="1"/>
    </w:lvl>
  </w:abstractNum>
  <w:abstractNum w:abstractNumId="113">
    <w:nsid w:val="39DF2579"/>
    <w:multiLevelType w:val="hybridMultilevel"/>
    <w:lvl w:ilvl="0">
      <w:lvlJc w:val="left"/>
      <w:lvlText w:val="%1"/>
      <w:numFmt w:val="lowerLetter"/>
      <w:start w:val="1"/>
    </w:lvl>
    <w:lvl w:ilvl="1">
      <w:lvlJc w:val="left"/>
      <w:lvlText w:val="(%2)"/>
      <w:numFmt w:val="lowerLetter"/>
      <w:start w:val="35"/>
    </w:lvl>
  </w:abstractNum>
  <w:abstractNum w:abstractNumId="114">
    <w:nsid w:val="126E008B"/>
    <w:multiLevelType w:val="hybridMultilevel"/>
    <w:lvl w:ilvl="0">
      <w:lvlJc w:val="left"/>
      <w:lvlText w:val="(%1)"/>
      <w:numFmt w:val="lowerLetter"/>
      <w:start w:val="5"/>
    </w:lvl>
    <w:lvl w:ilvl="1">
      <w:lvlJc w:val="left"/>
      <w:lvlText w:val="(%2)"/>
      <w:numFmt w:val="lowerLetter"/>
      <w:start w:val="9"/>
    </w:lvl>
  </w:abstractNum>
  <w:abstractNum w:abstractNumId="115">
    <w:nsid w:val="34DFBC00"/>
    <w:multiLevelType w:val="hybridMultilevel"/>
    <w:lvl w:ilvl="0">
      <w:lvlJc w:val="left"/>
      <w:lvlText w:val="(%1)"/>
      <w:numFmt w:val="lowerRoman"/>
      <w:start w:val="2"/>
    </w:lvl>
  </w:abstractNum>
  <w:abstractNum w:abstractNumId="116">
    <w:nsid w:val="1F9EC322"/>
    <w:multiLevelType w:val="hybridMultilevel"/>
    <w:lvl w:ilvl="0">
      <w:lvlJc w:val="left"/>
      <w:lvlText w:val="(%1)"/>
      <w:numFmt w:val="lowerLetter"/>
      <w:start w:val="6"/>
    </w:lvl>
  </w:abstractNum>
  <w:abstractNum w:abstractNumId="117">
    <w:nsid w:val="3410ED56"/>
    <w:multiLevelType w:val="hybridMultilevel"/>
    <w:lvl w:ilvl="0">
      <w:lvlJc w:val="left"/>
      <w:lvlText w:val="(%1)"/>
      <w:numFmt w:val="lowerLetter"/>
      <w:start w:val="10"/>
    </w:lvl>
    <w:lvl w:ilvl="1">
      <w:lvlJc w:val="left"/>
      <w:lvlText w:val="(%2)"/>
      <w:numFmt w:val="lowerRoman"/>
      <w:start w:val="1"/>
    </w:lvl>
  </w:abstractNum>
  <w:abstractNum w:abstractNumId="118">
    <w:nsid w:val="23C049A"/>
    <w:multiLevelType w:val="hybridMultilevel"/>
    <w:lvl w:ilvl="0">
      <w:lvlJc w:val="left"/>
      <w:lvlText w:val="(%1)"/>
      <w:numFmt w:val="lowerLetter"/>
      <w:start w:val="1"/>
    </w:lvl>
  </w:abstractNum>
  <w:abstractNum w:abstractNumId="119">
    <w:nsid w:val="5BDA35D4"/>
    <w:multiLevelType w:val="hybridMultilevel"/>
    <w:lvl w:ilvl="0">
      <w:lvlJc w:val="left"/>
      <w:lvlText w:val="(%1)"/>
      <w:numFmt w:val="lowerLetter"/>
      <w:start w:val="2"/>
    </w:lvl>
  </w:abstractNum>
  <w:abstractNum w:abstractNumId="120">
    <w:nsid w:val="496FB218"/>
    <w:multiLevelType w:val="hybridMultilevel"/>
    <w:lvl w:ilvl="0">
      <w:lvlJc w:val="left"/>
      <w:lvlText w:val="(%1)"/>
      <w:numFmt w:val="lowerLetter"/>
      <w:start w:val="1"/>
    </w:lvl>
    <w:lvl w:ilvl="1">
      <w:lvlJc w:val="left"/>
      <w:lvlText w:val="(%2)"/>
      <w:numFmt w:val="lowerLetter"/>
      <w:start w:val="9"/>
    </w:lvl>
  </w:abstractNum>
  <w:abstractNum w:abstractNumId="121">
    <w:nsid w:val="680EA5D1"/>
    <w:multiLevelType w:val="hybridMultilevel"/>
    <w:lvl w:ilvl="0">
      <w:lvlJc w:val="left"/>
      <w:lvlText w:val="(%1)"/>
      <w:numFmt w:val="lowerRoman"/>
      <w:start w:val="2"/>
    </w:lvl>
    <w:lvl w:ilvl="1">
      <w:lvlJc w:val="left"/>
      <w:lvlText w:val="(%2)"/>
      <w:numFmt w:val="upperLetter"/>
      <w:start w:val="1"/>
    </w:lvl>
  </w:abstractNum>
  <w:abstractNum w:abstractNumId="122">
    <w:nsid w:val="4A9554FE"/>
    <w:multiLevelType w:val="hybridMultilevel"/>
    <w:lvl w:ilvl="0">
      <w:lvlJc w:val="left"/>
      <w:lvlText w:val="%1"/>
      <w:numFmt w:val="lowerRoman"/>
      <w:start w:val="1"/>
    </w:lvl>
    <w:lvl w:ilvl="1">
      <w:lvlJc w:val="left"/>
      <w:lvlText w:val="(%2)"/>
      <w:numFmt w:val="upperLetter"/>
      <w:start w:val="2"/>
    </w:lvl>
  </w:abstractNum>
  <w:abstractNum w:abstractNumId="123">
    <w:nsid w:val="392EDBE4"/>
    <w:multiLevelType w:val="hybridMultilevel"/>
    <w:lvl w:ilvl="0">
      <w:lvlJc w:val="left"/>
      <w:lvlText w:val="(%1)"/>
      <w:numFmt w:val="lowerRoman"/>
      <w:start w:val="5"/>
    </w:lvl>
    <w:lvl w:ilvl="1">
      <w:lvlJc w:val="left"/>
      <w:lvlText w:val="%2"/>
      <w:numFmt w:val="upperLetter"/>
      <w:start w:val="1"/>
    </w:lvl>
  </w:abstractNum>
  <w:abstractNum w:abstractNumId="124">
    <w:nsid w:val="3D1A2DD9"/>
    <w:multiLevelType w:val="hybridMultilevel"/>
    <w:lvl w:ilvl="0">
      <w:lvlJc w:val="left"/>
      <w:lvlText w:val="%1"/>
      <w:numFmt w:val="lowerLetter"/>
      <w:start w:val="1"/>
    </w:lvl>
    <w:lvl w:ilvl="1">
      <w:lvlJc w:val="left"/>
      <w:lvlText w:val="(%2)"/>
      <w:numFmt w:val="lowerLetter"/>
      <w:start w:val="1"/>
    </w:lvl>
  </w:abstractNum>
  <w:abstractNum w:abstractNumId="125">
    <w:nsid w:val="7F618FCD"/>
    <w:multiLevelType w:val="hybridMultilevel"/>
    <w:lvl w:ilvl="0">
      <w:lvlJc w:val="left"/>
      <w:lvlText w:val="(%1)"/>
      <w:numFmt w:val="lowerLetter"/>
      <w:start w:val="35"/>
    </w:lvl>
    <w:lvl w:ilvl="1">
      <w:lvlJc w:val="left"/>
      <w:lvlText w:val="(%2)"/>
      <w:numFmt w:val="lowerLetter"/>
      <w:start w:val="2"/>
    </w:lvl>
  </w:abstractNum>
  <w:abstractNum w:abstractNumId="126">
    <w:nsid w:val="7843E45"/>
    <w:multiLevelType w:val="hybridMultilevel"/>
    <w:lvl w:ilvl="0">
      <w:lvlJc w:val="left"/>
      <w:lvlText w:val="(%1)"/>
      <w:numFmt w:val="lowerLetter"/>
      <w:start w:val="3"/>
    </w:lvl>
  </w:abstractNum>
  <w:abstractNum w:abstractNumId="127">
    <w:nsid w:val="9815DA3"/>
    <w:multiLevelType w:val="hybridMultilevel"/>
    <w:lvl w:ilvl="0">
      <w:lvlJc w:val="left"/>
      <w:lvlText w:val="(%1)"/>
      <w:numFmt w:val="lowerLetter"/>
      <w:start w:val="1"/>
    </w:lvl>
  </w:abstractNum>
  <w:abstractNum w:abstractNumId="128">
    <w:nsid w:val="5204A191"/>
    <w:multiLevelType w:val="hybridMultilevel"/>
    <w:lvl w:ilvl="0">
      <w:lvlJc w:val="left"/>
      <w:lvlText w:val="(%1)"/>
      <w:numFmt w:val="lowerLetter"/>
      <w:start w:val="4"/>
    </w:lvl>
  </w:abstractNum>
  <w:abstractNum w:abstractNumId="129">
    <w:nsid w:val="4C73A9C6"/>
    <w:multiLevelType w:val="hybridMultilevel"/>
    <w:lvl w:ilvl="0">
      <w:lvlJc w:val="left"/>
      <w:lvlText w:val="(%1)"/>
      <w:numFmt w:val="lowerLetter"/>
      <w:start w:val="1"/>
    </w:lvl>
  </w:abstractNum>
  <w:abstractNum w:abstractNumId="130">
    <w:nsid w:val="1C7E3C01"/>
    <w:multiLevelType w:val="hybridMultilevel"/>
    <w:lvl w:ilvl="0">
      <w:lvlJc w:val="left"/>
      <w:lvlText w:val="(%1)"/>
      <w:numFmt w:val="lowerLetter"/>
      <w:start w:val="1"/>
    </w:lvl>
  </w:abstractNum>
  <w:abstractNum w:abstractNumId="131">
    <w:nsid w:val="1C2201FF"/>
    <w:multiLevelType w:val="hybridMultilevel"/>
    <w:lvl w:ilvl="0">
      <w:lvlJc w:val="left"/>
      <w:lvlText w:val="(%1)"/>
      <w:numFmt w:val="lowerLetter"/>
      <w:start w:val="1"/>
    </w:lvl>
  </w:abstractNum>
  <w:abstractNum w:abstractNumId="132">
    <w:nsid w:val="50ABCEC9"/>
    <w:multiLevelType w:val="hybridMultilevel"/>
    <w:lvl w:ilvl="0">
      <w:lvlJc w:val="left"/>
      <w:lvlText w:val="(%1)"/>
      <w:numFmt w:val="lowerLetter"/>
      <w:start w:val="2"/>
    </w:lvl>
  </w:abstractNum>
  <w:abstractNum w:abstractNumId="133">
    <w:nsid w:val="7635AA2A"/>
    <w:multiLevelType w:val="hybridMultilevel"/>
    <w:lvl w:ilvl="0">
      <w:lvlJc w:val="left"/>
      <w:lvlText w:val="(%1)"/>
      <w:numFmt w:val="lowerLetter"/>
      <w:start w:val="2"/>
    </w:lvl>
  </w:abstractNum>
  <w:abstractNum w:abstractNumId="134">
    <w:nsid w:val="5E74C4D9"/>
    <w:multiLevelType w:val="hybridMultilevel"/>
    <w:lvl w:ilvl="0">
      <w:lvlJc w:val="left"/>
      <w:lvlText w:val="(%1)"/>
      <w:numFmt w:val="lowerLetter"/>
      <w:start w:val="1"/>
    </w:lvl>
  </w:abstractNum>
  <w:abstractNum w:abstractNumId="135">
    <w:nsid w:val="3B3EBE15"/>
    <w:multiLevelType w:val="hybridMultilevel"/>
    <w:lvl w:ilvl="0">
      <w:lvlJc w:val="left"/>
      <w:lvlText w:val="(%1)"/>
      <w:numFmt w:val="lowerRoman"/>
      <w:start w:val="2"/>
    </w:lvl>
  </w:abstractNum>
  <w:abstractNum w:abstractNumId="136">
    <w:nsid w:val="3822CB01"/>
    <w:multiLevelType w:val="hybridMultilevel"/>
    <w:lvl w:ilvl="0">
      <w:lvlJc w:val="left"/>
      <w:lvlText w:val="(%1)"/>
      <w:numFmt w:val="lowerLetter"/>
      <w:start w:val="1"/>
    </w:lvl>
    <w:lvl w:ilvl="1">
      <w:lvlJc w:val="left"/>
      <w:lvlText w:val="(%2)"/>
      <w:numFmt w:val="lowerRoman"/>
      <w:start w:val="1"/>
    </w:lvl>
  </w:abstractNum>
  <w:abstractNum w:abstractNumId="137">
    <w:nsid w:val="6CE00443"/>
    <w:multiLevelType w:val="hybridMultilevel"/>
    <w:lvl w:ilvl="0">
      <w:lvlJc w:val="left"/>
      <w:lvlText w:val="%1"/>
      <w:numFmt w:val="lowerLetter"/>
      <w:start w:val="1"/>
    </w:lvl>
    <w:lvl w:ilvl="1">
      <w:lvlJc w:val="left"/>
      <w:lvlText w:val="(%2)"/>
      <w:numFmt w:val="lowerRoman"/>
      <w:start w:val="6"/>
    </w:lvl>
  </w:abstractNum>
  <w:abstractNum w:abstractNumId="138">
    <w:nsid w:val="79F0D62F"/>
    <w:multiLevelType w:val="hybridMultilevel"/>
    <w:lvl w:ilvl="0">
      <w:lvlJc w:val="left"/>
      <w:lvlText w:val="(%1)"/>
      <w:numFmt w:val="lowerLetter"/>
      <w:start w:val="2"/>
    </w:lvl>
    <w:lvl w:ilvl="1">
      <w:lvlJc w:val="left"/>
      <w:lvlText w:val="%2"/>
      <w:numFmt w:val="lowerRoman"/>
      <w:start w:val="1"/>
    </w:lvl>
  </w:abstractNum>
  <w:abstractNum w:abstractNumId="139">
    <w:nsid w:val="7975E8EE"/>
    <w:multiLevelType w:val="hybridMultilevel"/>
    <w:lvl w:ilvl="0">
      <w:lvlJc w:val="left"/>
      <w:lvlText w:val="(%1)"/>
      <w:numFmt w:val="lowerLetter"/>
      <w:start w:val="6"/>
    </w:lvl>
  </w:abstractNum>
  <w:abstractNum w:abstractNumId="140">
    <w:nsid w:val="73154115"/>
    <w:multiLevelType w:val="hybridMultilevel"/>
    <w:lvl w:ilvl="0">
      <w:lvlJc w:val="left"/>
      <w:lvlText w:val="(%1)"/>
      <w:numFmt w:val="lowerLetter"/>
      <w:start w:val="1"/>
    </w:lvl>
  </w:abstractNum>
  <w:abstractNum w:abstractNumId="141">
    <w:nsid w:val="622D8102"/>
    <w:multiLevelType w:val="hybridMultilevel"/>
    <w:lvl w:ilvl="0">
      <w:lvlJc w:val="left"/>
      <w:lvlText w:val="(%1)"/>
      <w:numFmt w:val="lowerLetter"/>
      <w:start w:val="5"/>
    </w:lvl>
  </w:abstractNum>
  <w:abstractNum w:abstractNumId="142">
    <w:nsid w:val="2AB26587"/>
    <w:multiLevelType w:val="hybridMultilevel"/>
    <w:lvl w:ilvl="0">
      <w:lvlJc w:val="left"/>
      <w:lvlText w:val="(%1)"/>
      <w:numFmt w:val="lowerLetter"/>
      <w:start w:val="1"/>
    </w:lvl>
  </w:abstractNum>
  <w:abstractNum w:abstractNumId="143">
    <w:nsid w:val="44B3FA61"/>
    <w:multiLevelType w:val="hybridMultilevel"/>
    <w:lvl w:ilvl="0">
      <w:lvlJc w:val="left"/>
      <w:lvlText w:val="(%1)"/>
      <w:numFmt w:val="lowerLetter"/>
      <w:start w:val="1"/>
    </w:lvl>
  </w:abstractNum>
  <w:abstractNum w:abstractNumId="144">
    <w:nsid w:val="1C0CA67C"/>
    <w:multiLevelType w:val="hybridMultilevel"/>
    <w:lvl w:ilvl="0">
      <w:lvlJc w:val="left"/>
      <w:lvlText w:val="(%1)"/>
      <w:numFmt w:val="lowerLetter"/>
      <w:start w:val="2"/>
    </w:lvl>
  </w:abstractNum>
  <w:abstractNum w:abstractNumId="145">
    <w:nsid w:val="3D206613"/>
    <w:multiLevelType w:val="hybridMultilevel"/>
    <w:lvl w:ilvl="0">
      <w:lvlJc w:val="left"/>
      <w:lvlText w:val="(%1)"/>
      <w:numFmt w:val="lowerLetter"/>
      <w:start w:val="1"/>
    </w:lvl>
  </w:abstractNum>
  <w:abstractNum w:abstractNumId="146">
    <w:nsid w:val="7993B662"/>
    <w:multiLevelType w:val="hybridMultilevel"/>
    <w:lvl w:ilvl="0">
      <w:lvlJc w:val="left"/>
      <w:lvlText w:val="(%1)"/>
      <w:numFmt w:val="lowerLetter"/>
      <w:start w:val="1"/>
    </w:lvl>
  </w:abstractNum>
  <w:abstractNum w:abstractNumId="147">
    <w:nsid w:val="3BAB699E"/>
    <w:multiLevelType w:val="hybridMultilevel"/>
    <w:lvl w:ilvl="0">
      <w:lvlJc w:val="left"/>
      <w:lvlText w:val="%1"/>
      <w:numFmt w:val="lowerLetter"/>
      <w:start w:val="1"/>
    </w:lvl>
    <w:lvl w:ilvl="1">
      <w:lvlJc w:val="left"/>
      <w:lvlText w:val="(%2)"/>
      <w:numFmt w:val="lowerLetter"/>
      <w:start w:val="1"/>
    </w:lvl>
  </w:abstractNum>
  <w:abstractNum w:abstractNumId="148">
    <w:nsid w:val="71315369"/>
    <w:multiLevelType w:val="hybridMultilevel"/>
    <w:lvl w:ilvl="0">
      <w:lvlJc w:val="left"/>
      <w:lvlText w:val="(%1)"/>
      <w:numFmt w:val="lowerLetter"/>
      <w:start w:val="35"/>
    </w:lvl>
    <w:lvl w:ilvl="1">
      <w:lvlJc w:val="left"/>
      <w:lvlText w:val="(%2)"/>
      <w:numFmt w:val="lowerLetter"/>
      <w:start w:val="2"/>
    </w:lvl>
  </w:abstractNum>
  <w:abstractNum w:abstractNumId="149">
    <w:nsid w:val="7BCFBAFC"/>
    <w:multiLevelType w:val="hybridMultilevel"/>
    <w:lvl w:ilvl="0">
      <w:lvlJc w:val="left"/>
      <w:lvlText w:val="(%1)"/>
      <w:numFmt w:val="lowerLetter"/>
      <w:start w:val="1"/>
    </w:lvl>
  </w:abstractNum>
  <w:abstractNum w:abstractNumId="150">
    <w:nsid w:val="17859F72"/>
    <w:multiLevelType w:val="hybridMultilevel"/>
    <w:lvl w:ilvl="0">
      <w:lvlJc w:val="left"/>
      <w:lvlText w:val="(%1)"/>
      <w:numFmt w:val="lowerLetter"/>
      <w:start w:val="1"/>
    </w:lvl>
  </w:abstractNum>
  <w:abstractNum w:abstractNumId="151">
    <w:nsid w:val="3AA10581"/>
    <w:multiLevelType w:val="hybridMultilevel"/>
    <w:lvl w:ilvl="0">
      <w:lvlJc w:val="left"/>
      <w:lvlText w:val="(%1)"/>
      <w:numFmt w:val="lowerLetter"/>
      <w:start w:val="2"/>
    </w:lvl>
  </w:abstractNum>
  <w:abstractNum w:abstractNumId="152">
    <w:nsid w:val="63DE60CD"/>
    <w:multiLevelType w:val="hybridMultilevel"/>
    <w:lvl w:ilvl="0">
      <w:lvlJc w:val="left"/>
      <w:lvlText w:val="(%1)"/>
      <w:numFmt w:val="lowerLetter"/>
      <w:start w:val="1"/>
    </w:lvl>
  </w:abstractNum>
  <w:abstractNum w:abstractNumId="153">
    <w:nsid w:val="621AF471"/>
    <w:multiLevelType w:val="hybridMultilevel"/>
    <w:lvl w:ilvl="0">
      <w:lvlJc w:val="left"/>
      <w:lvlText w:val="(%1)"/>
      <w:numFmt w:val="lowerLetter"/>
      <w:start w:val="1"/>
    </w:lvl>
  </w:abstractNum>
  <w:abstractNum w:abstractNumId="154">
    <w:nsid w:val="73CFE165"/>
    <w:multiLevelType w:val="hybridMultilevel"/>
    <w:lvl w:ilvl="0">
      <w:lvlJc w:val="left"/>
      <w:lvlText w:val="(%1)"/>
      <w:numFmt w:val="lowerLetter"/>
      <w:start w:val="4"/>
    </w:lvl>
  </w:abstractNum>
  <w:abstractNum w:abstractNumId="155">
    <w:nsid w:val="20F88EA6"/>
    <w:multiLevelType w:val="hybridMultilevel"/>
    <w:lvl w:ilvl="0">
      <w:lvlJc w:val="left"/>
      <w:lvlText w:val="(%1)"/>
      <w:numFmt w:val="lowerLetter"/>
      <w:start w:val="1"/>
    </w:lvl>
  </w:abstractNum>
  <w:abstractNum w:abstractNumId="156">
    <w:nsid w:val="617C843E"/>
    <w:multiLevelType w:val="hybridMultilevel"/>
    <w:lvl w:ilvl="0">
      <w:lvlJc w:val="left"/>
      <w:lvlText w:val="(%1)"/>
      <w:numFmt w:val="lowerLetter"/>
      <w:start w:val="1"/>
    </w:lvl>
    <w:lvl w:ilvl="1">
      <w:lvlJc w:val="left"/>
      <w:lvlText w:val="(%2)"/>
      <w:numFmt w:val="lowerRoman"/>
      <w:start w:val="1"/>
    </w:lvl>
  </w:abstractNum>
  <w:abstractNum w:abstractNumId="157">
    <w:nsid w:val="7B541FAB"/>
    <w:multiLevelType w:val="hybridMultilevel"/>
    <w:lvl w:ilvl="0">
      <w:lvlJc w:val="left"/>
      <w:lvlText w:val="(%1)"/>
      <w:numFmt w:val="lowerLetter"/>
      <w:start w:val="2"/>
    </w:lvl>
    <w:lvl w:ilvl="1">
      <w:lvlJc w:val="left"/>
      <w:lvlText w:val="(%2)"/>
      <w:numFmt w:val="lowerRoman"/>
      <w:start w:val="1"/>
    </w:lvl>
  </w:abstractNum>
  <w:abstractNum w:abstractNumId="158">
    <w:nsid w:val="2A79EC49"/>
    <w:multiLevelType w:val="hybridMultilevel"/>
    <w:lvl w:ilvl="0">
      <w:lvlJc w:val="left"/>
      <w:lvlText w:val="(%1)"/>
      <w:numFmt w:val="lowerLetter"/>
      <w:start w:val="3"/>
    </w:lvl>
    <w:lvl w:ilvl="1">
      <w:lvlJc w:val="left"/>
      <w:lvlText w:val="(%2)"/>
      <w:numFmt w:val="lowerRoman"/>
      <w:start w:val="1"/>
    </w:lvl>
  </w:abstractNum>
  <w:abstractNum w:abstractNumId="159">
    <w:nsid w:val="338125CF"/>
    <w:multiLevelType w:val="hybridMultilevel"/>
    <w:lvl w:ilvl="0">
      <w:lvlJc w:val="left"/>
      <w:lvlText w:val="(%1)"/>
      <w:numFmt w:val="lowerLetter"/>
      <w:start w:val="8"/>
    </w:lvl>
  </w:abstractNum>
  <w:abstractNum w:abstractNumId="160">
    <w:nsid w:val="47C7C971"/>
    <w:multiLevelType w:val="hybridMultilevel"/>
    <w:lvl w:ilvl="0">
      <w:lvlJc w:val="left"/>
      <w:lvlText w:val="(%1)"/>
      <w:numFmt w:val="lowerLetter"/>
      <w:start w:val="1"/>
    </w:lvl>
  </w:abstractNum>
  <w:abstractNum w:abstractNumId="161">
    <w:nsid w:val="46F8284B"/>
    <w:multiLevelType w:val="hybridMultilevel"/>
    <w:lvl w:ilvl="0">
      <w:lvlJc w:val="left"/>
      <w:lvlText w:val="(%1)"/>
      <w:numFmt w:val="lowerLetter"/>
      <w:start w:val="1"/>
    </w:lvl>
  </w:abstractNum>
  <w:abstractNum w:abstractNumId="162">
    <w:nsid w:val="4FA327CE"/>
    <w:multiLevelType w:val="hybridMultilevel"/>
    <w:lvl w:ilvl="0">
      <w:lvlJc w:val="left"/>
      <w:lvlText w:val="(%1)"/>
      <w:numFmt w:val="lowerLetter"/>
      <w:start w:val="1"/>
    </w:lvl>
    <w:lvl w:ilvl="1">
      <w:lvlJc w:val="left"/>
      <w:lvlText w:val="(%2)"/>
      <w:numFmt w:val="lowerRoman"/>
      <w:start w:val="1"/>
    </w:lvl>
  </w:abstractNum>
  <w:abstractNum w:abstractNumId="163">
    <w:nsid w:val="187398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4">
    <w:nsid w:val="3D2DD275"/>
    <w:multiLevelType w:val="hybridMultilevel"/>
    <w:lvl w:ilvl="0">
      <w:lvlJc w:val="left"/>
      <w:lvlText w:val="(%1)"/>
      <w:numFmt w:val="lowerLetter"/>
      <w:start w:val="4"/>
    </w:lvl>
  </w:abstractNum>
  <w:abstractNum w:abstractNumId="165">
    <w:nsid w:val="2E17ECA7"/>
    <w:multiLevelType w:val="hybridMultilevel"/>
    <w:lvl w:ilvl="0">
      <w:lvlJc w:val="left"/>
      <w:lvlText w:val="(%1)"/>
      <w:numFmt w:val="lowerLetter"/>
      <w:start w:val="1"/>
    </w:lvl>
  </w:abstractNum>
  <w:abstractNum w:abstractNumId="166">
    <w:nsid w:val="53B2564F"/>
    <w:multiLevelType w:val="hybridMultilevel"/>
    <w:lvl w:ilvl="0">
      <w:lvlJc w:val="left"/>
      <w:lvlText w:val="(%1)"/>
      <w:numFmt w:val="lowerLetter"/>
      <w:start w:val="4"/>
    </w:lvl>
  </w:abstractNum>
  <w:abstractNum w:abstractNumId="167">
    <w:nsid w:val="75509D76"/>
    <w:multiLevelType w:val="hybridMultilevel"/>
    <w:lvl w:ilvl="0">
      <w:lvlJc w:val="left"/>
      <w:lvlText w:val="(%1)"/>
      <w:numFmt w:val="lowerLetter"/>
      <w:start w:val="61"/>
    </w:lvl>
    <w:lvl w:ilvl="1">
      <w:lvlJc w:val="left"/>
      <w:lvlText w:val="(%2)"/>
      <w:numFmt w:val="lowerLetter"/>
      <w:start w:val="12"/>
    </w:lvl>
  </w:abstractNum>
  <w:abstractNum w:abstractNumId="168">
    <w:nsid w:val="1AF7F0EA"/>
    <w:multiLevelType w:val="hybridMultilevel"/>
    <w:lvl w:ilvl="0">
      <w:lvlJc w:val="left"/>
      <w:lvlText w:val="%1"/>
      <w:numFmt w:val="lowerLetter"/>
      <w:start w:val="1"/>
    </w:lvl>
    <w:lvl w:ilvl="1">
      <w:lvlJc w:val="left"/>
      <w:lvlText w:val="(%2)"/>
      <w:numFmt w:val="lowerLetter"/>
      <w:start w:val="1"/>
    </w:lvl>
  </w:abstractNum>
  <w:abstractNum w:abstractNumId="169">
    <w:nsid w:val="4DA32C7E"/>
    <w:multiLevelType w:val="hybridMultilevel"/>
    <w:lvl w:ilvl="0">
      <w:lvlJc w:val="left"/>
      <w:lvlText w:val="(%1)"/>
      <w:numFmt w:val="lowerLetter"/>
      <w:start w:val="2"/>
    </w:lvl>
    <w:lvl w:ilvl="1">
      <w:lvlJc w:val="left"/>
      <w:lvlText w:val="(%2)"/>
      <w:numFmt w:val="lowerLetter"/>
      <w:start w:val="5"/>
    </w:lvl>
  </w:abstractNum>
  <w:abstractNum w:abstractNumId="170">
    <w:nsid w:val="6EC68664"/>
    <w:multiLevelType w:val="hybridMultilevel"/>
    <w:lvl w:ilvl="0">
      <w:lvlJc w:val="left"/>
      <w:lvlText w:val="(%1)"/>
      <w:numFmt w:val="lowerLetter"/>
      <w:start w:val="7"/>
    </w:lvl>
  </w:abstractNum>
  <w:abstractNum w:abstractNumId="171">
    <w:nsid w:val="E0D31FF"/>
    <w:multiLevelType w:val="hybridMultilevel"/>
    <w:lvl w:ilvl="0">
      <w:lvlJc w:val="left"/>
      <w:lvlText w:val="(%1)"/>
      <w:numFmt w:val="lowerLetter"/>
      <w:start w:val="61"/>
    </w:lvl>
    <w:lvl w:ilvl="1">
      <w:lvlJc w:val="left"/>
      <w:lvlText w:val="(%2)"/>
      <w:numFmt w:val="lowerLetter"/>
      <w:start w:val="12"/>
    </w:lvl>
  </w:abstractNum>
  <w:abstractNum w:abstractNumId="172">
    <w:nsid w:val="2FD0AD81"/>
    <w:multiLevelType w:val="hybridMultilevel"/>
    <w:lvl w:ilvl="0">
      <w:lvlJc w:val="left"/>
      <w:lvlText w:val="(%1)"/>
      <w:numFmt w:val="lowerLetter"/>
      <w:start w:val="1"/>
    </w:lvl>
  </w:abstractNum>
  <w:abstractNum w:abstractNumId="173">
    <w:nsid w:val="1978EBEB"/>
    <w:multiLevelType w:val="hybridMultilevel"/>
    <w:lvl w:ilvl="0">
      <w:lvlJc w:val="left"/>
      <w:lvlText w:val="(%1)"/>
      <w:numFmt w:val="lowerLetter"/>
      <w:start w:val="4"/>
    </w:lvl>
  </w:abstractNum>
  <w:abstractNum w:abstractNumId="174">
    <w:nsid w:val="52C12C61"/>
    <w:multiLevelType w:val="hybridMultilevel"/>
    <w:lvl w:ilvl="0">
      <w:lvlJc w:val="left"/>
      <w:lvlText w:val="(%1)"/>
      <w:numFmt w:val="lowerLetter"/>
      <w:start w:val="2"/>
    </w:lvl>
  </w:abstractNum>
  <w:abstractNum w:abstractNumId="175">
    <w:nsid w:val="4BDD53FD"/>
    <w:multiLevelType w:val="hybridMultilevel"/>
    <w:lvl w:ilvl="0">
      <w:lvlJc w:val="left"/>
      <w:lvlText w:val="(%1)"/>
      <w:numFmt w:val="lowerLetter"/>
      <w:start w:val="2"/>
    </w:lvl>
  </w:abstractNum>
  <w:abstractNum w:abstractNumId="176">
    <w:nsid w:val="569951FE"/>
    <w:multiLevelType w:val="hybridMultilevel"/>
    <w:lvl w:ilvl="0">
      <w:lvlJc w:val="left"/>
      <w:lvlText w:val="(%1)"/>
      <w:numFmt w:val="lowerLetter"/>
      <w:start w:val="1"/>
    </w:lvl>
  </w:abstractNum>
  <w:abstractNum w:abstractNumId="177">
    <w:nsid w:val="4C54E2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8">
    <w:nsid w:val="788BD9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79">
    <w:nsid w:val="47CAA567"/>
    <w:multiLevelType w:val="hybridMultilevel"/>
    <w:lvl w:ilvl="0">
      <w:lvlJc w:val="left"/>
      <w:lvlText w:val="(%1)"/>
      <w:numFmt w:val="lowerLetter"/>
      <w:start w:val="35"/>
    </w:lvl>
    <w:lvl w:ilvl="1">
      <w:lvlJc w:val="left"/>
      <w:lvlText w:val="(%2)"/>
      <w:numFmt w:val="lowerLetter"/>
      <w:start w:val="2"/>
    </w:lvl>
  </w:abstractNum>
  <w:abstractNum w:abstractNumId="180">
    <w:nsid w:val="48249DBF"/>
    <w:multiLevelType w:val="hybridMultilevel"/>
    <w:lvl w:ilvl="0">
      <w:lvlJc w:val="left"/>
      <w:lvlText w:val="(%1)"/>
      <w:numFmt w:val="lowerLetter"/>
      <w:start w:val="4"/>
    </w:lvl>
  </w:abstractNum>
  <w:abstractNum w:abstractNumId="181">
    <w:nsid w:val="1F0E5D0D"/>
    <w:multiLevelType w:val="hybridMultilevel"/>
    <w:lvl w:ilvl="0">
      <w:lvlJc w:val="left"/>
      <w:lvlText w:val="(%1)"/>
      <w:numFmt w:val="lowerLetter"/>
      <w:start w:val="1"/>
    </w:lvl>
  </w:abstractNum>
  <w:abstractNum w:abstractNumId="182">
    <w:nsid w:val="26BAAE9"/>
    <w:multiLevelType w:val="hybridMultilevel"/>
    <w:lvl w:ilvl="0">
      <w:lvlJc w:val="left"/>
      <w:lvlText w:val="(%1)"/>
      <w:numFmt w:val="lowerLetter"/>
      <w:start w:val="4"/>
    </w:lvl>
    <w:lvl w:ilvl="1">
      <w:lvlJc w:val="left"/>
      <w:lvlText w:val="(%2)"/>
      <w:numFmt w:val="lowerLetter"/>
      <w:start w:val="2"/>
    </w:lvl>
  </w:abstractNum>
  <w:abstractNum w:abstractNumId="183">
    <w:nsid w:val="2C02FE8C"/>
    <w:multiLevelType w:val="hybridMultilevel"/>
    <w:lvl w:ilvl="0">
      <w:lvlJc w:val="left"/>
      <w:lvlText w:val="(%1)"/>
      <w:numFmt w:val="lowerLetter"/>
      <w:start w:val="3"/>
    </w:lvl>
  </w:abstractNum>
  <w:abstractNum w:abstractNumId="184">
    <w:nsid w:val="129517E"/>
    <w:multiLevelType w:val="hybridMultilevel"/>
    <w:lvl w:ilvl="0">
      <w:lvlJc w:val="left"/>
      <w:lvlText w:val="(%1)"/>
      <w:numFmt w:val="lowerLetter"/>
      <w:start w:val="6"/>
    </w:lvl>
  </w:abstractNum>
  <w:abstractNum w:abstractNumId="185">
    <w:nsid w:val="763B8C4E"/>
    <w:multiLevelType w:val="hybridMultilevel"/>
    <w:lvl w:ilvl="0">
      <w:lvlJc w:val="left"/>
      <w:lvlText w:val="(%1)"/>
      <w:numFmt w:val="lowerRoman"/>
      <w:start w:val="8"/>
    </w:lvl>
  </w:abstractNum>
  <w:abstractNum w:abstractNumId="186">
    <w:nsid w:val="4CFB8D32"/>
    <w:multiLevelType w:val="hybridMultilevel"/>
    <w:lvl w:ilvl="0">
      <w:lvlJc w:val="left"/>
      <w:lvlText w:val="(%1)"/>
      <w:numFmt w:val="lowerLetter"/>
      <w:start w:val="1"/>
    </w:lvl>
    <w:lvl w:ilvl="1">
      <w:lvlJc w:val="left"/>
      <w:lvlText w:val="(%2)"/>
      <w:numFmt w:val="lowerLetter"/>
      <w:start w:val="9"/>
    </w:lvl>
  </w:abstractNum>
  <w:abstractNum w:abstractNumId="187">
    <w:nsid w:val="62A5D5BD"/>
    <w:multiLevelType w:val="hybridMultilevel"/>
    <w:lvl w:ilvl="0">
      <w:lvlJc w:val="left"/>
      <w:lvlText w:val="(%1)"/>
      <w:numFmt w:val="lowerRoman"/>
      <w:start w:val="2"/>
    </w:lvl>
  </w:abstractNum>
  <w:abstractNum w:abstractNumId="188">
    <w:nsid w:val="718FABF9"/>
    <w:multiLevelType w:val="hybridMultilevel"/>
    <w:lvl w:ilvl="0">
      <w:lvlJc w:val="left"/>
      <w:lvlText w:val="(%1)"/>
      <w:numFmt w:val="lowerRoman"/>
      <w:start w:val="7"/>
    </w:lvl>
  </w:abstractNum>
  <w:abstractNum w:abstractNumId="189">
    <w:nsid w:val="7775797C"/>
    <w:multiLevelType w:val="hybridMultilevel"/>
    <w:lvl w:ilvl="0">
      <w:lvlJc w:val="left"/>
      <w:lvlText w:val="(%1)"/>
      <w:numFmt w:val="lowerLetter"/>
      <w:start w:val="3"/>
    </w:lvl>
  </w:abstractNum>
  <w:abstractNum w:abstractNumId="190">
    <w:nsid w:val="1626FB8C"/>
    <w:multiLevelType w:val="hybridMultilevel"/>
    <w:lvl w:ilvl="0">
      <w:lvlJc w:val="left"/>
      <w:lvlText w:val="(%1)"/>
      <w:numFmt w:val="upperLetter"/>
      <w:start w:val="1"/>
    </w:lvl>
    <w:lvl w:ilvl="1">
      <w:lvlJc w:val="left"/>
      <w:lvlText w:val="(%2)"/>
      <w:numFmt w:val="lowerRoman"/>
      <w:start w:val="2"/>
    </w:lvl>
  </w:abstractNum>
  <w:abstractNum w:abstractNumId="191">
    <w:nsid w:val="3957756A"/>
    <w:multiLevelType w:val="hybridMultilevel"/>
    <w:lvl w:ilvl="0">
      <w:lvlJc w:val="left"/>
      <w:lvlText w:val="%1"/>
      <w:numFmt w:val="lowerLetter"/>
      <w:start w:val="1"/>
    </w:lvl>
    <w:lvl w:ilvl="1">
      <w:lvlJc w:val="left"/>
      <w:lvlText w:val="(%2)"/>
      <w:numFmt w:val="lowerRoman"/>
      <w:start w:val="3"/>
    </w:lvl>
  </w:abstractNum>
  <w:abstractNum w:abstractNumId="192">
    <w:nsid w:val="3E6DA1C7"/>
    <w:multiLevelType w:val="hybridMultilevel"/>
    <w:lvl w:ilvl="0">
      <w:lvlJc w:val="left"/>
      <w:lvlText w:val="(%1)"/>
      <w:numFmt w:val="lowerLetter"/>
      <w:start w:val="2"/>
    </w:lvl>
    <w:lvl w:ilvl="1">
      <w:lvlJc w:val="left"/>
      <w:lvlText w:val="%2"/>
      <w:numFmt w:val="lowerRoman"/>
      <w:start w:val="1"/>
    </w:lvl>
  </w:abstractNum>
  <w:abstractNum w:abstractNumId="193">
    <w:nsid w:val="65CA235B"/>
    <w:multiLevelType w:val="hybridMultilevel"/>
    <w:lvl w:ilvl="0">
      <w:lvlJc w:val="left"/>
      <w:lvlText w:val="(%1)"/>
      <w:numFmt w:val="lowerLetter"/>
      <w:start w:val="2"/>
    </w:lvl>
    <w:lvl w:ilvl="1">
      <w:lvlJc w:val="left"/>
      <w:lvlText w:val="(%2)"/>
      <w:numFmt w:val="lowerLetter"/>
      <w:start w:val="9"/>
    </w:lvl>
  </w:abstractNum>
  <w:abstractNum w:abstractNumId="194">
    <w:nsid w:val="51CB0DA4"/>
    <w:multiLevelType w:val="hybridMultilevel"/>
    <w:lvl w:ilvl="0">
      <w:lvlJc w:val="left"/>
      <w:lvlText w:val="(%1)"/>
      <w:numFmt w:val="lowerRoman"/>
      <w:start w:val="2"/>
    </w:lvl>
  </w:abstractNum>
  <w:abstractNum w:abstractNumId="195">
    <w:nsid w:val="7B9B743C"/>
    <w:multiLevelType w:val="hybridMultilevel"/>
    <w:lvl w:ilvl="0">
      <w:lvlJc w:val="left"/>
      <w:lvlText w:val="(%1)"/>
      <w:numFmt w:val="lowerRoman"/>
      <w:start w:val="3"/>
    </w:lvl>
  </w:abstractNum>
  <w:abstractNum w:abstractNumId="196">
    <w:nsid w:val="13E21002"/>
    <w:multiLevelType w:val="hybridMultilevel"/>
    <w:lvl w:ilvl="0">
      <w:lvlJc w:val="left"/>
      <w:lvlText w:val="(%1)"/>
      <w:numFmt w:val="lowerLetter"/>
      <w:start w:val="1"/>
    </w:lvl>
  </w:abstractNum>
  <w:abstractNum w:abstractNumId="197">
    <w:nsid w:val="257D63F4"/>
    <w:multiLevelType w:val="hybridMultilevel"/>
    <w:lvl w:ilvl="0">
      <w:lvlJc w:val="left"/>
      <w:lvlText w:val="(%1)"/>
      <w:numFmt w:val="lowerLetter"/>
      <w:start w:val="2"/>
    </w:lvl>
  </w:abstractNum>
  <w:abstractNum w:abstractNumId="198">
    <w:nsid w:val="70EC11B2"/>
    <w:multiLevelType w:val="hybridMultilevel"/>
    <w:lvl w:ilvl="0">
      <w:lvlJc w:val="left"/>
      <w:lvlText w:val="(%1)"/>
      <w:numFmt w:val="lowerLetter"/>
      <w:start w:val="1"/>
    </w:lvl>
  </w:abstractNum>
  <w:abstractNum w:abstractNumId="199">
    <w:nsid w:val="2EDA00ED"/>
    <w:multiLevelType w:val="hybridMultilevel"/>
    <w:lvl w:ilvl="0">
      <w:lvlJc w:val="left"/>
      <w:lvlText w:val="(%1)"/>
      <w:numFmt w:val="lowerLetter"/>
      <w:start w:val="5"/>
    </w:lvl>
  </w:abstractNum>
  <w:abstractNum w:abstractNumId="200">
    <w:nsid w:val="73209072"/>
    <w:multiLevelType w:val="hybridMultilevel"/>
    <w:lvl w:ilvl="0">
      <w:lvlJc w:val="left"/>
      <w:lvlText w:val="(%1)"/>
      <w:numFmt w:val="lowerRoman"/>
      <w:start w:val="1"/>
    </w:lvl>
  </w:abstractNum>
  <w:abstractNum w:abstractNumId="201">
    <w:nsid w:val="5FB29816"/>
    <w:multiLevelType w:val="hybridMultilevel"/>
    <w:lvl w:ilvl="0">
      <w:lvlJc w:val="left"/>
      <w:lvlText w:val="(%1)"/>
      <w:numFmt w:val="lowerLetter"/>
      <w:start w:val="1"/>
    </w:lvl>
    <w:lvl w:ilvl="1">
      <w:lvlJc w:val="left"/>
      <w:lvlText w:val="(%2)"/>
      <w:numFmt w:val="lowerRoman"/>
      <w:start w:val="1"/>
    </w:lvl>
  </w:abstractNum>
  <w:abstractNum w:abstractNumId="202">
    <w:nsid w:val="3CE732EC"/>
    <w:multiLevelType w:val="hybridMultilevel"/>
    <w:lvl w:ilvl="0">
      <w:lvlJc w:val="left"/>
      <w:lvlText w:val="(%1)"/>
      <w:numFmt w:val="lowerLetter"/>
      <w:start w:val="7"/>
    </w:lvl>
  </w:abstractNum>
  <w:abstractNum w:abstractNumId="203">
    <w:nsid w:val="22F13DF3"/>
    <w:multiLevelType w:val="hybridMultilevel"/>
    <w:lvl w:ilvl="0">
      <w:lvlJc w:val="left"/>
      <w:lvlText w:val="(%1)"/>
      <w:numFmt w:val="lowerLetter"/>
      <w:start w:val="1"/>
    </w:lvl>
  </w:abstractNum>
  <w:abstractNum w:abstractNumId="204">
    <w:nsid w:val="792B8401"/>
    <w:multiLevelType w:val="hybridMultilevel"/>
    <w:lvl w:ilvl="0">
      <w:lvlJc w:val="left"/>
      <w:lvlText w:val="(%1)"/>
      <w:numFmt w:val="lowerRoman"/>
      <w:start w:val="1"/>
    </w:lvl>
  </w:abstractNum>
  <w:abstractNum w:abstractNumId="205">
    <w:nsid w:val="FA85F4D"/>
    <w:multiLevelType w:val="hybridMultilevel"/>
    <w:lvl w:ilvl="0">
      <w:lvlJc w:val="left"/>
      <w:lvlText w:val="(%1)"/>
      <w:numFmt w:val="lowerLetter"/>
      <w:start w:val="1"/>
    </w:lvl>
  </w:abstractNum>
  <w:abstractNum w:abstractNumId="206">
    <w:nsid w:val="6ECE91F0"/>
    <w:multiLevelType w:val="hybridMultilevel"/>
    <w:lvl w:ilvl="0">
      <w:lvlJc w:val="left"/>
      <w:lvlText w:val="(%1)"/>
      <w:numFmt w:val="lowerLetter"/>
      <w:start w:val="3"/>
    </w:lvl>
  </w:abstractNum>
  <w:abstractNum w:abstractNumId="207">
    <w:nsid w:val="4FC4D600"/>
    <w:multiLevelType w:val="hybridMultilevel"/>
    <w:lvl w:ilvl="0">
      <w:lvlJc w:val="left"/>
      <w:lvlText w:val="(%1)"/>
      <w:numFmt w:val="lowerLetter"/>
      <w:start w:val="2"/>
    </w:lvl>
  </w:abstractNum>
  <w:abstractNum w:abstractNumId="208">
    <w:nsid w:val="5BFD4210"/>
    <w:multiLevelType w:val="hybridMultilevel"/>
    <w:lvl w:ilvl="0">
      <w:lvlJc w:val="left"/>
      <w:lvlText w:val="(%1)"/>
      <w:numFmt w:val="lowerLetter"/>
      <w:start w:val="1"/>
    </w:lvl>
    <w:lvl w:ilvl="1">
      <w:lvlJc w:val="left"/>
      <w:lvlText w:val="(%2)"/>
      <w:numFmt w:val="lowerRoman"/>
      <w:start w:val="1"/>
    </w:lvl>
  </w:abstractNum>
  <w:abstractNum w:abstractNumId="209">
    <w:nsid w:val="76574F8B"/>
    <w:multiLevelType w:val="hybridMultilevel"/>
    <w:lvl w:ilvl="0">
      <w:lvlJc w:val="left"/>
      <w:lvlText w:val="(%1)"/>
      <w:numFmt w:val="lowerLetter"/>
      <w:start w:val="2"/>
    </w:lvl>
  </w:abstractNum>
  <w:abstractNum w:abstractNumId="210">
    <w:nsid w:val="178F7B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1">
    <w:nsid w:val="2421DFCF"/>
    <w:multiLevelType w:val="hybridMultilevel"/>
    <w:lvl w:ilvl="0">
      <w:lvlJc w:val="left"/>
      <w:lvlText w:val="(%1)"/>
      <w:numFmt w:val="upperLetter"/>
      <w:start w:val="3"/>
    </w:lvl>
  </w:abstractNum>
  <w:abstractNum w:abstractNumId="212">
    <w:nsid w:val="1565AC99"/>
    <w:multiLevelType w:val="hybridMultilevel"/>
    <w:lvl w:ilvl="0">
      <w:lvlJc w:val="left"/>
      <w:lvlText w:val="(%1)"/>
      <w:numFmt w:val="lowerRoman"/>
      <w:start w:val="2"/>
    </w:lvl>
    <w:lvl w:ilvl="1">
      <w:lvlJc w:val="left"/>
      <w:lvlText w:val="(%2)"/>
      <w:numFmt w:val="upperLetter"/>
      <w:start w:val="1"/>
    </w:lvl>
  </w:abstractNum>
  <w:abstractNum w:abstractNumId="213">
    <w:nsid w:val="19FB2650"/>
    <w:multiLevelType w:val="hybridMultilevel"/>
    <w:lvl w:ilvl="0">
      <w:lvlJc w:val="left"/>
      <w:lvlText w:val="%1"/>
      <w:numFmt w:val="lowerLetter"/>
      <w:start w:val="1"/>
    </w:lvl>
    <w:lvl w:ilvl="1">
      <w:lvlJc w:val="left"/>
      <w:lvlText w:val="(%2)"/>
      <w:numFmt w:val="lowerRoman"/>
      <w:start w:val="3"/>
    </w:lvl>
  </w:abstractNum>
  <w:abstractNum w:abstractNumId="214">
    <w:nsid w:val="5024DE5B"/>
    <w:multiLevelType w:val="hybridMultilevel"/>
    <w:lvl w:ilvl="0">
      <w:lvlJc w:val="left"/>
      <w:lvlText w:val="(%1)"/>
      <w:numFmt w:val="lowerLetter"/>
      <w:start w:val="2"/>
    </w:lvl>
    <w:lvl w:ilvl="1">
      <w:lvlJc w:val="left"/>
      <w:lvlText w:val="(%2)"/>
      <w:numFmt w:val="lowerRoman"/>
      <w:start w:val="1"/>
    </w:lvl>
  </w:abstractNum>
  <w:abstractNum w:abstractNumId="215">
    <w:nsid w:val="168EFE17"/>
    <w:multiLevelType w:val="hybridMultilevel"/>
    <w:lvl w:ilvl="0">
      <w:lvlJc w:val="left"/>
      <w:lvlText w:val="(%1)"/>
      <w:numFmt w:val="lowerRoman"/>
      <w:start w:val="3"/>
    </w:lvl>
  </w:abstractNum>
  <w:abstractNum w:abstractNumId="216">
    <w:nsid w:val="1036B29F"/>
    <w:multiLevelType w:val="hybridMultilevel"/>
    <w:lvl w:ilvl="0">
      <w:lvlJc w:val="left"/>
      <w:lvlText w:val="%1"/>
      <w:numFmt w:val="lowerLetter"/>
      <w:start w:val="1"/>
    </w:lvl>
    <w:lvl w:ilvl="1">
      <w:lvlJc w:val="left"/>
      <w:lvlText w:val="(%2)"/>
      <w:numFmt w:val="lowerRoman"/>
      <w:start w:val="5"/>
    </w:lvl>
  </w:abstractNum>
  <w:abstractNum w:abstractNumId="217">
    <w:nsid w:val="1D206B8E"/>
    <w:multiLevelType w:val="hybridMultilevel"/>
    <w:lvl w:ilvl="0">
      <w:lvlJc w:val="left"/>
      <w:lvlText w:val="(%1)"/>
      <w:numFmt w:val="lowerLetter"/>
      <w:start w:val="3"/>
    </w:lvl>
    <w:lvl w:ilvl="1">
      <w:lvlJc w:val="left"/>
      <w:lvlText w:val="(%2)"/>
      <w:numFmt w:val="lowerRoman"/>
      <w:start w:val="1"/>
    </w:lvl>
  </w:abstractNum>
  <w:abstractNum w:abstractNumId="218">
    <w:nsid w:val="7934D3D4"/>
    <w:multiLevelType w:val="hybridMultilevel"/>
    <w:lvl w:ilvl="0">
      <w:lvlJc w:val="left"/>
      <w:lvlText w:val="(%1)"/>
      <w:numFmt w:val="lowerRoman"/>
      <w:start w:val="3"/>
    </w:lvl>
  </w:abstractNum>
  <w:abstractNum w:abstractNumId="219">
    <w:nsid w:val="1C65E98"/>
    <w:multiLevelType w:val="hybridMultilevel"/>
    <w:lvl w:ilvl="0">
      <w:lvlJc w:val="left"/>
      <w:lvlText w:val="%1"/>
      <w:numFmt w:val="lowerLetter"/>
      <w:start w:val="1"/>
    </w:lvl>
    <w:lvl w:ilvl="1">
      <w:lvlJc w:val="left"/>
      <w:lvlText w:val="(%2)"/>
      <w:numFmt w:val="lowerRoman"/>
      <w:start w:val="5"/>
    </w:lvl>
  </w:abstractNum>
  <w:abstractNum w:abstractNumId="220">
    <w:nsid w:val="1495E50A"/>
    <w:multiLevelType w:val="hybridMultilevel"/>
    <w:lvl w:ilvl="0">
      <w:lvlJc w:val="left"/>
      <w:lvlText w:val="(%1)"/>
      <w:numFmt w:val="lowerLetter"/>
      <w:start w:val="4"/>
    </w:lvl>
    <w:lvl w:ilvl="1">
      <w:lvlJc w:val="left"/>
      <w:lvlText w:val="(%2)"/>
      <w:numFmt w:val="lowerRoman"/>
      <w:start w:val="1"/>
    </w:lvl>
  </w:abstractNum>
  <w:abstractNum w:abstractNumId="221">
    <w:nsid w:val="F5BCF61"/>
    <w:multiLevelType w:val="hybridMultilevel"/>
    <w:lvl w:ilvl="0">
      <w:lvlJc w:val="left"/>
      <w:lvlText w:val="(%1)"/>
      <w:numFmt w:val="lowerLetter"/>
      <w:start w:val="5"/>
    </w:lvl>
    <w:lvl w:ilvl="1">
      <w:lvlJc w:val="left"/>
      <w:lvlText w:val="(%2)"/>
      <w:numFmt w:val="lowerRoman"/>
      <w:start w:val="1"/>
    </w:lvl>
  </w:abstractNum>
  <w:abstractNum w:abstractNumId="222">
    <w:nsid w:val="3B1DD403"/>
    <w:multiLevelType w:val="hybridMultilevel"/>
    <w:lvl w:ilvl="0">
      <w:lvlJc w:val="left"/>
      <w:lvlText w:val="(%1)"/>
      <w:numFmt w:val="lowerLetter"/>
      <w:start w:val="6"/>
    </w:lvl>
  </w:abstractNum>
  <w:abstractNum w:abstractNumId="223">
    <w:nsid w:val="530386D1"/>
    <w:multiLevelType w:val="hybridMultilevel"/>
    <w:lvl w:ilvl="0">
      <w:lvlJc w:val="left"/>
      <w:lvlText w:val="(%1)"/>
      <w:numFmt w:val="lowerLetter"/>
      <w:start w:val="7"/>
    </w:lvl>
    <w:lvl w:ilvl="1">
      <w:lvlJc w:val="left"/>
      <w:lvlText w:val="(%2)"/>
      <w:numFmt w:val="lowerRoman"/>
      <w:start w:val="1"/>
    </w:lvl>
  </w:abstractNum>
  <w:abstractNum w:abstractNumId="224">
    <w:nsid w:val="7525F2BC"/>
    <w:multiLevelType w:val="hybridMultilevel"/>
    <w:lvl w:ilvl="0">
      <w:lvlJc w:val="left"/>
      <w:lvlText w:val="(%1)"/>
      <w:numFmt w:val="lowerRoman"/>
      <w:start w:val="3"/>
    </w:lvl>
  </w:abstractNum>
  <w:abstractNum w:abstractNumId="225">
    <w:nsid w:val="CE8E1A7"/>
    <w:multiLevelType w:val="hybridMultilevel"/>
    <w:lvl w:ilvl="0">
      <w:lvlJc w:val="left"/>
      <w:lvlText w:val="(%1)"/>
      <w:numFmt w:val="lowerLetter"/>
      <w:start w:val="1"/>
    </w:lvl>
  </w:abstractNum>
  <w:abstractNum w:abstractNumId="226">
    <w:nsid w:val="4E9EFB0D"/>
    <w:multiLevelType w:val="hybridMultilevel"/>
    <w:lvl w:ilvl="0">
      <w:lvlJc w:val="left"/>
      <w:lvlText w:val="(%1)"/>
      <w:numFmt w:val="lowerLetter"/>
      <w:start w:val="1"/>
    </w:lvl>
  </w:abstractNum>
  <w:abstractNum w:abstractNumId="227">
    <w:nsid w:val="90802BE"/>
    <w:multiLevelType w:val="hybridMultilevel"/>
    <w:lvl w:ilvl="0">
      <w:lvlJc w:val="left"/>
      <w:lvlText w:val="(%1)"/>
      <w:numFmt w:val="lowerLetter"/>
      <w:start w:val="2"/>
    </w:lvl>
    <w:lvl w:ilvl="1">
      <w:lvlJc w:val="left"/>
      <w:lvlText w:val="(%2)"/>
      <w:numFmt w:val="lowerRoman"/>
      <w:start w:val="1"/>
    </w:lvl>
  </w:abstractNum>
  <w:abstractNum w:abstractNumId="228">
    <w:nsid w:val="3266459B"/>
    <w:multiLevelType w:val="hybridMultilevel"/>
    <w:lvl w:ilvl="0">
      <w:lvlJc w:val="left"/>
      <w:lvlText w:val="(%1)"/>
      <w:numFmt w:val="lowerRoman"/>
      <w:start w:val="3"/>
    </w:lvl>
    <w:lvl w:ilvl="1">
      <w:lvlJc w:val="left"/>
      <w:lvlText w:val="(%2)"/>
      <w:numFmt w:val="upperLetter"/>
      <w:start w:val="1"/>
    </w:lvl>
  </w:abstractNum>
  <w:abstractNum w:abstractNumId="229">
    <w:nsid w:val="3F8B0CBF"/>
    <w:multiLevelType w:val="hybridMultilevel"/>
    <w:lvl w:ilvl="0">
      <w:lvlJc w:val="left"/>
      <w:lvlText w:val="(%1)"/>
      <w:numFmt w:val="lowerRoman"/>
      <w:start w:val="5"/>
    </w:lvl>
  </w:abstractNum>
  <w:abstractNum w:abstractNumId="230">
    <w:nsid w:val="37E203AB"/>
    <w:multiLevelType w:val="hybridMultilevel"/>
    <w:lvl w:ilvl="0">
      <w:lvlJc w:val="left"/>
      <w:lvlText w:val="%1"/>
      <w:numFmt w:val="lowerLetter"/>
      <w:start w:val="1"/>
    </w:lvl>
    <w:lvl w:ilvl="1">
      <w:lvlJc w:val="left"/>
      <w:lvlText w:val="(%2)"/>
      <w:numFmt w:val="lowerLetter"/>
      <w:start w:val="1"/>
    </w:lvl>
  </w:abstractNum>
  <w:abstractNum w:abstractNumId="231">
    <w:nsid w:val="2586D60E"/>
    <w:multiLevelType w:val="hybridMultilevel"/>
    <w:lvl w:ilvl="0">
      <w:lvlJc w:val="left"/>
      <w:lvlText w:val="(%1)"/>
      <w:numFmt w:val="lowerLetter"/>
      <w:start w:val="35"/>
    </w:lvl>
    <w:lvl w:ilvl="1">
      <w:lvlJc w:val="left"/>
      <w:lvlText w:val="(%2)"/>
      <w:numFmt w:val="lowerLetter"/>
      <w:start w:val="2"/>
    </w:lvl>
  </w:abstractNum>
  <w:abstractNum w:abstractNumId="232">
    <w:nsid w:val="1F3DA4D5"/>
    <w:multiLevelType w:val="hybridMultilevel"/>
    <w:lvl w:ilvl="0">
      <w:lvlJc w:val="left"/>
      <w:lvlText w:val="(%1)"/>
      <w:numFmt w:val="lowerLetter"/>
      <w:start w:val="1"/>
    </w:lvl>
  </w:abstractNum>
  <w:abstractNum w:abstractNumId="233">
    <w:nsid w:val="74C93698"/>
    <w:multiLevelType w:val="hybridMultilevel"/>
    <w:lvl w:ilvl="0">
      <w:lvlJc w:val="left"/>
      <w:lvlText w:val="(%1)"/>
      <w:numFmt w:val="lowerLetter"/>
      <w:start w:val="2"/>
    </w:lvl>
  </w:abstractNum>
  <w:abstractNum w:abstractNumId="234">
    <w:nsid w:val="48781401"/>
    <w:multiLevelType w:val="hybridMultilevel"/>
    <w:lvl w:ilvl="0">
      <w:lvlJc w:val="left"/>
      <w:lvlText w:val="(%1)"/>
      <w:numFmt w:val="lowerLetter"/>
      <w:start w:val="1"/>
    </w:lvl>
  </w:abstractNum>
  <w:abstractNum w:abstractNumId="235">
    <w:nsid w:val="186928D6"/>
    <w:multiLevelType w:val="hybridMultilevel"/>
    <w:lvl w:ilvl="0">
      <w:lvlJc w:val="left"/>
      <w:lvlText w:val="(%1)"/>
      <w:numFmt w:val="lowerLetter"/>
      <w:start w:val="2"/>
    </w:lvl>
  </w:abstractNum>
  <w:abstractNum w:abstractNumId="236">
    <w:nsid w:val="47195E5"/>
    <w:multiLevelType w:val="hybridMultilevel"/>
    <w:lvl w:ilvl="0">
      <w:lvlJc w:val="left"/>
      <w:lvlText w:val="(%1)"/>
      <w:numFmt w:val="lowerLetter"/>
      <w:start w:val="1"/>
    </w:lvl>
  </w:abstractNum>
  <w:abstractNum w:abstractNumId="237">
    <w:nsid w:val="3746A5F2"/>
    <w:multiLevelType w:val="hybridMultilevel"/>
    <w:lvl w:ilvl="0">
      <w:lvlJc w:val="left"/>
      <w:lvlText w:val="(%1)"/>
      <w:numFmt w:val="lowerLetter"/>
      <w:start w:val="1"/>
    </w:lvl>
  </w:abstractNum>
  <w:abstractNum w:abstractNumId="238">
    <w:nsid w:val="682DFED6"/>
    <w:multiLevelType w:val="hybridMultilevel"/>
    <w:lvl w:ilvl="0">
      <w:lvlJc w:val="left"/>
      <w:lvlText w:val="(%1)"/>
      <w:numFmt w:val="lowerLetter"/>
      <w:start w:val="2"/>
    </w:lvl>
  </w:abstractNum>
  <w:abstractNum w:abstractNumId="239">
    <w:nsid w:val="606ED7F6"/>
    <w:multiLevelType w:val="hybridMultilevel"/>
    <w:lvl w:ilvl="0">
      <w:lvlJc w:val="left"/>
      <w:lvlText w:val="(%1)"/>
      <w:numFmt w:val="lowerLetter"/>
      <w:start w:val="2"/>
    </w:lvl>
  </w:abstractNum>
  <w:abstractNum w:abstractNumId="240">
    <w:nsid w:val="2D9DF57D"/>
    <w:multiLevelType w:val="hybridMultilevel"/>
    <w:lvl w:ilvl="0">
      <w:lvlJc w:val="left"/>
      <w:lvlText w:val="(%1)"/>
      <w:numFmt w:val="lowerLetter"/>
      <w:start w:val="2"/>
    </w:lvl>
  </w:abstractNum>
  <w:abstractNum w:abstractNumId="241">
    <w:nsid w:val="7FBD7A3E"/>
    <w:multiLevelType w:val="hybridMultilevel"/>
    <w:lvl w:ilvl="0">
      <w:lvlJc w:val="left"/>
      <w:lvlText w:val="(%1)"/>
      <w:numFmt w:val="lowerLetter"/>
      <w:start w:val="4"/>
    </w:lvl>
  </w:abstractNum>
  <w:abstractNum w:abstractNumId="242">
    <w:nsid w:val="490B7C5"/>
    <w:multiLevelType w:val="hybridMultilevel"/>
    <w:lvl w:ilvl="0">
      <w:lvlJc w:val="left"/>
      <w:lvlText w:val="(%1)"/>
      <w:numFmt w:val="lowerLetter"/>
      <w:start w:val="2"/>
    </w:lvl>
  </w:abstractNum>
  <w:abstractNum w:abstractNumId="243">
    <w:nsid w:val="4303A216"/>
    <w:multiLevelType w:val="hybridMultilevel"/>
    <w:lvl w:ilvl="0">
      <w:lvlJc w:val="left"/>
      <w:lvlText w:val="(%1)"/>
      <w:numFmt w:val="lowerLetter"/>
      <w:start w:val="1"/>
    </w:lvl>
  </w:abstractNum>
  <w:abstractNum w:abstractNumId="244">
    <w:nsid w:val="19B8A08E"/>
    <w:multiLevelType w:val="hybridMultilevel"/>
    <w:lvl w:ilvl="0">
      <w:lvlJc w:val="left"/>
      <w:lvlText w:val="(%1)"/>
      <w:numFmt w:val="lowerRoman"/>
      <w:start w:val="2"/>
    </w:lvl>
  </w:abstractNum>
  <w:abstractNum w:abstractNumId="245">
    <w:nsid w:val="54B59621"/>
    <w:multiLevelType w:val="hybridMultilevel"/>
    <w:lvl w:ilvl="0">
      <w:lvlJc w:val="left"/>
      <w:lvlText w:val="(%1)"/>
      <w:numFmt w:val="lowerRoman"/>
      <w:start w:val="10"/>
    </w:lvl>
  </w:abstractNum>
  <w:abstractNum w:abstractNumId="246">
    <w:nsid w:val="5992A02E"/>
    <w:multiLevelType w:val="hybridMultilevel"/>
    <w:lvl w:ilvl="0">
      <w:lvlJc w:val="left"/>
      <w:lvlText w:val="(%1)"/>
      <w:numFmt w:val="lowerLetter"/>
      <w:start w:val="1"/>
    </w:lvl>
  </w:abstractNum>
  <w:abstractNum w:abstractNumId="247">
    <w:nsid w:val="29EF532D"/>
    <w:multiLevelType w:val="hybridMultilevel"/>
    <w:lvl w:ilvl="0">
      <w:lvlJc w:val="left"/>
      <w:lvlText w:val="(%1)"/>
      <w:numFmt w:val="lowerRoman"/>
      <w:start w:val="1"/>
    </w:lvl>
  </w:abstractNum>
  <w:abstractNum w:abstractNumId="248">
    <w:nsid w:val="71D601AF"/>
    <w:multiLevelType w:val="hybridMultilevel"/>
    <w:lvl w:ilvl="0">
      <w:lvlJc w:val="left"/>
      <w:lvlText w:val="%1"/>
      <w:numFmt w:val="lowerLetter"/>
      <w:start w:val="1"/>
    </w:lvl>
    <w:lvl w:ilvl="1">
      <w:lvlJc w:val="left"/>
      <w:lvlText w:val="(%2)"/>
      <w:numFmt w:val="lowerRoman"/>
      <w:start w:val="8"/>
    </w:lvl>
  </w:abstractNum>
  <w:abstractNum w:abstractNumId="249">
    <w:nsid w:val="52C77402"/>
    <w:multiLevelType w:val="hybridMultilevel"/>
    <w:lvl w:ilvl="0">
      <w:lvlJc w:val="left"/>
      <w:lvlText w:val="(%1)"/>
      <w:numFmt w:val="lowerLetter"/>
      <w:start w:val="2"/>
    </w:lvl>
    <w:lvl w:ilvl="1">
      <w:lvlJc w:val="left"/>
      <w:lvlText w:val="%2"/>
      <w:numFmt w:val="lowerRoman"/>
      <w:start w:val="1"/>
    </w:lvl>
  </w:abstractNum>
  <w:abstractNum w:abstractNumId="250">
    <w:nsid w:val="2BB5B1C6"/>
    <w:multiLevelType w:val="hybridMultilevel"/>
    <w:lvl w:ilvl="0">
      <w:lvlJc w:val="left"/>
      <w:lvlText w:val="(%1)"/>
      <w:numFmt w:val="lowerRoman"/>
      <w:start w:val="1"/>
    </w:lvl>
  </w:abstractNum>
  <w:abstractNum w:abstractNumId="251">
    <w:nsid w:val="66BE6B9"/>
    <w:multiLevelType w:val="hybridMultilevel"/>
    <w:lvl w:ilvl="0">
      <w:lvlJc w:val="left"/>
      <w:lvlText w:val="(%1)"/>
      <w:numFmt w:val="lowerLetter"/>
      <w:start w:val="1"/>
    </w:lvl>
  </w:abstractNum>
  <w:abstractNum w:abstractNumId="252">
    <w:nsid w:val="62234363"/>
    <w:multiLevelType w:val="hybridMultilevel"/>
    <w:lvl w:ilvl="0">
      <w:lvlJc w:val="left"/>
      <w:lvlText w:val="(%1)"/>
      <w:numFmt w:val="lowerLetter"/>
      <w:start w:val="1"/>
    </w:lvl>
  </w:abstractNum>
  <w:abstractNum w:abstractNumId="253">
    <w:nsid w:val="66D385C9"/>
    <w:multiLevelType w:val="hybridMultilevel"/>
    <w:lvl w:ilvl="0">
      <w:lvlJc w:val="left"/>
      <w:lvlText w:val="(%1)"/>
      <w:numFmt w:val="lowerLetter"/>
      <w:start w:val="3"/>
    </w:lvl>
  </w:abstractNum>
  <w:abstractNum w:abstractNumId="254">
    <w:nsid w:val="596F6D8A"/>
    <w:multiLevelType w:val="hybridMultilevel"/>
    <w:lvl w:ilvl="0">
      <w:lvlJc w:val="left"/>
      <w:lvlText w:val="(%1)"/>
      <w:numFmt w:val="lowerLetter"/>
      <w:start w:val="1"/>
    </w:lvl>
  </w:abstractNum>
  <w:abstractNum w:abstractNumId="255">
    <w:nsid w:val="5749361F"/>
    <w:multiLevelType w:val="hybridMultilevel"/>
    <w:lvl w:ilvl="0">
      <w:lvlJc w:val="left"/>
      <w:lvlText w:val="(%1)"/>
      <w:numFmt w:val="lowerLetter"/>
      <w:start w:val="1"/>
    </w:lvl>
  </w:abstractNum>
  <w:abstractNum w:abstractNumId="256">
    <w:nsid w:val="73BC6770"/>
    <w:multiLevelType w:val="hybridMultilevel"/>
    <w:lvl w:ilvl="0">
      <w:lvlJc w:val="left"/>
      <w:lvlText w:val="(%1)"/>
      <w:numFmt w:val="lowerLetter"/>
      <w:start w:val="2"/>
    </w:lvl>
  </w:abstractNum>
  <w:abstractNum w:abstractNumId="257">
    <w:nsid w:val="280E6897"/>
    <w:multiLevelType w:val="hybridMultilevel"/>
    <w:lvl w:ilvl="0">
      <w:lvlJc w:val="left"/>
      <w:lvlText w:val="(%1)"/>
      <w:numFmt w:val="lowerLetter"/>
      <w:start w:val="1"/>
    </w:lvl>
  </w:abstractNum>
  <w:abstractNum w:abstractNumId="258">
    <w:nsid w:val="605138DE"/>
    <w:multiLevelType w:val="hybridMultilevel"/>
    <w:lvl w:ilvl="0">
      <w:lvlJc w:val="left"/>
      <w:lvlText w:val="(%1)"/>
      <w:numFmt w:val="lowerLetter"/>
      <w:start w:val="3"/>
    </w:lvl>
  </w:abstractNum>
  <w:abstractNum w:abstractNumId="259">
    <w:nsid w:val="2622AD0C"/>
    <w:multiLevelType w:val="hybridMultilevel"/>
    <w:lvl w:ilvl="0">
      <w:lvlJc w:val="left"/>
      <w:lvlText w:val="%1"/>
      <w:numFmt w:val="lowerLetter"/>
      <w:start w:val="1"/>
    </w:lvl>
    <w:lvl w:ilvl="1">
      <w:lvlJc w:val="left"/>
      <w:lvlText w:val="(%2)"/>
      <w:numFmt w:val="lowerLetter"/>
      <w:start w:val="1"/>
    </w:lvl>
  </w:abstractNum>
  <w:abstractNum w:abstractNumId="260">
    <w:nsid w:val="67997556"/>
    <w:multiLevelType w:val="hybridMultilevel"/>
    <w:lvl w:ilvl="0">
      <w:lvlJc w:val="left"/>
      <w:lvlText w:val="(%1)"/>
      <w:numFmt w:val="lowerLetter"/>
      <w:start w:val="35"/>
    </w:lvl>
    <w:lvl w:ilvl="1">
      <w:lvlJc w:val="left"/>
      <w:lvlText w:val="%2"/>
      <w:numFmt w:val="lowerLetter"/>
      <w:start w:val="1"/>
    </w:lvl>
  </w:abstractNum>
  <w:abstractNum w:abstractNumId="261">
    <w:nsid w:val="18333C89"/>
    <w:multiLevelType w:val="hybridMultilevel"/>
    <w:lvl w:ilvl="0">
      <w:lvlJc w:val="left"/>
      <w:lvlText w:val="(%1)"/>
      <w:numFmt w:val="lowerLetter"/>
      <w:start w:val="2"/>
    </w:lvl>
  </w:abstractNum>
  <w:abstractNum w:abstractNumId="262">
    <w:nsid w:val="4BA9831A"/>
    <w:multiLevelType w:val="hybridMultilevel"/>
    <w:lvl w:ilvl="0">
      <w:lvlJc w:val="left"/>
      <w:lvlText w:val="(%1)"/>
      <w:numFmt w:val="lowerLetter"/>
      <w:start w:val="1"/>
    </w:lvl>
  </w:abstractNum>
  <w:abstractNum w:abstractNumId="263">
    <w:nsid w:val="6D71A2B"/>
    <w:multiLevelType w:val="hybridMultilevel"/>
    <w:lvl w:ilvl="0">
      <w:lvlJc w:val="left"/>
      <w:lvlText w:val="(%1)"/>
      <w:numFmt w:val="lowerLetter"/>
      <w:start w:val="1"/>
    </w:lvl>
  </w:abstractNum>
  <w:abstractNum w:abstractNumId="264">
    <w:nsid w:val="CFC7321"/>
    <w:multiLevelType w:val="hybridMultilevel"/>
    <w:lvl w:ilvl="0">
      <w:lvlJc w:val="left"/>
      <w:lvlText w:val="(%1)"/>
      <w:numFmt w:val="lowerLetter"/>
      <w:start w:val="1"/>
    </w:lvl>
  </w:abstractNum>
  <w:abstractNum w:abstractNumId="265">
    <w:nsid w:val="1421971B"/>
    <w:multiLevelType w:val="hybridMultilevel"/>
    <w:lvl w:ilvl="0">
      <w:lvlJc w:val="left"/>
      <w:lvlText w:val="(%1)"/>
      <w:numFmt w:val="lowerLetter"/>
      <w:start w:val="1"/>
    </w:lvl>
  </w:abstractNum>
  <w:abstractNum w:abstractNumId="266">
    <w:nsid w:val="1F404301"/>
    <w:multiLevelType w:val="hybridMultilevel"/>
    <w:lvl w:ilvl="0">
      <w:lvlJc w:val="left"/>
      <w:lvlText w:val="(%1)"/>
      <w:numFmt w:val="lowerLetter"/>
      <w:start w:val="2"/>
    </w:lvl>
  </w:abstractNum>
  <w:abstractNum w:abstractNumId="267">
    <w:nsid w:val="116E0907"/>
    <w:multiLevelType w:val="hybridMultilevel"/>
    <w:lvl w:ilvl="0">
      <w:lvlJc w:val="left"/>
      <w:lvlText w:val="(%1)"/>
      <w:numFmt w:val="lowerLetter"/>
      <w:start w:val="4"/>
    </w:lvl>
  </w:abstractNum>
  <w:abstractNum w:abstractNumId="268">
    <w:nsid w:val="4B683D0D"/>
    <w:multiLevelType w:val="hybridMultilevel"/>
    <w:lvl w:ilvl="0">
      <w:lvlJc w:val="left"/>
      <w:lvlText w:val="(%1)"/>
      <w:numFmt w:val="lowerLetter"/>
      <w:start w:val="1"/>
    </w:lvl>
  </w:abstractNum>
  <w:abstractNum w:abstractNumId="269">
    <w:nsid w:val="76E41D8"/>
    <w:multiLevelType w:val="hybridMultilevel"/>
    <w:lvl w:ilvl="0">
      <w:lvlJc w:val="left"/>
      <w:lvlText w:val="(%1)"/>
      <w:numFmt w:val="lowerLetter"/>
      <w:start w:val="1"/>
    </w:lvl>
    <w:lvl w:ilvl="1">
      <w:lvlJc w:val="left"/>
      <w:lvlText w:val="(%2)"/>
      <w:numFmt w:val="lowerLetter"/>
      <w:start w:val="9"/>
    </w:lvl>
  </w:abstractNum>
  <w:abstractNum w:abstractNumId="270">
    <w:nsid w:val="71DCE0FD"/>
    <w:multiLevelType w:val="hybridMultilevel"/>
    <w:lvl w:ilvl="0">
      <w:lvlJc w:val="left"/>
      <w:lvlText w:val="(%1)"/>
      <w:numFmt w:val="lowerRoman"/>
      <w:start w:val="2"/>
    </w:lvl>
  </w:abstractNum>
  <w:abstractNum w:abstractNumId="271">
    <w:nsid w:val="7906328B"/>
    <w:multiLevelType w:val="hybridMultilevel"/>
    <w:lvl w:ilvl="0">
      <w:lvlJc w:val="left"/>
      <w:lvlText w:val="(%1)"/>
      <w:numFmt w:val="lowerLetter"/>
      <w:start w:val="2"/>
    </w:lvl>
    <w:lvl w:ilvl="1">
      <w:lvlJc w:val="left"/>
      <w:lvlText w:val="(%2)"/>
      <w:numFmt w:val="lowerRoman"/>
      <w:start w:val="1"/>
    </w:lvl>
  </w:abstractNum>
  <w:abstractNum w:abstractNumId="272">
    <w:nsid w:val="72BBC16"/>
    <w:multiLevelType w:val="hybridMultilevel"/>
    <w:lvl w:ilvl="0">
      <w:lvlJc w:val="left"/>
      <w:lvlText w:val="(%1)"/>
      <w:numFmt w:val="lowerLetter"/>
      <w:start w:val="3"/>
    </w:lvl>
  </w:abstractNum>
  <w:abstractNum w:abstractNumId="273">
    <w:nsid w:val="766D98C2"/>
    <w:multiLevelType w:val="hybridMultilevel"/>
    <w:lvl w:ilvl="0">
      <w:lvlJc w:val="left"/>
      <w:lvlText w:val="(%1)"/>
      <w:numFmt w:val="lowerLetter"/>
      <w:start w:val="5"/>
    </w:lvl>
    <w:lvl w:ilvl="1">
      <w:lvlJc w:val="left"/>
      <w:lvlText w:val="(%2)"/>
      <w:numFmt w:val="lowerRoman"/>
      <w:start w:val="1"/>
    </w:lvl>
  </w:abstractNum>
  <w:abstractNum w:abstractNumId="274">
    <w:nsid w:val="3C09D4A1"/>
    <w:multiLevelType w:val="hybridMultilevel"/>
    <w:lvl w:ilvl="0">
      <w:lvlJc w:val="left"/>
      <w:lvlText w:val="(%1)"/>
      <w:numFmt w:val="lowerLetter"/>
      <w:start w:val="10"/>
    </w:lvl>
  </w:abstractNum>
  <w:abstractNum w:abstractNumId="275">
    <w:nsid w:val="20E45CA4"/>
    <w:multiLevelType w:val="hybridMultilevel"/>
    <w:lvl w:ilvl="0">
      <w:lvlJc w:val="left"/>
      <w:lvlText w:val="(%1)"/>
      <w:numFmt w:val="lowerLetter"/>
      <w:start w:val="1"/>
    </w:lvl>
  </w:abstractNum>
  <w:abstractNum w:abstractNumId="276">
    <w:nsid w:val="4B232EE3"/>
    <w:multiLevelType w:val="hybridMultilevel"/>
    <w:lvl w:ilvl="0">
      <w:lvlJc w:val="left"/>
      <w:lvlText w:val="(%1)"/>
      <w:numFmt w:val="lowerLetter"/>
      <w:start w:val="1"/>
    </w:lvl>
  </w:abstractNum>
  <w:abstractNum w:abstractNumId="277">
    <w:nsid w:val="159C74CF"/>
    <w:multiLevelType w:val="hybridMultilevel"/>
    <w:lvl w:ilvl="0">
      <w:lvlJc w:val="left"/>
      <w:lvlText w:val="(%1)"/>
      <w:numFmt w:val="lowerRoman"/>
      <w:start w:val="1"/>
    </w:lvl>
  </w:abstractNum>
  <w:abstractNum w:abstractNumId="278">
    <w:nsid w:val="4AD3AFD2"/>
    <w:multiLevelType w:val="hybridMultilevel"/>
    <w:lvl w:ilvl="0">
      <w:lvlJc w:val="left"/>
      <w:lvlText w:val="(%1)"/>
      <w:numFmt w:val="lowerLetter"/>
      <w:start w:val="1"/>
    </w:lvl>
    <w:lvl w:ilvl="1">
      <w:lvlJc w:val="left"/>
      <w:lvlText w:val="(%2)"/>
      <w:numFmt w:val="lowerLetter"/>
      <w:start w:val="9"/>
    </w:lvl>
  </w:abstractNum>
  <w:abstractNum w:abstractNumId="279">
    <w:nsid w:val="3CF93092"/>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80">
    <w:nsid w:val="6863E8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81">
    <w:nsid w:val="76896198"/>
    <w:multiLevelType w:val="hybridMultilevel"/>
    <w:lvl w:ilvl="0">
      <w:lvlJc w:val="left"/>
      <w:lvlText w:val="(%1)"/>
      <w:numFmt w:val="lowerRoman"/>
      <w:start w:val="2"/>
    </w:lvl>
  </w:abstractNum>
  <w:abstractNum w:abstractNumId="282">
    <w:nsid w:val="4365174B"/>
    <w:multiLevelType w:val="hybridMultilevel"/>
    <w:lvl w:ilvl="0">
      <w:lvlJc w:val="left"/>
      <w:lvlText w:val="(%1)"/>
      <w:numFmt w:val="lowerLetter"/>
      <w:start w:val="3"/>
    </w:lvl>
  </w:abstractNum>
  <w:abstractNum w:abstractNumId="283">
    <w:nsid w:val="4A872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4">
    <w:nsid w:val="5D5CE76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5">
    <w:nsid w:val="1CD484D5"/>
    <w:multiLevelType w:val="hybridMultilevel"/>
    <w:lvl w:ilvl="0">
      <w:lvlJc w:val="left"/>
      <w:lvlText w:val="(%1)"/>
      <w:numFmt w:val="lowerLetter"/>
      <w:start w:val="5"/>
    </w:lvl>
  </w:abstractNum>
  <w:abstractNum w:abstractNumId="286">
    <w:nsid w:val="21D06255"/>
    <w:multiLevelType w:val="hybridMultilevel"/>
    <w:lvl w:ilvl="0">
      <w:lvlJc w:val="left"/>
      <w:lvlText w:val="(%1)"/>
      <w:numFmt w:val="lowerLetter"/>
      <w:start w:val="1"/>
    </w:lvl>
  </w:abstractNum>
  <w:abstractNum w:abstractNumId="287">
    <w:nsid w:val="51194ED1"/>
    <w:multiLevelType w:val="hybridMultilevel"/>
    <w:lvl w:ilvl="0">
      <w:lvlJc w:val="left"/>
      <w:lvlText w:val="(%1)"/>
      <w:numFmt w:val="lowerLetter"/>
      <w:start w:val="9"/>
    </w:lvl>
  </w:abstractNum>
  <w:abstractNum w:abstractNumId="288">
    <w:nsid w:val="44E2ED6C"/>
    <w:multiLevelType w:val="hybridMultilevel"/>
    <w:lvl w:ilvl="0">
      <w:lvlJc w:val="left"/>
      <w:lvlText w:val="(%1)"/>
      <w:numFmt w:val="lowerLetter"/>
      <w:start w:val="1"/>
    </w:lvl>
  </w:abstractNum>
  <w:abstractNum w:abstractNumId="289">
    <w:nsid w:val="2219B33"/>
    <w:multiLevelType w:val="hybridMultilevel"/>
    <w:lvl w:ilvl="0">
      <w:lvlJc w:val="left"/>
      <w:lvlText w:val="%1"/>
      <w:numFmt w:val="lowerLetter"/>
      <w:start w:val="1"/>
    </w:lvl>
    <w:lvl w:ilvl="1">
      <w:lvlJc w:val="left"/>
      <w:lvlText w:val="(%2)"/>
      <w:numFmt w:val="lowerLetter"/>
      <w:start w:val="2"/>
    </w:lvl>
  </w:abstractNum>
  <w:abstractNum w:abstractNumId="290">
    <w:nsid w:val="773BFBDD"/>
    <w:multiLevelType w:val="hybridMultilevel"/>
    <w:lvl w:ilvl="0">
      <w:lvlJc w:val="left"/>
      <w:lvlText w:val="(%1)"/>
      <w:numFmt w:val="lowerLetter"/>
      <w:start w:val="2"/>
    </w:lvl>
    <w:lvl w:ilvl="1">
      <w:lvlJc w:val="left"/>
      <w:lvlText w:val="(%2)"/>
      <w:numFmt w:val="lowerLetter"/>
      <w:start w:val="5"/>
    </w:lvl>
  </w:abstractNum>
  <w:abstractNum w:abstractNumId="291">
    <w:nsid w:val="2C7C62C2"/>
    <w:multiLevelType w:val="hybridMultilevel"/>
    <w:lvl w:ilvl="0">
      <w:lvlJc w:val="left"/>
      <w:lvlText w:val="(%1)"/>
      <w:numFmt w:val="lowerRoman"/>
      <w:start w:val="6"/>
    </w:lvl>
    <w:lvl w:ilvl="1">
      <w:lvlJc w:val="left"/>
      <w:lvlText w:val="(%2)"/>
      <w:numFmt w:val="lowerLetter"/>
      <w:start w:val="8"/>
    </w:lvl>
  </w:abstractNum>
  <w:abstractNum w:abstractNumId="292">
    <w:nsid w:val="1A54D7BC"/>
    <w:multiLevelType w:val="hybridMultilevel"/>
    <w:lvl w:ilvl="0">
      <w:lvlJc w:val="left"/>
      <w:lvlText w:val="(%1)"/>
      <w:numFmt w:val="lowerLetter"/>
      <w:start w:val="12"/>
    </w:lvl>
  </w:abstractNum>
  <w:abstractNum w:abstractNumId="293">
    <w:nsid w:val="42E57EF7"/>
    <w:multiLevelType w:val="hybridMultilevel"/>
    <w:lvl w:ilvl="0">
      <w:lvlJc w:val="left"/>
      <w:lvlText w:val="(%1)"/>
      <w:numFmt w:val="lowerLetter"/>
      <w:start w:val="1"/>
    </w:lvl>
  </w:abstractNum>
  <w:abstractNum w:abstractNumId="294">
    <w:nsid w:val="33537CED"/>
    <w:multiLevelType w:val="hybridMultilevel"/>
    <w:lvl w:ilvl="0">
      <w:lvlJc w:val="left"/>
      <w:lvlText w:val="(%1)"/>
      <w:numFmt w:val="lowerLetter"/>
      <w:start w:val="2"/>
    </w:lvl>
  </w:abstractNum>
  <w:abstractNum w:abstractNumId="295">
    <w:nsid w:val="27514ADE"/>
    <w:multiLevelType w:val="hybridMultilevel"/>
    <w:lvl w:ilvl="0">
      <w:lvlJc w:val="left"/>
      <w:lvlText w:val="(%1)"/>
      <w:numFmt w:val="lowerLetter"/>
      <w:start w:val="2"/>
    </w:lvl>
  </w:abstractNum>
  <w:abstractNum w:abstractNumId="296">
    <w:nsid w:val="57071613"/>
    <w:multiLevelType w:val="hybridMultilevel"/>
    <w:lvl w:ilvl="0">
      <w:lvlJc w:val="left"/>
      <w:lvlText w:val="(%1)"/>
      <w:numFmt w:val="lowerLetter"/>
      <w:start w:val="1"/>
    </w:lvl>
  </w:abstractNum>
  <w:abstractNum w:abstractNumId="297">
    <w:nsid w:val="5293BFEF"/>
    <w:multiLevelType w:val="hybridMultilevel"/>
    <w:lvl w:ilvl="0">
      <w:lvlJc w:val="left"/>
      <w:lvlText w:val="(%1)"/>
      <w:numFmt w:val="lowerLetter"/>
      <w:start w:val="1"/>
    </w:lvl>
  </w:abstractNum>
  <w:abstractNum w:abstractNumId="298">
    <w:nsid w:val="38BF53E5"/>
    <w:multiLevelType w:val="hybridMultilevel"/>
    <w:lvl w:ilvl="0">
      <w:lvlJc w:val="left"/>
      <w:lvlText w:val="(%1)"/>
      <w:numFmt w:val="lowerRoman"/>
      <w:start w:val="1"/>
    </w:lvl>
  </w:abstractNum>
  <w:abstractNum w:abstractNumId="299">
    <w:nsid w:val="226F5320"/>
    <w:multiLevelType w:val="hybridMultilevel"/>
    <w:lvl w:ilvl="0">
      <w:lvlJc w:val="left"/>
      <w:lvlText w:val="(%1)"/>
      <w:numFmt w:val="lowerLetter"/>
      <w:start w:val="35"/>
    </w:lvl>
    <w:lvl w:ilvl="1">
      <w:lvlJc w:val="left"/>
      <w:lvlText w:val="(%2)"/>
      <w:numFmt w:val="lowerLetter"/>
      <w:start w:val="2"/>
    </w:lvl>
  </w:abstractNum>
  <w:abstractNum w:abstractNumId="300">
    <w:nsid w:val="5A0201C7"/>
    <w:multiLevelType w:val="hybridMultilevel"/>
    <w:lvl w:ilvl="0">
      <w:lvlJc w:val="left"/>
      <w:lvlText w:val="(%1)"/>
      <w:numFmt w:val="lowerLetter"/>
      <w:start w:val="4"/>
    </w:lvl>
    <w:lvl w:ilvl="1">
      <w:lvlJc w:val="left"/>
      <w:lvlText w:val="(%2)"/>
      <w:numFmt w:val="lowerLetter"/>
      <w:start w:val="2"/>
    </w:lvl>
  </w:abstractNum>
  <w:abstractNum w:abstractNumId="301">
    <w:nsid w:val="2A9C34E2"/>
    <w:multiLevelType w:val="hybridMultilevel"/>
    <w:lvl w:ilvl="0">
      <w:lvlJc w:val="left"/>
      <w:lvlText w:val="(%1)"/>
      <w:numFmt w:val="lowerLetter"/>
      <w:start w:val="3"/>
    </w:lvl>
  </w:abstractNum>
  <w:abstractNum w:abstractNumId="302">
    <w:nsid w:val="1B7585AB"/>
    <w:multiLevelType w:val="hybridMultilevel"/>
    <w:lvl w:ilvl="0">
      <w:lvlJc w:val="left"/>
      <w:lvlText w:val="(%1)"/>
      <w:numFmt w:val="lowerLetter"/>
      <w:start w:val="6"/>
    </w:lvl>
  </w:abstractNum>
  <w:abstractNum w:abstractNumId="303">
    <w:nsid w:val="612DBDDD"/>
    <w:multiLevelType w:val="hybridMultilevel"/>
    <w:lvl w:ilvl="0">
      <w:lvlJc w:val="left"/>
      <w:lvlText w:val="(%1)"/>
      <w:numFmt w:val="lowerLetter"/>
      <w:start w:val="23"/>
    </w:lvl>
  </w:abstractNum>
  <w:abstractNum w:abstractNumId="304">
    <w:nsid w:val="2109CDA4"/>
    <w:multiLevelType w:val="hybridMultilevel"/>
    <w:lvl w:ilvl="0">
      <w:lvlJc w:val="left"/>
      <w:lvlText w:val="(%1)"/>
      <w:numFmt w:val="lowerLetter"/>
      <w:start w:val="1"/>
    </w:lvl>
    <w:lvl w:ilvl="1">
      <w:lvlJc w:val="left"/>
      <w:lvlText w:val="(%2)"/>
      <w:numFmt w:val="lowerLetter"/>
      <w:start w:val="9"/>
    </w:lvl>
  </w:abstractNum>
  <w:abstractNum w:abstractNumId="305">
    <w:nsid w:val="577F5A4D"/>
    <w:multiLevelType w:val="hybridMultilevel"/>
    <w:lvl w:ilvl="0">
      <w:lvlJc w:val="left"/>
      <w:lvlText w:val="(%1)"/>
      <w:numFmt w:val="lowerRoman"/>
      <w:start w:val="2"/>
    </w:lvl>
  </w:abstractNum>
  <w:abstractNum w:abstractNumId="306">
    <w:nsid w:val="2121A81"/>
    <w:multiLevelType w:val="hybridMultilevel"/>
    <w:lvl w:ilvl="0">
      <w:lvlJc w:val="left"/>
      <w:lvlText w:val="(%1)"/>
      <w:numFmt w:val="lowerLetter"/>
      <w:start w:val="3"/>
    </w:lvl>
  </w:abstractNum>
  <w:abstractNum w:abstractNumId="307">
    <w:nsid w:val="6C2CFC88"/>
    <w:multiLevelType w:val="hybridMultilevel"/>
    <w:lvl w:ilvl="0">
      <w:lvlJc w:val="left"/>
      <w:lvlText w:val="(%1)"/>
      <w:numFmt w:val="upperLetter"/>
      <w:start w:val="1"/>
    </w:lvl>
    <w:lvl w:ilvl="1">
      <w:lvlJc w:val="left"/>
      <w:lvlText w:val="(%2)"/>
      <w:numFmt w:val="lowerRoman"/>
      <w:start w:val="2"/>
    </w:lvl>
  </w:abstractNum>
  <w:abstractNum w:abstractNumId="308">
    <w:nsid w:val="6D1BCF1C"/>
    <w:multiLevelType w:val="hybridMultilevel"/>
    <w:lvl w:ilvl="0">
      <w:lvlJc w:val="left"/>
      <w:lvlText w:val="%1"/>
      <w:numFmt w:val="lowerLetter"/>
      <w:start w:val="1"/>
    </w:lvl>
    <w:lvl w:ilvl="1">
      <w:lvlJc w:val="left"/>
      <w:lvlText w:val="(%2)"/>
      <w:numFmt w:val="lowerRoman"/>
      <w:start w:val="3"/>
    </w:lvl>
  </w:abstractNum>
  <w:abstractNum w:abstractNumId="309">
    <w:nsid w:val="4CE5CA53"/>
    <w:multiLevelType w:val="hybridMultilevel"/>
    <w:lvl w:ilvl="0">
      <w:lvlJc w:val="left"/>
      <w:lvlText w:val="(%1)"/>
      <w:numFmt w:val="lowerLetter"/>
      <w:start w:val="2"/>
    </w:lvl>
    <w:lvl w:ilvl="1">
      <w:lvlJc w:val="left"/>
      <w:lvlText w:val="%2"/>
      <w:numFmt w:val="lowerRoman"/>
      <w:start w:val="1"/>
    </w:lvl>
  </w:abstractNum>
  <w:abstractNum w:abstractNumId="310">
    <w:nsid w:val="29262D1A"/>
    <w:multiLevelType w:val="hybridMultilevel"/>
    <w:lvl w:ilvl="0">
      <w:lvlJc w:val="left"/>
      <w:lvlText w:val="(%1)"/>
      <w:numFmt w:val="lowerLetter"/>
      <w:start w:val="2"/>
    </w:lvl>
    <w:lvl w:ilvl="1">
      <w:lvlJc w:val="left"/>
      <w:lvlText w:val="(%2)"/>
      <w:numFmt w:val="lowerLetter"/>
      <w:start w:val="9"/>
    </w:lvl>
  </w:abstractNum>
  <w:abstractNum w:abstractNumId="311">
    <w:nsid w:val="557FB7EE"/>
    <w:multiLevelType w:val="hybridMultilevel"/>
    <w:lvl w:ilvl="0">
      <w:lvlJc w:val="left"/>
      <w:lvlText w:val="(%1)"/>
      <w:numFmt w:val="lowerRoman"/>
      <w:start w:val="2"/>
    </w:lvl>
  </w:abstractNum>
  <w:abstractNum w:abstractNumId="312">
    <w:nsid w:val="436F2BEB"/>
    <w:multiLevelType w:val="hybridMultilevel"/>
    <w:lvl w:ilvl="0">
      <w:lvlJc w:val="left"/>
      <w:lvlText w:val="(%1)"/>
      <w:numFmt w:val="lowerRoman"/>
      <w:start w:val="3"/>
    </w:lvl>
  </w:abstractNum>
  <w:abstractNum w:abstractNumId="313">
    <w:nsid w:val="6C8B4466"/>
    <w:multiLevelType w:val="hybridMultilevel"/>
    <w:lvl w:ilvl="0">
      <w:lvlJc w:val="left"/>
      <w:lvlText w:val="(%1)"/>
      <w:numFmt w:val="lowerLetter"/>
      <w:start w:val="1"/>
    </w:lvl>
  </w:abstractNum>
  <w:abstractNum w:abstractNumId="314">
    <w:nsid w:val="2006E424"/>
    <w:multiLevelType w:val="hybridMultilevel"/>
    <w:lvl w:ilvl="0">
      <w:lvlJc w:val="left"/>
      <w:lvlText w:val="(%1)"/>
      <w:numFmt w:val="lowerLetter"/>
      <w:start w:val="2"/>
    </w:lvl>
  </w:abstractNum>
  <w:abstractNum w:abstractNumId="315">
    <w:nsid w:val="20CC134C"/>
    <w:multiLevelType w:val="hybridMultilevel"/>
    <w:lvl w:ilvl="0">
      <w:lvlJc w:val="left"/>
      <w:lvlText w:val="(%1)"/>
      <w:numFmt w:val="lowerLetter"/>
      <w:start w:val="1"/>
    </w:lvl>
  </w:abstractNum>
  <w:abstractNum w:abstractNumId="316">
    <w:nsid w:val="95FC93B"/>
    <w:multiLevelType w:val="hybridMultilevel"/>
    <w:lvl w:ilvl="0">
      <w:lvlJc w:val="left"/>
      <w:lvlText w:val="(%1)"/>
      <w:numFmt w:val="lowerLetter"/>
      <w:start w:val="5"/>
    </w:lvl>
  </w:abstractNum>
  <w:abstractNum w:abstractNumId="317">
    <w:nsid w:val="41D74679"/>
    <w:multiLevelType w:val="hybridMultilevel"/>
    <w:lvl w:ilvl="0">
      <w:lvlJc w:val="left"/>
      <w:lvlText w:val="A"/>
      <w:numFmt w:val="bullet"/>
      <w:start w:val="1"/>
    </w:lvl>
  </w:abstractNum>
  <w:abstractNum w:abstractNumId="318">
    <w:nsid w:val="71E5621E"/>
    <w:multiLevelType w:val="hybridMultilevel"/>
    <w:lvl w:ilvl="0">
      <w:lvlJc w:val="left"/>
      <w:lvlText w:val="A"/>
      <w:numFmt w:val="bullet"/>
      <w:start w:val="1"/>
    </w:lvl>
  </w:abstractNum>
  <w:abstractNum w:abstractNumId="319">
    <w:nsid w:val="4E42B6A8"/>
    <w:multiLevelType w:val="hybridMultilevel"/>
    <w:lvl w:ilvl="0">
      <w:lvlJc w:val="left"/>
      <w:lvlText w:val="B"/>
      <w:numFmt w:val="bullet"/>
      <w:start w:val="1"/>
    </w:lvl>
  </w:abstractNum>
  <w:abstractNum w:abstractNumId="320">
    <w:nsid w:val="43F8E1AC"/>
    <w:multiLevelType w:val="hybridMultilevel"/>
    <w:lvl w:ilvl="0">
      <w:lvlJc w:val="left"/>
      <w:lvlText w:val="D"/>
      <w:numFmt w:val="bullet"/>
      <w:start w:val="1"/>
    </w:lvl>
  </w:abstractNum>
  <w:abstractNum w:abstractNumId="321">
    <w:nsid w:val="69215DFB"/>
    <w:multiLevelType w:val="hybridMultilevel"/>
    <w:lvl w:ilvl="0">
      <w:lvlJc w:val="left"/>
      <w:lvlText w:val="E"/>
      <w:numFmt w:val="bullet"/>
      <w:start w:val="1"/>
    </w:lvl>
  </w:abstractNum>
  <w:abstractNum w:abstractNumId="322">
    <w:nsid w:val="7ABF196A"/>
    <w:multiLevelType w:val="hybridMultilevel"/>
    <w:lvl w:ilvl="0">
      <w:lvlJc w:val="left"/>
      <w:lvlText w:val="F"/>
      <w:numFmt w:val="bullet"/>
      <w:start w:val="1"/>
    </w:lvl>
  </w:abstractNum>
  <w:abstractNum w:abstractNumId="323">
    <w:nsid w:val="5E4DB968"/>
    <w:multiLevelType w:val="hybridMultilevel"/>
    <w:lvl w:ilvl="0">
      <w:lvlJc w:val="left"/>
      <w:lvlText w:val="G"/>
      <w:numFmt w:val="bullet"/>
      <w:start w:val="1"/>
    </w:lvl>
  </w:abstractNum>
  <w:abstractNum w:abstractNumId="324">
    <w:nsid w:val="2C06DCF3"/>
    <w:multiLevelType w:val="hybridMultilevel"/>
    <w:lvl w:ilvl="0">
      <w:lvlJc w:val="left"/>
      <w:lvlText w:val="H"/>
      <w:numFmt w:val="bullet"/>
      <w:start w:val="1"/>
    </w:lvl>
  </w:abstractNum>
  <w:abstractNum w:abstractNumId="325">
    <w:nsid w:val="2E129658"/>
    <w:multiLevelType w:val="hybridMultilevel"/>
    <w:lvl w:ilvl="0">
      <w:lvlJc w:val="left"/>
      <w:lvlText w:val="(%1)"/>
      <w:numFmt w:val="lowerRoman"/>
      <w:start w:val="1"/>
    </w:lvl>
  </w:abstractNum>
  <w:abstractNum w:abstractNumId="326">
    <w:nsid w:val="59F0446"/>
    <w:multiLevelType w:val="hybridMultilevel"/>
    <w:lvl w:ilvl="0">
      <w:lvlJc w:val="left"/>
      <w:lvlText w:val="(%1)"/>
      <w:numFmt w:val="lowerLetter"/>
      <w:start w:val="1"/>
    </w:lvl>
    <w:lvl w:ilvl="1">
      <w:lvlJc w:val="left"/>
      <w:lvlText w:val="(%2)"/>
      <w:numFmt w:val="lowerLetter"/>
      <w:start w:val="9"/>
    </w:lvl>
  </w:abstractNum>
  <w:abstractNum w:abstractNumId="327">
    <w:nsid w:val="30DF306"/>
    <w:multiLevelType w:val="hybridMultilevel"/>
    <w:lvl w:ilvl="0">
      <w:lvlJc w:val="left"/>
      <w:lvlText w:val="%1"/>
      <w:numFmt w:val="lowerLetter"/>
      <w:start w:val="1"/>
    </w:lvl>
    <w:lvl w:ilvl="1">
      <w:lvlJc w:val="left"/>
      <w:lvlText w:val="(%2)"/>
      <w:numFmt w:val="lowerLetter"/>
      <w:start w:val="35"/>
    </w:lvl>
  </w:abstractNum>
  <w:abstractNum w:abstractNumId="328">
    <w:nsid w:val="A65647"/>
    <w:multiLevelType w:val="hybridMultilevel"/>
    <w:lvl w:ilvl="0">
      <w:lvlJc w:val="left"/>
      <w:lvlText w:val="(%1)"/>
      <w:numFmt w:val="lowerLetter"/>
      <w:start w:val="2"/>
    </w:lvl>
    <w:lvl w:ilvl="1">
      <w:lvlJc w:val="left"/>
      <w:lvlText w:val="%2"/>
      <w:numFmt w:val="lowerLetter"/>
      <w:start w:val="1"/>
    </w:lvl>
  </w:abstractNum>
  <w:abstractNum w:abstractNumId="329">
    <w:nsid w:val="3E5E582B"/>
    <w:multiLevelType w:val="hybridMultilevel"/>
    <w:lvl w:ilvl="0">
      <w:lvlJc w:val="left"/>
      <w:lvlText w:val="(%1)"/>
      <w:numFmt w:val="lowerLetter"/>
      <w:start w:val="7"/>
    </w:lvl>
  </w:abstractNum>
  <w:abstractNum w:abstractNumId="330">
    <w:nsid w:val="257D4626"/>
    <w:multiLevelType w:val="hybridMultilevel"/>
    <w:lvl w:ilvl="0">
      <w:lvlJc w:val="left"/>
      <w:lvlText w:val="(%1)"/>
      <w:numFmt w:val="lowerLetter"/>
      <w:start w:val="1"/>
    </w:lvl>
  </w:abstractNum>
  <w:abstractNum w:abstractNumId="331">
    <w:nsid w:val="5AA8580E"/>
    <w:multiLevelType w:val="hybridMultilevel"/>
    <w:lvl w:ilvl="0">
      <w:lvlJc w:val="left"/>
      <w:lvlText w:val="(%1)"/>
      <w:numFmt w:val="lowerRoman"/>
      <w:start w:val="1"/>
    </w:lvl>
  </w:abstractNum>
  <w:abstractNum w:abstractNumId="332">
    <w:nsid w:val="68FA8D0D"/>
    <w:multiLevelType w:val="hybridMultilevel"/>
    <w:lvl w:ilvl="0">
      <w:lvlJc w:val="left"/>
      <w:lvlText w:val="(%1)"/>
      <w:numFmt w:val="lowerRoman"/>
      <w:start w:val="3"/>
    </w:lvl>
  </w:abstractNum>
  <w:abstractNum w:abstractNumId="333">
    <w:nsid w:val="40F2CBD2"/>
    <w:multiLevelType w:val="hybridMultilevel"/>
    <w:lvl w:ilvl="0">
      <w:lvlJc w:val="left"/>
      <w:lvlText w:val="(%1)"/>
      <w:numFmt w:val="lowerLetter"/>
      <w:start w:val="1"/>
    </w:lvl>
  </w:abstractNum>
  <w:abstractNum w:abstractNumId="334">
    <w:nsid w:val="3BD615EB"/>
    <w:multiLevelType w:val="hybridMultilevel"/>
    <w:lvl w:ilvl="0">
      <w:lvlJc w:val="left"/>
      <w:lvlText w:val="(%1)"/>
      <w:numFmt w:val="lowerRoman"/>
      <w:start w:val="3"/>
    </w:lvl>
  </w:abstractNum>
  <w:abstractNum w:abstractNumId="335">
    <w:nsid w:val="A045AB2"/>
    <w:multiLevelType w:val="hybridMultilevel"/>
    <w:lvl w:ilvl="0">
      <w:lvlJc w:val="left"/>
      <w:lvlText w:val="(%1)"/>
      <w:numFmt w:val="lowerLetter"/>
      <w:start w:val="1"/>
    </w:lvl>
    <w:lvl w:ilvl="1">
      <w:lvlJc w:val="left"/>
      <w:lvlText w:val="(%2)"/>
      <w:numFmt w:val="lowerRoman"/>
      <w:start w:val="2"/>
    </w:lvl>
  </w:abstractNum>
  <w:abstractNum w:abstractNumId="336">
    <w:nsid w:val="1872261F"/>
    <w:multiLevelType w:val="hybridMultilevel"/>
    <w:lvl w:ilvl="0">
      <w:lvlJc w:val="left"/>
      <w:lvlText w:val="(%1)"/>
      <w:numFmt w:val="lowerLetter"/>
      <w:start w:val="2"/>
    </w:lvl>
  </w:abstractNum>
  <w:abstractNum w:abstractNumId="337">
    <w:nsid w:val="3DE8306C"/>
    <w:multiLevelType w:val="hybridMultilevel"/>
    <w:lvl w:ilvl="0">
      <w:lvlJc w:val="left"/>
      <w:lvlText w:val="(%1)"/>
      <w:numFmt w:val="lowerLetter"/>
      <w:start w:val="1"/>
    </w:lvl>
    <w:lvl w:ilvl="1">
      <w:lvlJc w:val="left"/>
      <w:lvlText w:val="(%2)"/>
      <w:numFmt w:val="lowerLetter"/>
      <w:start w:val="9"/>
    </w:lvl>
  </w:abstractNum>
  <w:abstractNum w:abstractNumId="338">
    <w:nsid w:val="7631573A"/>
    <w:multiLevelType w:val="hybridMultilevel"/>
    <w:lvl w:ilvl="0">
      <w:lvlJc w:val="left"/>
      <w:lvlText w:val="(%1)"/>
      <w:numFmt w:val="upperLetter"/>
      <w:start w:val="1"/>
    </w:lvl>
  </w:abstractNum>
  <w:abstractNum w:abstractNumId="339">
    <w:nsid w:val="58DF53B"/>
    <w:multiLevelType w:val="hybridMultilevel"/>
    <w:lvl w:ilvl="0">
      <w:lvlJc w:val="left"/>
      <w:lvlText w:val="(%1)"/>
      <w:numFmt w:val="lowerRoman"/>
      <w:start w:val="2"/>
    </w:lvl>
    <w:lvl w:ilvl="1">
      <w:lvlJc w:val="left"/>
      <w:lvlText w:val="(%2)"/>
      <w:numFmt w:val="upperLetter"/>
      <w:start w:val="1"/>
    </w:lvl>
  </w:abstractNum>
  <w:abstractNum w:abstractNumId="340">
    <w:nsid w:val="ACDFA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41">
    <w:nsid w:val="1F57845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42">
    <w:nsid w:val="5B0DAD2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3">
    <w:nsid w:val="4E3D26AB"/>
    <w:multiLevelType w:val="hybridMultilevel"/>
    <w:lvl w:ilvl="0">
      <w:lvlJc w:val="left"/>
      <w:lvlText w:val="(%1)"/>
      <w:numFmt w:val="lowerRoman"/>
      <w:start w:val="2"/>
    </w:lvl>
  </w:abstractNum>
  <w:abstractNum w:abstractNumId="344">
    <w:nsid w:val="BE2C8BA"/>
    <w:multiLevelType w:val="hybridMultilevel"/>
    <w:lvl w:ilvl="0">
      <w:lvlJc w:val="left"/>
      <w:lvlText w:val="%1"/>
      <w:numFmt w:val="lowerLetter"/>
      <w:start w:val="1"/>
    </w:lvl>
    <w:lvl w:ilvl="1">
      <w:lvlJc w:val="left"/>
      <w:lvlText w:val="(%2)"/>
      <w:numFmt w:val="lowerRoman"/>
      <w:start w:val="5"/>
    </w:lvl>
  </w:abstractNum>
  <w:abstractNum w:abstractNumId="345">
    <w:nsid w:val="7B14914E"/>
    <w:multiLevelType w:val="hybridMultilevel"/>
    <w:lvl w:ilvl="0">
      <w:lvlJc w:val="left"/>
      <w:lvlText w:val="(%1)"/>
      <w:numFmt w:val="lowerLetter"/>
      <w:start w:val="3"/>
    </w:lvl>
    <w:lvl w:ilvl="1">
      <w:lvlJc w:val="left"/>
      <w:lvlText w:val="(%2)"/>
      <w:numFmt w:val="lowerRoman"/>
      <w:start w:val="1"/>
    </w:lvl>
  </w:abstractNum>
  <w:abstractNum w:abstractNumId="346">
    <w:nsid w:val="6F0939F8"/>
    <w:multiLevelType w:val="hybridMultilevel"/>
    <w:lvl w:ilvl="0">
      <w:lvlJc w:val="left"/>
      <w:lvlText w:val="(%1)"/>
      <w:numFmt w:val="lowerRoman"/>
      <w:start w:val="2"/>
    </w:lvl>
  </w:abstractNum>
  <w:abstractNum w:abstractNumId="347">
    <w:nsid w:val="154291F6"/>
    <w:multiLevelType w:val="hybridMultilevel"/>
    <w:lvl w:ilvl="0">
      <w:lvlJc w:val="left"/>
      <w:lvlText w:val="%1"/>
      <w:numFmt w:val="lowerLetter"/>
      <w:start w:val="1"/>
    </w:lvl>
    <w:lvl w:ilvl="1">
      <w:lvlJc w:val="left"/>
      <w:lvlText w:val="(%2)"/>
      <w:numFmt w:val="lowerRoman"/>
      <w:start w:val="4"/>
    </w:lvl>
  </w:abstractNum>
  <w:abstractNum w:abstractNumId="348">
    <w:nsid w:val="3CEBD7C7"/>
    <w:multiLevelType w:val="hybridMultilevel"/>
    <w:lvl w:ilvl="0">
      <w:lvlJc w:val="left"/>
      <w:lvlText w:val="(%1)"/>
      <w:numFmt w:val="lowerLetter"/>
      <w:start w:val="4"/>
    </w:lvl>
    <w:lvl w:ilvl="1">
      <w:lvlJc w:val="left"/>
      <w:lvlText w:val="(%2)"/>
      <w:numFmt w:val="lowerRoman"/>
      <w:start w:val="1"/>
    </w:lvl>
  </w:abstractNum>
  <w:abstractNum w:abstractNumId="349">
    <w:nsid w:val="60EE9C16"/>
    <w:multiLevelType w:val="hybridMultilevel"/>
    <w:lvl w:ilvl="0">
      <w:lvlJc w:val="left"/>
      <w:lvlText w:val="%1"/>
      <w:numFmt w:val="lowerLetter"/>
      <w:start w:val="1"/>
    </w:lvl>
    <w:lvl w:ilvl="1">
      <w:lvlJc w:val="left"/>
      <w:lvlText w:val="(%2)"/>
      <w:numFmt w:val="lowerLetter"/>
      <w:start w:val="35"/>
    </w:lvl>
  </w:abstractNum>
  <w:abstractNum w:abstractNumId="350">
    <w:nsid w:val="6385489E"/>
    <w:multiLevelType w:val="hybridMultilevel"/>
    <w:lvl w:ilvl="0">
      <w:lvlJc w:val="left"/>
      <w:lvlText w:val="(%1)"/>
      <w:numFmt w:val="lowerLetter"/>
      <w:start w:val="5"/>
    </w:lvl>
    <w:lvl w:ilvl="1">
      <w:lvlJc w:val="left"/>
      <w:lvlText w:val="(%2)"/>
      <w:numFmt w:val="lowerLetter"/>
      <w:start w:val="9"/>
    </w:lvl>
  </w:abstractNum>
  <w:abstractNum w:abstractNumId="351">
    <w:nsid w:val="E4B973"/>
    <w:multiLevelType w:val="hybridMultilevel"/>
    <w:lvl w:ilvl="0">
      <w:lvlJc w:val="left"/>
      <w:lvlText w:val="(%1)"/>
      <w:numFmt w:val="lowerRoman"/>
      <w:start w:val="2"/>
    </w:lvl>
  </w:abstractNum>
  <w:abstractNum w:abstractNumId="352">
    <w:nsid w:val="4A0FFA11"/>
    <w:multiLevelType w:val="hybridMultilevel"/>
    <w:lvl w:ilvl="0">
      <w:lvlJc w:val="left"/>
      <w:lvlText w:val="(%1)"/>
      <w:numFmt w:val="lowerLetter"/>
      <w:start w:val="6"/>
    </w:lvl>
  </w:abstractNum>
  <w:abstractNum w:abstractNumId="353">
    <w:nsid w:val="5E446208"/>
    <w:multiLevelType w:val="hybridMultilevel"/>
    <w:lvl w:ilvl="0">
      <w:lvlJc w:val="left"/>
      <w:lvlText w:val="(%1)"/>
      <w:numFmt w:val="lowerLetter"/>
      <w:start w:val="7"/>
    </w:lvl>
    <w:lvl w:ilvl="1">
      <w:lvlJc w:val="left"/>
      <w:lvlText w:val="(%2)"/>
      <w:numFmt w:val="lowerLetter"/>
      <w:start w:val="9"/>
    </w:lvl>
  </w:abstractNum>
  <w:abstractNum w:abstractNumId="354">
    <w:nsid w:val="5F3272DB"/>
    <w:multiLevelType w:val="hybridMultilevel"/>
    <w:lvl w:ilvl="0">
      <w:lvlJc w:val="left"/>
      <w:lvlText w:val="(%1)"/>
      <w:numFmt w:val="lowerRoman"/>
      <w:start w:val="2"/>
    </w:lvl>
  </w:abstractNum>
  <w:abstractNum w:abstractNumId="355">
    <w:nsid w:val="7616D704"/>
    <w:multiLevelType w:val="hybridMultilevel"/>
    <w:lvl w:ilvl="0">
      <w:lvlJc w:val="left"/>
      <w:lvlText w:val="(%1)"/>
      <w:numFmt w:val="lowerLetter"/>
      <w:start w:val="1"/>
    </w:lvl>
  </w:abstractNum>
  <w:abstractNum w:abstractNumId="356">
    <w:nsid w:val="C56F860"/>
    <w:multiLevelType w:val="hybridMultilevel"/>
    <w:lvl w:ilvl="0">
      <w:lvlJc w:val="left"/>
      <w:lvlText w:val="(%1)"/>
      <w:numFmt w:val="lowerLetter"/>
      <w:start w:val="1"/>
    </w:lvl>
    <w:lvl w:ilvl="1">
      <w:lvlJc w:val="left"/>
      <w:lvlText w:val="(%2)"/>
      <w:numFmt w:val="lowerRoman"/>
      <w:start w:val="1"/>
    </w:lvl>
  </w:abstractNum>
  <w:abstractNum w:abstractNumId="357">
    <w:nsid w:val="64D17722"/>
    <w:multiLevelType w:val="hybridMultilevel"/>
    <w:lvl w:ilvl="0">
      <w:lvlJc w:val="left"/>
      <w:lvlText w:val="(%1)"/>
      <w:numFmt w:val="lowerRoman"/>
      <w:start w:val="3"/>
    </w:lvl>
    <w:lvl w:ilvl="1">
      <w:lvlJc w:val="left"/>
      <w:lvlText w:val="(%2)"/>
      <w:numFmt w:val="upperLetter"/>
      <w:start w:val="1"/>
    </w:lvl>
  </w:abstractNum>
  <w:abstractNum w:abstractNumId="358">
    <w:nsid w:val="7924CA0A"/>
    <w:multiLevelType w:val="hybridMultilevel"/>
    <w:lvl w:ilvl="0">
      <w:lvlJc w:val="left"/>
      <w:lvlText w:val="%1"/>
      <w:numFmt w:val="lowerRoman"/>
      <w:start w:val="1"/>
    </w:lvl>
    <w:lvl w:ilvl="1">
      <w:lvlJc w:val="left"/>
      <w:lvlText w:val="(%2)"/>
      <w:numFmt w:val="upperLetter"/>
      <w:start w:val="3"/>
    </w:lvl>
  </w:abstractNum>
  <w:abstractNum w:abstractNumId="359">
    <w:nsid w:val="CFD4EA7"/>
    <w:multiLevelType w:val="hybridMultilevel"/>
    <w:lvl w:ilvl="0">
      <w:lvlJc w:val="left"/>
      <w:lvlText w:val="(%1)"/>
      <w:numFmt w:val="lowerRoman"/>
      <w:start w:val="5"/>
    </w:lvl>
    <w:lvl w:ilvl="1">
      <w:lvlJc w:val="left"/>
      <w:lvlText w:val="%2"/>
      <w:numFmt w:val="upperLetter"/>
      <w:start w:val="1"/>
    </w:lvl>
  </w:abstractNum>
  <w:abstractNum w:abstractNumId="360">
    <w:nsid w:val="232FCF4D"/>
    <w:multiLevelType w:val="hybridMultilevel"/>
    <w:lvl w:ilvl="0">
      <w:lvlJc w:val="left"/>
      <w:lvlText w:val="%1"/>
      <w:numFmt w:val="lowerLetter"/>
      <w:start w:val="1"/>
    </w:lvl>
    <w:lvl w:ilvl="1">
      <w:lvlJc w:val="left"/>
      <w:lvlText w:val="(%2)"/>
      <w:numFmt w:val="lowerLetter"/>
      <w:start w:val="1"/>
    </w:lvl>
  </w:abstractNum>
  <w:abstractNum w:abstractNumId="361">
    <w:nsid w:val="1EA21031"/>
    <w:multiLevelType w:val="hybridMultilevel"/>
    <w:lvl w:ilvl="0">
      <w:lvlJc w:val="left"/>
      <w:lvlText w:val="(%1)"/>
      <w:numFmt w:val="lowerLetter"/>
      <w:start w:val="35"/>
    </w:lvl>
    <w:lvl w:ilvl="1">
      <w:lvlJc w:val="left"/>
      <w:lvlText w:val="(%2)"/>
      <w:numFmt w:val="lowerLetter"/>
      <w:start w:val="2"/>
    </w:lvl>
  </w:abstractNum>
  <w:abstractNum w:abstractNumId="362">
    <w:nsid w:val="67A5A6B5"/>
    <w:multiLevelType w:val="hybridMultilevel"/>
    <w:lvl w:ilvl="0">
      <w:lvlJc w:val="left"/>
      <w:lvlText w:val="(%1)"/>
      <w:numFmt w:val="lowerLetter"/>
      <w:start w:val="4"/>
    </w:lvl>
  </w:abstractNum>
  <w:abstractNum w:abstractNumId="363">
    <w:nsid w:val="C2A5C5B"/>
    <w:multiLevelType w:val="hybridMultilevel"/>
    <w:lvl w:ilvl="0">
      <w:lvlJc w:val="left"/>
      <w:lvlText w:val="(%1)"/>
      <w:numFmt w:val="lowerLetter"/>
      <w:start w:val="1"/>
    </w:lvl>
  </w:abstractNum>
  <w:abstractNum w:abstractNumId="364">
    <w:nsid w:val="5F94DC03"/>
    <w:multiLevelType w:val="hybridMultilevel"/>
    <w:lvl w:ilvl="0">
      <w:lvlJc w:val="left"/>
      <w:lvlText w:val="(%1)"/>
      <w:numFmt w:val="lowerLetter"/>
      <w:start w:val="1"/>
    </w:lvl>
  </w:abstractNum>
  <w:abstractNum w:abstractNumId="365">
    <w:nsid w:val="237BBCA0"/>
    <w:multiLevelType w:val="hybridMultilevel"/>
    <w:lvl w:ilvl="0">
      <w:lvlJc w:val="left"/>
      <w:lvlText w:val="(%1)"/>
      <w:numFmt w:val="lowerLetter"/>
      <w:start w:val="1"/>
    </w:lvl>
  </w:abstractNum>
  <w:abstractNum w:abstractNumId="366">
    <w:nsid w:val="162EB70D"/>
    <w:multiLevelType w:val="hybridMultilevel"/>
    <w:lvl w:ilvl="0">
      <w:lvlJc w:val="left"/>
      <w:lvlText w:val="(%1)"/>
      <w:numFmt w:val="lowerLetter"/>
      <w:start w:val="1"/>
    </w:lvl>
  </w:abstractNum>
  <w:abstractNum w:abstractNumId="367">
    <w:nsid w:val="78070222"/>
    <w:multiLevelType w:val="hybridMultilevel"/>
    <w:lvl w:ilvl="0">
      <w:lvlJc w:val="left"/>
      <w:lvlText w:val="(%1)"/>
      <w:numFmt w:val="lowerLetter"/>
      <w:start w:val="2"/>
    </w:lvl>
  </w:abstractNum>
  <w:abstractNum w:abstractNumId="368">
    <w:nsid w:val="6163ED0D"/>
    <w:multiLevelType w:val="hybridMultilevel"/>
    <w:lvl w:ilvl="0">
      <w:lvlJc w:val="left"/>
      <w:lvlText w:val="(%1)"/>
      <w:numFmt w:val="lowerLetter"/>
      <w:start w:val="2"/>
    </w:lvl>
  </w:abstractNum>
  <w:abstractNum w:abstractNumId="369">
    <w:nsid w:val="C600E47"/>
    <w:multiLevelType w:val="hybridMultilevel"/>
    <w:lvl w:ilvl="0">
      <w:lvlJc w:val="left"/>
      <w:lvlText w:val="(%1)"/>
      <w:numFmt w:val="lowerLetter"/>
      <w:start w:val="3"/>
    </w:lvl>
  </w:abstractNum>
  <w:abstractNum w:abstractNumId="370">
    <w:nsid w:val="7D94F75D"/>
    <w:multiLevelType w:val="hybridMultilevel"/>
    <w:lvl w:ilvl="0">
      <w:lvlJc w:val="left"/>
      <w:lvlText w:val="(%1)"/>
      <w:numFmt w:val="lowerLetter"/>
      <w:start w:val="2"/>
    </w:lvl>
  </w:abstractNum>
  <w:abstractNum w:abstractNumId="371">
    <w:nsid w:val="6C31E7CD"/>
    <w:multiLevelType w:val="hybridMultilevel"/>
    <w:lvl w:ilvl="0">
      <w:lvlJc w:val="left"/>
      <w:lvlText w:val="(%1)"/>
      <w:numFmt w:val="lowerLetter"/>
      <w:start w:val="1"/>
    </w:lvl>
  </w:abstractNum>
  <w:abstractNum w:abstractNumId="372">
    <w:nsid w:val="2BB7929B"/>
    <w:multiLevelType w:val="hybridMultilevel"/>
    <w:lvl w:ilvl="0">
      <w:lvlJc w:val="left"/>
      <w:lvlText w:val="(%1)"/>
      <w:numFmt w:val="lowerRoman"/>
      <w:start w:val="2"/>
    </w:lvl>
  </w:abstractNum>
  <w:abstractNum w:abstractNumId="373">
    <w:nsid w:val="58A2A487"/>
    <w:multiLevelType w:val="hybridMultilevel"/>
    <w:lvl w:ilvl="0">
      <w:lvlJc w:val="left"/>
      <w:lvlText w:val="(%1)"/>
      <w:numFmt w:val="lowerRoman"/>
      <w:start w:val="10"/>
    </w:lvl>
  </w:abstractNum>
  <w:abstractNum w:abstractNumId="374">
    <w:nsid w:val="3A6F0E78"/>
    <w:multiLevelType w:val="hybridMultilevel"/>
    <w:lvl w:ilvl="0">
      <w:lvlJc w:val="left"/>
      <w:lvlText w:val="(%1)"/>
      <w:numFmt w:val="lowerLetter"/>
      <w:start w:val="1"/>
    </w:lvl>
    <w:lvl w:ilvl="1">
      <w:lvlJc w:val="left"/>
      <w:lvlText w:val="(%2)"/>
      <w:numFmt w:val="lowerRoman"/>
      <w:start w:val="1"/>
    </w:lvl>
  </w:abstractNum>
  <w:abstractNum w:abstractNumId="375">
    <w:nsid w:val="379A5B56"/>
    <w:multiLevelType w:val="hybridMultilevel"/>
    <w:lvl w:ilvl="0">
      <w:lvlJc w:val="left"/>
      <w:lvlText w:val="%1"/>
      <w:numFmt w:val="lowerLetter"/>
      <w:start w:val="1"/>
    </w:lvl>
    <w:lvl w:ilvl="1">
      <w:lvlJc w:val="left"/>
      <w:lvlText w:val="(%2)"/>
      <w:numFmt w:val="lowerRoman"/>
      <w:start w:val="7"/>
    </w:lvl>
  </w:abstractNum>
  <w:abstractNum w:abstractNumId="376">
    <w:nsid w:val="53B735D5"/>
    <w:multiLevelType w:val="hybridMultilevel"/>
    <w:lvl w:ilvl="0">
      <w:lvlJc w:val="left"/>
      <w:lvlText w:val="(%1)"/>
      <w:numFmt w:val="lowerLetter"/>
      <w:start w:val="2"/>
    </w:lvl>
    <w:lvl w:ilvl="1">
      <w:lvlJc w:val="left"/>
      <w:lvlText w:val="%2"/>
      <w:numFmt w:val="lowerRoman"/>
      <w:start w:val="1"/>
    </w:lvl>
  </w:abstractNum>
  <w:abstractNum w:abstractNumId="377">
    <w:nsid w:val="29784870"/>
    <w:multiLevelType w:val="hybridMultilevel"/>
    <w:lvl w:ilvl="0">
      <w:lvlJc w:val="left"/>
      <w:lvlText w:val="(%1)"/>
      <w:numFmt w:val="lowerLetter"/>
      <w:start w:val="6"/>
    </w:lvl>
  </w:abstractNum>
  <w:abstractNum w:abstractNumId="378">
    <w:nsid w:val="4CDCED4C"/>
    <w:multiLevelType w:val="hybridMultilevel"/>
    <w:lvl w:ilvl="0">
      <w:lvlJc w:val="left"/>
      <w:lvlText w:val="(%1)"/>
      <w:numFmt w:val="lowerLetter"/>
      <w:start w:val="1"/>
    </w:lvl>
  </w:abstractNum>
  <w:abstractNum w:abstractNumId="379">
    <w:nsid w:val="10A30D9C"/>
    <w:multiLevelType w:val="hybridMultilevel"/>
    <w:lvl w:ilvl="0">
      <w:lvlJc w:val="left"/>
      <w:lvlText w:val="(%1)"/>
      <w:numFmt w:val="lowerLetter"/>
      <w:start w:val="1"/>
    </w:lvl>
  </w:abstractNum>
  <w:abstractNum w:abstractNumId="380">
    <w:nsid w:val="A66E486"/>
    <w:multiLevelType w:val="hybridMultilevel"/>
    <w:lvl w:ilvl="0">
      <w:lvlJc w:val="left"/>
      <w:lvlText w:val="(%1)"/>
      <w:numFmt w:val="lowerLetter"/>
      <w:start w:val="1"/>
    </w:lvl>
  </w:abstractNum>
  <w:abstractNum w:abstractNumId="381">
    <w:nsid w:val="306235EA"/>
    <w:multiLevelType w:val="hybridMultilevel"/>
    <w:lvl w:ilvl="0">
      <w:lvlJc w:val="left"/>
      <w:lvlText w:val="(%1)"/>
      <w:numFmt w:val="lowerLetter"/>
      <w:start w:val="2"/>
    </w:lvl>
  </w:abstractNum>
  <w:abstractNum w:abstractNumId="382">
    <w:nsid w:val="1187C70F"/>
    <w:multiLevelType w:val="hybridMultilevel"/>
    <w:lvl w:ilvl="0">
      <w:lvlJc w:val="left"/>
      <w:lvlText w:val="(%1)"/>
      <w:numFmt w:val="lowerLetter"/>
      <w:start w:val="1"/>
    </w:lvl>
  </w:abstractNum>
  <w:abstractNum w:abstractNumId="383">
    <w:nsid w:val="5476DE98"/>
    <w:multiLevelType w:val="hybridMultilevel"/>
    <w:lvl w:ilvl="0">
      <w:lvlJc w:val="left"/>
      <w:lvlText w:val="(%1)"/>
      <w:numFmt w:val="lowerLetter"/>
      <w:start w:val="1"/>
    </w:lvl>
  </w:abstractNum>
  <w:abstractNum w:abstractNumId="384">
    <w:nsid w:val="EA697F2"/>
    <w:multiLevelType w:val="hybridMultilevel"/>
    <w:lvl w:ilvl="0">
      <w:lvlJc w:val="left"/>
      <w:lvlText w:val="(%1)"/>
      <w:numFmt w:val="lowerLetter"/>
      <w:start w:val="1"/>
    </w:lvl>
  </w:abstractNum>
  <w:abstractNum w:abstractNumId="385">
    <w:nsid w:val="70BA39EB"/>
    <w:multiLevelType w:val="hybridMultilevel"/>
    <w:lvl w:ilvl="0">
      <w:lvlJc w:val="left"/>
      <w:lvlText w:val="(%1)"/>
      <w:numFmt w:val="lowerLetter"/>
      <w:start w:val="1"/>
    </w:lvl>
  </w:abstractNum>
  <w:abstractNum w:abstractNumId="386">
    <w:nsid w:val="4A8DB59C"/>
    <w:multiLevelType w:val="hybridMultilevel"/>
    <w:lvl w:ilvl="0">
      <w:lvlJc w:val="left"/>
      <w:lvlText w:val="(%1)"/>
      <w:numFmt w:val="lowerLetter"/>
      <w:start w:val="1"/>
    </w:lvl>
  </w:abstractNum>
  <w:abstractNum w:abstractNumId="387">
    <w:nsid w:val="1AFD9053"/>
    <w:multiLevelType w:val="hybridMultilevel"/>
    <w:lvl w:ilvl="0">
      <w:lvlJc w:val="left"/>
      <w:lvlText w:val="(%1)"/>
      <w:numFmt w:val="lowerLetter"/>
      <w:start w:val="1"/>
    </w:lvl>
  </w:abstractNum>
  <w:abstractNum w:abstractNumId="388">
    <w:nsid w:val="558BB10D"/>
    <w:multiLevelType w:val="hybridMultilevel"/>
    <w:lvl w:ilvl="0">
      <w:lvlJc w:val="left"/>
      <w:lvlText w:val="(%1)"/>
      <w:numFmt w:val="lowerLetter"/>
      <w:start w:val="1"/>
    </w:lvl>
  </w:abstractNum>
  <w:abstractNum w:abstractNumId="389">
    <w:nsid w:val="43B27FA7"/>
    <w:multiLevelType w:val="hybridMultilevel"/>
    <w:lvl w:ilvl="0">
      <w:lvlJc w:val="left"/>
      <w:lvlText w:val="(%1)"/>
      <w:numFmt w:val="lowerLetter"/>
      <w:start w:val="4"/>
    </w:lvl>
  </w:abstractNum>
  <w:abstractNum w:abstractNumId="390">
    <w:nsid w:val="27FADEFA"/>
    <w:multiLevelType w:val="hybridMultilevel"/>
    <w:lvl w:ilvl="0">
      <w:lvlJc w:val="left"/>
      <w:lvlText w:val="(%1)"/>
      <w:numFmt w:val="lowerLetter"/>
      <w:start w:val="1"/>
    </w:lvl>
  </w:abstractNum>
  <w:abstractNum w:abstractNumId="391">
    <w:nsid w:val="78BB805A"/>
    <w:multiLevelType w:val="hybridMultilevel"/>
    <w:lvl w:ilvl="0">
      <w:lvlJc w:val="left"/>
      <w:lvlText w:val="(%1)"/>
      <w:numFmt w:val="lowerLetter"/>
      <w:start w:val="1"/>
    </w:lvl>
    <w:lvl w:ilvl="1">
      <w:lvlJc w:val="left"/>
      <w:lvlText w:val="(%2)"/>
      <w:numFmt w:val="lowerRoman"/>
      <w:start w:val="1"/>
    </w:lvl>
  </w:abstractNum>
  <w:abstractNum w:abstractNumId="392">
    <w:nsid w:val="62548FD8"/>
    <w:multiLevelType w:val="hybridMultilevel"/>
    <w:lvl w:ilvl="0">
      <w:lvlJc w:val="left"/>
      <w:lvlText w:val="(%1)"/>
      <w:numFmt w:val="lowerLetter"/>
      <w:start w:val="2"/>
    </w:lvl>
    <w:lvl w:ilvl="1">
      <w:lvlJc w:val="left"/>
      <w:lvlText w:val="(%2)"/>
      <w:numFmt w:val="lowerRoman"/>
      <w:start w:val="1"/>
    </w:lvl>
  </w:abstractNum>
  <w:abstractNum w:abstractNumId="393">
    <w:nsid w:val="FA085B0"/>
    <w:multiLevelType w:val="hybridMultilevel"/>
    <w:lvl w:ilvl="0">
      <w:lvlJc w:val="left"/>
      <w:lvlText w:val="(%1)"/>
      <w:numFmt w:val="lowerLetter"/>
      <w:start w:val="3"/>
    </w:lvl>
    <w:lvl w:ilvl="1">
      <w:lvlJc w:val="left"/>
      <w:lvlText w:val="(%2)"/>
      <w:numFmt w:val="lowerRoman"/>
      <w:start w:val="1"/>
    </w:lvl>
  </w:abstractNum>
  <w:abstractNum w:abstractNumId="394">
    <w:nsid w:val="4E5DCB5"/>
    <w:multiLevelType w:val="hybridMultilevel"/>
    <w:lvl w:ilvl="0">
      <w:lvlJc w:val="left"/>
      <w:lvlText w:val="(%1)"/>
      <w:numFmt w:val="lowerLetter"/>
      <w:start w:val="9"/>
    </w:lvl>
  </w:abstractNum>
  <w:abstractNum w:abstractNumId="395">
    <w:nsid w:val="41E96BDB"/>
    <w:multiLevelType w:val="hybridMultilevel"/>
    <w:lvl w:ilvl="0">
      <w:lvlJc w:val="left"/>
      <w:lvlText w:val="(%1)"/>
      <w:numFmt w:val="lowerLetter"/>
      <w:start w:val="1"/>
    </w:lvl>
  </w:abstractNum>
  <w:abstractNum w:abstractNumId="396">
    <w:nsid w:val="331C4250"/>
    <w:multiLevelType w:val="hybridMultilevel"/>
    <w:lvl w:ilvl="0">
      <w:lvlJc w:val="left"/>
      <w:lvlText w:val="(%1)"/>
      <w:numFmt w:val="lowerLetter"/>
      <w:start w:val="1"/>
    </w:lvl>
  </w:abstractNum>
  <w:abstractNum w:abstractNumId="397">
    <w:nsid w:val="1B1493C2"/>
    <w:multiLevelType w:val="hybridMultilevel"/>
    <w:lvl w:ilvl="0">
      <w:lvlJc w:val="left"/>
      <w:lvlText w:val="(%1)"/>
      <w:numFmt w:val="lowerLetter"/>
      <w:start w:val="2"/>
    </w:lvl>
  </w:abstractNum>
  <w:abstractNum w:abstractNumId="398">
    <w:nsid w:val="39F06DFD"/>
    <w:multiLevelType w:val="hybridMultilevel"/>
    <w:lvl w:ilvl="0">
      <w:lvlJc w:val="left"/>
      <w:lvlText w:val="(%1)"/>
      <w:numFmt w:val="lowerLetter"/>
      <w:start w:val="1"/>
    </w:lvl>
    <w:lvl w:ilvl="1">
      <w:lvlJc w:val="left"/>
      <w:lvlText w:val="(%2)"/>
      <w:numFmt w:val="lowerRoman"/>
      <w:start w:val="1"/>
    </w:lvl>
  </w:abstractNum>
  <w:abstractNum w:abstractNumId="399">
    <w:nsid w:val="14802F5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00">
    <w:nsid w:val="2774A209"/>
    <w:multiLevelType w:val="hybridMultilevel"/>
    <w:lvl w:ilvl="0">
      <w:lvlJc w:val="left"/>
      <w:lvlText w:val="(%1)"/>
      <w:numFmt w:val="lowerLetter"/>
      <w:start w:val="4"/>
    </w:lvl>
  </w:abstractNum>
  <w:abstractNum w:abstractNumId="401">
    <w:nsid w:val="3785655A"/>
    <w:multiLevelType w:val="hybridMultilevel"/>
    <w:lvl w:ilvl="0">
      <w:lvlJc w:val="left"/>
      <w:lvlText w:val="(%1)"/>
      <w:numFmt w:val="lowerLetter"/>
      <w:start w:val="1"/>
    </w:lvl>
  </w:abstractNum>
  <w:abstractNum w:abstractNumId="402">
    <w:nsid w:val="B2172A"/>
    <w:multiLevelType w:val="hybridMultilevel"/>
    <w:lvl w:ilvl="0">
      <w:lvlJc w:val="left"/>
      <w:lvlText w:val="(%1)"/>
      <w:numFmt w:val="lowerLetter"/>
      <w:start w:val="5"/>
    </w:lvl>
  </w:abstractNum>
  <w:abstractNum w:abstractNumId="403">
    <w:nsid w:val="532C34A5"/>
    <w:multiLevelType w:val="hybridMultilevel"/>
    <w:lvl w:ilvl="0">
      <w:lvlJc w:val="left"/>
      <w:lvlText w:val="(%1)"/>
      <w:numFmt w:val="lowerLetter"/>
      <w:start w:val="12"/>
    </w:lvl>
  </w:abstractNum>
  <w:abstractNum w:abstractNumId="404">
    <w:nsid w:val="102809E2"/>
    <w:multiLevelType w:val="hybridMultilevel"/>
    <w:lvl w:ilvl="0">
      <w:lvlJc w:val="left"/>
      <w:lvlText w:val="(%1)"/>
      <w:numFmt w:val="lowerLetter"/>
      <w:start w:val="1"/>
    </w:lvl>
  </w:abstractNum>
  <w:abstractNum w:abstractNumId="405">
    <w:nsid w:val="3B2125A3"/>
    <w:multiLevelType w:val="hybridMultilevel"/>
    <w:lvl w:ilvl="0">
      <w:lvlJc w:val="left"/>
      <w:lvlText w:val="(%1)"/>
      <w:numFmt w:val="lowerRoman"/>
      <w:start w:val="4"/>
    </w:lvl>
    <w:lvl w:ilvl="1">
      <w:lvlJc w:val="left"/>
      <w:lvlText w:val="(%2)"/>
      <w:numFmt w:val="lowerLetter"/>
      <w:start w:val="7"/>
    </w:lvl>
  </w:abstractNum>
  <w:abstractNum w:abstractNumId="406">
    <w:nsid w:val="AC68FFB"/>
    <w:multiLevelType w:val="hybridMultilevel"/>
    <w:lvl w:ilvl="0">
      <w:lvlJc w:val="left"/>
      <w:lvlText w:val="(%1)"/>
      <w:numFmt w:val="lowerLetter"/>
      <w:start w:val="12"/>
    </w:lvl>
  </w:abstractNum>
  <w:abstractNum w:abstractNumId="407">
    <w:nsid w:val="63DF3FB7"/>
    <w:multiLevelType w:val="hybridMultilevel"/>
    <w:lvl w:ilvl="0">
      <w:lvlJc w:val="left"/>
      <w:lvlText w:val="(%1)"/>
      <w:numFmt w:val="lowerLetter"/>
      <w:start w:val="1"/>
    </w:lvl>
  </w:abstractNum>
  <w:abstractNum w:abstractNumId="408">
    <w:nsid w:val="64996E13"/>
    <w:multiLevelType w:val="hybridMultilevel"/>
    <w:lvl w:ilvl="0">
      <w:lvlJc w:val="left"/>
      <w:lvlText w:val="(%1)"/>
      <w:numFmt w:val="lowerLetter"/>
      <w:start w:val="4"/>
    </w:lvl>
  </w:abstractNum>
  <w:abstractNum w:abstractNumId="409">
    <w:nsid w:val="57A37D47"/>
    <w:multiLevelType w:val="hybridMultilevel"/>
    <w:lvl w:ilvl="0">
      <w:lvlJc w:val="left"/>
      <w:lvlText w:val="(%1)"/>
      <w:numFmt w:val="lowerLetter"/>
      <w:start w:val="2"/>
    </w:lvl>
  </w:abstractNum>
  <w:abstractNum w:abstractNumId="410">
    <w:nsid w:val="74824D54"/>
    <w:multiLevelType w:val="hybridMultilevel"/>
    <w:lvl w:ilvl="0">
      <w:lvlJc w:val="left"/>
      <w:lvlText w:val="(%1)"/>
      <w:numFmt w:val="lowerLetter"/>
      <w:start w:val="2"/>
    </w:lvl>
  </w:abstractNum>
  <w:abstractNum w:abstractNumId="411">
    <w:nsid w:val="6F00529A"/>
    <w:multiLevelType w:val="hybridMultilevel"/>
    <w:lvl w:ilvl="0">
      <w:lvlJc w:val="left"/>
      <w:lvlText w:val="(%1)"/>
      <w:numFmt w:val="lowerLetter"/>
      <w:start w:val="1"/>
    </w:lvl>
  </w:abstractNum>
  <w:abstractNum w:abstractNumId="412">
    <w:nsid w:val="805B3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3">
    <w:nsid w:val="60A146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414">
    <w:nsid w:val="43773132"/>
    <w:multiLevelType w:val="hybridMultilevel"/>
    <w:lvl w:ilvl="0">
      <w:lvlJc w:val="left"/>
      <w:lvlText w:val="(%1)"/>
      <w:numFmt w:val="lowerLetter"/>
      <w:start w:val="35"/>
    </w:lvl>
    <w:lvl w:ilvl="1">
      <w:lvlJc w:val="left"/>
      <w:lvlText w:val="(%2)"/>
      <w:numFmt w:val="lowerLetter"/>
      <w:start w:val="2"/>
    </w:lvl>
  </w:abstractNum>
  <w:abstractNum w:abstractNumId="415">
    <w:nsid w:val="16AC4B23"/>
    <w:multiLevelType w:val="hybridMultilevel"/>
    <w:lvl w:ilvl="0">
      <w:lvlJc w:val="left"/>
      <w:lvlText w:val="(%1)"/>
      <w:numFmt w:val="lowerLetter"/>
      <w:start w:val="4"/>
    </w:lvl>
  </w:abstractNum>
  <w:abstractNum w:abstractNumId="416">
    <w:nsid w:val="76C44E4E"/>
    <w:multiLevelType w:val="hybridMultilevel"/>
    <w:lvl w:ilvl="0">
      <w:lvlJc w:val="left"/>
      <w:lvlText w:val="(%1)"/>
      <w:numFmt w:val="lowerLetter"/>
      <w:start w:val="1"/>
    </w:lvl>
  </w:abstractNum>
  <w:abstractNum w:abstractNumId="417">
    <w:nsid w:val="E04E6CE"/>
    <w:multiLevelType w:val="hybridMultilevel"/>
    <w:lvl w:ilvl="0">
      <w:lvlJc w:val="left"/>
      <w:lvlText w:val="(%1)"/>
      <w:numFmt w:val="lowerLetter"/>
      <w:start w:val="4"/>
    </w:lvl>
    <w:lvl w:ilvl="1">
      <w:lvlJc w:val="left"/>
      <w:lvlText w:val="(%2)"/>
      <w:numFmt w:val="lowerLetter"/>
      <w:start w:val="2"/>
    </w:lvl>
  </w:abstractNum>
  <w:abstractNum w:abstractNumId="418">
    <w:nsid w:val="31A9DB76"/>
    <w:multiLevelType w:val="hybridMultilevel"/>
    <w:lvl w:ilvl="0">
      <w:lvlJc w:val="left"/>
      <w:lvlText w:val="(%1)"/>
      <w:numFmt w:val="lowerLetter"/>
      <w:start w:val="3"/>
    </w:lvl>
  </w:abstractNum>
  <w:abstractNum w:abstractNumId="419">
    <w:nsid w:val="4C4FFF5B"/>
    <w:multiLevelType w:val="hybridMultilevel"/>
    <w:lvl w:ilvl="0">
      <w:lvlJc w:val="left"/>
      <w:lvlText w:val="(%1)"/>
      <w:numFmt w:val="lowerLetter"/>
      <w:start w:val="6"/>
    </w:lvl>
  </w:abstractNum>
  <w:abstractNum w:abstractNumId="420">
    <w:nsid w:val="51B76675"/>
    <w:multiLevelType w:val="hybridMultilevel"/>
    <w:lvl w:ilvl="0">
      <w:lvlJc w:val="left"/>
      <w:lvlText w:val="(%1)"/>
      <w:numFmt w:val="lowerLetter"/>
      <w:start w:val="25"/>
    </w:lvl>
  </w:abstractNum>
  <w:abstractNum w:abstractNumId="421">
    <w:nsid w:val="59A4BA71"/>
    <w:multiLevelType w:val="hybridMultilevel"/>
    <w:lvl w:ilvl="0">
      <w:lvlJc w:val="left"/>
      <w:lvlText w:val="(%1)"/>
      <w:numFmt w:val="lowerLetter"/>
      <w:start w:val="1"/>
    </w:lvl>
    <w:lvl w:ilvl="1">
      <w:lvlJc w:val="left"/>
      <w:lvlText w:val="(%2)"/>
      <w:numFmt w:val="lowerLetter"/>
      <w:start w:val="9"/>
    </w:lvl>
  </w:abstractNum>
  <w:abstractNum w:abstractNumId="422">
    <w:nsid w:val="450B7FB6"/>
    <w:multiLevelType w:val="hybridMultilevel"/>
    <w:lvl w:ilvl="0">
      <w:lvlJc w:val="left"/>
      <w:lvlText w:val="(%1)"/>
      <w:numFmt w:val="lowerRoman"/>
      <w:start w:val="2"/>
    </w:lvl>
  </w:abstractNum>
  <w:abstractNum w:abstractNumId="423">
    <w:nsid w:val="340BF64D"/>
    <w:multiLevelType w:val="hybridMultilevel"/>
    <w:lvl w:ilvl="0">
      <w:lvlJc w:val="left"/>
      <w:lvlText w:val="(%1)"/>
      <w:numFmt w:val="lowerRoman"/>
      <w:start w:val="7"/>
    </w:lvl>
  </w:abstractNum>
  <w:abstractNum w:abstractNumId="424">
    <w:nsid w:val="69454021"/>
    <w:multiLevelType w:val="hybridMultilevel"/>
    <w:lvl w:ilvl="0">
      <w:lvlJc w:val="left"/>
      <w:lvlText w:val="(%1)"/>
      <w:numFmt w:val="lowerLetter"/>
      <w:start w:val="3"/>
    </w:lvl>
  </w:abstractNum>
  <w:abstractNum w:abstractNumId="425">
    <w:nsid w:val="49F15C6B"/>
    <w:multiLevelType w:val="hybridMultilevel"/>
    <w:lvl w:ilvl="0">
      <w:lvlJc w:val="left"/>
      <w:lvlText w:val="(%1)"/>
      <w:numFmt w:val="upperLetter"/>
      <w:start w:val="1"/>
    </w:lvl>
    <w:lvl w:ilvl="1">
      <w:lvlJc w:val="left"/>
      <w:lvlText w:val="(%2)"/>
      <w:numFmt w:val="lowerRoman"/>
      <w:start w:val="2"/>
    </w:lvl>
  </w:abstractNum>
  <w:abstractNum w:abstractNumId="426">
    <w:nsid w:val="75F56228"/>
    <w:multiLevelType w:val="hybridMultilevel"/>
    <w:lvl w:ilvl="0">
      <w:lvlJc w:val="left"/>
      <w:lvlText w:val="%1"/>
      <w:numFmt w:val="lowerLetter"/>
      <w:start w:val="1"/>
    </w:lvl>
    <w:lvl w:ilvl="1">
      <w:lvlJc w:val="left"/>
      <w:lvlText w:val="(%2)"/>
      <w:numFmt w:val="lowerRoman"/>
      <w:start w:val="3"/>
    </w:lvl>
  </w:abstractNum>
  <w:abstractNum w:abstractNumId="427">
    <w:nsid w:val="1C618271"/>
    <w:multiLevelType w:val="hybridMultilevel"/>
    <w:lvl w:ilvl="0">
      <w:lvlJc w:val="left"/>
      <w:lvlText w:val="(%1)"/>
      <w:numFmt w:val="lowerLetter"/>
      <w:start w:val="2"/>
    </w:lvl>
    <w:lvl w:ilvl="1">
      <w:lvlJc w:val="left"/>
      <w:lvlText w:val="%2"/>
      <w:numFmt w:val="lowerRoman"/>
      <w:start w:val="1"/>
    </w:lvl>
  </w:abstractNum>
  <w:abstractNum w:abstractNumId="428">
    <w:nsid w:val="6505F02E"/>
    <w:multiLevelType w:val="hybridMultilevel"/>
    <w:lvl w:ilvl="0">
      <w:lvlJc w:val="left"/>
      <w:lvlText w:val="(%1)"/>
      <w:numFmt w:val="lowerLetter"/>
      <w:start w:val="2"/>
    </w:lvl>
    <w:lvl w:ilvl="1">
      <w:lvlJc w:val="left"/>
      <w:lvlText w:val="(%2)"/>
      <w:numFmt w:val="lowerLetter"/>
      <w:start w:val="9"/>
    </w:lvl>
  </w:abstractNum>
  <w:abstractNum w:abstractNumId="429">
    <w:nsid w:val="2FE5D025"/>
    <w:multiLevelType w:val="hybridMultilevel"/>
    <w:lvl w:ilvl="0">
      <w:lvlJc w:val="left"/>
      <w:lvlText w:val="(%1)"/>
      <w:numFmt w:val="lowerRoman"/>
      <w:start w:val="2"/>
    </w:lvl>
  </w:abstractNum>
  <w:abstractNum w:abstractNumId="430">
    <w:nsid w:val="30E1B1CF"/>
    <w:multiLevelType w:val="hybridMultilevel"/>
    <w:lvl w:ilvl="0">
      <w:lvlJc w:val="left"/>
      <w:lvlText w:val="(%1)"/>
      <w:numFmt w:val="lowerRoman"/>
      <w:start w:val="3"/>
    </w:lvl>
  </w:abstractNum>
  <w:abstractNum w:abstractNumId="431">
    <w:nsid w:val="C7A9237"/>
    <w:multiLevelType w:val="hybridMultilevel"/>
    <w:lvl w:ilvl="0">
      <w:lvlJc w:val="left"/>
      <w:lvlText w:val="(%1)"/>
      <w:numFmt w:val="lowerLetter"/>
      <w:start w:val="1"/>
    </w:lvl>
  </w:abstractNum>
  <w:abstractNum w:abstractNumId="432">
    <w:nsid w:val="676B3580"/>
    <w:multiLevelType w:val="hybridMultilevel"/>
    <w:lvl w:ilvl="0">
      <w:lvlJc w:val="left"/>
      <w:lvlText w:val="(%1)"/>
      <w:numFmt w:val="lowerLetter"/>
      <w:start w:val="2"/>
    </w:lvl>
  </w:abstractNum>
  <w:abstractNum w:abstractNumId="433">
    <w:nsid w:val="3193C8F9"/>
    <w:multiLevelType w:val="hybridMultilevel"/>
    <w:lvl w:ilvl="0">
      <w:lvlJc w:val="left"/>
      <w:lvlText w:val="(%1)"/>
      <w:numFmt w:val="lowerLetter"/>
      <w:start w:val="1"/>
    </w:lvl>
  </w:abstractNum>
  <w:abstractNum w:abstractNumId="434">
    <w:nsid w:val="5FA6C6DC"/>
    <w:multiLevelType w:val="hybridMultilevel"/>
    <w:lvl w:ilvl="0">
      <w:lvlJc w:val="left"/>
      <w:lvlText w:val="(%1)"/>
      <w:numFmt w:val="lowerLetter"/>
      <w:start w:val="5"/>
    </w:lvl>
  </w:abstractNum>
  <w:abstractNum w:abstractNumId="435">
    <w:nsid w:val="77933F62"/>
    <w:multiLevelType w:val="hybridMultilevel"/>
    <w:lvl w:ilvl="0">
      <w:lvlJc w:val="left"/>
      <w:lvlText w:val="(%1)"/>
      <w:numFmt w:val="lowerLetter"/>
      <w:start w:val="1"/>
    </w:lvl>
  </w:abstractNum>
  <w:abstractNum w:abstractNumId="436">
    <w:nsid w:val="6CB4EE9C"/>
    <w:multiLevelType w:val="hybridMultilevel"/>
    <w:lvl w:ilvl="0">
      <w:lvlJc w:val="left"/>
      <w:lvlText w:val="(%1)"/>
      <w:numFmt w:val="lowerLetter"/>
      <w:start w:val="9"/>
    </w:lvl>
  </w:abstractNum>
  <w:abstractNum w:abstractNumId="437">
    <w:nsid w:val="6A6D56D7"/>
    <w:multiLevelType w:val="hybridMultilevel"/>
    <w:lvl w:ilvl="0">
      <w:lvlJc w:val="left"/>
      <w:lvlText w:val="(%1)"/>
      <w:numFmt w:val="lowerLetter"/>
      <w:start w:val="1"/>
    </w:lvl>
  </w:abstractNum>
  <w:abstractNum w:abstractNumId="438">
    <w:nsid w:val="5B727F19"/>
    <w:multiLevelType w:val="hybridMultilevel"/>
    <w:lvl w:ilvl="0">
      <w:lvlJc w:val="left"/>
      <w:lvlText w:val="(%1)"/>
      <w:numFmt w:val="lowerLetter"/>
      <w:start w:val="1"/>
    </w:lvl>
  </w:abstractNum>
  <w:abstractNum w:abstractNumId="439">
    <w:nsid w:val="514E5CB0"/>
    <w:multiLevelType w:val="hybridMultilevel"/>
    <w:lvl w:ilvl="0">
      <w:lvlJc w:val="left"/>
      <w:lvlText w:val="(%1)"/>
      <w:numFmt w:val="lowerLetter"/>
      <w:start w:val="1"/>
    </w:lvl>
  </w:abstractNum>
  <w:abstractNum w:abstractNumId="440">
    <w:nsid w:val="4210D41E"/>
    <w:multiLevelType w:val="hybridMultilevel"/>
    <w:lvl w:ilvl="0">
      <w:lvlJc w:val="left"/>
      <w:lvlText w:val="%1."/>
      <w:numFmt w:val="decimal"/>
      <w:start w:val="1"/>
    </w:lvl>
    <w:lvl w:ilvl="1">
      <w:lvlJc w:val="left"/>
      <w:lvlText w:val="%2."/>
      <w:numFmt w:val="lowerLetter"/>
      <w:start w:val="1"/>
    </w:lvl>
  </w:abstractNum>
  <w:abstractNum w:abstractNumId="441">
    <w:nsid w:val="4FF4CC6D"/>
    <w:multiLevelType w:val="hybridMultilevel"/>
    <w:lvl w:ilvl="0">
      <w:lvlJc w:val="left"/>
      <w:lvlText w:val="%1."/>
      <w:numFmt w:val="decimal"/>
      <w:start w:val="1"/>
    </w:lvl>
    <w:lvl w:ilvl="1">
      <w:lvlJc w:val="left"/>
      <w:lvlText w:val="%2."/>
      <w:numFmt w:val="lowerLetter"/>
      <w:start w:val="1"/>
    </w:lvl>
  </w:abstractNum>
  <w:abstractNum w:abstractNumId="442">
    <w:nsid w:val="404EAF4A"/>
    <w:multiLevelType w:val="hybridMultilevel"/>
    <w:lvl w:ilvl="0">
      <w:lvlJc w:val="left"/>
      <w:lvlText w:val="(%1)"/>
      <w:numFmt w:val="decimal"/>
      <w:start w:val="1"/>
    </w:lvl>
    <w:lvl w:ilvl="1">
      <w:lvlJc w:val="left"/>
      <w:lvlText w:val="%2"/>
      <w:numFmt w:val="upperLetter"/>
      <w:start w:val="1"/>
    </w:lvl>
  </w:abstractNum>
  <w:abstractNum w:abstractNumId="443">
    <w:nsid w:val="4A16874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2019-12-20T04:04:56Z</dcterms:created>
  <dcterms:modified xsi:type="dcterms:W3CDTF">2019-12-20T04:04:56Z</dcterms:modified>
</cp:coreProperties>
</file>