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9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ind w:right="-9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(Check One)</w:t>
      </w:r>
    </w:p>
    <w:p>
      <w:pPr>
        <w:spacing w:after="0" w:line="200" w:lineRule="exact"/>
        <w:rPr>
          <w:sz w:val="20"/>
          <w:szCs w:val="20"/>
          <w:color w:val="auto"/>
        </w:rPr>
      </w:pPr>
    </w:p>
    <w:p>
      <w:pPr>
        <w:spacing w:after="0" w:line="228" w:lineRule="exact"/>
        <w:rPr>
          <w:sz w:val="20"/>
          <w:szCs w:val="20"/>
          <w:color w:val="auto"/>
        </w:rPr>
      </w:pPr>
    </w:p>
    <w:p>
      <w:pPr>
        <w:ind w:left="1020" w:hanging="661"/>
        <w:spacing w:after="0"/>
        <w:tabs>
          <w:tab w:leader="none" w:pos="10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15(d) OF THE SECURITIES EXCHANGE ACT OF</w:t>
      </w:r>
    </w:p>
    <w:p>
      <w:pPr>
        <w:spacing w:after="0" w:line="25" w:lineRule="exact"/>
        <w:rPr>
          <w:rFonts w:ascii="MS PGothic" w:cs="MS PGothic" w:eastAsia="MS PGothic" w:hAnsi="MS PGothic"/>
          <w:sz w:val="21"/>
          <w:szCs w:val="21"/>
          <w:color w:val="auto"/>
        </w:rPr>
      </w:pPr>
    </w:p>
    <w:p>
      <w:pPr>
        <w:ind w:left="550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151" w:lineRule="exact"/>
        <w:rPr>
          <w:sz w:val="20"/>
          <w:szCs w:val="20"/>
          <w:color w:val="auto"/>
        </w:rPr>
      </w:pPr>
    </w:p>
    <w:p>
      <w:pPr>
        <w:jc w:val="center"/>
        <w:ind w:right="-939"/>
        <w:spacing w:after="0"/>
        <w:rPr>
          <w:sz w:val="20"/>
          <w:szCs w:val="20"/>
          <w:color w:val="auto"/>
        </w:rPr>
      </w:pPr>
      <w:r>
        <w:rPr>
          <w:rFonts w:ascii="Arial" w:cs="Arial" w:eastAsia="Arial" w:hAnsi="Arial"/>
          <w:sz w:val="18"/>
          <w:szCs w:val="18"/>
          <w:b w:val="1"/>
          <w:bCs w:val="1"/>
          <w:color w:val="auto"/>
        </w:rPr>
        <w:t>For the fiscal year ended December 31, 2004</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or</w:t>
      </w:r>
    </w:p>
    <w:p>
      <w:pPr>
        <w:spacing w:after="0" w:line="200" w:lineRule="exact"/>
        <w:rPr>
          <w:sz w:val="20"/>
          <w:szCs w:val="20"/>
          <w:color w:val="auto"/>
        </w:rPr>
      </w:pPr>
    </w:p>
    <w:p>
      <w:pPr>
        <w:spacing w:after="0" w:line="219" w:lineRule="exact"/>
        <w:rPr>
          <w:sz w:val="20"/>
          <w:szCs w:val="20"/>
          <w:color w:val="auto"/>
        </w:rPr>
      </w:pPr>
    </w:p>
    <w:p>
      <w:pPr>
        <w:ind w:left="960" w:hanging="601"/>
        <w:spacing w:after="0"/>
        <w:tabs>
          <w:tab w:leader="none" w:pos="960"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TRANSITION REPORT PURSUANT TO SECTION 15(d) OF THE SECURITIES EXCHANGE ACT</w:t>
      </w:r>
    </w:p>
    <w:p>
      <w:pPr>
        <w:spacing w:after="0" w:line="25" w:lineRule="exact"/>
        <w:rPr>
          <w:rFonts w:ascii="Arial" w:cs="Arial" w:eastAsia="Arial" w:hAnsi="Arial"/>
          <w:sz w:val="21"/>
          <w:szCs w:val="21"/>
          <w:color w:val="auto"/>
        </w:rPr>
      </w:pPr>
    </w:p>
    <w:p>
      <w:pPr>
        <w:ind w:left="5320"/>
        <w:spacing w:after="0"/>
        <w:rPr>
          <w:rFonts w:ascii="Arial" w:cs="Arial" w:eastAsia="Arial" w:hAnsi="Arial"/>
          <w:sz w:val="21"/>
          <w:szCs w:val="21"/>
          <w:color w:val="auto"/>
        </w:rPr>
      </w:pPr>
      <w:r>
        <w:rPr>
          <w:rFonts w:ascii="Arial" w:cs="Arial" w:eastAsia="Arial" w:hAnsi="Arial"/>
          <w:sz w:val="22"/>
          <w:szCs w:val="22"/>
          <w:b w:val="1"/>
          <w:bCs w:val="1"/>
          <w:color w:val="auto"/>
        </w:rPr>
        <w:t>OF 1934</w:t>
      </w:r>
    </w:p>
    <w:p>
      <w:pPr>
        <w:spacing w:after="0" w:line="164" w:lineRule="exact"/>
        <w:rPr>
          <w:sz w:val="20"/>
          <w:szCs w:val="20"/>
          <w:color w:val="auto"/>
        </w:rPr>
      </w:pPr>
    </w:p>
    <w:p>
      <w:pPr>
        <w:ind w:left="3080"/>
        <w:spacing w:after="0"/>
        <w:tabs>
          <w:tab w:leader="none" w:pos="72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3433445</wp:posOffset>
            </wp:positionH>
            <wp:positionV relativeFrom="paragraph">
              <wp:posOffset>-7620</wp:posOffset>
            </wp:positionV>
            <wp:extent cx="18669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66900" cy="8890"/>
                    </a:xfrm>
                    <a:prstGeom prst="rect">
                      <a:avLst/>
                    </a:prstGeom>
                    <a:noFill/>
                  </pic:spPr>
                </pic:pic>
              </a:graphicData>
            </a:graphic>
          </wp:anchor>
        </w:drawing>
      </w:r>
    </w:p>
    <w:p>
      <w:pPr>
        <w:spacing w:after="0" w:line="165"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Commission file number 1-12154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4" w:lineRule="exact"/>
        <w:rPr>
          <w:sz w:val="20"/>
          <w:szCs w:val="20"/>
          <w:color w:val="auto"/>
        </w:rPr>
      </w:pPr>
    </w:p>
    <w:p>
      <w:pPr>
        <w:jc w:val="center"/>
        <w:ind w:right="-959"/>
        <w:spacing w:after="0"/>
        <w:rPr>
          <w:sz w:val="20"/>
          <w:szCs w:val="20"/>
          <w:color w:val="auto"/>
        </w:rPr>
      </w:pPr>
      <w:r>
        <w:rPr>
          <w:rFonts w:ascii="Arial" w:cs="Arial" w:eastAsia="Arial" w:hAnsi="Arial"/>
          <w:sz w:val="18"/>
          <w:szCs w:val="18"/>
          <w:b w:val="1"/>
          <w:bCs w:val="1"/>
          <w:color w:val="auto"/>
        </w:rPr>
        <w:t>WASTE MANAGEMENT RETIREMENT SAVINGS PLAN FOR</w:t>
      </w:r>
    </w:p>
    <w:p>
      <w:pPr>
        <w:spacing w:after="0" w:line="27" w:lineRule="exact"/>
        <w:rPr>
          <w:sz w:val="20"/>
          <w:szCs w:val="20"/>
          <w:color w:val="auto"/>
        </w:rPr>
      </w:pPr>
    </w:p>
    <w:p>
      <w:pPr>
        <w:jc w:val="center"/>
        <w:ind w:right="-959"/>
        <w:spacing w:after="0"/>
        <w:rPr>
          <w:sz w:val="20"/>
          <w:szCs w:val="20"/>
          <w:color w:val="auto"/>
        </w:rPr>
      </w:pPr>
      <w:r>
        <w:rPr>
          <w:rFonts w:ascii="Arial" w:cs="Arial" w:eastAsia="Arial" w:hAnsi="Arial"/>
          <w:sz w:val="18"/>
          <w:szCs w:val="18"/>
          <w:b w:val="1"/>
          <w:bCs w:val="1"/>
          <w:color w:val="auto"/>
        </w:rPr>
        <w:t>BARGAINING UNIT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3420"/>
        <w:spacing w:after="0"/>
        <w:rPr>
          <w:sz w:val="20"/>
          <w:szCs w:val="20"/>
          <w:color w:val="auto"/>
        </w:rPr>
      </w:pPr>
      <w:r>
        <w:rPr>
          <w:rFonts w:ascii="Arial" w:cs="Arial" w:eastAsia="Arial" w:hAnsi="Arial"/>
          <w:sz w:val="43"/>
          <w:szCs w:val="43"/>
          <w:b w:val="1"/>
          <w:bCs w:val="1"/>
          <w:color w:val="auto"/>
        </w:rPr>
        <w:t>Waste Management, Inc.</w:t>
      </w:r>
    </w:p>
    <w:p>
      <w:pPr>
        <w:spacing w:after="0" w:line="200" w:lineRule="exact"/>
        <w:rPr>
          <w:sz w:val="20"/>
          <w:szCs w:val="20"/>
          <w:color w:val="auto"/>
        </w:rPr>
      </w:pPr>
    </w:p>
    <w:p>
      <w:pPr>
        <w:spacing w:after="0" w:line="262" w:lineRule="exact"/>
        <w:rPr>
          <w:sz w:val="20"/>
          <w:szCs w:val="20"/>
          <w:color w:val="auto"/>
        </w:rPr>
      </w:pPr>
    </w:p>
    <w:p>
      <w:pPr>
        <w:jc w:val="center"/>
        <w:ind w:right="-959"/>
        <w:spacing w:after="0"/>
        <w:rPr>
          <w:sz w:val="20"/>
          <w:szCs w:val="20"/>
          <w:color w:val="auto"/>
        </w:rPr>
      </w:pPr>
      <w:r>
        <w:rPr>
          <w:rFonts w:ascii="Arial" w:cs="Arial" w:eastAsia="Arial" w:hAnsi="Arial"/>
          <w:sz w:val="18"/>
          <w:szCs w:val="18"/>
          <w:b w:val="1"/>
          <w:bCs w:val="1"/>
          <w:color w:val="auto"/>
        </w:rPr>
        <w:t>1001 Fannin Street</w:t>
      </w:r>
    </w:p>
    <w:p>
      <w:pPr>
        <w:spacing w:after="0" w:line="27" w:lineRule="exact"/>
        <w:rPr>
          <w:sz w:val="20"/>
          <w:szCs w:val="20"/>
          <w:color w:val="auto"/>
        </w:rPr>
      </w:pPr>
    </w:p>
    <w:p>
      <w:pPr>
        <w:jc w:val="center"/>
        <w:ind w:right="-959"/>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0"/>
          <w:szCs w:val="20"/>
          <w:color w:val="auto"/>
        </w:rPr>
      </w:pPr>
    </w:p>
    <w:p>
      <w:pPr>
        <w:jc w:val="center"/>
        <w:ind w:right="-959"/>
        <w:spacing w:after="0"/>
        <w:rPr>
          <w:sz w:val="20"/>
          <w:szCs w:val="20"/>
          <w:color w:val="auto"/>
        </w:rPr>
      </w:pPr>
      <w:r>
        <w:rPr>
          <w:rFonts w:ascii="Arial" w:cs="Arial" w:eastAsia="Arial" w:hAnsi="Arial"/>
          <w:sz w:val="18"/>
          <w:szCs w:val="18"/>
          <w:b w:val="1"/>
          <w:bCs w:val="1"/>
          <w:color w:val="auto"/>
        </w:rPr>
        <w:t>Houston, TX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578485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80"/>
          </w:cols>
          <w:pgMar w:left="240" w:top="967" w:right="11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WASTE MANAGEMENT RETIREMENT SAVINGS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 BARGAINING UNIT EMPLOYEES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INDEX TO FINANCIAL STATEMENTS AND SUPPLEMENTAL SCHEDULE</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20" w:type="dxa"/>
            <w:vAlign w:val="bottom"/>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Report of Independent Registered Public Accounting Firm</w:t>
              </w:r>
            </w:hyperlink>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453"/>
        </w:trPr>
        <w:tc>
          <w:tcPr>
            <w:tcW w:w="42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Audited Financial Statements</w:t>
            </w:r>
          </w:p>
        </w:tc>
        <w:tc>
          <w:tcPr>
            <w:tcW w:w="5100" w:type="dxa"/>
            <w:vAlign w:val="bottom"/>
            <w:gridSpan w:val="4"/>
          </w:tcPr>
          <w:p>
            <w:pPr>
              <w:spacing w:after="0"/>
              <w:rPr>
                <w:sz w:val="24"/>
                <w:szCs w:val="24"/>
                <w:color w:val="auto"/>
              </w:rPr>
            </w:pPr>
          </w:p>
        </w:tc>
        <w:tc>
          <w:tcPr>
            <w:tcW w:w="2100" w:type="dxa"/>
            <w:vAlign w:val="bottom"/>
          </w:tcPr>
          <w:p>
            <w:pPr>
              <w:spacing w:after="0"/>
              <w:rPr>
                <w:sz w:val="24"/>
                <w:szCs w:val="24"/>
                <w:color w:val="auto"/>
              </w:rPr>
            </w:pPr>
          </w:p>
        </w:tc>
      </w:tr>
      <w:tr>
        <w:trPr>
          <w:trHeight w:val="392"/>
        </w:trPr>
        <w:tc>
          <w:tcPr>
            <w:tcW w:w="420" w:type="dxa"/>
            <w:vAlign w:val="bottom"/>
          </w:tcPr>
          <w:p>
            <w:pPr>
              <w:spacing w:after="0"/>
              <w:rPr>
                <w:sz w:val="24"/>
                <w:szCs w:val="24"/>
                <w:color w:val="auto"/>
              </w:rPr>
            </w:pPr>
          </w:p>
        </w:tc>
        <w:tc>
          <w:tcPr>
            <w:tcW w:w="8900" w:type="dxa"/>
            <w:vAlign w:val="bottom"/>
            <w:gridSpan w:val="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Statements of Net Assets Available for Benefits as of December 31, 2004 and 2003</w:t>
              </w:r>
            </w:hyperlink>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0"/>
        </w:trPr>
        <w:tc>
          <w:tcPr>
            <w:tcW w:w="4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8900" w:type="dxa"/>
            <w:vAlign w:val="bottom"/>
            <w:gridSpan w:val="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Statement of Changes in Net Assets Available for Benefits for the Year Ended December 31, 2004</w:t>
              </w:r>
            </w:hyperlink>
          </w:p>
        </w:tc>
        <w:tc>
          <w:tcPr>
            <w:tcW w:w="21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w:t>
            </w:r>
          </w:p>
        </w:tc>
      </w:tr>
      <w:tr>
        <w:trPr>
          <w:trHeight w:val="196"/>
        </w:trPr>
        <w:tc>
          <w:tcPr>
            <w:tcW w:w="420" w:type="dxa"/>
            <w:vAlign w:val="bottom"/>
          </w:tcPr>
          <w:p>
            <w:pPr>
              <w:spacing w:after="0"/>
              <w:rPr>
                <w:sz w:val="17"/>
                <w:szCs w:val="17"/>
                <w:color w:val="auto"/>
              </w:rPr>
            </w:pPr>
          </w:p>
        </w:tc>
        <w:tc>
          <w:tcPr>
            <w:tcW w:w="70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w:t>
              </w:r>
            </w:hyperlink>
          </w:p>
        </w:tc>
        <w:tc>
          <w:tcPr>
            <w:tcW w:w="1840" w:type="dxa"/>
            <w:vAlign w:val="bottom"/>
          </w:tcPr>
          <w:p>
            <w:pPr>
              <w:spacing w:after="0"/>
              <w:rPr>
                <w:sz w:val="17"/>
                <w:szCs w:val="17"/>
                <w:color w:val="auto"/>
              </w:rPr>
            </w:pPr>
          </w:p>
        </w:tc>
        <w:tc>
          <w:tcPr>
            <w:tcW w:w="21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w:t>
            </w:r>
          </w:p>
        </w:tc>
      </w:tr>
      <w:tr>
        <w:trPr>
          <w:trHeight w:val="20"/>
        </w:trPr>
        <w:tc>
          <w:tcPr>
            <w:tcW w:w="4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412"/>
        </w:trPr>
        <w:tc>
          <w:tcPr>
            <w:tcW w:w="9320" w:type="dxa"/>
            <w:vAlign w:val="bottom"/>
            <w:gridSpan w:val="8"/>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Supplemental Schedule</w:t>
              </w:r>
            </w:hyperlink>
          </w:p>
        </w:tc>
        <w:tc>
          <w:tcPr>
            <w:tcW w:w="2100" w:type="dxa"/>
            <w:vAlign w:val="bottom"/>
          </w:tcPr>
          <w:p>
            <w:pPr>
              <w:spacing w:after="0"/>
              <w:rPr>
                <w:sz w:val="24"/>
                <w:szCs w:val="24"/>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8900" w:type="dxa"/>
            <w:vAlign w:val="bottom"/>
            <w:gridSpan w:val="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Schedule H, Line 4(i) – Schedule of Assets (Held At End of Year)</w:t>
              </w:r>
            </w:hyperlink>
          </w:p>
        </w:tc>
        <w:tc>
          <w:tcPr>
            <w:tcW w:w="210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652"/>
        </w:trPr>
        <w:tc>
          <w:tcPr>
            <w:tcW w:w="420" w:type="dxa"/>
            <w:vAlign w:val="bottom"/>
            <w:tcBorders>
              <w:bottom w:val="single" w:sz="8" w:color="808080"/>
            </w:tcBorders>
          </w:tcPr>
          <w:p>
            <w:pPr>
              <w:spacing w:after="0"/>
              <w:rPr>
                <w:sz w:val="24"/>
                <w:szCs w:val="24"/>
                <w:color w:val="auto"/>
              </w:rPr>
            </w:pPr>
          </w:p>
        </w:tc>
        <w:tc>
          <w:tcPr>
            <w:tcW w:w="1280" w:type="dxa"/>
            <w:vAlign w:val="bottom"/>
            <w:tcBorders>
              <w:top w:val="single" w:sz="8" w:color="0000EE"/>
              <w:bottom w:val="single" w:sz="8" w:color="808080"/>
            </w:tcBorders>
          </w:tcPr>
          <w:p>
            <w:pPr>
              <w:spacing w:after="0"/>
              <w:rPr>
                <w:sz w:val="24"/>
                <w:szCs w:val="24"/>
                <w:color w:val="auto"/>
              </w:rPr>
            </w:pPr>
          </w:p>
        </w:tc>
        <w:tc>
          <w:tcPr>
            <w:tcW w:w="860" w:type="dxa"/>
            <w:vAlign w:val="bottom"/>
            <w:tcBorders>
              <w:top w:val="single" w:sz="8" w:color="0000EE"/>
              <w:bottom w:val="single" w:sz="8" w:color="808080"/>
            </w:tcBorders>
          </w:tcPr>
          <w:p>
            <w:pPr>
              <w:spacing w:after="0"/>
              <w:rPr>
                <w:sz w:val="24"/>
                <w:szCs w:val="24"/>
                <w:color w:val="auto"/>
              </w:rPr>
            </w:pPr>
          </w:p>
        </w:tc>
        <w:tc>
          <w:tcPr>
            <w:tcW w:w="1660" w:type="dxa"/>
            <w:vAlign w:val="bottom"/>
            <w:tcBorders>
              <w:top w:val="single" w:sz="8" w:color="0000EE"/>
              <w:bottom w:val="single" w:sz="8" w:color="808080"/>
            </w:tcBorders>
          </w:tcPr>
          <w:p>
            <w:pPr>
              <w:spacing w:after="0"/>
              <w:rPr>
                <w:sz w:val="24"/>
                <w:szCs w:val="24"/>
                <w:color w:val="auto"/>
              </w:rPr>
            </w:pPr>
          </w:p>
        </w:tc>
        <w:tc>
          <w:tcPr>
            <w:tcW w:w="940" w:type="dxa"/>
            <w:vAlign w:val="bottom"/>
            <w:tcBorders>
              <w:top w:val="single" w:sz="8" w:color="0000EE"/>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color w:val="auto"/>
        </w:rPr>
        <w:t>Report of Independent Registered Public Accounting Firm</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Retirement Savings</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Plan for Bargaining Unit Employees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statements of net assets available for benefits of the Waste Management Retirement Savings Plan for Bargaining Unit Employees as of December 31, 2004 and 2003, and the related statement of changes in net assets available for benefits for the year ended December 31, 2004. These financial statements are the responsibility of the Plan’s management. Our responsibility is to express an opinion on these financial statements based on our audits.</w:t>
      </w:r>
    </w:p>
    <w:p>
      <w:pPr>
        <w:spacing w:after="0" w:line="14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In our opinion, the financial statements referred to above present fairly, in all material respects, the net assets available for benefits of the Plan at</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December 31, 2004 and 2003, and the changes in its net assets available for benefits for the year ended December 31, 2004, in conformity with U.S. generally accepted accounting principles.</w:t>
      </w:r>
    </w:p>
    <w:p>
      <w:pPr>
        <w:spacing w:after="0" w:line="14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audits were performed for the purpose of forming an opinion on the financial statements taken as a whole. The accompanying supplemental schedule of assets (held at end of year) as of December 31, 2004 is presented for purposes of additional analysis and is not a required part of the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our audits of the financial statements and, in our opinion, is fairly stated in all material respects in relation to the financial statements taken as a whole.</w:t>
      </w:r>
    </w:p>
    <w:p>
      <w:pPr>
        <w:spacing w:after="0" w:line="19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21, 2005</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2004 and 2003</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2004</w:t>
            </w:r>
          </w:p>
        </w:tc>
        <w:tc>
          <w:tcPr>
            <w:tcW w:w="460" w:type="dxa"/>
            <w:vAlign w:val="bottom"/>
          </w:tcPr>
          <w:p>
            <w:pPr>
              <w:spacing w:after="0"/>
              <w:rPr>
                <w:sz w:val="14"/>
                <w:szCs w:val="14"/>
                <w:color w:val="auto"/>
              </w:rPr>
            </w:pP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Plan interest in the Master Trust (Note 3)</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$ 2,235,875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$ 1,721,187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Participant loans</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109,324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75,873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80" w:type="dxa"/>
            <w:vAlign w:val="bottom"/>
          </w:tcPr>
          <w:p>
            <w:pPr>
              <w:ind w:left="600"/>
              <w:spacing w:after="0"/>
              <w:rPr>
                <w:sz w:val="20"/>
                <w:szCs w:val="20"/>
                <w:color w:val="auto"/>
              </w:rPr>
            </w:pPr>
            <w:r>
              <w:rPr>
                <w:rFonts w:ascii="Arial" w:cs="Arial" w:eastAsia="Arial" w:hAnsi="Arial"/>
                <w:sz w:val="18"/>
                <w:szCs w:val="18"/>
                <w:color w:val="auto"/>
              </w:rPr>
              <w:t>Total investments</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2,345,199</w:t>
            </w:r>
          </w:p>
        </w:tc>
        <w:tc>
          <w:tcPr>
            <w:tcW w:w="4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1,797,060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00"/>
              <w:spacing w:after="0"/>
              <w:rPr>
                <w:sz w:val="20"/>
                <w:szCs w:val="20"/>
                <w:color w:val="auto"/>
              </w:rPr>
            </w:pPr>
            <w:r>
              <w:rPr>
                <w:rFonts w:ascii="Arial" w:cs="Arial" w:eastAsia="Arial" w:hAnsi="Arial"/>
                <w:sz w:val="18"/>
                <w:szCs w:val="18"/>
                <w:color w:val="auto"/>
              </w:rPr>
              <w:t>Employee contributions</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10,803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receivables</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10,803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20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$ 2,356,002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$ 1,797,060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vMerge w:val="restart"/>
          </w:tcPr>
          <w:p>
            <w:pPr>
              <w:jc w:val="center"/>
              <w:ind w:left="2110"/>
              <w:spacing w:after="0"/>
              <w:rPr>
                <w:sz w:val="20"/>
                <w:szCs w:val="20"/>
                <w:color w:val="auto"/>
              </w:rPr>
            </w:pPr>
            <w:r>
              <w:rPr>
                <w:rFonts w:ascii="Arial" w:cs="Arial" w:eastAsia="Arial" w:hAnsi="Arial"/>
                <w:sz w:val="18"/>
                <w:szCs w:val="18"/>
                <w:i w:val="1"/>
                <w:iCs w:val="1"/>
                <w:color w:val="auto"/>
                <w:w w:val="90"/>
              </w:rPr>
              <w:t>The accompanying notes are an integral part of these financial statements.</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91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0" w:type="dxa"/>
            <w:vAlign w:val="bottom"/>
            <w:gridSpan w:val="2"/>
          </w:tcPr>
          <w:p>
            <w:pPr>
              <w:jc w:val="right"/>
              <w:ind w:right="3350"/>
              <w:spacing w:after="0"/>
              <w:rPr>
                <w:sz w:val="20"/>
                <w:szCs w:val="20"/>
                <w:color w:val="auto"/>
              </w:rPr>
            </w:pPr>
            <w:r>
              <w:rPr>
                <w:rFonts w:ascii="Arial" w:cs="Arial" w:eastAsia="Arial" w:hAnsi="Arial"/>
                <w:sz w:val="18"/>
                <w:szCs w:val="18"/>
                <w:color w:val="auto"/>
              </w:rPr>
              <w:t>2</w:t>
            </w: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Changes in Net Assets Available for Benefits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 Ended December 31, 2004</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ADDITIONS TO NET ASSETS AVAILABLE FOR BENEFITS: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tcPr>
          <w:p>
            <w:pPr>
              <w:ind w:left="400"/>
              <w:spacing w:after="0"/>
              <w:rPr>
                <w:sz w:val="20"/>
                <w:szCs w:val="20"/>
                <w:color w:val="auto"/>
              </w:rPr>
            </w:pPr>
            <w:r>
              <w:rPr>
                <w:rFonts w:ascii="Arial" w:cs="Arial" w:eastAsia="Arial" w:hAnsi="Arial"/>
                <w:sz w:val="18"/>
                <w:szCs w:val="18"/>
                <w:color w:val="auto"/>
              </w:rPr>
              <w:t>Contributions-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Employee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509,485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investment gain from the Master Trust (Note 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176,207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60" w:type="dxa"/>
            <w:vAlign w:val="bottom"/>
          </w:tcPr>
          <w:p>
            <w:pPr>
              <w:ind w:left="400"/>
              <w:spacing w:after="0"/>
              <w:rPr>
                <w:sz w:val="20"/>
                <w:szCs w:val="20"/>
                <w:color w:val="auto"/>
              </w:rPr>
            </w:pPr>
            <w:r>
              <w:rPr>
                <w:rFonts w:ascii="Arial" w:cs="Arial" w:eastAsia="Arial" w:hAnsi="Arial"/>
                <w:sz w:val="18"/>
                <w:szCs w:val="18"/>
                <w:color w:val="auto"/>
              </w:rPr>
              <w:t>Participant loan interest</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additions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690,560</w:t>
            </w:r>
          </w:p>
        </w:tc>
        <w:tc>
          <w:tcPr>
            <w:tcW w:w="0" w:type="dxa"/>
            <w:vAlign w:val="bottom"/>
          </w:tcPr>
          <w:p>
            <w:pPr>
              <w:spacing w:after="0"/>
              <w:rPr>
                <w:sz w:val="1"/>
                <w:szCs w:val="1"/>
                <w:color w:val="auto"/>
              </w:rPr>
            </w:pPr>
          </w:p>
        </w:tc>
      </w:tr>
      <w:tr>
        <w:trPr>
          <w:trHeight w:val="432"/>
        </w:trPr>
        <w:tc>
          <w:tcPr>
            <w:tcW w:w="10480" w:type="dxa"/>
            <w:vAlign w:val="bottom"/>
            <w:gridSpan w:val="2"/>
          </w:tcPr>
          <w:p>
            <w:pPr>
              <w:spacing w:after="0"/>
              <w:rPr>
                <w:sz w:val="20"/>
                <w:szCs w:val="20"/>
                <w:color w:val="auto"/>
              </w:rPr>
            </w:pPr>
            <w:r>
              <w:rPr>
                <w:rFonts w:ascii="Arial" w:cs="Arial" w:eastAsia="Arial" w:hAnsi="Arial"/>
                <w:sz w:val="18"/>
                <w:szCs w:val="18"/>
                <w:color w:val="auto"/>
              </w:rPr>
              <w:t>DEDUCTIONS FROM NET ASSETS AVAILABLE FOR BENEFITS: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Benefits paid to participants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131,618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60" w:type="dxa"/>
            <w:vAlign w:val="bottom"/>
          </w:tcPr>
          <w:p>
            <w:pPr>
              <w:ind w:left="800"/>
              <w:spacing w:after="0"/>
              <w:rPr>
                <w:sz w:val="20"/>
                <w:szCs w:val="20"/>
                <w:color w:val="auto"/>
              </w:rPr>
            </w:pPr>
            <w:r>
              <w:rPr>
                <w:rFonts w:ascii="Arial" w:cs="Arial" w:eastAsia="Arial" w:hAnsi="Arial"/>
                <w:sz w:val="18"/>
                <w:szCs w:val="18"/>
                <w:color w:val="auto"/>
              </w:rPr>
              <w:t>Total deductions</w:t>
            </w: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131,618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0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558,942</w:t>
            </w:r>
          </w:p>
        </w:tc>
        <w:tc>
          <w:tcPr>
            <w:tcW w:w="0" w:type="dxa"/>
            <w:vAlign w:val="bottom"/>
          </w:tcPr>
          <w:p>
            <w:pPr>
              <w:spacing w:after="0"/>
              <w:rPr>
                <w:sz w:val="1"/>
                <w:szCs w:val="1"/>
                <w:color w:val="auto"/>
              </w:rPr>
            </w:pPr>
          </w:p>
        </w:tc>
      </w:tr>
      <w:tr>
        <w:trPr>
          <w:trHeight w:val="432"/>
        </w:trPr>
        <w:tc>
          <w:tcPr>
            <w:tcW w:w="1048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1,797,060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460" w:type="dxa"/>
            <w:vAlign w:val="bottom"/>
          </w:tcPr>
          <w:p>
            <w:pPr>
              <w:ind w:left="400"/>
              <w:spacing w:after="0"/>
              <w:rPr>
                <w:sz w:val="20"/>
                <w:szCs w:val="20"/>
                <w:color w:val="auto"/>
              </w:rPr>
            </w:pPr>
            <w:r>
              <w:rPr>
                <w:rFonts w:ascii="Arial" w:cs="Arial" w:eastAsia="Arial" w:hAnsi="Arial"/>
                <w:sz w:val="18"/>
                <w:szCs w:val="18"/>
                <w:color w:val="auto"/>
              </w:rPr>
              <w:t>End of year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2,356,002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60" w:type="dxa"/>
            <w:vAlign w:val="bottom"/>
            <w:vMerge w:val="restart"/>
          </w:tcPr>
          <w:p>
            <w:pPr>
              <w:jc w:val="center"/>
              <w:ind w:left="830"/>
              <w:spacing w:after="0"/>
              <w:rPr>
                <w:sz w:val="20"/>
                <w:szCs w:val="20"/>
                <w:color w:val="auto"/>
              </w:rPr>
            </w:pPr>
            <w:r>
              <w:rPr>
                <w:rFonts w:ascii="Arial" w:cs="Arial" w:eastAsia="Arial" w:hAnsi="Arial"/>
                <w:sz w:val="18"/>
                <w:szCs w:val="18"/>
                <w:i w:val="1"/>
                <w:iCs w:val="1"/>
                <w:color w:val="auto"/>
                <w:w w:val="90"/>
              </w:rPr>
              <w:t>The accompanying notes are an integral part of these financial statements.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10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480" w:type="dxa"/>
            <w:vAlign w:val="bottom"/>
            <w:gridSpan w:val="2"/>
          </w:tcPr>
          <w:p>
            <w:pPr>
              <w:jc w:val="right"/>
              <w:ind w:right="46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description of the Waste Management Retirement Savings Plan for Bargaining Unit Employees (the “Plan”) provides only general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Participants should refer to the Plan document for a more complete description of the Plan’s provisions.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Plan is a defined contribution plan available to all eligible employees, and their beneficiaries, of Waste Management Holdings, Inc., (“Waste Management”), and its affiliates (as defined in the Plan). The Plan is subject to the provisions of the Employee Retirement Income Security Act of 1974, as amended (“ERISA”).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8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board of directors of Waste Management, Inc. (“WMI” or the “Company”), the parent of Waste Management, has named the Administrative Committee of the Waste Management Employee Benefit Plans (the “Administrative Committee”) to serve as administrator and fiduciary of all benefit plans of WMI and its subsidiaries, including the Plan. Waste Management has entered into a Defined Contribution Plans Master Trust Agreement (the “Master Trust”) with State Street Bank and Trust Company (“State Street”) whereby State Street serves as trustee of the Plan. CitiStreet LLC (“CitiStreet”), an affiliate of State Street, serves as record keeper.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Employees are eligible to participate in the Plan following completion of a 90-day period of service (as defined by the Plan) if they are covered by a collective bargaining agreement that provides for participation in the Plan.</w:t>
      </w:r>
    </w:p>
    <w:p>
      <w:pPr>
        <w:spacing w:after="0" w:line="13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Employees who are ineligible to participate in the Plan consist of (a) leased employees, (b) individuals providing services to Waste Management as independent contractors, (c) certain nonresident aliens who have no earned income from sources within the United States of America and (d) individuals who are participants in any other pension, retirement, profit-sharing, stock bonus, thrift or savings plan maintained by Waste Management or the Company other than the Waste Management Pension Plan for Collectively Bargained Employees or such other plans as may from time to time be determined by the Administrative Committee.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18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Participants may contribute from 1 percent to 15 percent of their pre-tax compensation, as defined by the Plan (“Employee Contribution”), not to exceed certain limits as described in the Plan document. After-tax contributions are not permitted by the Plan. Participants may also contribute amounts representing distributions from other qualified plans (“Rollover Contribution”). The Plan does not provide for contributions by Waste Management.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181" w:lineRule="exact"/>
        <w:rPr>
          <w:sz w:val="20"/>
          <w:szCs w:val="20"/>
          <w:color w:val="auto"/>
        </w:rPr>
      </w:pPr>
    </w:p>
    <w:p>
      <w:pPr>
        <w:ind w:right="8820" w:firstLine="8"/>
        <w:spacing w:after="0" w:line="491" w:lineRule="auto"/>
        <w:tabs>
          <w:tab w:leader="none" w:pos="18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Plan (continued) Investment Options</w:t>
      </w:r>
    </w:p>
    <w:p>
      <w:pPr>
        <w:spacing w:after="0" w:line="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Plan, through its investments in the Master Trust, currently offers participants six common collective trust funds; a Company common stock fund; a self-managed account, which allows participants to select various securities sold on the New York Stock Exchange, American Stock Exchange and NASDAQ; and three asset allocation models, which are balanced among the six common collective trust funds (with aggressive, moderate and conservative investment objectives as investment options). Several restrictions apply, and a minimum balance is required to participate in the self-managed account. The Plan utilizes cash equivalents to temporarily hold monies pending settlement for transactions initiated by participants.</w:t>
      </w:r>
    </w:p>
    <w:p>
      <w:pPr>
        <w:spacing w:after="0" w:line="1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participant who has invested in the Company common stock fund has the right to vote the shares of stock in his or her account with respect to any matter that comes before the shareholders for a vote. Additionally, if a participant invests in the self-managed account, the participant has the right to vote the shares of any common stock held in the participant’s account.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immediately vested in their Employee Contribution and Rollover Contribution accounts plus earnings thereon.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Accounts</w:t>
      </w:r>
    </w:p>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Each participant’s account is credited with the participant’s Employee Contribution and Rollover Contribution and an allocation of investment income and loss and expenses. Investment income and loss is allocated to the participant’s account based upon the participant’s proportionate share of the funds within the Plan.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18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Upon retirement, disability or termination of employment, participants or, in the case of a participant’s death, their designated beneficiaries may make withdrawals from their accounts as specified by the Plan. Prior to termination, participants who have reached age 59-1/2 may withdraw from the vested portion of their accounts. Distributions are made by a single lump-sum payment or direct rollover. Distributions of accounts invested in Company common stock may be taken in whole shares of common stock or cash.</w:t>
      </w:r>
    </w:p>
    <w:p>
      <w:pPr>
        <w:spacing w:after="0" w:line="16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Participants may make withdrawals from the pre-tax portion of their accounts, excluding certain earnings, in the event of proven financial hardship of the participant. Not more than one hardship withdrawal is permitted in any 12-month period, and the participant is not permitted to contribute to the Plan or any other plans maintained by the Company for 6 months after receiving the hardship distribution.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w:t>
      </w:r>
    </w:p>
    <w:p>
      <w:pPr>
        <w:spacing w:after="0" w:line="1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Participants who are active employees may obtain loans of not less than $1,000 and a maximum of 50 percent of the participants’ vested accounts (excluding any amounts invested in the self-managed account) immediately preceding the loan grant date. In no event shall a loan exceed $50,000, reduced by the greater of (a) the highest outstanding balance of loans during the one-year period ending on the date before a new loan is made or modified, or (b) the outstanding balance of loans on the date a new loan is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 Bargaining Unit Employees</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Financial Statements (continued)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 (continued)</w:t>
      </w:r>
    </w:p>
    <w:p>
      <w:pPr>
        <w:spacing w:after="0" w:line="202" w:lineRule="exact"/>
        <w:rPr>
          <w:sz w:val="20"/>
          <w:szCs w:val="20"/>
          <w:color w:val="auto"/>
        </w:rPr>
      </w:pPr>
    </w:p>
    <w:p>
      <w:pPr>
        <w:ind w:right="640"/>
        <w:spacing w:after="0" w:line="312" w:lineRule="auto"/>
        <w:rPr>
          <w:sz w:val="20"/>
          <w:szCs w:val="20"/>
          <w:color w:val="auto"/>
        </w:rPr>
      </w:pPr>
      <w:r>
        <w:rPr>
          <w:rFonts w:ascii="Arial" w:cs="Arial" w:eastAsia="Arial" w:hAnsi="Arial"/>
          <w:sz w:val="16"/>
          <w:szCs w:val="16"/>
          <w:color w:val="auto"/>
        </w:rPr>
        <w:t>made or modified. Not more than one loan shall be outstanding at any time. Interest rates and repayment terms are established by the Administrative Committee. Such loans shall be repaid by payroll deduction, or any other method approved by the Administrative Committee, which requires level amortization of principal and repayments no less frequently than quarterly and must be repaid over a period not to exceed 54 months.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189"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Master Trust administrative expenses, including trustee and investment management fees, are allocated in proportion to the investment balances of the underlying plans. Loan administration fees are charged directly to the account balance of the participant requesting the loan. Plan level administrative expenses, which include primarily recordkeeping fees, are allocated directly to the respective plan. Administrative expenses are reflected as a reduction of Master Trust investment income and are included in net investment gain from the Master Trust in the accompanying statement of changes in net assets available for benefits. In 2004, the Company elected to pay certain audit and legal fees of the Plan.</w:t>
      </w:r>
    </w:p>
    <w:p>
      <w:pPr>
        <w:spacing w:after="0" w:line="142" w:lineRule="exact"/>
        <w:rPr>
          <w:sz w:val="20"/>
          <w:szCs w:val="20"/>
          <w:color w:val="auto"/>
        </w:rPr>
      </w:pPr>
    </w:p>
    <w:p>
      <w:pPr>
        <w:ind w:right="8640" w:firstLine="8"/>
        <w:spacing w:after="0" w:line="456"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Basis of Accounting</w:t>
      </w:r>
    </w:p>
    <w:p>
      <w:pPr>
        <w:spacing w:after="0" w:line="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accompanying financial statements of the Plan have been prepared using the accrual basis of accounting in accordance with U.S. generally accepted accounting principles. Benefits paid to participants are recorded when paid.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preparation of the financial statements, and accompanying notes and schedule, requires management to make estimates that affect accounting for and recognition of plan assets and liabilities and additions and deductions to/from net assets available for benefits. These estimates must be made because certain of the information used is dependent on future events, which cannot be calculated with a high degree of precision from available data or simply cannot be readily calculated based on generally accepted methodologies. In some cases, management must exercise significant judgment. Actual results could differ from those estimates.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purpose of the Master Trust is the collective investment of the assets of participating employee benefit plans of the Company. The Master Trust’s assets are allocated among participating plans by assigning to each plan those transactions (primarily contributions, benefit payments and certain administrative expenses) which can be specifically identified and by allocating among all plans, in proportion to the fair value of the assets assigned to each plan, income and expenses resulting from the collective investment of the assets of the Master Trust. Corporate stocks, convertible notes and mutual funds held by the Master Trust are stated at fair value based on quoted market price as of the financial statement date. The fair values of the common collective trust funds held by the Master Trust are established by State Street based on quoted market prices of the underlying assets. Short-term investments and loans to participants are stated at cost, which approximates fair value. The Master Trust records purchases and sales of securities on a trade-date basis and dividends on the ex-dividend date.</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181" w:lineRule="exact"/>
        <w:rPr>
          <w:sz w:val="20"/>
          <w:szCs w:val="20"/>
          <w:color w:val="auto"/>
        </w:rPr>
      </w:pPr>
    </w:p>
    <w:p>
      <w:pPr>
        <w:ind w:right="7800" w:firstLine="8"/>
        <w:spacing w:after="0" w:line="464"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(continued) Risks and Uncertainties</w:t>
      </w:r>
    </w:p>
    <w:p>
      <w:pPr>
        <w:ind w:right="20"/>
        <w:spacing w:after="0" w:line="259" w:lineRule="auto"/>
        <w:rPr>
          <w:sz w:val="20"/>
          <w:szCs w:val="20"/>
          <w:color w:val="auto"/>
        </w:rPr>
      </w:pPr>
      <w:r>
        <w:rPr>
          <w:rFonts w:ascii="Arial" w:cs="Arial" w:eastAsia="Arial" w:hAnsi="Arial"/>
          <w:sz w:val="18"/>
          <w:szCs w:val="18"/>
          <w:color w:val="auto"/>
        </w:rPr>
        <w:t>The Plan provides for investment in various securities, which,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that such changes could materially affect the amounts reported in the statements of net assets available for benefits and participant account balances.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Plan Interest in the Master Trust</w:t>
      </w:r>
    </w:p>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Plan investments are held in the Master Trust along with another Company-sponsored retirement plan, the Waste Management Retirement Savings Plan (the “Non-Union Plan”). As of December 31, 2004 and 2003, the Plan’s beneficial interest in the net assets of the Master Trust was .21% and .18%,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net assets of the Master Trust consist of the following:</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5"/>
          </w:tcPr>
          <w:p>
            <w:pPr>
              <w:ind w:left="8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332"/>
              <w:spacing w:after="0"/>
              <w:rPr>
                <w:sz w:val="20"/>
                <w:szCs w:val="20"/>
                <w:color w:val="auto"/>
              </w:rPr>
            </w:pPr>
            <w:r>
              <w:rPr>
                <w:rFonts w:ascii="Arial" w:cs="Arial" w:eastAsia="Arial" w:hAnsi="Arial"/>
                <w:sz w:val="14"/>
                <w:szCs w:val="14"/>
                <w:color w:val="auto"/>
              </w:rPr>
              <w:t>2004</w:t>
            </w:r>
          </w:p>
        </w:tc>
        <w:tc>
          <w:tcPr>
            <w:tcW w:w="200" w:type="dxa"/>
            <w:vAlign w:val="bottom"/>
          </w:tcPr>
          <w:p>
            <w:pPr>
              <w:spacing w:after="0"/>
              <w:rPr>
                <w:sz w:val="14"/>
                <w:szCs w:val="14"/>
                <w:color w:val="auto"/>
              </w:rPr>
            </w:pPr>
          </w:p>
        </w:tc>
        <w:tc>
          <w:tcPr>
            <w:tcW w:w="1240" w:type="dxa"/>
            <w:vAlign w:val="bottom"/>
            <w:gridSpan w:val="2"/>
          </w:tcPr>
          <w:p>
            <w:pPr>
              <w:jc w:val="right"/>
              <w:ind w:right="290"/>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rPr>
              <w:t>Investments, at fair value-</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Common collective trust funds</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952,914,406</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$ 833,550,215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600"/>
              <w:spacing w:after="0"/>
              <w:rPr>
                <w:sz w:val="20"/>
                <w:szCs w:val="20"/>
                <w:color w:val="auto"/>
              </w:rPr>
            </w:pPr>
            <w:r>
              <w:rPr>
                <w:rFonts w:ascii="Arial" w:cs="Arial" w:eastAsia="Arial" w:hAnsi="Arial"/>
                <w:sz w:val="18"/>
                <w:szCs w:val="18"/>
                <w:color w:val="auto"/>
              </w:rPr>
              <w:t>Short-term investments</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10,111,033</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4,937,729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Corporate stocks</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10,531,517</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6,765,165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600"/>
              <w:spacing w:after="0"/>
              <w:rPr>
                <w:sz w:val="20"/>
                <w:szCs w:val="20"/>
                <w:color w:val="auto"/>
              </w:rPr>
            </w:pPr>
            <w:r>
              <w:rPr>
                <w:rFonts w:ascii="Arial" w:cs="Arial" w:eastAsia="Arial" w:hAnsi="Arial"/>
                <w:sz w:val="18"/>
                <w:szCs w:val="18"/>
                <w:color w:val="auto"/>
              </w:rPr>
              <w:t>Waste Management, Inc. common stock</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98,185,160</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102,445,458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Convertible notes</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1,084,133</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1,048,309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600"/>
              <w:spacing w:after="0"/>
              <w:rPr>
                <w:sz w:val="20"/>
                <w:szCs w:val="20"/>
                <w:color w:val="auto"/>
              </w:rPr>
            </w:pPr>
            <w:r>
              <w:rPr>
                <w:rFonts w:ascii="Arial" w:cs="Arial" w:eastAsia="Arial" w:hAnsi="Arial"/>
                <w:sz w:val="18"/>
                <w:szCs w:val="18"/>
                <w:color w:val="auto"/>
              </w:rPr>
              <w:t>Mutual funds</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9,277,001</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6,796,257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Limited partnerships</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600"/>
              <w:spacing w:after="0"/>
              <w:rPr>
                <w:sz w:val="20"/>
                <w:szCs w:val="20"/>
                <w:color w:val="auto"/>
              </w:rPr>
            </w:pPr>
            <w:r>
              <w:rPr>
                <w:rFonts w:ascii="Arial" w:cs="Arial" w:eastAsia="Arial" w:hAnsi="Arial"/>
                <w:sz w:val="18"/>
                <w:szCs w:val="18"/>
                <w:color w:val="auto"/>
              </w:rPr>
              <w:t>Other</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75,098</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investments</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1,082,178,348</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955,629,311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rPr>
              <w:t>Securities sold receivable</w:t>
            </w:r>
          </w:p>
        </w:tc>
        <w:tc>
          <w:tcPr>
            <w:tcW w:w="4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290,675</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175,701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receivable</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924,635</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834,956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rPr>
              <w:t>Cash, non-interest bearing</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101,941</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assets</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1,083,495,599</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956,639,968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Liabilities-</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Administrative fees payable</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899,646</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831,419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rPr>
              <w:t>Securities purchased payable</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136,772</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154,080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liabilities</w:t>
            </w:r>
          </w:p>
        </w:tc>
        <w:tc>
          <w:tcPr>
            <w:tcW w:w="4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1,036,418</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985,499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vMerge w:val="restart"/>
          </w:tcPr>
          <w:p>
            <w:pPr>
              <w:ind w:left="800"/>
              <w:spacing w:after="0"/>
              <w:rPr>
                <w:sz w:val="20"/>
                <w:szCs w:val="20"/>
                <w:color w:val="auto"/>
              </w:rPr>
            </w:pPr>
            <w:r>
              <w:rPr>
                <w:rFonts w:ascii="Arial" w:cs="Arial" w:eastAsia="Arial" w:hAnsi="Arial"/>
                <w:sz w:val="18"/>
                <w:szCs w:val="18"/>
                <w:color w:val="auto"/>
              </w:rPr>
              <w:t>Total net assets</w:t>
            </w:r>
          </w:p>
        </w:tc>
        <w:tc>
          <w:tcPr>
            <w:tcW w:w="42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3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vMerge w:val="continue"/>
          </w:tcPr>
          <w:p>
            <w:pPr>
              <w:spacing w:after="0"/>
              <w:rPr>
                <w:sz w:val="19"/>
                <w:szCs w:val="19"/>
                <w:color w:val="auto"/>
              </w:rPr>
            </w:pPr>
          </w:p>
        </w:tc>
        <w:tc>
          <w:tcPr>
            <w:tcW w:w="4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1,082,459,181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955,654,469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Non-Union Plan interest</w:t>
            </w:r>
          </w:p>
        </w:tc>
        <w:tc>
          <w:tcPr>
            <w:tcW w:w="4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1,080,223,306</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$ 953,933,282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Plan interest</w:t>
            </w:r>
          </w:p>
        </w:tc>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2,235,875</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1,721,187</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160" w:type="dxa"/>
            <w:vAlign w:val="bottom"/>
          </w:tcPr>
          <w:p>
            <w:pPr>
              <w:jc w:val="right"/>
              <w:ind w:right="289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380" w:type="dxa"/>
            <w:vAlign w:val="bottom"/>
          </w:tcPr>
          <w:p>
            <w:pPr>
              <w:jc w:val="center"/>
              <w:ind w:left="930"/>
              <w:spacing w:after="0"/>
              <w:rPr>
                <w:sz w:val="20"/>
                <w:szCs w:val="20"/>
                <w:color w:val="auto"/>
              </w:rPr>
            </w:pPr>
            <w:r>
              <w:rPr>
                <w:rFonts w:ascii="Arial" w:cs="Arial" w:eastAsia="Arial" w:hAnsi="Arial"/>
                <w:sz w:val="18"/>
                <w:szCs w:val="18"/>
                <w:color w:val="auto"/>
                <w:w w:val="88"/>
              </w:rPr>
              <w:t>Waste Management Retirement Savings Plan</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0380" w:type="dxa"/>
            <w:vAlign w:val="bottom"/>
          </w:tcPr>
          <w:p>
            <w:pPr>
              <w:jc w:val="center"/>
              <w:ind w:left="910"/>
              <w:spacing w:after="0"/>
              <w:rPr>
                <w:sz w:val="20"/>
                <w:szCs w:val="20"/>
                <w:color w:val="auto"/>
              </w:rPr>
            </w:pPr>
            <w:r>
              <w:rPr>
                <w:rFonts w:ascii="Arial" w:cs="Arial" w:eastAsia="Arial" w:hAnsi="Arial"/>
                <w:sz w:val="18"/>
                <w:szCs w:val="18"/>
                <w:color w:val="auto"/>
                <w:w w:val="92"/>
              </w:rPr>
              <w:t>For Bargaining Unit Employees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380" w:type="dxa"/>
            <w:vAlign w:val="bottom"/>
          </w:tcPr>
          <w:p>
            <w:pPr>
              <w:jc w:val="center"/>
              <w:ind w:left="910"/>
              <w:spacing w:after="0"/>
              <w:rPr>
                <w:sz w:val="20"/>
                <w:szCs w:val="20"/>
                <w:color w:val="auto"/>
              </w:rPr>
            </w:pPr>
            <w:r>
              <w:rPr>
                <w:rFonts w:ascii="Arial" w:cs="Arial" w:eastAsia="Arial" w:hAnsi="Arial"/>
                <w:sz w:val="18"/>
                <w:szCs w:val="18"/>
                <w:color w:val="auto"/>
                <w:w w:val="90"/>
              </w:rPr>
              <w:t>Notes to Financial Statements (continued)</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400" w:type="dxa"/>
            <w:vAlign w:val="bottom"/>
            <w:gridSpan w:val="2"/>
          </w:tcPr>
          <w:p>
            <w:pPr>
              <w:spacing w:after="0"/>
              <w:rPr>
                <w:sz w:val="20"/>
                <w:szCs w:val="20"/>
                <w:color w:val="auto"/>
              </w:rPr>
            </w:pPr>
            <w:r>
              <w:rPr>
                <w:rFonts w:ascii="Arial" w:cs="Arial" w:eastAsia="Arial" w:hAnsi="Arial"/>
                <w:sz w:val="18"/>
                <w:szCs w:val="18"/>
                <w:b w:val="1"/>
                <w:bCs w:val="1"/>
                <w:color w:val="auto"/>
              </w:rPr>
              <w:t>3. Plan Interest in the Master Trust (continued)</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400" w:type="dxa"/>
            <w:vAlign w:val="bottom"/>
            <w:gridSpan w:val="2"/>
          </w:tcPr>
          <w:p>
            <w:pPr>
              <w:spacing w:after="0"/>
              <w:rPr>
                <w:sz w:val="20"/>
                <w:szCs w:val="20"/>
                <w:color w:val="auto"/>
              </w:rPr>
            </w:pPr>
            <w:r>
              <w:rPr>
                <w:rFonts w:ascii="Arial" w:cs="Arial" w:eastAsia="Arial" w:hAnsi="Arial"/>
                <w:sz w:val="18"/>
                <w:szCs w:val="18"/>
                <w:color w:val="auto"/>
              </w:rPr>
              <w:t>Income or loss from investments held in the Master Trust for the year ended December 31, 2004, is as follows: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vMerge w:val="restart"/>
          </w:tcPr>
          <w:p>
            <w:pPr>
              <w:spacing w:after="0"/>
              <w:rPr>
                <w:sz w:val="24"/>
                <w:szCs w:val="24"/>
                <w:color w:val="auto"/>
              </w:rPr>
            </w:pPr>
          </w:p>
        </w:tc>
        <w:tc>
          <w:tcPr>
            <w:tcW w:w="10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9,995,782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Dividends</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370,827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Dividends - Waste Management, Inc. common stock</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2,538,346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276,883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Net appreciation/(depreciation) in fair value of-</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Common collective trust funds</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66,711,094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Corporate stocks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2,815,341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Waste Management, Inc. common stock</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1,388,994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Convertible notes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Limited partnerships</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Mutual funds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585,088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380" w:type="dxa"/>
            <w:vAlign w:val="bottom"/>
          </w:tcPr>
          <w:p>
            <w:pPr>
              <w:ind w:left="600"/>
              <w:spacing w:after="0"/>
              <w:rPr>
                <w:sz w:val="20"/>
                <w:szCs w:val="20"/>
                <w:color w:val="auto"/>
              </w:rPr>
            </w:pPr>
            <w:r>
              <w:rPr>
                <w:rFonts w:ascii="Arial" w:cs="Arial" w:eastAsia="Arial" w:hAnsi="Arial"/>
                <w:sz w:val="18"/>
                <w:szCs w:val="18"/>
                <w:color w:val="auto"/>
              </w:rPr>
              <w:t>Total net appreciation in fair value of investments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71,535,954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investment gain</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84,717,792</w:t>
            </w:r>
          </w:p>
        </w:tc>
        <w:tc>
          <w:tcPr>
            <w:tcW w:w="0" w:type="dxa"/>
            <w:vAlign w:val="bottom"/>
          </w:tcPr>
          <w:p>
            <w:pPr>
              <w:spacing w:after="0"/>
              <w:rPr>
                <w:sz w:val="1"/>
                <w:szCs w:val="1"/>
                <w:color w:val="auto"/>
              </w:rPr>
            </w:pPr>
          </w:p>
        </w:tc>
      </w:tr>
      <w:tr>
        <w:trPr>
          <w:trHeight w:val="432"/>
        </w:trPr>
        <w:tc>
          <w:tcPr>
            <w:tcW w:w="10400" w:type="dxa"/>
            <w:vAlign w:val="bottom"/>
            <w:gridSpan w:val="2"/>
          </w:tcPr>
          <w:p>
            <w:pPr>
              <w:spacing w:after="0"/>
              <w:rPr>
                <w:sz w:val="20"/>
                <w:szCs w:val="20"/>
                <w:color w:val="auto"/>
              </w:rPr>
            </w:pPr>
            <w:r>
              <w:rPr>
                <w:rFonts w:ascii="Arial" w:cs="Arial" w:eastAsia="Arial" w:hAnsi="Arial"/>
                <w:sz w:val="18"/>
                <w:szCs w:val="18"/>
                <w:color w:val="auto"/>
              </w:rPr>
              <w:t>Administrative fees</w:t>
            </w: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(3,951,905)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gain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80,765,887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400" w:type="dxa"/>
            <w:vAlign w:val="bottom"/>
            <w:gridSpan w:val="2"/>
          </w:tcPr>
          <w:p>
            <w:pPr>
              <w:spacing w:after="0"/>
              <w:rPr>
                <w:sz w:val="20"/>
                <w:szCs w:val="20"/>
                <w:color w:val="auto"/>
              </w:rPr>
            </w:pPr>
            <w:r>
              <w:rPr>
                <w:rFonts w:ascii="Arial" w:cs="Arial" w:eastAsia="Arial" w:hAnsi="Arial"/>
                <w:sz w:val="18"/>
                <w:szCs w:val="18"/>
                <w:color w:val="auto"/>
              </w:rPr>
              <w:t>Non-Union Plan interest in net investment gain from the Master Trust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80,589,680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Plan interest in investment gain from the Master Trust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176,207</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Federal Income Taxes</w:t>
      </w:r>
    </w:p>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Plan has received a determination letter from the Internal Revenue Service (“IRS”) dated November 30, 2001, stating that the Plan is qualified under Section 401(a) of the Internal Revenue Code (the “Code”) and, therefore, the related trust is exempt from taxation. Subsequent to this determination by the IRS, the Plan was amended. Once qualified, the Plan is required to operate in conformity with the Code to maintain its qualification. The plan administrator believes the Plan is being operated in compliance with the applicable requirements of the Code and, therefore, believes that the Plan, as amended, is qualified and the related trust is tax exempt.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Plan Termination</w:t>
      </w:r>
    </w:p>
    <w:p>
      <w:pPr>
        <w:spacing w:after="0" w:line="18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Although it has not expressed any intention to do so, subject to the terms of any applicable collective bargaining agreement, the Company has the right to terminate the Plan subject to the provisions of ERISA.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5"/>
          <w:szCs w:val="15"/>
          <w:b w:val="1"/>
          <w:bCs w:val="1"/>
          <w:color w:val="auto"/>
        </w:rPr>
        <w:t>Supplemental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431800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4(i) – Schedule of Assets (Held At End of Year)</w:t>
      </w:r>
    </w:p>
    <w:p>
      <w:pPr>
        <w:spacing w:after="0" w:line="185"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color w:val="auto"/>
        </w:rPr>
        <w:t>EIN: 36-2660763</w:t>
      </w:r>
      <w:r>
        <w:rPr>
          <w:sz w:val="20"/>
          <w:szCs w:val="20"/>
          <w:color w:val="auto"/>
        </w:rPr>
        <w:tab/>
      </w:r>
      <w:r>
        <w:rPr>
          <w:rFonts w:ascii="Arial" w:cs="Arial" w:eastAsia="Arial" w:hAnsi="Arial"/>
          <w:sz w:val="16"/>
          <w:szCs w:val="16"/>
          <w:color w:val="auto"/>
        </w:rPr>
        <w:t>PN: 007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2004</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Identity of Issue</w:t>
            </w:r>
          </w:p>
        </w:tc>
        <w:tc>
          <w:tcPr>
            <w:tcW w:w="5960" w:type="dxa"/>
            <w:vAlign w:val="bottom"/>
            <w:tcBorders>
              <w:bottom w:val="single" w:sz="8" w:color="auto"/>
            </w:tcBorders>
          </w:tcPr>
          <w:p>
            <w:pPr>
              <w:jc w:val="center"/>
              <w:ind w:left="994"/>
              <w:spacing w:after="0"/>
              <w:rPr>
                <w:sz w:val="20"/>
                <w:szCs w:val="20"/>
                <w:color w:val="auto"/>
              </w:rPr>
            </w:pPr>
            <w:r>
              <w:rPr>
                <w:rFonts w:ascii="Arial" w:cs="Arial" w:eastAsia="Arial" w:hAnsi="Arial"/>
                <w:sz w:val="14"/>
                <w:szCs w:val="14"/>
                <w:b w:val="1"/>
                <w:bCs w:val="1"/>
                <w:color w:val="auto"/>
                <w:w w:val="93"/>
              </w:rPr>
              <w:t>Description of Investment</w:t>
            </w:r>
          </w:p>
        </w:tc>
        <w:tc>
          <w:tcPr>
            <w:tcW w:w="340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Current Value</w:t>
            </w:r>
          </w:p>
        </w:tc>
      </w:tr>
      <w:tr>
        <w:trPr>
          <w:trHeight w:val="209"/>
        </w:trPr>
        <w:tc>
          <w:tcPr>
            <w:tcW w:w="2060" w:type="dxa"/>
            <w:vAlign w:val="bottom"/>
          </w:tcPr>
          <w:p>
            <w:pPr>
              <w:spacing w:after="0"/>
              <w:rPr>
                <w:sz w:val="20"/>
                <w:szCs w:val="20"/>
                <w:color w:val="auto"/>
              </w:rPr>
            </w:pPr>
            <w:r>
              <w:rPr>
                <w:rFonts w:ascii="Arial" w:cs="Arial" w:eastAsia="Arial" w:hAnsi="Arial"/>
                <w:sz w:val="18"/>
                <w:szCs w:val="18"/>
                <w:color w:val="auto"/>
              </w:rPr>
              <w:t>*Participant Loans</w:t>
            </w:r>
          </w:p>
        </w:tc>
        <w:tc>
          <w:tcPr>
            <w:tcW w:w="5960" w:type="dxa"/>
            <w:vAlign w:val="bottom"/>
          </w:tcPr>
          <w:p>
            <w:pPr>
              <w:jc w:val="center"/>
              <w:ind w:left="994"/>
              <w:spacing w:after="0"/>
              <w:rPr>
                <w:sz w:val="20"/>
                <w:szCs w:val="20"/>
                <w:color w:val="auto"/>
              </w:rPr>
            </w:pPr>
            <w:r>
              <w:rPr>
                <w:rFonts w:ascii="Arial" w:cs="Arial" w:eastAsia="Arial" w:hAnsi="Arial"/>
                <w:sz w:val="18"/>
                <w:szCs w:val="18"/>
                <w:color w:val="auto"/>
                <w:w w:val="91"/>
              </w:rPr>
              <w:t>Various maturity dates with interest rates</w:t>
            </w:r>
          </w:p>
        </w:tc>
        <w:tc>
          <w:tcPr>
            <w:tcW w:w="3400" w:type="dxa"/>
            <w:vAlign w:val="bottom"/>
          </w:tcPr>
          <w:p>
            <w:pPr>
              <w:ind w:left="980"/>
              <w:spacing w:after="0"/>
              <w:rPr>
                <w:sz w:val="20"/>
                <w:szCs w:val="20"/>
                <w:color w:val="auto"/>
              </w:rPr>
            </w:pPr>
            <w:r>
              <w:rPr>
                <w:rFonts w:ascii="Arial" w:cs="Arial" w:eastAsia="Arial" w:hAnsi="Arial"/>
                <w:sz w:val="18"/>
                <w:szCs w:val="18"/>
                <w:color w:val="auto"/>
              </w:rPr>
              <w:t>$109,324</w:t>
            </w:r>
          </w:p>
        </w:tc>
      </w:tr>
      <w:tr>
        <w:trPr>
          <w:trHeight w:val="230"/>
        </w:trPr>
        <w:tc>
          <w:tcPr>
            <w:tcW w:w="2060" w:type="dxa"/>
            <w:vAlign w:val="bottom"/>
          </w:tcPr>
          <w:p>
            <w:pPr>
              <w:spacing w:after="0"/>
              <w:rPr>
                <w:sz w:val="20"/>
                <w:szCs w:val="20"/>
                <w:color w:val="auto"/>
              </w:rPr>
            </w:pPr>
          </w:p>
        </w:tc>
        <w:tc>
          <w:tcPr>
            <w:tcW w:w="5960" w:type="dxa"/>
            <w:vAlign w:val="bottom"/>
          </w:tcPr>
          <w:p>
            <w:pPr>
              <w:jc w:val="center"/>
              <w:ind w:left="994"/>
              <w:spacing w:after="0"/>
              <w:rPr>
                <w:sz w:val="20"/>
                <w:szCs w:val="20"/>
                <w:color w:val="auto"/>
              </w:rPr>
            </w:pPr>
            <w:r>
              <w:rPr>
                <w:rFonts w:ascii="Arial" w:cs="Arial" w:eastAsia="Arial" w:hAnsi="Arial"/>
                <w:sz w:val="18"/>
                <w:szCs w:val="18"/>
                <w:color w:val="auto"/>
                <w:w w:val="91"/>
              </w:rPr>
              <w:t>ranging from 5.0% to 9.5%</w:t>
            </w:r>
          </w:p>
        </w:tc>
        <w:tc>
          <w:tcPr>
            <w:tcW w:w="3400" w:type="dxa"/>
            <w:vAlign w:val="bottom"/>
          </w:tcPr>
          <w:p>
            <w:pPr>
              <w:spacing w:after="0"/>
              <w:rPr>
                <w:sz w:val="20"/>
                <w:szCs w:val="20"/>
                <w:color w:val="auto"/>
              </w:rPr>
            </w:pPr>
          </w:p>
        </w:tc>
      </w:tr>
      <w:tr>
        <w:trPr>
          <w:trHeight w:val="284"/>
        </w:trPr>
        <w:tc>
          <w:tcPr>
            <w:tcW w:w="2060" w:type="dxa"/>
            <w:vAlign w:val="bottom"/>
            <w:tcBorders>
              <w:bottom w:val="single" w:sz="8" w:color="auto"/>
            </w:tcBorders>
          </w:tcPr>
          <w:p>
            <w:pPr>
              <w:spacing w:after="0"/>
              <w:rPr>
                <w:sz w:val="24"/>
                <w:szCs w:val="24"/>
                <w:color w:val="auto"/>
              </w:rPr>
            </w:pPr>
          </w:p>
        </w:tc>
        <w:tc>
          <w:tcPr>
            <w:tcW w:w="596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77"/>
        </w:trPr>
        <w:tc>
          <w:tcPr>
            <w:tcW w:w="2060" w:type="dxa"/>
            <w:vAlign w:val="bottom"/>
          </w:tcPr>
          <w:p>
            <w:pPr>
              <w:spacing w:after="0"/>
              <w:rPr>
                <w:sz w:val="20"/>
                <w:szCs w:val="20"/>
                <w:color w:val="auto"/>
              </w:rPr>
            </w:pPr>
            <w:r>
              <w:rPr>
                <w:rFonts w:ascii="Arial" w:cs="Arial" w:eastAsia="Arial" w:hAnsi="Arial"/>
                <w:sz w:val="18"/>
                <w:szCs w:val="18"/>
                <w:color w:val="auto"/>
              </w:rPr>
              <w:t>*Party-in-interest</w:t>
            </w:r>
          </w:p>
        </w:tc>
        <w:tc>
          <w:tcPr>
            <w:tcW w:w="596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5960" w:type="dxa"/>
            <w:vAlign w:val="bottom"/>
          </w:tcPr>
          <w:p>
            <w:pPr>
              <w:jc w:val="right"/>
              <w:ind w:right="2134"/>
              <w:spacing w:after="0"/>
              <w:rPr>
                <w:sz w:val="20"/>
                <w:szCs w:val="20"/>
                <w:color w:val="auto"/>
              </w:rPr>
            </w:pPr>
            <w:r>
              <w:rPr>
                <w:rFonts w:ascii="Arial" w:cs="Arial" w:eastAsia="Arial" w:hAnsi="Arial"/>
                <w:sz w:val="18"/>
                <w:szCs w:val="18"/>
                <w:color w:val="auto"/>
              </w:rPr>
              <w:t>10</w:t>
            </w:r>
          </w:p>
        </w:tc>
        <w:tc>
          <w:tcPr>
            <w:tcW w:w="3400" w:type="dxa"/>
            <w:vAlign w:val="bottom"/>
          </w:tcPr>
          <w:p>
            <w:pPr>
              <w:spacing w:after="0"/>
              <w:rPr>
                <w:sz w:val="24"/>
                <w:szCs w:val="24"/>
                <w:color w:val="auto"/>
              </w:rPr>
            </w:pPr>
          </w:p>
        </w:tc>
      </w:tr>
      <w:tr>
        <w:trPr>
          <w:trHeight w:val="226"/>
        </w:trPr>
        <w:tc>
          <w:tcPr>
            <w:tcW w:w="2060" w:type="dxa"/>
            <w:vAlign w:val="bottom"/>
            <w:tcBorders>
              <w:bottom w:val="single" w:sz="8" w:color="808080"/>
            </w:tcBorders>
          </w:tcPr>
          <w:p>
            <w:pPr>
              <w:spacing w:after="0"/>
              <w:rPr>
                <w:sz w:val="19"/>
                <w:szCs w:val="19"/>
                <w:color w:val="auto"/>
              </w:rPr>
            </w:pPr>
          </w:p>
        </w:tc>
        <w:tc>
          <w:tcPr>
            <w:tcW w:w="596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Plan. Pursuant to the requirements of section 15(d) of the Securities Exchange Act of 1934, the Administrative Committee has duly caused this Annual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Date: June 27, 2005</w:t>
            </w:r>
          </w:p>
        </w:tc>
        <w:tc>
          <w:tcPr>
            <w:tcW w:w="8020" w:type="dxa"/>
            <w:vAlign w:val="bottom"/>
            <w:gridSpan w:val="3"/>
          </w:tcPr>
          <w:p>
            <w:pPr>
              <w:ind w:left="1960"/>
              <w:spacing w:after="0"/>
              <w:rPr>
                <w:sz w:val="20"/>
                <w:szCs w:val="20"/>
                <w:color w:val="auto"/>
              </w:rPr>
            </w:pPr>
            <w:r>
              <w:rPr>
                <w:rFonts w:ascii="Arial" w:cs="Arial" w:eastAsia="Arial" w:hAnsi="Arial"/>
                <w:sz w:val="18"/>
                <w:szCs w:val="18"/>
                <w:color w:val="auto"/>
              </w:rPr>
              <w:t>WASTE MANAGEMENT RETIREMENT SAVINGS PLAN FOR</w:t>
            </w:r>
          </w:p>
        </w:tc>
      </w:tr>
      <w:tr>
        <w:trPr>
          <w:trHeight w:val="230"/>
        </w:trPr>
        <w:tc>
          <w:tcPr>
            <w:tcW w:w="3400" w:type="dxa"/>
            <w:vAlign w:val="bottom"/>
          </w:tcPr>
          <w:p>
            <w:pPr>
              <w:spacing w:after="0"/>
              <w:rPr>
                <w:sz w:val="20"/>
                <w:szCs w:val="20"/>
                <w:color w:val="auto"/>
              </w:rPr>
            </w:pPr>
          </w:p>
        </w:tc>
        <w:tc>
          <w:tcPr>
            <w:tcW w:w="8020" w:type="dxa"/>
            <w:vAlign w:val="bottom"/>
            <w:gridSpan w:val="3"/>
          </w:tcPr>
          <w:p>
            <w:pPr>
              <w:ind w:left="1960"/>
              <w:spacing w:after="0"/>
              <w:rPr>
                <w:sz w:val="20"/>
                <w:szCs w:val="20"/>
                <w:color w:val="auto"/>
              </w:rPr>
            </w:pPr>
            <w:r>
              <w:rPr>
                <w:rFonts w:ascii="Arial" w:cs="Arial" w:eastAsia="Arial" w:hAnsi="Arial"/>
                <w:sz w:val="18"/>
                <w:szCs w:val="18"/>
                <w:color w:val="auto"/>
              </w:rPr>
              <w:t>BARGAINING UNIT EMPLOYEES</w:t>
            </w:r>
          </w:p>
        </w:tc>
      </w:tr>
      <w:tr>
        <w:trPr>
          <w:trHeight w:val="432"/>
        </w:trPr>
        <w:tc>
          <w:tcPr>
            <w:tcW w:w="3400" w:type="dxa"/>
            <w:vAlign w:val="bottom"/>
          </w:tcPr>
          <w:p>
            <w:pPr>
              <w:spacing w:after="0"/>
              <w:rPr>
                <w:sz w:val="24"/>
                <w:szCs w:val="24"/>
                <w:color w:val="auto"/>
              </w:rPr>
            </w:pPr>
          </w:p>
        </w:tc>
        <w:tc>
          <w:tcPr>
            <w:tcW w:w="8020" w:type="dxa"/>
            <w:vAlign w:val="bottom"/>
            <w:gridSpan w:val="3"/>
          </w:tcPr>
          <w:p>
            <w:pPr>
              <w:ind w:left="1960"/>
              <w:spacing w:after="0"/>
              <w:rPr>
                <w:sz w:val="20"/>
                <w:szCs w:val="20"/>
                <w:color w:val="auto"/>
              </w:rPr>
            </w:pPr>
            <w:r>
              <w:rPr>
                <w:rFonts w:ascii="Arial" w:cs="Arial" w:eastAsia="Arial" w:hAnsi="Arial"/>
                <w:sz w:val="18"/>
                <w:szCs w:val="18"/>
                <w:color w:val="auto"/>
              </w:rPr>
              <w:t>By: /s/ Krista DelSota</w:t>
            </w:r>
          </w:p>
        </w:tc>
      </w:tr>
      <w:tr>
        <w:trPr>
          <w:trHeight w:val="195"/>
        </w:trPr>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Krista DelSota</w:t>
            </w:r>
          </w:p>
        </w:tc>
        <w:tc>
          <w:tcPr>
            <w:tcW w:w="1680" w:type="dxa"/>
            <w:vAlign w:val="bottom"/>
          </w:tcPr>
          <w:p>
            <w:pPr>
              <w:spacing w:after="0"/>
              <w:rPr>
                <w:sz w:val="16"/>
                <w:szCs w:val="16"/>
                <w:color w:val="auto"/>
              </w:rPr>
            </w:pPr>
          </w:p>
        </w:tc>
      </w:tr>
      <w:tr>
        <w:trPr>
          <w:trHeight w:val="216"/>
        </w:trPr>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Member, Administrative Committee of the Waste</w:t>
            </w:r>
          </w:p>
        </w:tc>
      </w:tr>
      <w:tr>
        <w:trPr>
          <w:trHeight w:val="216"/>
        </w:trPr>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Management Employee Benefit Plans Member,</w:t>
            </w:r>
          </w:p>
        </w:tc>
      </w:tr>
      <w:tr>
        <w:trPr>
          <w:trHeight w:val="216"/>
        </w:trPr>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Investment Committee of the Waste Management</w:t>
            </w: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Employee Benefit Plans</w:t>
            </w:r>
          </w:p>
        </w:tc>
      </w:tr>
      <w:tr>
        <w:trPr>
          <w:trHeight w:val="392"/>
        </w:trPr>
        <w:tc>
          <w:tcPr>
            <w:tcW w:w="3400" w:type="dxa"/>
            <w:vAlign w:val="bottom"/>
          </w:tcPr>
          <w:p>
            <w:pPr>
              <w:spacing w:after="0"/>
              <w:rPr>
                <w:sz w:val="24"/>
                <w:szCs w:val="24"/>
                <w:color w:val="auto"/>
              </w:rPr>
            </w:pPr>
          </w:p>
        </w:tc>
        <w:tc>
          <w:tcPr>
            <w:tcW w:w="6340" w:type="dxa"/>
            <w:vAlign w:val="bottom"/>
            <w:gridSpan w:val="2"/>
          </w:tcPr>
          <w:p>
            <w:pPr>
              <w:jc w:val="right"/>
              <w:ind w:right="3850"/>
              <w:spacing w:after="0"/>
              <w:rPr>
                <w:sz w:val="20"/>
                <w:szCs w:val="20"/>
                <w:color w:val="auto"/>
              </w:rPr>
            </w:pPr>
            <w:r>
              <w:rPr>
                <w:rFonts w:ascii="Arial" w:cs="Arial" w:eastAsia="Arial" w:hAnsi="Arial"/>
                <w:sz w:val="18"/>
                <w:szCs w:val="18"/>
                <w:color w:val="auto"/>
              </w:rPr>
              <w:t>11</w:t>
            </w:r>
          </w:p>
        </w:tc>
        <w:tc>
          <w:tcPr>
            <w:tcW w:w="1680" w:type="dxa"/>
            <w:vAlign w:val="bottom"/>
          </w:tcPr>
          <w:p>
            <w:pPr>
              <w:spacing w:after="0"/>
              <w:rPr>
                <w:sz w:val="24"/>
                <w:szCs w:val="24"/>
                <w:color w:val="auto"/>
              </w:rPr>
            </w:pPr>
          </w:p>
        </w:tc>
      </w:tr>
      <w:tr>
        <w:trPr>
          <w:trHeight w:val="226"/>
        </w:trPr>
        <w:tc>
          <w:tcPr>
            <w:tcW w:w="340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920" w:type="dxa"/>
            <w:vAlign w:val="bottom"/>
          </w:tcPr>
          <w:p>
            <w:pPr>
              <w:jc w:val="center"/>
              <w:ind w:right="1396"/>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518"/>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80" w:type="dxa"/>
            <w:vAlign w:val="bottom"/>
          </w:tcPr>
          <w:p>
            <w:pPr>
              <w:spacing w:after="0"/>
              <w:rPr>
                <w:sz w:val="24"/>
                <w:szCs w:val="24"/>
                <w:color w:val="auto"/>
              </w:rPr>
            </w:pP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80" w:type="dxa"/>
            <w:vAlign w:val="bottom"/>
          </w:tcPr>
          <w:p>
            <w:pPr>
              <w:spacing w:after="0"/>
              <w:rPr>
                <w:sz w:val="14"/>
                <w:szCs w:val="14"/>
                <w:color w:val="auto"/>
              </w:rPr>
            </w:pPr>
          </w:p>
        </w:tc>
        <w:tc>
          <w:tcPr>
            <w:tcW w:w="9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9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580" w:type="dxa"/>
            <w:vAlign w:val="bottom"/>
          </w:tcPr>
          <w:p>
            <w:pPr>
              <w:spacing w:after="0"/>
              <w:rPr>
                <w:sz w:val="19"/>
                <w:szCs w:val="19"/>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77"/>
        </w:trPr>
        <w:tc>
          <w:tcPr>
            <w:tcW w:w="920" w:type="dxa"/>
            <w:vAlign w:val="bottom"/>
          </w:tcPr>
          <w:p>
            <w:pPr>
              <w:spacing w:after="0"/>
              <w:rPr>
                <w:sz w:val="24"/>
                <w:szCs w:val="24"/>
                <w:color w:val="auto"/>
              </w:rPr>
            </w:pPr>
          </w:p>
        </w:tc>
        <w:tc>
          <w:tcPr>
            <w:tcW w:w="10500" w:type="dxa"/>
            <w:vAlign w:val="bottom"/>
            <w:gridSpan w:val="2"/>
          </w:tcPr>
          <w:p>
            <w:pPr>
              <w:jc w:val="right"/>
              <w:ind w:right="5536"/>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ectPr>
          <w:pgSz w:w="11900" w:h="16838" w:orient="portrait"/>
          <w:cols w:equalWidth="0" w:num="1">
            <w:col w:w="11420"/>
          </w:cols>
          <w:pgMar w:left="240" w:top="1337"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color w:val="auto"/>
        </w:rPr>
        <w:t>Exhibit 23.1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We consent to the incorporation by reference in the Registration Statement (Form S-8 No. 333-45062) pertaining to the Waste Management Retirement Savings Plan For Bargaining Unit Employees of our report dated June 21, 2005, with respect to the financial statements and schedule of the Waste Management Retirement Savings Plan for Bargaining Unit Employees included in this Annual Report (Form 11-K) for the year ended December 31, 2004.</w:t>
      </w:r>
    </w:p>
    <w:p>
      <w:pPr>
        <w:spacing w:after="0" w:line="322" w:lineRule="exact"/>
        <w:rPr>
          <w:sz w:val="20"/>
          <w:szCs w:val="20"/>
          <w:color w:val="auto"/>
        </w:rPr>
      </w:pPr>
    </w:p>
    <w:p>
      <w:pPr>
        <w:ind w:left="9360"/>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27, 2005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o"/>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2019-12-20T04:00:58Z</dcterms:created>
  <dcterms:modified xsi:type="dcterms:W3CDTF">2019-12-20T04:00:58Z</dcterms:modified>
</cp:coreProperties>
</file>