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2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tbl>
      <w:tblPr>
        <w:tblLayout w:type="fixed"/>
        <w:tblInd w:w="2020" w:type="dxa"/>
        <w:tblCellMar>
          <w:top w:w="0" w:type="dxa"/>
          <w:left w:w="0" w:type="dxa"/>
          <w:bottom w:w="0" w:type="dxa"/>
          <w:right w:w="0" w:type="dxa"/>
        </w:tblCellMar>
      </w:tblPr>
      <w:tr>
        <w:trPr>
          <w:trHeight w:val="204"/>
        </w:trPr>
        <w:tc>
          <w:tcPr>
            <w:tcW w:w="3920" w:type="dxa"/>
            <w:vAlign w:val="bottom"/>
          </w:tcPr>
          <w:p>
            <w:pPr>
              <w:jc w:val="center"/>
              <w:ind w:right="2108"/>
              <w:spacing w:after="0"/>
              <w:rPr>
                <w:sz w:val="20"/>
                <w:szCs w:val="20"/>
                <w:color w:val="auto"/>
              </w:rPr>
            </w:pPr>
            <w:r>
              <w:rPr>
                <w:rFonts w:ascii="Arial" w:cs="Arial" w:eastAsia="Arial" w:hAnsi="Arial"/>
                <w:sz w:val="16"/>
                <w:szCs w:val="16"/>
                <w:b w:val="1"/>
                <w:bCs w:val="1"/>
                <w:color w:val="auto"/>
                <w:w w:val="93"/>
              </w:rPr>
              <w:t>Delaware</w:t>
            </w:r>
          </w:p>
        </w:tc>
        <w:tc>
          <w:tcPr>
            <w:tcW w:w="3240" w:type="dxa"/>
            <w:vAlign w:val="bottom"/>
          </w:tcPr>
          <w:p>
            <w:pPr>
              <w:jc w:val="center"/>
              <w:ind w:left="2108"/>
              <w:spacing w:after="0"/>
              <w:rPr>
                <w:sz w:val="20"/>
                <w:szCs w:val="20"/>
                <w:color w:val="auto"/>
              </w:rPr>
            </w:pPr>
            <w:r>
              <w:rPr>
                <w:rFonts w:ascii="Arial" w:cs="Arial" w:eastAsia="Arial" w:hAnsi="Arial"/>
                <w:sz w:val="16"/>
                <w:szCs w:val="16"/>
                <w:b w:val="1"/>
                <w:bCs w:val="1"/>
                <w:color w:val="auto"/>
                <w:w w:val="91"/>
              </w:rPr>
              <w:t>73-1309529</w:t>
            </w:r>
          </w:p>
        </w:tc>
      </w:tr>
      <w:tr>
        <w:trPr>
          <w:trHeight w:val="149"/>
        </w:trPr>
        <w:tc>
          <w:tcPr>
            <w:tcW w:w="3920" w:type="dxa"/>
            <w:vAlign w:val="bottom"/>
          </w:tcPr>
          <w:p>
            <w:pPr>
              <w:jc w:val="center"/>
              <w:ind w:right="210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8"/>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8"/>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95" w:lineRule="exact"/>
        <w:rPr>
          <w:sz w:val="24"/>
          <w:szCs w:val="24"/>
          <w:color w:val="auto"/>
        </w:rPr>
      </w:pPr>
    </w:p>
    <w:p>
      <w:pPr>
        <w:sectPr>
          <w:pgSz w:w="11900" w:h="16838" w:orient="portrait"/>
          <w:cols w:equalWidth="0" w:num="1">
            <w:col w:w="11420"/>
          </w:cols>
          <w:pgMar w:left="240" w:top="230" w:right="239" w:bottom="1440" w:gutter="0" w:footer="0" w:header="0"/>
        </w:sectPr>
      </w:pPr>
    </w:p>
    <w:p>
      <w:pPr>
        <w:jc w:val="center"/>
        <w:ind w:right="1920"/>
        <w:spacing w:after="0"/>
        <w:rPr>
          <w:sz w:val="20"/>
          <w:szCs w:val="20"/>
          <w:color w:val="auto"/>
        </w:rPr>
      </w:pPr>
      <w:r>
        <w:rPr>
          <w:rFonts w:ascii="Arial" w:cs="Arial" w:eastAsia="Arial" w:hAnsi="Arial"/>
          <w:sz w:val="16"/>
          <w:szCs w:val="16"/>
          <w:b w:val="1"/>
          <w:bCs w:val="1"/>
          <w:color w:val="auto"/>
        </w:rPr>
        <w:t>1001 Fannin Street</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Houston, Texas</w:t>
      </w:r>
    </w:p>
    <w:p>
      <w:pPr>
        <w:spacing w:after="0" w:line="25"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left="37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 w:lineRule="exact"/>
        <w:rPr>
          <w:sz w:val="24"/>
          <w:szCs w:val="24"/>
          <w:color w:val="auto"/>
        </w:rPr>
      </w:pPr>
    </w:p>
    <w:p>
      <w:pPr>
        <w:jc w:val="center"/>
        <w:ind w:left="3740"/>
        <w:spacing w:after="0"/>
        <w:rPr>
          <w:sz w:val="20"/>
          <w:szCs w:val="20"/>
          <w:color w:val="auto"/>
        </w:rPr>
      </w:pPr>
      <w:r>
        <w:rPr>
          <w:rFonts w:ascii="Arial" w:cs="Arial" w:eastAsia="Arial" w:hAnsi="Arial"/>
          <w:sz w:val="16"/>
          <w:szCs w:val="16"/>
          <w:b w:val="1"/>
          <w:bCs w:val="1"/>
          <w:color w:val="auto"/>
        </w:rPr>
        <w:t>(713) 512-6200</w:t>
      </w:r>
    </w:p>
    <w:p>
      <w:pPr>
        <w:spacing w:after="0" w:line="82" w:lineRule="exact"/>
        <w:rPr>
          <w:sz w:val="24"/>
          <w:szCs w:val="24"/>
          <w:color w:val="auto"/>
        </w:rPr>
      </w:pPr>
    </w:p>
    <w:p>
      <w:pPr>
        <w:jc w:val="cente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80"/>
        <w:spacing w:after="0"/>
        <w:rPr>
          <w:sz w:val="20"/>
          <w:szCs w:val="20"/>
          <w:color w:val="auto"/>
        </w:rPr>
      </w:pPr>
      <w:r>
        <w:rPr>
          <w:rFonts w:ascii="Arial" w:cs="Arial" w:eastAsia="Arial" w:hAnsi="Arial"/>
          <w:sz w:val="16"/>
          <w:szCs w:val="16"/>
          <w:b w:val="1"/>
          <w:bCs w:val="1"/>
          <w:color w:val="auto"/>
        </w:rPr>
        <w:t>77002</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(Zip code)</w:t>
      </w:r>
    </w:p>
    <w:p>
      <w:pPr>
        <w:spacing w:after="0" w:line="781" w:lineRule="exact"/>
        <w:rPr>
          <w:sz w:val="24"/>
          <w:szCs w:val="24"/>
          <w:color w:val="auto"/>
        </w:rPr>
      </w:pPr>
    </w:p>
    <w:p>
      <w:pPr>
        <w:sectPr>
          <w:pgSz w:w="11900" w:h="16838" w:orient="portrait"/>
          <w:cols w:equalWidth="0" w:num="2">
            <w:col w:w="7700" w:space="660"/>
            <w:col w:w="3060"/>
          </w:cols>
          <w:pgMar w:left="240" w:top="230" w:right="239" w:bottom="1440" w:gutter="0" w:footer="0" w:header="0"/>
          <w:type w:val="continuous"/>
        </w:sectPr>
      </w:pPr>
    </w:p>
    <w:tbl>
      <w:tblPr>
        <w:tblLayout w:type="fixed"/>
        <w:tblInd w:w="360" w:type="dxa"/>
        <w:tblCellMar>
          <w:top w:w="0" w:type="dxa"/>
          <w:left w:w="0" w:type="dxa"/>
          <w:bottom w:w="0" w:type="dxa"/>
          <w:right w:w="0" w:type="dxa"/>
        </w:tblCellMar>
      </w:tblPr>
      <w:tr>
        <w:trPr>
          <w:trHeight w:val="153"/>
        </w:trPr>
        <w:tc>
          <w:tcPr>
            <w:tcW w:w="2020" w:type="dxa"/>
            <w:vAlign w:val="bottom"/>
            <w:vMerge w:val="restart"/>
          </w:tcPr>
          <w:p>
            <w:pPr>
              <w:ind w:left="1460"/>
              <w:spacing w:after="0"/>
              <w:rPr>
                <w:sz w:val="20"/>
                <w:szCs w:val="20"/>
                <w:color w:val="auto"/>
              </w:rPr>
            </w:pPr>
            <w:r>
              <w:rPr>
                <w:rFonts w:ascii="Arial" w:cs="Arial" w:eastAsia="Arial" w:hAnsi="Arial"/>
                <w:sz w:val="16"/>
                <w:szCs w:val="16"/>
                <w:b w:val="1"/>
                <w:bCs w:val="1"/>
                <w:color w:val="auto"/>
                <w:w w:val="77"/>
              </w:rPr>
              <w:t>Common</w:t>
            </w:r>
          </w:p>
        </w:tc>
        <w:tc>
          <w:tcPr>
            <w:tcW w:w="1020" w:type="dxa"/>
            <w:vAlign w:val="bottom"/>
          </w:tcPr>
          <w:p>
            <w:pPr>
              <w:spacing w:after="0"/>
              <w:rPr>
                <w:sz w:val="20"/>
                <w:szCs w:val="20"/>
                <w:color w:val="auto"/>
              </w:rPr>
            </w:pPr>
            <w:r>
              <w:rPr>
                <w:rFonts w:ascii="Arial" w:cs="Arial" w:eastAsia="Arial" w:hAnsi="Arial"/>
                <w:sz w:val="13"/>
                <w:szCs w:val="13"/>
                <w:b w:val="1"/>
                <w:bCs w:val="1"/>
                <w:color w:val="auto"/>
                <w:w w:val="86"/>
              </w:rPr>
              <w:t>Title of Each Class</w:t>
            </w:r>
          </w:p>
        </w:tc>
        <w:tc>
          <w:tcPr>
            <w:tcW w:w="2360" w:type="dxa"/>
            <w:vAlign w:val="bottom"/>
          </w:tcPr>
          <w:p>
            <w:pPr>
              <w:spacing w:after="0"/>
              <w:rPr>
                <w:sz w:val="13"/>
                <w:szCs w:val="13"/>
                <w:color w:val="auto"/>
              </w:rPr>
            </w:pPr>
          </w:p>
        </w:tc>
        <w:tc>
          <w:tcPr>
            <w:tcW w:w="4000" w:type="dxa"/>
            <w:vAlign w:val="bottom"/>
            <w:gridSpan w:val="4"/>
          </w:tcPr>
          <w:p>
            <w:pPr>
              <w:jc w:val="center"/>
              <w:ind w:left="1717"/>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20"/>
        </w:trPr>
        <w:tc>
          <w:tcPr>
            <w:tcW w:w="2020" w:type="dxa"/>
            <w:vAlign w:val="bottom"/>
            <w:vMerge w:val="continu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vMerge w:val="restart"/>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20" w:type="dxa"/>
            <w:vAlign w:val="bottom"/>
            <w:vMerge w:val="continue"/>
          </w:tcPr>
          <w:p>
            <w:pPr>
              <w:spacing w:after="0"/>
              <w:rPr>
                <w:sz w:val="17"/>
                <w:szCs w:val="17"/>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$.01 par value</w:t>
            </w:r>
          </w:p>
        </w:tc>
        <w:tc>
          <w:tcPr>
            <w:tcW w:w="1820" w:type="dxa"/>
            <w:vAlign w:val="bottom"/>
            <w:vMerge w:val="continue"/>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28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by Rule 405 of the Securities Act. Yes </w:t>
            </w:r>
            <w:r>
              <w:rPr>
                <w:rFonts w:ascii="MS PGothic" w:cs="MS PGothic" w:eastAsia="MS PGothic" w:hAnsi="MS PGothic"/>
                <w:sz w:val="16"/>
                <w:szCs w:val="16"/>
                <w:color w:val="auto"/>
                <w:w w:val="93"/>
              </w:rPr>
              <w:t>☒</w:t>
            </w:r>
          </w:p>
        </w:tc>
        <w:tc>
          <w:tcPr>
            <w:tcW w:w="112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828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1120" w:type="dxa"/>
            <w:vAlign w:val="bottom"/>
            <w:gridSpan w:val="2"/>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6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w:t>
      </w:r>
    </w:p>
    <w:p>
      <w:pPr>
        <w:spacing w:after="0" w:line="34"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8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0" w:firstLine="342"/>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61"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360"/>
        <w:spacing w:after="0" w:line="184" w:lineRule="exact"/>
        <w:tabs>
          <w:tab w:leader="none" w:pos="76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00" w:firstLine="342"/>
        <w:spacing w:after="0" w:line="278"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2015 was approximately $20.9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number of shares of Common Stock, $0.01 par value, of the registrant outstanding at February 4, 2016 was 445,652,359 (excluding treasury shares of 184,630,102).</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6"/>
                <w:szCs w:val="16"/>
                <w:b w:val="1"/>
                <w:bCs w:val="1"/>
                <w:color w:val="auto"/>
              </w:rPr>
              <w:t>DOCUMENTS INCORPORATED BY REFERENCE</w:t>
            </w:r>
          </w:p>
        </w:tc>
        <w:tc>
          <w:tcPr>
            <w:tcW w:w="10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2"/>
        </w:trPr>
        <w:tc>
          <w:tcPr>
            <w:tcW w:w="2620" w:type="dxa"/>
            <w:vAlign w:val="bottom"/>
          </w:tcPr>
          <w:p>
            <w:pPr>
              <w:spacing w:after="0"/>
              <w:rPr>
                <w:sz w:val="19"/>
                <w:szCs w:val="19"/>
                <w:color w:val="auto"/>
              </w:rPr>
            </w:pPr>
          </w:p>
        </w:tc>
        <w:tc>
          <w:tcPr>
            <w:tcW w:w="5540" w:type="dxa"/>
            <w:vAlign w:val="bottom"/>
            <w:gridSpan w:val="2"/>
          </w:tcPr>
          <w:p>
            <w:pPr>
              <w:jc w:val="center"/>
              <w:ind w:right="4919"/>
              <w:spacing w:after="0"/>
              <w:rPr>
                <w:sz w:val="20"/>
                <w:szCs w:val="20"/>
                <w:color w:val="auto"/>
              </w:rPr>
            </w:pPr>
            <w:r>
              <w:rPr>
                <w:rFonts w:ascii="Arial" w:cs="Arial" w:eastAsia="Arial" w:hAnsi="Arial"/>
                <w:sz w:val="13"/>
                <w:szCs w:val="13"/>
                <w:b w:val="1"/>
                <w:bCs w:val="1"/>
                <w:color w:val="auto"/>
                <w:w w:val="84"/>
              </w:rPr>
              <w:t>Document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Incorporated as to</w:t>
            </w:r>
          </w:p>
        </w:tc>
        <w:tc>
          <w:tcPr>
            <w:tcW w:w="2260" w:type="dxa"/>
            <w:vAlign w:val="bottom"/>
          </w:tcPr>
          <w:p>
            <w:pPr>
              <w:spacing w:after="0"/>
              <w:rPr>
                <w:sz w:val="19"/>
                <w:szCs w:val="19"/>
                <w:color w:val="auto"/>
              </w:rPr>
            </w:pPr>
          </w:p>
        </w:tc>
      </w:tr>
      <w:tr>
        <w:trPr>
          <w:trHeight w:val="186"/>
        </w:trPr>
        <w:tc>
          <w:tcPr>
            <w:tcW w:w="2620" w:type="dxa"/>
            <w:vAlign w:val="bottom"/>
          </w:tcPr>
          <w:p>
            <w:pPr>
              <w:ind w:left="2120"/>
              <w:spacing w:after="0"/>
              <w:rPr>
                <w:sz w:val="20"/>
                <w:szCs w:val="20"/>
                <w:color w:val="auto"/>
              </w:rPr>
            </w:pPr>
            <w:r>
              <w:rPr>
                <w:rFonts w:ascii="Arial" w:cs="Arial" w:eastAsia="Arial" w:hAnsi="Arial"/>
                <w:sz w:val="16"/>
                <w:szCs w:val="16"/>
                <w:color w:val="auto"/>
              </w:rPr>
              <w:t>Proxy</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3"/>
              </w:rPr>
              <w:t>Statement</w:t>
            </w:r>
          </w:p>
        </w:tc>
        <w:tc>
          <w:tcPr>
            <w:tcW w:w="5000" w:type="dxa"/>
            <w:vAlign w:val="bottom"/>
          </w:tcPr>
          <w:p>
            <w:pPr>
              <w:ind w:left="80"/>
              <w:spacing w:after="0"/>
              <w:rPr>
                <w:sz w:val="20"/>
                <w:szCs w:val="20"/>
                <w:color w:val="auto"/>
              </w:rPr>
            </w:pPr>
            <w:r>
              <w:rPr>
                <w:rFonts w:ascii="Arial" w:cs="Arial" w:eastAsia="Arial" w:hAnsi="Arial"/>
                <w:sz w:val="16"/>
                <w:szCs w:val="16"/>
                <w:color w:val="auto"/>
              </w:rPr>
              <w:t>for the</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Part III</w:t>
            </w:r>
          </w:p>
        </w:tc>
        <w:tc>
          <w:tcPr>
            <w:tcW w:w="2260" w:type="dxa"/>
            <w:vAlign w:val="bottom"/>
          </w:tcPr>
          <w:p>
            <w:pPr>
              <w:spacing w:after="0"/>
              <w:rPr>
                <w:sz w:val="16"/>
                <w:szCs w:val="16"/>
                <w:color w:val="auto"/>
              </w:rPr>
            </w:pPr>
          </w:p>
        </w:tc>
      </w:tr>
      <w:tr>
        <w:trPr>
          <w:trHeight w:val="206"/>
        </w:trPr>
        <w:tc>
          <w:tcPr>
            <w:tcW w:w="8160" w:type="dxa"/>
            <w:vAlign w:val="bottom"/>
            <w:gridSpan w:val="3"/>
          </w:tcPr>
          <w:p>
            <w:pPr>
              <w:jc w:val="center"/>
              <w:ind w:right="2299"/>
              <w:spacing w:after="0"/>
              <w:rPr>
                <w:sz w:val="20"/>
                <w:szCs w:val="20"/>
                <w:color w:val="auto"/>
              </w:rPr>
            </w:pPr>
            <w:r>
              <w:rPr>
                <w:rFonts w:ascii="Arial" w:cs="Arial" w:eastAsia="Arial" w:hAnsi="Arial"/>
                <w:sz w:val="16"/>
                <w:szCs w:val="16"/>
                <w:color w:val="auto"/>
                <w:w w:val="93"/>
              </w:rPr>
              <w:t>2016 Annual Meeting of Stockholders</w:t>
            </w:r>
          </w:p>
        </w:tc>
        <w:tc>
          <w:tcPr>
            <w:tcW w:w="10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82"/>
        </w:trPr>
        <w:tc>
          <w:tcPr>
            <w:tcW w:w="26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60" w:type="dxa"/>
            <w:vAlign w:val="bottom"/>
            <w:gridSpan w:val="15"/>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400" w:type="dxa"/>
            <w:vAlign w:val="bottom"/>
            <w:gridSpan w:val="10"/>
            <w:vMerge w:val="restart"/>
          </w:tcPr>
          <w:p>
            <w:pPr>
              <w:jc w:val="center"/>
              <w:ind w:right="4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400" w:type="dxa"/>
            <w:vAlign w:val="bottom"/>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6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8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9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Unresolved Staff Comments</w:t>
              </w:r>
            </w:hyperlink>
          </w:p>
        </w:tc>
        <w:tc>
          <w:tcPr>
            <w:tcW w:w="79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926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0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1"/>
          </w:tcPr>
          <w:p>
            <w:pPr>
              <w:jc w:val="center"/>
              <w:ind w:right="478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0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0"/>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0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35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00" w:type="dxa"/>
            <w:vAlign w:val="bottom"/>
            <w:gridSpan w:val="2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7"/>
          </w:tcPr>
          <w:p>
            <w:pPr>
              <w:spacing w:after="0"/>
              <w:rPr>
                <w:sz w:val="17"/>
                <w:szCs w:val="17"/>
                <w:color w:val="auto"/>
              </w:rPr>
            </w:pPr>
          </w:p>
        </w:tc>
        <w:tc>
          <w:tcPr>
            <w:tcW w:w="35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00" w:type="dxa"/>
            <w:vAlign w:val="bottom"/>
            <w:gridSpan w:val="2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PART III</w:t>
              </w:r>
            </w:hyperlink>
          </w:p>
        </w:tc>
        <w:tc>
          <w:tcPr>
            <w:tcW w:w="47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10000" w:type="dxa"/>
            <w:vAlign w:val="bottom"/>
            <w:gridSpan w:val="2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00" w:type="dxa"/>
            <w:vAlign w:val="bottom"/>
            <w:gridSpan w:val="2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000" w:type="dxa"/>
            <w:vAlign w:val="bottom"/>
            <w:gridSpan w:val="2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12"/>
          </w:tcPr>
          <w:p>
            <w:pPr>
              <w:jc w:val="center"/>
              <w:ind w:right="4740"/>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560" w:type="dxa"/>
            <w:vAlign w:val="bottom"/>
            <w:gridSpan w:val="1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4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2280" w:type="dxa"/>
            <w:vAlign w:val="bottom"/>
            <w:gridSpan w:val="7"/>
          </w:tcPr>
          <w:p>
            <w:pPr>
              <w:jc w:val="right"/>
              <w:ind w:right="3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sold our Wheelabrator business, which provides waste-to-energy services and manages waste-to-energy facilities and independent power production plants. During 2015, our largest customer represented 1% of annual revenues. We employed approximately 40,600 people as of December 31, 2015.</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own or operate 249 landfill sites, which is the largest network of landfills in North America. In order to make disposal more practical for larger urban markets, where the distance to landfills is typically farther, we manage 297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and metal. We provide cost-efficient, environmentally sound recycling programs for municipalities, businesses and households across the U.S. and Canada as well as other services that supplement our traditional Solid Waste business.</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4"/>
          <w:szCs w:val="14"/>
          <w:color w:val="auto"/>
        </w:rPr>
        <w:t>®</w:t>
      </w:r>
      <w:r>
        <w:rPr>
          <w:rFonts w:ascii="Arial" w:cs="Arial" w:eastAsia="Arial" w:hAnsi="Arial"/>
          <w:sz w:val="17"/>
          <w:szCs w:val="17"/>
          <w:color w:val="auto"/>
        </w:rPr>
        <w:t>.</w:t>
      </w:r>
    </w:p>
    <w:p>
      <w:pPr>
        <w:spacing w:after="0" w:line="14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and administrative expenses.</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 In addition, we intend to continue to return value to our stockholders through dividend payments and common stock repurchases. In December 2015, we announced that our Board of Directors expects to increase the quarterly dividend from $0.385 to $0.41 per share for dividends declared in 2016, which is a</w:t>
      </w:r>
    </w:p>
    <w:p>
      <w:pPr>
        <w:ind w:right="240"/>
        <w:spacing w:after="0" w:line="255" w:lineRule="auto"/>
        <w:rPr>
          <w:sz w:val="20"/>
          <w:szCs w:val="20"/>
          <w:color w:val="auto"/>
        </w:rPr>
      </w:pPr>
      <w:r>
        <w:rPr>
          <w:rFonts w:ascii="Arial" w:cs="Arial" w:eastAsia="Arial" w:hAnsi="Arial"/>
          <w:sz w:val="18"/>
          <w:szCs w:val="18"/>
          <w:color w:val="auto"/>
        </w:rPr>
        <w:t>6.5% increase from the quarterly dividends we declared in 2015. This will result in an increase in the amount of free cash flow that we expect to pay out as dividends for the 13</w:t>
      </w:r>
      <w:r>
        <w:rPr>
          <w:rFonts w:ascii="Arial" w:cs="Arial" w:eastAsia="Arial" w:hAnsi="Arial"/>
          <w:sz w:val="15"/>
          <w:szCs w:val="15"/>
          <w:color w:val="auto"/>
        </w:rPr>
        <w:t>th</w:t>
      </w:r>
      <w:r>
        <w:rPr>
          <w:rFonts w:ascii="Arial" w:cs="Arial" w:eastAsia="Arial" w:hAnsi="Arial"/>
          <w:sz w:val="18"/>
          <w:szCs w:val="18"/>
          <w:color w:val="auto"/>
        </w:rPr>
        <w:t xml:space="preserve"> consecutive year and is an indication of our ability to generate strong and consistent cash flows. All quarterly dividends will be declared at the discretion of our Board of Directors.</w:t>
      </w:r>
    </w:p>
    <w:p>
      <w:pPr>
        <w:spacing w:after="0" w:line="294" w:lineRule="exact"/>
        <w:rPr>
          <w:sz w:val="20"/>
          <w:szCs w:val="20"/>
          <w:color w:val="auto"/>
        </w:rPr>
      </w:pPr>
    </w:p>
    <w:p>
      <w:pPr>
        <w:jc w:val="right"/>
        <w:ind w:right="10540"/>
        <w:spacing w:after="0"/>
        <w:rPr>
          <w:sz w:val="20"/>
          <w:szCs w:val="20"/>
          <w:color w:val="auto"/>
        </w:rPr>
      </w:pPr>
      <w:r>
        <w:rPr>
          <w:rFonts w:ascii="Arial" w:cs="Arial" w:eastAsia="Arial" w:hAnsi="Arial"/>
          <w:sz w:val="16"/>
          <w:szCs w:val="16"/>
          <w:b w:val="1"/>
          <w:bCs w:val="1"/>
          <w:color w:val="auto"/>
        </w:rPr>
        <w:t>Operations</w:t>
      </w:r>
    </w:p>
    <w:p>
      <w:pPr>
        <w:spacing w:after="0" w:line="144" w:lineRule="exact"/>
        <w:rPr>
          <w:sz w:val="20"/>
          <w:szCs w:val="20"/>
          <w:color w:val="auto"/>
        </w:rPr>
      </w:pPr>
    </w:p>
    <w:p>
      <w:pPr>
        <w:jc w:val="right"/>
        <w:ind w:right="105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geographic Areas. See Note 21 to the Consolidated Financial Statements for additional information about our reportable segments. In December 2014, we sold our Wheelabrator business, which provides waste-to-energy services and manages waste-to-energy facilities and independent power production plants. Refer to Note 19 to the Consolidated Financial Statements for additional information related to our divestiture. We also provide additional services that are not managed through our Solid Waste business as described below. These operations are presented in this report as “Other.”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expanded certain of our operations through acquisitions, which are discussed further in Note 19 to the Consolidated Financial Statements. In March 2015, we acquired Deffenbaugh Disposal, Inc., (“Deffenbaugh”), one of the largest privately owned collection and disposal firms in the Midwest with assets including five collection operations, seven transfer stations, two recycling facilities, one subtitle-D landfill, and one construction and demolition landfill. In January 2013, we acquired Greenstar, LLC (“Greenstar”), an operator of recycling and resource recovery facilities. This acquisition provides the Company’s customers with greater access to recycling solutions, having supplemented the Company’s extensive nationwide recycling network with the operations of one of the nation’s largest private recyclers. In July 2013, we acquired substantially all of the assets of RCI Environnement, Inc. (“RCI”), the largest waste management company in Quebec, and certain related entities. RCI provides collection, transfer, recycling and disposal operations throughout the Greater Montreal area. The acquired RCI operations complement and expand the Company’s existing assets and operations in Quebec.</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services we currently provide include collection, landfill (solid and hazardous waste landfills), transfer, recycling and resource recovery and other services, as described below. The following table shows revenues (in millions) contributed by these services for each of the three years presented: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2,790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(2,461)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(2,524)</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12,961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13,983</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Our commitment to customers begins with a vast waste collection network. Collection involves picking up and transporting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87" w:lineRule="exact"/>
        <w:rPr>
          <w:sz w:val="20"/>
          <w:szCs w:val="20"/>
          <w:color w:val="auto"/>
        </w:rPr>
      </w:pPr>
    </w:p>
    <w:p>
      <w:pPr>
        <w:ind w:left="900" w:hanging="325"/>
        <w:spacing w:after="0" w:line="293"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6"/>
          <w:szCs w:val="16"/>
          <w:color w:val="auto"/>
        </w:rPr>
      </w:pPr>
    </w:p>
    <w:p>
      <w:pPr>
        <w:ind w:left="900" w:right="260" w:hanging="325"/>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six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At December 31, 2015, we owned or operated 244 solid waste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and five secure hazardous waste landfills, which represents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2015, we owned or operated 297 transfer stations in North America. We deposit waste at these stations, as do other waste</w:t>
      </w:r>
      <w:r>
        <w:rPr>
          <w:rFonts w:ascii="Arial" w:cs="Arial" w:eastAsia="Arial" w:hAnsi="Arial"/>
          <w:sz w:val="18"/>
          <w:szCs w:val="18"/>
          <w:i w:val="1"/>
          <w:iCs w:val="1"/>
          <w:color w:val="auto"/>
        </w:rPr>
        <w:t xml:space="preserve"> </w:t>
      </w:r>
      <w:r>
        <w:rPr>
          <w:rFonts w:ascii="Arial" w:cs="Arial" w:eastAsia="Arial" w:hAnsi="Arial"/>
          <w:sz w:val="18"/>
          <w:szCs w:val="18"/>
          <w:color w:val="auto"/>
        </w:rPr>
        <w:t>haulers. The solid waste is then consolidated and compacted to reduce the volume and increase the density of the waste and transported by transfer trucks or by rail to disposal sites.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On December 19, 2014, we sold our Wheelabrator business to an affiliate of Energy Capital Partners and received cash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$1.95 billion, net of cash divested, subject to certain post-closing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adjustments. We recognized a gain of $519 million on this sale which is included within “(Income) expense from divestitures, asset impairments (other than goodwill) and unusual items” in the Consolidated Statement of Operations. In conjunction with the sale, the Company entered into several agreements to dispose of a minimum number of tons of waste at certain Wheelabrator facilities. These agreements generally provide for fixed volume commitments with certain market price resets through 2021.</w:t>
      </w:r>
    </w:p>
    <w:p>
      <w:pPr>
        <w:spacing w:after="0" w:line="187" w:lineRule="exact"/>
        <w:rPr>
          <w:sz w:val="20"/>
          <w:szCs w:val="20"/>
          <w:color w:val="auto"/>
        </w:rPr>
      </w:pPr>
    </w:p>
    <w:p>
      <w:pPr>
        <w:jc w:val="both"/>
        <w:ind w:right="180" w:firstLine="456"/>
        <w:spacing w:after="0" w:line="257" w:lineRule="auto"/>
        <w:rPr>
          <w:sz w:val="20"/>
          <w:szCs w:val="20"/>
          <w:color w:val="auto"/>
        </w:rPr>
      </w:pPr>
      <w:r>
        <w:rPr>
          <w:rFonts w:ascii="Arial" w:cs="Arial" w:eastAsia="Arial" w:hAnsi="Arial"/>
          <w:sz w:val="18"/>
          <w:szCs w:val="18"/>
          <w:color w:val="auto"/>
        </w:rPr>
        <w:t>Wheelabrator provides waste-to-energy services and manages waste-to-energy facilities and independent power production plants. Our Wheelabrator business was a separate reportable segment until the sale of the business in the fourth quarter of 2014 as discussed in Note 21 to the Consolidated Financial Statements. We concluded that the sale of our Wheelabrator business did not qualify for discontinued operations accounting under then current authoritative guidance based on our significant continuing obligations under the long-term waste supply agreements referred to above and in Note 11 to the Consolidated Financial Statements.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Recycling. </w:t>
      </w:r>
      <w:r>
        <w:rPr>
          <w:rFonts w:ascii="Arial" w:cs="Arial" w:eastAsia="Arial" w:hAnsi="Arial"/>
          <w:sz w:val="17"/>
          <w:szCs w:val="17"/>
          <w:color w:val="auto"/>
        </w:rPr>
        <w:t>Our recycling operations provide communities and businesses with an alternative to traditional landfill disposal and support our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goals to extract more value from the materials we manage. We were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70" w:lineRule="exact"/>
        <w:rPr>
          <w:sz w:val="20"/>
          <w:szCs w:val="20"/>
          <w:color w:val="auto"/>
        </w:rPr>
      </w:pPr>
    </w:p>
    <w:p>
      <w:pPr>
        <w:ind w:left="460" w:right="20" w:firstLine="438"/>
        <w:spacing w:after="0" w:line="279" w:lineRule="auto"/>
        <w:rPr>
          <w:sz w:val="20"/>
          <w:szCs w:val="20"/>
          <w:color w:val="auto"/>
        </w:rPr>
      </w:pPr>
      <w:r>
        <w:rPr>
          <w:rFonts w:ascii="Arial" w:cs="Arial" w:eastAsia="Arial" w:hAnsi="Arial"/>
          <w:sz w:val="17"/>
          <w:szCs w:val="17"/>
          <w:i w:val="1"/>
          <w:iCs w:val="1"/>
          <w:color w:val="auto"/>
        </w:rPr>
        <w:t xml:space="preserve">Materials processing </w:t>
      </w:r>
      <w:r>
        <w:rPr>
          <w:rFonts w:ascii="Arial" w:cs="Arial" w:eastAsia="Arial" w:hAnsi="Arial"/>
          <w:sz w:val="17"/>
          <w:szCs w:val="17"/>
          <w:color w:val="auto"/>
        </w:rPr>
        <w:t>— Through our collection operations, we collect recyclable materials from residential, commercial and industrial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direct these materials to one of our MRFs for processing. At December 31, 2015 and December 31, 2014, we operated 104 MRFs and 126 MRFs, respectively, where paper, cardboard, metals, plastics, glass, construction and demolition materials and other recyclable commodities are recovered for resale. The decrease in MRFs is primarily due to the recycling rationalization efforts during 2015.</w:t>
      </w:r>
    </w:p>
    <w:p>
      <w:pPr>
        <w:spacing w:after="0" w:line="63" w:lineRule="exact"/>
        <w:rPr>
          <w:sz w:val="20"/>
          <w:szCs w:val="20"/>
          <w:color w:val="auto"/>
        </w:rPr>
      </w:pPr>
    </w:p>
    <w:p>
      <w:pPr>
        <w:jc w:val="both"/>
        <w:ind w:left="460" w:right="480" w:firstLine="438"/>
        <w:spacing w:after="0" w:line="264"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globally to our customers. We manage the marketing of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that are processed in our facilities by maintaining comprehensive service centers that continuously analyze market prices, logistics, market demands and product quality.</w:t>
      </w:r>
    </w:p>
    <w:p>
      <w:pPr>
        <w:spacing w:after="0" w:line="73" w:lineRule="exact"/>
        <w:rPr>
          <w:sz w:val="20"/>
          <w:szCs w:val="20"/>
          <w:color w:val="auto"/>
        </w:rPr>
      </w:pPr>
    </w:p>
    <w:p>
      <w:pPr>
        <w:ind w:left="460" w:right="20" w:firstLine="438"/>
        <w:spacing w:after="0" w:line="279" w:lineRule="auto"/>
        <w:rPr>
          <w:sz w:val="20"/>
          <w:szCs w:val="20"/>
          <w:color w:val="auto"/>
        </w:rPr>
      </w:pPr>
      <w:r>
        <w:rPr>
          <w:rFonts w:ascii="Arial" w:cs="Arial" w:eastAsia="Arial" w:hAnsi="Arial"/>
          <w:sz w:val="17"/>
          <w:szCs w:val="17"/>
          <w:i w:val="1"/>
          <w:iCs w:val="1"/>
          <w:color w:val="auto"/>
        </w:rPr>
        <w:t xml:space="preserve">Recycling brokerage services </w:t>
      </w:r>
      <w:r>
        <w:rPr>
          <w:rFonts w:ascii="Arial" w:cs="Arial" w:eastAsia="Arial" w:hAnsi="Arial"/>
          <w:sz w:val="17"/>
          <w:szCs w:val="17"/>
          <w:color w:val="auto"/>
        </w:rPr>
        <w:t>— We also provide recycling brokerage services, which involve managing the marketing of recyclable materials for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minimal capital requirements.</w:t>
      </w:r>
    </w:p>
    <w:p>
      <w:pPr>
        <w:spacing w:after="0" w:line="17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Some of the recyclable materials processed in our MRFs are purchased from various sources, including third parties and our own operations. The price we pay for recyclable materials is often referred to as a “rebate.” In some cases rebates are based on fixed contractual rates or on defined minimum per-ton rates but are generally based upon the price we receive for sales of processed goods, market conditions and transportation costs. As a result, changes in commodity prices for recycled materials also significantly affect the rebates we pay to our suppliers, which are recorded as “Operating expenses” within our Consolidated Statements of Operations. In recent years, we have been focused on revising our rebate structures to ensure that we cover our cost of handling and processing the materials and generate an acceptable margin on the materials we process and sell.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Although many waste management services such as collection and disposal are local services, our strategic accounts program, which is managed by our Strategic Business Solutions organization, works with customers whose locations span the United States. Our strategic accounts program provides centralized customer service,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billing and management of accounts to streamline the administration of customers’ multiple and nationwide locations’ waste management needs.</w:t>
      </w:r>
    </w:p>
    <w:p>
      <w:pPr>
        <w:spacing w:after="0" w:line="23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Energy and Environmental Services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Energy and Environmental Services organization but reflected principally in our collection business and (iv) specialized disposal services for oil and gas exploration and production operations; revenues for this service are also reflected principally in our collection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9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Program.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At December 31, 2015, we had 136 landfill gas beneficial use projects producing commercial quantities of methane gas at 122 of our solid waste landfills and four third-party landfills. At 108 of these landfills, the processed gas is used to fuel electricity generators. The electricity is then sold to public utilities, municipal utilities or power cooperatives. At 16 landfills, the gas is used at the landfill or delivered by pipeline to industrial customers as a direct substitute for fossil fuels in industrial processes. At 11 landfills, the landfill gas is processed to pipeline-quality natural gas and then sold to natural gas suppliers. At one landfill, the gas is processed into liquefied natural gas and used as vehicle fuel.</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5"/>
          <w:szCs w:val="15"/>
          <w:color w:val="auto"/>
        </w:rPr>
        <w:t>®</w:t>
      </w:r>
      <w:r>
        <w:rPr>
          <w:rFonts w:ascii="Arial" w:cs="Arial" w:eastAsia="Arial" w:hAnsi="Arial"/>
          <w:sz w:val="18"/>
          <w:szCs w:val="18"/>
          <w:color w:val="auto"/>
        </w:rPr>
        <w:t xml:space="preserve"> program; the development, operation and marketing of plasma gasification facilities; operation of a landfill gas-to-liquid natural gas plant; solar powered trash compactors; and organic waste-to-fuel conversion technology. We also offer portable self-storage and long distance moving services through a joint venture; fluorescent bulb and universal waste mail-back through our LampTracker</w:t>
      </w:r>
      <w:r>
        <w:rPr>
          <w:rFonts w:ascii="Arial" w:cs="Arial" w:eastAsia="Arial" w:hAnsi="Arial"/>
          <w:sz w:val="15"/>
          <w:szCs w:val="15"/>
          <w:color w:val="auto"/>
        </w:rPr>
        <w:t>®</w:t>
      </w:r>
      <w:r>
        <w:rPr>
          <w:rFonts w:ascii="Arial" w:cs="Arial" w:eastAsia="Arial" w:hAnsi="Arial"/>
          <w:sz w:val="18"/>
          <w:szCs w:val="18"/>
          <w:color w:val="auto"/>
        </w:rPr>
        <w:t xml:space="preserve"> program; portable restroom servicing under the name Port-o-Let</w:t>
      </w:r>
      <w:r>
        <w:rPr>
          <w:rFonts w:ascii="Arial" w:cs="Arial" w:eastAsia="Arial" w:hAnsi="Arial"/>
          <w:sz w:val="15"/>
          <w:szCs w:val="15"/>
          <w:color w:val="auto"/>
        </w:rPr>
        <w:t>®</w:t>
      </w:r>
      <w:r>
        <w:rPr>
          <w:rFonts w:ascii="Arial" w:cs="Arial" w:eastAsia="Arial" w:hAnsi="Arial"/>
          <w:sz w:val="18"/>
          <w:szCs w:val="18"/>
          <w:color w:val="auto"/>
        </w:rPr>
        <w:t>; and street and parking lot sweeping services. In addition, we hold interests in oil and gas producing properties.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Operating costs, disposal costs and collection fees vary widely throughout the areas in which we operate. The prices that we charge are determined locally, and typically vary by volume and weight, type of waste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At December 31, 2015, we had approximately 40,600 full-time employees, of which approximately 7,400 were employed in administrative and sales positions and the balance in operations. Approximately 8,200 of our employees are covered by collective bargaining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Surety bonds and insurance policies are supported by (i) a diverse group of third-party surety and insurance companies; (ii) an entity in which we have a noncontrolling financial interest or (iii) wholly-owned insurance subsidiary, National Guaranty Insurance Company of Vermont, the sole business of which is to issue surety bonds and/or insurance policies on our behalf. Letters of credit generally are supported by our long-term U.S. revolving credit facility (“$2.25 billion revolving credit facility”) and other credit facilities established for that purpose.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carry a broad range of insurance coverages, including general liability, automobile liability, real and personal property, workers’ compensation, directors’ and officers’ liability, pollution legal liability, business interruption and other coverages we believe are customary to the industry. Our exposure to loss for insurance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claims is generally limited to the per-incident deductible under the related insurance policy. As of December 31, 2015, our commercial General Liability Insurance Policy carried self-insurance exposures of up to $2.5 million per incident and our workers’ compensation insurance program carried self-insurance exposures of up to $5 million per incident. As of December 31, 2015, our auto liability insurance program included a per-incident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2015 are summarized in Note 11 to the Consolidated Financial Statements.</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business is subject to extensive and evolving federal, state or provincial and local environmental, health, safety and transportation laws and regulations. These laws and regulations are administered by the U.S. Environmental Protection Agency (“EPA”), Environment Canada, and various other federal, state, provincial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 violations.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w:t>
      </w:r>
    </w:p>
    <w:p>
      <w:pPr>
        <w:spacing w:after="0" w:line="17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are related, either directly or indirectly, to environmental protection measures, including compliance with federal, state or provincial and local rules. There are costs associated with siting, design, permitting, operations, monitoring, site maintenance, corrective actions, financial assurance, and facility closure and post-closure obligations. In connection with our acquisition, development or expansion of a waste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131" w:lineRule="exact"/>
        <w:rPr>
          <w:sz w:val="20"/>
          <w:szCs w:val="20"/>
          <w:color w:val="auto"/>
        </w:rPr>
      </w:pPr>
    </w:p>
    <w:p>
      <w:pPr>
        <w:ind w:left="900" w:hanging="325"/>
        <w:spacing w:after="0" w:line="27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77"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(“CERCLA”) which is also known as Superfund, provides for federal authority to respond directly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20"/>
        <w:spacing w:after="0" w:line="287" w:lineRule="auto"/>
        <w:rPr>
          <w:sz w:val="20"/>
          <w:szCs w:val="20"/>
          <w:color w:val="auto"/>
        </w:rPr>
      </w:pPr>
      <w:r>
        <w:rPr>
          <w:rFonts w:ascii="Arial" w:cs="Arial" w:eastAsia="Arial" w:hAnsi="Arial"/>
          <w:sz w:val="16"/>
          <w:szCs w:val="16"/>
          <w:color w:val="auto"/>
        </w:rPr>
        <w:t>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even as a result of lawful, unintentional and non-negligent action, of hazardous substances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or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74" w:lineRule="exact"/>
        <w:rPr>
          <w:sz w:val="20"/>
          <w:szCs w:val="20"/>
          <w:color w:val="auto"/>
        </w:rPr>
      </w:pPr>
    </w:p>
    <w:p>
      <w:pPr>
        <w:ind w:left="900" w:right="40" w:hanging="325"/>
        <w:spacing w:after="0" w:line="270"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87" w:lineRule="exact"/>
        <w:rPr>
          <w:rFonts w:ascii="Arial" w:cs="Arial" w:eastAsia="Arial" w:hAnsi="Arial"/>
          <w:sz w:val="17"/>
          <w:szCs w:val="17"/>
          <w:color w:val="auto"/>
        </w:rPr>
      </w:pPr>
    </w:p>
    <w:p>
      <w:pPr>
        <w:ind w:left="900" w:hanging="325"/>
        <w:spacing w:after="0" w:line="26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controlling landfill gases from new and existing large landfills. In January 2003, the EPA issued Maximum Achievable Control Technology (“MACT”) standards for municipal solid waste landfills subject to the NSPS.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 or off-site. The EPA entered into a settlement agreement with the Environmental Defense Fund to evaluate the 1996 NSPS for new landfills as required by the Clean Air Act every eight years and revise them if deemed necessary. The EPA published a proposed NSPS rule July 17, 2014, followed by a supplemental proposed NSPS rule and a proposed emission guidelines rule on August 27, 2015. The EPA entered into a consent decree to finalize the NSPS rule in July 2016. The EPA also expects to finalize the emission guidelines rule in July 2016. Where we identified potential for increased capital and operating expenses, we provided formal comment and technical support to the EPA to minimize the impact to our operations. We expect the EPA will address our comments in the final rule. Where the EPA does not address our comments in the final rule, we will re-assess the capital and operating cost impact to our operations. Should the EPA adopt more stringent requirements, capital expenditures and operating costs may increase. However, we do not believe that the regulatory changes would have a material adverse impact on our business as a whole.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60"/>
        <w:spacing w:after="0" w:line="293" w:lineRule="auto"/>
        <w:rPr>
          <w:sz w:val="20"/>
          <w:szCs w:val="20"/>
          <w:color w:val="auto"/>
        </w:rPr>
      </w:pPr>
      <w:r>
        <w:rPr>
          <w:rFonts w:ascii="Arial" w:cs="Arial" w:eastAsia="Arial" w:hAnsi="Arial"/>
          <w:sz w:val="16"/>
          <w:szCs w:val="16"/>
          <w:color w:val="auto"/>
        </w:rPr>
        <w:t>Additionally, emission and fuel economy standards have been imposed on manufacturers of transportation vehicles (including heavy-duty waste collection vehicles). The EPA and the Department of Transportation proposed Greenhouse Gas Emissions and Fuel Efficiency Standards for Medium and Heavy-Duty Engines and Vehicles – Phase 2 on July 13, 2015. The rule, expected to be finalized in the fall of 2016, will increase fuel economy standards and reduce vehicle emissions standards for our collection fleet between model years 2021 and 2027; however, we expect to be able to purchase compliant vehicles that will meet our operational needs. The regulations could increase the costs of operating our fleet, but we do not believe any such regulations would have a material adverse impact on our business as a whole.</w:t>
      </w:r>
    </w:p>
    <w:p>
      <w:pPr>
        <w:spacing w:after="0" w:line="70" w:lineRule="exact"/>
        <w:rPr>
          <w:sz w:val="20"/>
          <w:szCs w:val="20"/>
          <w:color w:val="auto"/>
        </w:rPr>
      </w:pPr>
    </w:p>
    <w:p>
      <w:pPr>
        <w:ind w:left="900" w:hanging="325"/>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actively monitoring the following recent developments in United States federal regulations affecting our business:</w:t>
      </w:r>
    </w:p>
    <w:p>
      <w:pPr>
        <w:spacing w:after="0" w:line="131" w:lineRule="exact"/>
        <w:rPr>
          <w:sz w:val="20"/>
          <w:szCs w:val="20"/>
          <w:color w:val="auto"/>
        </w:rPr>
      </w:pPr>
    </w:p>
    <w:p>
      <w:pPr>
        <w:ind w:left="900" w:right="60" w:hanging="325"/>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2010, the EPA issued the Prevention of Significant Deterioration (“PSD”) and Title V Greenhouse Gas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w:t>
      </w:r>
    </w:p>
    <w:p>
      <w:pPr>
        <w:spacing w:after="0" w:line="76" w:lineRule="exact"/>
        <w:rPr>
          <w:rFonts w:ascii="Arial" w:cs="Arial" w:eastAsia="Arial" w:hAnsi="Arial"/>
          <w:sz w:val="17"/>
          <w:szCs w:val="17"/>
          <w:color w:val="auto"/>
        </w:rPr>
      </w:pPr>
    </w:p>
    <w:p>
      <w:pPr>
        <w:ind w:left="900" w:right="40"/>
        <w:spacing w:after="0" w:line="269" w:lineRule="auto"/>
        <w:rPr>
          <w:rFonts w:ascii="Arial" w:cs="Arial" w:eastAsia="Arial" w:hAnsi="Arial"/>
          <w:sz w:val="17"/>
          <w:szCs w:val="17"/>
          <w:color w:val="auto"/>
        </w:rPr>
      </w:pPr>
      <w:r>
        <w:rPr>
          <w:rFonts w:ascii="Arial" w:cs="Arial" w:eastAsia="Arial" w:hAnsi="Arial"/>
          <w:sz w:val="17"/>
          <w:szCs w:val="17"/>
          <w:color w:val="auto"/>
        </w:rPr>
        <w:t>In June 2014, the U.S. Supreme Court issued a decision that significantly limited the applicability and scope of EPA permitting requirements for GHGs from stationary sources, concluding that: the EPA may not treat GHGs as an air pollutant for purposes of determining whether a source is required to obtain a PSD or Title V permit; and the EPA can continue to require that PSD permits otherwise required based on emissions of conventional pollutants contain limitations on GHG emissions based on Best Available Control Technology (“BACT”). Following this ruling, the EPA issued a policy memorandum in July 2014 advising that Supreme Court ruling effectively narrows the scope of biogenic CO2 permitting issues that remain for the EPA to address. Further, the EPA states in its November 19, 2014 memorandum that it intends to propose revisions to the PSD exempting biogenic carbon dioxide emissions from waste-derived feedstocks (municipal solid waste and landfill gas) from PSD and Title V air permitting. The EPA anticipates basing this proposal on the rationale that those emissions are likely to have minimal or no net atmospheric contributions, or even reduce such impacts, when compared to an alternate method of disposal. As a result of this U.S. Supreme Court ruling and EPA policy action, the potential impact of the PSD and Title V GHG Tailoring Rule on our air permits, compliance and results of operations is significantly reduced.</w:t>
      </w:r>
    </w:p>
    <w:p>
      <w:pPr>
        <w:spacing w:after="0" w:line="88" w:lineRule="exact"/>
        <w:rPr>
          <w:rFonts w:ascii="Arial" w:cs="Arial" w:eastAsia="Arial" w:hAnsi="Arial"/>
          <w:sz w:val="17"/>
          <w:szCs w:val="17"/>
          <w:color w:val="auto"/>
        </w:rPr>
      </w:pPr>
    </w:p>
    <w:p>
      <w:pPr>
        <w:ind w:left="900" w:right="180"/>
        <w:spacing w:after="0" w:line="297" w:lineRule="auto"/>
        <w:rPr>
          <w:rFonts w:ascii="Arial" w:cs="Arial" w:eastAsia="Arial" w:hAnsi="Arial"/>
          <w:sz w:val="17"/>
          <w:szCs w:val="17"/>
          <w:color w:val="auto"/>
        </w:rPr>
      </w:pPr>
      <w:r>
        <w:rPr>
          <w:rFonts w:ascii="Arial" w:cs="Arial" w:eastAsia="Arial" w:hAnsi="Arial"/>
          <w:sz w:val="16"/>
          <w:szCs w:val="16"/>
          <w:color w:val="auto"/>
        </w:rPr>
        <w:t>Other recent final and proposed rules to increase the stringency of certain National Ambient Air Quality Standards, such as the Ozone rule finalized in October 2015, and related PSD increment/significance thresholds could affect the cost, timeliness and availability of air permits for new and modified large municipal solid waste landfills and landfill gas-to-energy facilities. In general, controlling emissions involves installing collection wells in a landfill and routing the gas to a suitable energy recovery system or combustion device. At December 31, 2015, we had 136 projects at solid waste landfills where landfill gas was captured and utilized for its renewable energy value rather than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 xml:space="preserve">flared. Efforts to curtail the emission of GHGs and to ameliorate the effect of climate change may require our landfills to deploy more stringent emission controls, with associated capital or operating costs; however, we do not believe that such regulations will have a material adverse impact on our business as a whole.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The adoption of climate change legislation or regulations restricting emissions</w:t>
      </w:r>
      <w:r>
        <w:rPr>
          <w:rFonts w:ascii="Arial" w:cs="Arial" w:eastAsia="Arial" w:hAnsi="Arial"/>
          <w:sz w:val="18"/>
          <w:szCs w:val="18"/>
          <w:color w:val="auto"/>
        </w:rPr>
        <w:t xml:space="preserve"> </w:t>
      </w:r>
      <w:r>
        <w:rPr>
          <w:rFonts w:ascii="Arial" w:cs="Arial" w:eastAsia="Arial" w:hAnsi="Arial"/>
          <w:sz w:val="18"/>
          <w:szCs w:val="18"/>
          <w:i w:val="1"/>
          <w:iCs w:val="1"/>
          <w:color w:val="auto"/>
        </w:rPr>
        <w:t>of “greenhouse gases” could increase our costs to operate.</w:t>
      </w:r>
    </w:p>
    <w:p>
      <w:pPr>
        <w:spacing w:after="0" w:line="92" w:lineRule="exact"/>
        <w:rPr>
          <w:sz w:val="20"/>
          <w:szCs w:val="20"/>
          <w:color w:val="auto"/>
        </w:rPr>
      </w:pPr>
    </w:p>
    <w:p>
      <w:pPr>
        <w:ind w:left="900" w:right="240"/>
        <w:spacing w:after="0" w:line="257" w:lineRule="auto"/>
        <w:rPr>
          <w:sz w:val="20"/>
          <w:szCs w:val="20"/>
          <w:color w:val="auto"/>
        </w:rPr>
      </w:pPr>
      <w:r>
        <w:rPr>
          <w:rFonts w:ascii="Arial" w:cs="Arial" w:eastAsia="Arial" w:hAnsi="Arial"/>
          <w:sz w:val="18"/>
          <w:szCs w:val="18"/>
          <w:color w:val="auto"/>
        </w:rPr>
        <w:t>The EPA clarified in its November 19, 2014 policy memorandum that states may rely on waste-derived biogenic feedstocks in their future proposed compliance plans required by the final Clean Power Plan rules and the proposed federal plan, both published in October 2015, which may create new or expanded opportunities for renewable energy projects. According to the EPA, the federal plan would fill any gaps pending implementation of State or Tribal plans to achieve required emissions reductions, but would no longer apply when a State or Tribal plan is approved.</w:t>
      </w:r>
    </w:p>
    <w:p>
      <w:pPr>
        <w:spacing w:after="0" w:line="94" w:lineRule="exact"/>
        <w:rPr>
          <w:sz w:val="20"/>
          <w:szCs w:val="20"/>
          <w:color w:val="auto"/>
        </w:rPr>
      </w:pPr>
    </w:p>
    <w:p>
      <w:pPr>
        <w:ind w:left="900" w:right="20"/>
        <w:spacing w:after="0" w:line="257" w:lineRule="auto"/>
        <w:rPr>
          <w:sz w:val="20"/>
          <w:szCs w:val="20"/>
          <w:color w:val="auto"/>
        </w:rPr>
      </w:pPr>
      <w:r>
        <w:rPr>
          <w:rFonts w:ascii="Arial" w:cs="Arial" w:eastAsia="Arial" w:hAnsi="Arial"/>
          <w:sz w:val="18"/>
          <w:szCs w:val="18"/>
          <w:color w:val="auto"/>
        </w:rPr>
        <w:t>We are taking steps to anticipate the future needs of our customers which include investing in and developing ever-more-advanced recycling and reuse technologies. Potential climate change and GHG regulatory initiatives have influenced our business strategy to provide low-carbon services to our customers, and we increasingly view our ability to offer lower carbon services as a key component of our business growth. If the U.S. were to impose a carbon tax or other form of GHG regulation increasing demand for low-carbon service offerings in the future, the services we are developing will be increasingly valuable.</w:t>
      </w:r>
    </w:p>
    <w:p>
      <w:pPr>
        <w:spacing w:after="0" w:line="94" w:lineRule="exact"/>
        <w:rPr>
          <w:sz w:val="20"/>
          <w:szCs w:val="20"/>
          <w:color w:val="auto"/>
        </w:rPr>
      </w:pPr>
    </w:p>
    <w:p>
      <w:pPr>
        <w:ind w:left="900" w:right="60" w:hanging="325"/>
        <w:spacing w:after="0" w:line="270"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2011, the EPA published the Non-Hazardous Secondary Materials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(“CISWI”) and Maximum Achievable Control Technology Standards for commercial and industrial boilers (“Boiler MACT”). The EPA published clarifications and amendments to the three rules in 2013, that are generally favorable to our industry. While there is ongoing litigation concerning the CISWI and Boiler MACT rules, the Court of Appeals for the D.C. Circuit has upheld the NHSM Rule and amendments that support some of our projects in which we are seeking to convert biomass or other secondary materials into products, fuels or energy. It is not possible to quantify the financial impact of all these rulemakings at the present time given pending litigation and administrative determinations. However, we believe the rules and administrative determinations will not have a material adverse impact on our business as a whole and are more likely to facilitate our efforts to reuse or recover energy value from secondary material streams.</w:t>
      </w:r>
    </w:p>
    <w:p>
      <w:pPr>
        <w:spacing w:after="0" w:line="83" w:lineRule="exact"/>
        <w:rPr>
          <w:rFonts w:ascii="Arial" w:cs="Arial" w:eastAsia="Arial" w:hAnsi="Arial"/>
          <w:sz w:val="17"/>
          <w:szCs w:val="17"/>
          <w:color w:val="auto"/>
        </w:rPr>
      </w:pPr>
    </w:p>
    <w:p>
      <w:pPr>
        <w:ind w:left="900" w:hanging="325"/>
        <w:spacing w:after="0" w:line="272"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December 2014, the EPA issued a final rule regulating the disposal and beneficial use of coal combustion residuals (“CCR”). The regulations encourage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 new standards are consistent with our approach to handling CCR at our sites currently, and we believe the new standards will provide a potential growth opportunity for the Company. States may impose standards more stringent than the federal program, and we will be monitoring state implementation to determine impact.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The United States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Import Regulation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as well as restricting the import of certain other plastic recyclables. The higher quality expectations resulting from initiatives such as “Operation Green Fence” have driven up operating costs in the recycling industry, particularly for single stream MRFs. Single stream MRFs process a wide range of commingled materials and tend to receive a higher percentage of non-recyclables, which results in increased processing and residual disposal costs. Despite these increased costs, we believe we are well positioned among our potential competitors to respond to and comply with such regulations. We are revising our service agreements to address these increased costs and are working with stakeholders to educate the general public on the need to recycle properly.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Hydraulic Fracturing Regulation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Energy Services line of business provides specialized environmental management and disposal services for oil and gas exploration and production operations. There remains heightened attention from the public, some states and the EPA on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hydraulic fracturing and new rules regarding the treatment and disposal of wastes associated with exploration and production operations could increase our costs to provide oilfield services and reduce our margins and revenue from such services. On the other hand,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Emissions from Natural Gas Fueling and Infrastructure</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operate a large fleet of natural gas vehicles, and we plan to continue to invest in these assets for our collection fleet. As of December 31, 2015, we were operating 84 natural gas fueling facilities, 28 of which also serve the public or pre-approved third parties, in 30 states and three Canadian provinces.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 this comprehensive study of emissions from our heavy-duty fleet may ultimately help inform regulations that will affect equipment manufacturers and will define operating procedures across the industry.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 or our future investment in natural gas vehicles.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Federal, State and Local Climate Change Initiatives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18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identified by the words, “will,” “may,” “should,” “continue,” “anticipate,” “believe,” “expect,” “plan,” “forecast,” “project,” “estimate,” “intend” and words of a similar nature and generally include statements containing:</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2016 and beyond and that could cause actual results to be materially different from those that may be set forth in forward-looking statements made by the Company.</w:t>
      </w:r>
    </w:p>
    <w:p>
      <w:pPr>
        <w:spacing w:after="0" w:line="275"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If we fail to implement our business strategy, our financial performance and our growth could be materially and adversely affected.</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31" w:lineRule="exact"/>
        <w:rPr>
          <w:sz w:val="20"/>
          <w:szCs w:val="20"/>
          <w:color w:val="auto"/>
        </w:rPr>
      </w:pPr>
    </w:p>
    <w:p>
      <w:pPr>
        <w:ind w:left="5620" w:right="4600" w:hanging="5045"/>
        <w:spacing w:after="0" w:line="449" w:lineRule="auto"/>
        <w:tabs>
          <w:tab w:leader="none" w:pos="8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 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We have also continued our environmental fee and fuel surcharge programs to offset costs. The loss of volumes as a result of price increases and our unwillingness to pursue lower margin volumes may negatively affect our cash flows or results of operations.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restructuring efforts.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Strategic decisions with respect to our asset portfolio may result in impairments to our assets.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We may record</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 charges against our earnings due to impairments to our assets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make strategic acquisitions depends on our ability to identify desirable acquisition targets, negotiate advantageous transactions despite competition for such opportunities, fund such acquisitions on favorable terms, and realize the benefits we expect from those transactions.</w:t>
      </w:r>
    </w:p>
    <w:p>
      <w:pPr>
        <w:spacing w:after="0" w:line="29" w:lineRule="exact"/>
        <w:rPr>
          <w:rFonts w:ascii="Arial" w:cs="Arial" w:eastAsia="Arial" w:hAnsi="Arial"/>
          <w:sz w:val="16"/>
          <w:szCs w:val="16"/>
          <w:color w:val="auto"/>
        </w:rPr>
      </w:pPr>
    </w:p>
    <w:p>
      <w:pPr>
        <w:ind w:left="900" w:right="1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26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Compliance with existing or future regulations and/or enforcement of such regulations may restrict or change our operations, increase our operating costs or require us to make additional capital expenditures.</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 Among other things, governmental regulations and enforcement actions may restrict our operations and adversely affect our financial condition, results of operations and cash flows by imposing conditions such as:</w:t>
      </w:r>
    </w:p>
    <w:p>
      <w:pPr>
        <w:spacing w:after="0" w:line="7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recycling or processing facilities or on expanding existing facilities;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restrictions on the recycling, processing or transformation of waste, recycling and other streams.</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8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We also have significant financial obligations relating to final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Various states have enacted, or are considering enacting, laws that restrict the disposal within the state of solid waste generated outside the state.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Additionally, regulations establishing extended producer responsibility, or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as well as restricting the import of certain other plastic recyclables. The higher quality expectations resulting from initiatives such as “Operation Green Fence” have driven up operating costs in the recycling industry, particularly for single stream MRFs. Single stream MRFs process a wide range of commingled materials and tend to receive a higher percentage of non-recyclables, which results in increased processing and residual disposal costs. If Operation Green Fence or other similar initiatives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new regulations increase our operating costs in the future, and we are not able to recapture those costs from our customers, such regulations could have a material adverse effect on our results of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recycling operations process for sale certain recyclable materials, including fibers, aluminum and plastics, which are subject to significant market price fluctuations. The majority of the recyclables that we process for sale are paper fibers, including old corrugated cardboard and old newsprint. The fluctuations in the market prices or demand for these commodities, particularly demand from Chinese paper mills, can affect our operating income and cash flows negatively, such as we experienced in 2015, 2014 and 2013. As we have increased the size of our recycling operations, we have also increased our exposure to commodity price fluctuations. The decline in market prices in 2015, 2014 and 2013 for commodities resulted in year-over-year decreases in revenue of $138 million, $53 million and $79 million, respectively. Additionally, under some agreements, our recycling operations are required to pay rebates to suppliers. In some cases,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reduced or eliminated. As we work to revise service agreements to mitigate the impact of commodity price fluctuations, the potential increase in the cost for recycling services may make it more difficult for us to win bids and may slow the growth of recycling overall until market conditions improve.</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corresponding significant impact to our revenue from yield from such operations. Additionally, we provide specialized disposal services for oil and gas exploration and production operations through our Energy Services business. Demand for these services may decrease if drilling activity slows due to changes in oil and gas prices, such as the pronounced price decreases in late 2014 and 2015. Any of the commodity prices to which we are subject may fluctuate substantially and without notice in the future.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regulations applicable to oil and gas drilling and production could adversely affect our Energy Services business.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Energy Services business demand may also be adversely affected if drilling activity slows due to industry conditions beyond our control, in addition to changes in oil and gas prices. Changes in laws or government regulations regarding GHG emissions from oil and gas operations and/or hydraulic fracturing could increase our customers’ costs of doing business and reduce oil and gas exploration and production by customers. There remains heightened attention from the public, some states and the EPA to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oil and gas exploration and production and new rules regarding the treatment and disposal of wastes associated with exploration and production operations could increase our costs to provide oilfield services and reduce our margins and revenue from such services.</w:t>
      </w:r>
    </w:p>
    <w:p>
      <w:pPr>
        <w:spacing w:after="0" w:line="287"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could reduce our landfill volumes and cause our revenues and operating results to decline.</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banned from the landfill,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and, together with our divested waste-to-energy facilities, have historically provided our highest income from operations margins. If we are not successful in expanding our service offerings and growing lines of businesses to service waste streams that do not go to landfills and to provide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300"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281" w:lineRule="exact"/>
        <w:rPr>
          <w:sz w:val="20"/>
          <w:szCs w:val="20"/>
          <w:color w:val="auto"/>
        </w:rPr>
      </w:pPr>
    </w:p>
    <w:p>
      <w:pPr>
        <w:ind w:left="240" w:right="680"/>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8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76" w:lineRule="exact"/>
        <w:rPr>
          <w:sz w:val="20"/>
          <w:szCs w:val="20"/>
          <w:color w:val="auto"/>
        </w:rPr>
      </w:pPr>
    </w:p>
    <w:p>
      <w:pPr>
        <w:ind w:left="900" w:right="4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revenues and our income from operations margins.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 Additionally, a prolonged economic downturn in China could significantly impact prices for post-consumer fiber and metals processed by our recycling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62"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provide service to a number of governmental entities and municipalities, some of which have suffered significant financial difficulties in recent years, due in part to reduced tax revenue and/or high cost structures. Some of these entities could be unable to pay amounts owed to us or renew contracts with us at previous or increased rates.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66"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In addition, the financial difficulties of municipalities could result in a decline in investors’ demand for municipal bonds and a correlating increase in interest rates. As of December 31, 2015, we had $491 million of variable-rate tax-exempt bonds with interest rates reset on either a daily or a weekly basis through a remarketing process and $316 million of tax-exempt bonds with term interest rate periods that are subject to repricing within the next 12 months, which is prior to their scheduled maturities. If the weakness in the municipal debt market results in repricing of our tax-exempt bonds at significantly higher interest rates, we will incur increased interest expenses that may negatively affect our operating results and cash flows.</w:t>
      </w:r>
    </w:p>
    <w:p>
      <w:pPr>
        <w:spacing w:after="0" w:line="28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consolidated financial condition, results of operations and cash flows.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shortages in diesel fuel supply or increases in diesel fuel prices will increase our operating expenses.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recently agreed on settlement terms for two cases that pertained to our fuel and environmental charges included on our invoices, and we may face similar claims in the future. See Note 11 of the Consolidated Financial Statements for more information. Regardless of any offsetting surcharge programs, increased operating costs due to higher diesel fuel prices will decrease our income from operations margins.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We have an extensive natural gas truck fleet, which makes us partially dependent on the availability of natural gas and fueling infrastructure and vulnerable to natural gas prices.</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North America;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and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are increasingly dependent on technology in our operations and if our technology fails, our business could be adversely affected.</w:t>
      </w:r>
    </w:p>
    <w:p>
      <w:pPr>
        <w:spacing w:after="0" w:line="1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a participating employer in a number of trustee-managed multiemployer, defined benefit pension plans for employees who are covered by collective bargaining agreements. In the event of our withdrawal from multiemployer pension plan, we may incur expenses associated with our obligations for unfunded vested benefits at the time of the withdrawal. Depending on various factors, future withdrawals could have a material adverse effect on results of operations or cash flows for a particular reporting period. We have previously withdrawn several employee bargaining units from underfunded multiemployer pension plans, and we recognized related expenses of $51 million in 2015, $4 million in 2014 and $5 million in 2013. See Notes 10 and 11 to the Consolidated Financial Statements for more information related to our participation in multiemployer pension plans.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operational and safety risks, including the risk of personal injury to employees and others.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Providing environmental and waste management services, including constructing and operating landfills, involves risks such as truck accidents, equipment defects, malfunctions and failures. Additionally, we closely monitor and manage landfills to minimize the risk of waste mass instability, releases of hazardous materials, and odors that could be triggered by weather or natural disasters. There may also be risks presented by the potential for subsurface chemical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9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96" w:lineRule="exact"/>
        <w:rPr>
          <w:sz w:val="20"/>
          <w:szCs w:val="20"/>
          <w:color w:val="auto"/>
        </w:rPr>
      </w:pPr>
    </w:p>
    <w:p>
      <w:pPr>
        <w:ind w:left="240" w:right="380"/>
        <w:spacing w:after="0" w:line="308" w:lineRule="auto"/>
        <w:rPr>
          <w:sz w:val="20"/>
          <w:szCs w:val="20"/>
          <w:color w:val="auto"/>
        </w:rPr>
      </w:pPr>
      <w:r>
        <w:rPr>
          <w:rFonts w:ascii="Arial" w:cs="Arial" w:eastAsia="Arial" w:hAnsi="Arial"/>
          <w:sz w:val="17"/>
          <w:szCs w:val="17"/>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U.S. Generally Accepted Accounting Principles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such impairment tests indicate that the fair value of a reporting unit is below its carrying value. Any such charges could have a material adverse effect on our results of operations.</w:t>
      </w:r>
    </w:p>
    <w:p>
      <w:pPr>
        <w:spacing w:after="0" w:line="290"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ratings on our senior debt. The credit rating process is contingent upon our credit profile, as well as a number of other factors, many of which are beyond our control, including methodologies established and interpreted by third party rating agencies. If we were unable to maintain our investment grade credit ratings in the future, our interest expense would increase and our ability to obtain financing on favorable terms could be adversely affected.</w:t>
      </w:r>
    </w:p>
    <w:p>
      <w:pPr>
        <w:spacing w:after="0" w:line="182"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Additionally, we have $911 million of debt as of December 31, 2015 that is exposed to changes in market interest rates within the next 12 months because of the combined impact of our tax-exempt bonds and borrowings outstanding under our $2.25 billion revolving credit facility and Canadian term loan. If interest rates increase, our interest expense would also increase, lowering our net income and decreasing our cash flow.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may use our $2.25 billion revolving credit facility and our C$150 million Canadian revolving credit facility to meet our cash needs, to the extent available, until maturity in July 2020 and November 2017, respectively. As of December 31, 2015, we had $20 million of outstanding borrowings and $831 million of letters of credit issued and supported by the $2.25 billion revolving credit facility, leaving an unused and available credit capacity of $1,399 million, and we had no outstanding borrowings under the Canadian revolving credit facility. In the event of a default under our credit facilities,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climate change legislation or regulations restricting emissions of “greenhouse gases” could increase our costs to operate.</w:t>
      </w:r>
    </w:p>
    <w:p>
      <w:pPr>
        <w:spacing w:after="0" w:line="14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Greenhouse Gas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287"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severe weather events and “one-time” special projects cause our results to fluctuate, and prior performance is not necessarily indicative of our future results.</w:t>
      </w:r>
    </w:p>
    <w:p>
      <w:pPr>
        <w:spacing w:after="0" w:line="6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28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Some of our projects and new business may be conducted in countries where corruption has historically been prevalent. It is our policy to comply with all applicable anti-bribery laws, such as the U.S. Foreign Corrupt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5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experience adverse impacts on our reported results of operations as a result of adopting new accounting standards or interpretations.</w:t>
      </w:r>
    </w:p>
    <w:p>
      <w:pPr>
        <w:spacing w:after="0" w:line="14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principal executive offices are in Houston, Texas, where we lease approximately 366,000 square feet under leases expiring through 2020. We also have administrative offices in Arizona, Illinois, Connecticut and India. We own or lease real property in most locations where we have operations or administrative functions. We have operations in all 50 states. We also have operations in the District of Columbia and throughout Canada.</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our strategic growth plans. For more information,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included within this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4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Landfills:</w:t>
            </w:r>
          </w:p>
        </w:tc>
        <w:tc>
          <w:tcPr>
            <w:tcW w:w="3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Owned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Operated through lease agreements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Operated through contractual agreements</w:t>
            </w:r>
          </w:p>
        </w:tc>
        <w:tc>
          <w:tcPr>
            <w:tcW w:w="37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Transfer stations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365"/>
        </w:trPr>
        <w:tc>
          <w:tcPr>
            <w:tcW w:w="3780" w:type="dxa"/>
            <w:vAlign w:val="bottom"/>
          </w:tcPr>
          <w:p>
            <w:pPr>
              <w:spacing w:after="0"/>
              <w:rPr>
                <w:sz w:val="24"/>
                <w:szCs w:val="24"/>
                <w:color w:val="auto"/>
              </w:rPr>
            </w:pPr>
          </w:p>
        </w:tc>
        <w:tc>
          <w:tcPr>
            <w:tcW w:w="3720" w:type="dxa"/>
            <w:vAlign w:val="bottom"/>
          </w:tcPr>
          <w:p>
            <w:pPr>
              <w:jc w:val="right"/>
              <w:ind w:right="2993"/>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certain information regarding the 216 landfills owned or operated through lease agreements as of December 31, 2015:</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3"/>
              </w:rPr>
              <w:t>Landfills</w:t>
            </w: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Permitted</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Expansion</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Acreage(a)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Acreage(b)</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Acreage(c)</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Landfills owned or operated through lease agreements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144,123</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37,064</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right="100" w:hanging="452"/>
        <w:spacing w:after="0" w:line="25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acreage” includes permitted acreage, expansion acreage, other acreage available for future disposal that has not been permitted, buffer land and other land owned or leased by our landfill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“Permitted acreage” consists of all acreage at the landfill encompassed by an active permit to dispose of waste.</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Estimates and Assumptions </w:t>
      </w:r>
      <w:r>
        <w:rPr>
          <w:rFonts w:ascii="Arial" w:cs="Arial" w:eastAsia="Arial" w:hAnsi="Arial"/>
          <w:sz w:val="18"/>
          <w:szCs w:val="18"/>
          <w:color w:val="auto"/>
        </w:rPr>
        <w:t>included herein.</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in the Consolidated Financial Statements included in this report.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following table sets forth the range of the high and low per share sales prices for our common stock as reported on the NYSE: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1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$44.80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47.67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2015</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55.93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55.25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First Quarter (through February 4, 2016)</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February 4, 2016, the closing sales price as reported on the NYSE was $53.19 per share. The number of holders of record of our common stock on February 4, 2016 was 10,987.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141605</wp:posOffset>
            </wp:positionV>
            <wp:extent cx="4716780" cy="2204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678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12/31/10</w:t>
            </w:r>
          </w:p>
        </w:tc>
        <w:tc>
          <w:tcPr>
            <w:tcW w:w="2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12/31/11</w:t>
            </w:r>
          </w:p>
        </w:tc>
        <w:tc>
          <w:tcPr>
            <w:tcW w:w="4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12/31/12</w:t>
            </w:r>
          </w:p>
        </w:tc>
        <w:tc>
          <w:tcPr>
            <w:tcW w:w="4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8"/>
              </w:rPr>
              <w:t>12/31/13</w:t>
            </w:r>
          </w:p>
        </w:tc>
        <w:tc>
          <w:tcPr>
            <w:tcW w:w="22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w w:val="88"/>
              </w:rPr>
              <w:t>12/31/14</w:t>
            </w:r>
          </w:p>
        </w:tc>
        <w:tc>
          <w:tcPr>
            <w:tcW w:w="2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12/31/15</w:t>
            </w:r>
          </w:p>
        </w:tc>
        <w:tc>
          <w:tcPr>
            <w:tcW w:w="100" w:type="dxa"/>
            <w:vAlign w:val="bottom"/>
          </w:tcPr>
          <w:p>
            <w:pPr>
              <w:spacing w:after="0"/>
              <w:rPr>
                <w:sz w:val="14"/>
                <w:szCs w:val="14"/>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162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S&amp;P 500 Index</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157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178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154</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bl>
    <w:p>
      <w:pPr>
        <w:spacing w:after="0" w:line="20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quarterly dividends have been declared and paid in accordance with financial plans approved by our Board of Directors. Cash dividends declared and paid were $695 million in 2015, or $1.54 per common share, $693 million in 2014, or $1.50 per common share, and $683 million in 2013, or $1.46 per common share.</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December 2015, we announced that our Board of Directors expects to increase the quarterly dividend from $0.385 to $0.41 per share for dividends declared in 2016.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66"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Our share repurchases have also been made in accordance with financial plans approved by our Board of Directors. We announced in February 2015 that the Board of Directors authorized up to $1 billion in future share repurchases. During the second and third quarters of 2015, we entered into accelerated share repurchase (“ASR”) agreements to repurchase an aggregate of $600 million of our common stock. We received a total of 12 million shares pursuant to these ASR agreements with a final weighted average per share price of $49.83. See Note 15 to the Consolidated Financial Statements for additional information. The Company entered into an additional ASR agreement in December 2015 to repurchase $150 million of our common stock in early 2016.</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subsequently announced in December 2015 that the Board of Directors refreshed its prior authorization of up to $1 billion in future share repurchases. Any future share repurchases will be made at the discretion of management, and will depend on factors similar to those considered by the Board in making dividend declarations.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and certain reclassifications impact the comparability of the financial information presented below. These historical results are not necessarily indicative of the results to be expected in the future.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2015(a)</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2014(a)</w:t>
            </w:r>
          </w:p>
        </w:tc>
        <w:tc>
          <w:tcPr>
            <w:tcW w:w="92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2013(a)</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w w:val="99"/>
              </w:rPr>
              <w:t>(In millions,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12,961</w:t>
            </w: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13,996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13,983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13,649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Goodwill impairments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(Income) expense from divestitures, asset impairments (other than goodwill) and unusual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12,904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21,297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22,490</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23,021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right="12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more information regarding these financial data, see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included in this report. For disclosures associated with the impact of the adoption of new accounting pronouncements on the comparability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information, see Note 2 to the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 xml:space="preserve">This section includes a discussion of our results of operations for the three years ended December 31, 2015.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7"/>
          <w:szCs w:val="17"/>
          <w:i w:val="1"/>
          <w:iCs w:val="1"/>
          <w:color w:val="auto"/>
        </w:rPr>
        <w:t>Risk Factors</w:t>
      </w:r>
      <w:r>
        <w:rPr>
          <w:rFonts w:ascii="Arial" w:cs="Arial" w:eastAsia="Arial" w:hAnsi="Arial"/>
          <w:sz w:val="17"/>
          <w:szCs w:val="17"/>
          <w:color w:val="auto"/>
        </w:rPr>
        <w:t>. The following discussion should be read in light of that disclosure and together with the Consolidated Financial Statements and the notes to the Consolidated Financial Statements.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4"/>
          <w:szCs w:val="14"/>
          <w:color w:val="auto"/>
        </w:rPr>
        <w:t>®</w:t>
      </w:r>
      <w:r>
        <w:rPr>
          <w:rFonts w:ascii="Arial" w:cs="Arial" w:eastAsia="Arial" w:hAnsi="Arial"/>
          <w:sz w:val="17"/>
          <w:szCs w:val="17"/>
          <w:color w:val="auto"/>
        </w:rPr>
        <w:t>.</w:t>
      </w:r>
    </w:p>
    <w:p>
      <w:pPr>
        <w:spacing w:after="0" w:line="1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and administrative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Notable items of our 2015 financial results include:</w:t>
      </w:r>
    </w:p>
    <w:p>
      <w:pPr>
        <w:spacing w:after="0" w:line="131" w:lineRule="exact"/>
        <w:rPr>
          <w:sz w:val="20"/>
          <w:szCs w:val="20"/>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of $12,961 million in 2015 compared with $13,996 million in 2014, a decrease of $1,035 million. This decrease in revenues is primarily attributable to (i) divestitures, which lowered revenues by $762 million, primarily the sale of our Wheelabrator business in December 2014; (ii) lower volumes, which decreased our revenues by $215 million; (iii) lower fuel surcharges and mandated fees of $171 million, primarily due to lower year-over-year average fuel prices; (iv) year-over-year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recyclable commodity price declines, which lowered revenues by $138 million and (v) foreign currency translation of $126 million related to our Canadian operations. These decreases were partially offset by positive revenue growth from yield on our collection and disposal operations of $203 million, or 1.8%, and acquisitions, which increased revenues by $174 million, primarily due to the acquisition of Deffenbaugh in March 2015;</w:t>
      </w:r>
    </w:p>
    <w:p>
      <w:pPr>
        <w:spacing w:after="0" w:line="92" w:lineRule="exact"/>
        <w:rPr>
          <w:sz w:val="20"/>
          <w:szCs w:val="20"/>
          <w:color w:val="auto"/>
        </w:rPr>
      </w:pPr>
    </w:p>
    <w:p>
      <w:pPr>
        <w:ind w:left="900" w:hanging="325"/>
        <w:spacing w:after="0" w:line="29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of $8,231 million in 2015, or 63.5% of revenues, compared with $9,002 million, or 64.3% of revenues in 2014. This decrease of $771 million is primarily attributable to (i) operating costs associated with divestitures of $495 million, primarily the sale of our Wheelabrator business; (ii) lower fuel costs of $187 million due to lower year-over-year average fuel prices; (iii) lower cost of goods sold of $102 million, primarily associated with lower recyclable commodity prices and (iv) lower subcontractor expenses of $70 million, primarily associated with lower volumes. These decreases were partially offset by higher transfer and disposal costs of $57 million, primarily due to incurring third party costs for services previously provided on an intercompany basis prior to the divestiture of our Wheelabrator business in 2014;</w:t>
      </w:r>
    </w:p>
    <w:p>
      <w:pPr>
        <w:spacing w:after="0" w:line="70" w:lineRule="exact"/>
        <w:rPr>
          <w:rFonts w:ascii="Arial" w:cs="Arial" w:eastAsia="Arial" w:hAnsi="Arial"/>
          <w:sz w:val="16"/>
          <w:szCs w:val="16"/>
          <w:color w:val="auto"/>
        </w:rPr>
      </w:pPr>
    </w:p>
    <w:p>
      <w:pPr>
        <w:ind w:left="900" w:right="260" w:hanging="325"/>
        <w:spacing w:after="0" w:line="31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Selling, general and administrative expenses of $1,343 million in 2015, or 10.4% of revenues, compared with $1,481 million, or 10.6% of revenues, in 2014. This decrease of $138 million is attributable to (i) savings associated with our August 2014 reorganization; (ii) divestitures, primarily the sale of our Wheelabrator business; (iii) lower incentive compensation costs and (iv) lower litigation settlement costs;</w:t>
      </w:r>
    </w:p>
    <w:p>
      <w:pPr>
        <w:spacing w:after="0" w:line="52" w:lineRule="exact"/>
        <w:rPr>
          <w:rFonts w:ascii="Arial" w:cs="Arial" w:eastAsia="Arial" w:hAnsi="Arial"/>
          <w:sz w:val="16"/>
          <w:szCs w:val="16"/>
          <w:color w:val="auto"/>
        </w:rPr>
      </w:pPr>
    </w:p>
    <w:p>
      <w:pPr>
        <w:ind w:left="900" w:right="42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from operations of $2,045 million, or 15.8% of revenues, in 2015 compared with $2,299 million, or 16.4% of revenues, in 2014, a decrease of $254 million, the comparability of which was affected by asset impairments in both periods and the 2014 gain on the sale of our Wheelabrator business;</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 net decreased by $81 million, or 17.4%, in 2015 compared to 2014, primarily due to the refinancing of a significant portion of our high-coupon senior notes during 2015 discussed below;</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income attributable to Waste Management, Inc. of $753 million, or $1.65 per diluted share, for 2015, as compared with $1,298 million, or $2.79 per diluted share, for 2014, the decrease was primarily driven by the 2015 loss on early extinguishment of debt discussed below;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2015, we returned $1,295 million to our shareholders through dividends and share repurchases compared with $1,293 million in 2014.</w:t>
      </w:r>
    </w:p>
    <w:p>
      <w:pPr>
        <w:spacing w:after="0" w:line="23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explanation of certain items that impacted the comparability of our 2015 results with 2014 has been provided to support investors’ understanding of our performance. Our 2015 results were affected by the following:</w:t>
      </w:r>
    </w:p>
    <w:p>
      <w:pPr>
        <w:spacing w:after="0" w:line="76" w:lineRule="exact"/>
        <w:rPr>
          <w:sz w:val="20"/>
          <w:szCs w:val="20"/>
          <w:color w:val="auto"/>
        </w:rPr>
      </w:pPr>
    </w:p>
    <w:p>
      <w:pPr>
        <w:ind w:left="900" w:hanging="325"/>
        <w:spacing w:after="0" w:line="279"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recognition of a pre-tax loss of $555 million, primarily associated with the early extinguishment of almost $2 billion of our high-coupon senior notes through a make-whole redemption and cash tender offer. We replaced substantially all of the debt extinguished with new senior notes at significantly lower coupon interest rates, which will reduce future interest expense and extend the average maturity of our debt obligations. The charges incurred for the redemption had a negative impact of $0.75 on our diluted earnings per share;</w:t>
      </w:r>
    </w:p>
    <w:p>
      <w:pPr>
        <w:spacing w:after="0" w:line="76"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$51 million pre-tax charge associated with the withdrawal from certain underfunded multiemployer pension plans had a negative $0.07 impact on our diluted earnings per share; and</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pre-tax charges of $102 million resulting from impairments, restructuring and divestitures, of which $66 million related to the impairment of certain of our oil and gas producing properties. These items had a negative impact of $0.14 on our diluted earnings per share.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explanation of certain items that impacted the comparability of our 2014 results with 2013 has been provided to support investors’ understanding of our performance. Our 2014 results were affected by the following:</w:t>
      </w:r>
    </w:p>
    <w:p>
      <w:pPr>
        <w:spacing w:after="0" w:line="76" w:lineRule="exact"/>
        <w:rPr>
          <w:sz w:val="20"/>
          <w:szCs w:val="20"/>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net pre-tax gains of $515 million, which includes the $519 million gain on the sale of our Wheelabrator business. These items had a positive impact of $1.10 on our diluted earnings per share;</w:t>
      </w:r>
    </w:p>
    <w:p>
      <w:pPr>
        <w:spacing w:after="0" w:line="75"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was negatively impacted by the recognition of net pre-tax charges aggregating $420 million primarily related to (i) $272 million of charges to impair our oil and gas producing properties; (ii) $69 million of charges to impair investments related to waste diversion technology companies; (iii) $31 million of litigation settlements; (iv) $10 million of goodwill impairment charges associated with our recycling operations and (v) other charges to write down the carrying value of assets to their estimated fair values related to certain of our operations. These items had a negative impact of $0.68 on our diluted earnings per share;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recognition of pre-tax restructuring charges of $82 million, which had a negative impact of $0.11 on our diluted earnings per share.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2013 results were affected by the following:</w:t>
      </w:r>
    </w:p>
    <w:p>
      <w:pPr>
        <w:spacing w:after="0" w:line="131" w:lineRule="exact"/>
        <w:rPr>
          <w:sz w:val="20"/>
          <w:szCs w:val="20"/>
          <w:color w:val="auto"/>
        </w:rPr>
      </w:pPr>
    </w:p>
    <w:p>
      <w:pPr>
        <w:ind w:left="900" w:right="40" w:hanging="325"/>
        <w:spacing w:after="0" w:line="27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recognition of net pre-tax charges aggregating $1.0 billion, primarily related to (i) a $483 million charge to impair goodwill associated with our Wheelabrator business; (ii) $262 million of charges to impair certain landfills, primarily in our Eastern Canada Area; (iii) $144 million of charges to write down the carrying value of three waste-to-energy facilities and (iv) $71 million of impairment charges relating to investments in waste diversion technology companies. These items had a negative impact of $1.91 on our diluted earnings per share; and</w:t>
      </w:r>
    </w:p>
    <w:p>
      <w:pPr>
        <w:spacing w:after="0" w:line="76" w:lineRule="exact"/>
        <w:rPr>
          <w:rFonts w:ascii="Arial" w:cs="Arial" w:eastAsia="Arial" w:hAnsi="Arial"/>
          <w:sz w:val="17"/>
          <w:szCs w:val="17"/>
          <w:color w:val="auto"/>
        </w:rPr>
      </w:pPr>
    </w:p>
    <w:p>
      <w:pPr>
        <w:ind w:left="900" w:right="84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recognition of pre-tax charges aggregating $23 million primarily related to our acquisitions of Greenstar and RCI as well as prior restructurings and other charges. These items had a negative impact of $0.03 on our diluted earnings per share.</w:t>
      </w:r>
    </w:p>
    <w:p>
      <w:pPr>
        <w:spacing w:after="0" w:line="14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2015, we generated strong earnings and cash flow growth from our Solid Waste business by continuing a disciplined focus on revenue growth and cost control. These results were driven by strong core pricing in each line of business; controlling costs of both our operations and corporate functions; improving customer experience by differentiating our service offerings to reduce customer churn; maintaining discipline around capital spending; and implementing a more rational and sustainable framework for recycling operations as an integrated component of solid waste services. Another priority we successfully pursued in 2015 was the investment of cash proceeds from the divestiture of our Wheelabrator business in late 2014 to support our strategic growth plans. In 2015, we acquired Deffenbaugh Disposal, Inc. (“Deffenbaugh”), one of the largest privately owned collection and disposal firms in the Midwest. In addition, in January 2016, we completed the acquisition of Southern Waste Systems/Sun Recycling in Southern Florida. These transactions reflect our view that we can create shareholder value by making accretive acquisitions in our Solid Waste business. As we look forward to 2016, our key priorities will remain the same — driving revenue growth from yield, maintaining our commitment to provide excellent customer service and improving our productivity while managing our costs. We believe that continued execution of these objectives will translate into earnings and cash flow growth, leaving us well positioned to continue investing in our business, pay dividends and repurchase shares, while continuing our commitment to maintain a strong balance sheet.</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1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$ 2,498</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$ 2,331</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(1,151)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2,253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Free cash flow</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$ 3,433</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$ 1,322</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comparing our cash flows from operating activities for the year ended December 31, 2015 to the comparable period in 2014, the increase of $167 million is primarily related to (i) lower income tax payments, net of excess tax benefits associated with equity-based transactions, of $329 million in the current year; (ii) lower interest paid of $77 million in the current year and (iii) the settlement of forward-starting swap liabilities of $36 million in 2014. These increases were partially offset by (i) a decrease in cash earnings due to the sale of our Wheelabrator business in 2014; (ii) multiemployer pension plan settlement payments of approximately $60 million in 2015 and (iii) higher year-over-year annual incentive plan payments of approximately $65 million. Finally, we experienced unfavorable changes in our assets and liabilities, net of effects of acquisitions and divestitures, particularly non-trade related items including payroll and incentive accruals. However, we did experience continued improvement in both trade accounts receivable and accounts payable.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comparing our cash flows from operating activities for the year ended December 31, 2014 to the comparable period in 2013, the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$124 million is primarily related to higher income tax payments, net of excess tax benefits associated with equity-based transactions, of $242 million in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payment of $36 million in 2014 to terminate our forward-starting swaps. These decreases were partially offset by higher cash earnings and favorable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Although capital expenditures were higher in 2015 and 2013 as compared to 2014, the Company continues to maintain a disciplined focus on capital management. Fluctuations in our capital expenditures are a result of new business opportunities, growth in our existing business, and the timing of replacement of aging assets.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significantly higher proceeds from divestitures of businesses and other assets (net of cash divested) for the year ended December 31, 2014 compared to the years ended December 31, 2015 and 2013 is largely driven by the 2014 sales of (i) our Wheelabrator business for $1.95 billion; (ii) our investment in Shanghai Environment Group, which was part of our Wheelabrator business, for $155 million and (iii) our Puerto Rico operations for proceeds of $80 million, including $65 million in cash.</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of $416 million ($413 million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inclusive of amounts for estimated working capital. Deffenbaugh’s assets include five collection operations, seven transfer stations, two recycling facilities, one subtitle-D landfill, and one construction and demolition landfill.</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Greenstar, LLC </w:t>
      </w:r>
      <w:r>
        <w:rPr>
          <w:rFonts w:ascii="Arial" w:cs="Arial" w:eastAsia="Arial" w:hAnsi="Arial"/>
          <w:sz w:val="18"/>
          <w:szCs w:val="18"/>
          <w:color w:val="auto"/>
        </w:rPr>
        <w:t>— On January 31, 2013, we paid $170 million inclusive of certain adjustments, to acquire Greenstar, LLC (“Greenstar”).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and purchase agreement, up to an additional $40 million was payable to the sellers, of which $20 million was guaranteed and paid in 2015. The remaining $20 million of this consideration was contingent based on changes in certain recyclable commodity indexes and had an estimated fair value at closing of $16 million. This contingent consideration was not earned.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i w:val="1"/>
          <w:iCs w:val="1"/>
          <w:color w:val="auto"/>
        </w:rPr>
        <w:t xml:space="preserve">RCI Environnement, Inc. </w:t>
      </w:r>
      <w:r>
        <w:rPr>
          <w:rFonts w:ascii="Arial" w:cs="Arial" w:eastAsia="Arial" w:hAnsi="Arial"/>
          <w:sz w:val="17"/>
          <w:szCs w:val="17"/>
          <w:color w:val="auto"/>
        </w:rPr>
        <w:t>— On July 5, 2013, we paid C$509 million, or $481 million, to acquire substantially all of the assets of RCI Environnement,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i w:val="1"/>
          <w:iCs w:val="1"/>
          <w:color w:val="auto"/>
        </w:rPr>
        <w:t xml:space="preserve">Wheelabrator Business </w:t>
      </w:r>
      <w:r>
        <w:rPr>
          <w:rFonts w:ascii="Arial" w:cs="Arial" w:eastAsia="Arial" w:hAnsi="Arial"/>
          <w:sz w:val="17"/>
          <w:szCs w:val="17"/>
          <w:color w:val="auto"/>
        </w:rPr>
        <w:t>— On December 19, 2014, we sold our Wheelabrator business to an affiliate of Energy Capital Partners and received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of $1.95 billion, net of cash divested, subject to certain post-closing adjustments. We recognized a gain of $519 million on this sale which is included within “(Income) expense from divestitures, asset impairments (other than goodwill) and unusual items” in the Consolidated Statement of Operations. For the year ended December 31,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through 2021.</w:t>
      </w:r>
    </w:p>
    <w:p>
      <w:pPr>
        <w:spacing w:after="0" w:line="17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In addition to the divestiture of our Wheelabrator business, we also divested our Puerto Rico operations as well as certain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operations in our Eastern Canada Area in 2014.</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total, these divested businesses and assets provided $0.18 and $0.16 of earnings per diluted share for the years ended December 31, 2014 and 2013, respectively.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January 8, 2016, Waste Management Inc. of Florida, a wholly-owned subsidiary of WM, acquired certain operations and business assets of Southern Waste Systems/Sun Recycling in Southern Florida. The acquired business assets include residential, commercial, and industrial solid waste collection, processing/recycling and transfer operations, equipment, vehicles, real estate and customer agreements. Total consideration, inclusive of amounts for estimated working capital, paid at closing was $516 million and is subject to standard post-closing adjustments. The acquisition was funded primarily with borrowings under our long-term U.S. revolving credit facility (“$2.25 billion revolving credit facility”).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of Consolidated Financial Information</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 In November 2015, the Financial Accounting Standards Board (“FASB”)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To simplify the presentation of deferred income taxes, the amended guidance requires that deferred tax liabilities and assets be classified as noncurrent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statement of financial position. This eliminates the guidance to separate deferred income tax liabilities and assets into current and noncurrent amounts in the statement of financial position. The amendments to the authoritative guidance associated with deferred income taxes were effective for the Company on January 1, 2016; however, early adoption was permitted. The Company’s early adoption of this guidance in 2015 was applied retrospectively and did not have a material impact on our consolidated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Landfills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w:t>
      </w:r>
    </w:p>
    <w:p>
      <w:pPr>
        <w:spacing w:after="0" w:line="46" w:lineRule="exact"/>
        <w:rPr>
          <w:sz w:val="20"/>
          <w:szCs w:val="20"/>
          <w:color w:val="auto"/>
        </w:rPr>
      </w:pPr>
    </w:p>
    <w:p>
      <w:pPr>
        <w:jc w:val="both"/>
        <w:ind w:right="180" w:firstLine="8"/>
        <w:spacing w:after="0" w:line="255"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of our landfill sites to its remaining permitted and expansion capacity. This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Final Capping Costs </w:t>
      </w:r>
      <w:r>
        <w:rPr>
          <w:rFonts w:ascii="Arial" w:cs="Arial" w:eastAsia="Arial" w:hAnsi="Arial"/>
          <w:sz w:val="17"/>
          <w:szCs w:val="17"/>
          <w:color w:val="auto"/>
        </w:rPr>
        <w:t>— We estimate the cost for each final capping event based on the area to be finally capped and the capping materials and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The estimates also consider when these costs are anticipated to be paid and factor in inflation and discount rates. Our engineering personnel allocate landfill final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Closure and Post-Closure Costs </w:t>
      </w:r>
      <w:r>
        <w:rPr>
          <w:rFonts w:ascii="Arial" w:cs="Arial" w:eastAsia="Arial" w:hAnsi="Arial"/>
          <w:sz w:val="18"/>
          <w:szCs w:val="18"/>
          <w:color w:val="auto"/>
        </w:rPr>
        <w:t>— We base our estimates for closure and post-closure costs on our interpretations of permit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closure and post-closure monitoring and maintenance. The estimates for landfill closure and post-closure costs also consider when the costs are anticipated to be paid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92" w:lineRule="exact"/>
        <w:rPr>
          <w:sz w:val="20"/>
          <w:szCs w:val="20"/>
          <w:color w:val="auto"/>
        </w:rPr>
      </w:pPr>
    </w:p>
    <w:p>
      <w:pPr>
        <w:ind w:left="900" w:right="7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21 landfill sites with expansions included at December 31, 2015, three landfills required the Chief Financial Officer to approve the inclusion of the unpermitted airspace. One landfill required approval by our Chief Financial Officer because of community or political opposition that could impede the expansion process. The remaining two landfills required approval because the permit application process did not meet the one- or five-year requirements.</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78"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Our long-lived assets, including landfills and landfill expansions, are carried on our financial statements based on their cost less accumulated depreciation or amortization. We monitor the carrying value of our long-lived assets for potential impairment on an ongoing basis and test the recoverability of such assets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w:t>
      </w:r>
    </w:p>
    <w:p>
      <w:pPr>
        <w:spacing w:after="0" w:line="1" w:lineRule="exact"/>
        <w:rPr>
          <w:sz w:val="20"/>
          <w:szCs w:val="20"/>
          <w:color w:val="auto"/>
        </w:rPr>
      </w:pPr>
    </w:p>
    <w:p>
      <w:pPr>
        <w:ind w:firstLine="8"/>
        <w:spacing w:after="0" w:line="252"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and “(Income) expense from divestitures, asset impairments (other than goodwill)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22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See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w:t>
      </w:r>
      <w:r>
        <w:rPr>
          <w:rFonts w:ascii="Arial" w:cs="Arial" w:eastAsia="Arial" w:hAnsi="Arial"/>
          <w:sz w:val="16"/>
          <w:szCs w:val="16"/>
          <w:i w:val="1"/>
          <w:iCs w:val="1"/>
          <w:color w:val="auto"/>
        </w:rPr>
        <w:t xml:space="preserve"> Critical Accounting Estimates and Assumptions — Expansion Airspace </w:t>
      </w:r>
      <w:r>
        <w:rPr>
          <w:rFonts w:ascii="Arial" w:cs="Arial" w:eastAsia="Arial" w:hAnsi="Arial"/>
          <w:sz w:val="16"/>
          <w:szCs w:val="16"/>
          <w:color w:val="auto"/>
        </w:rPr>
        <w:t>above for discussion of criteria involved in</w:t>
      </w:r>
      <w:r>
        <w:rPr>
          <w:rFonts w:ascii="Arial" w:cs="Arial" w:eastAsia="Arial" w:hAnsi="Arial"/>
          <w:sz w:val="16"/>
          <w:szCs w:val="16"/>
          <w:i w:val="1"/>
          <w:iCs w:val="1"/>
          <w:color w:val="auto"/>
        </w:rPr>
        <w:t xml:space="preserve"> </w:t>
      </w:r>
      <w:r>
        <w:rPr>
          <w:rFonts w:ascii="Arial" w:cs="Arial" w:eastAsia="Arial" w:hAnsi="Arial"/>
          <w:sz w:val="16"/>
          <w:szCs w:val="16"/>
          <w:color w:val="auto"/>
        </w:rPr>
        <w:t>assessing our likelihood of obtaining an expansion permit.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At least annually, and more frequently if warranted, we assess our goodwill for impairment using Level 3 inputs.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our annual 2013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 carrying amount of goodwill to determine the amount of the impairment. The factors contributing to the $483 million goodwill impairment charge principally related to the continued challenging business environment in areas of the country in which Wheelabrator operated, characterized by lower available disposal volumes (which impact disposal rates and overall disposal revenue, as well as the amount of electricity Wheelabrator was able to generate), lower electricity pricing due to the pricing pressure created by availability of natural gas and increased operating costs as Wheelabrator’s facilities aged. These factors caused us to lower prior assumptions for electricity and disposal revenue, and increase assumed operating costs. Additionally, the discount factor previously utilized in the income approach in 2013 increased mainly due to increases in interest rates. In 2013, we also incurred $10 million of charges to impair goodwill associated with our Puerto Rico operations. In 2014, we recognized $10 million of goodwill impairment charges associated with our recycling operations.</w:t>
      </w:r>
    </w:p>
    <w:p>
      <w:pPr>
        <w:spacing w:after="0" w:line="17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Impairments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(Income)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Divestitures, Asset Impairments (Other than Goodwill) and Unusual Items </w:t>
      </w:r>
      <w:r>
        <w:rPr>
          <w:rFonts w:ascii="Arial" w:cs="Arial" w:eastAsia="Arial" w:hAnsi="Arial"/>
          <w:sz w:val="18"/>
          <w:szCs w:val="18"/>
          <w:color w:val="auto"/>
        </w:rPr>
        <w:t>and Note 13 to the Consolidated Financial Statements for information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goodwill impairments recognized during the reported periods.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goodwill for impairment.</w:t>
      </w:r>
    </w:p>
    <w:p>
      <w:pPr>
        <w:spacing w:after="0" w:line="17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Fair value is typically estimated using an income approach. The income approach is based on the long-term projected future cash flows.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 Should interest and penalties be assessed by taxing authorities on any underpayment of income tax, such amounts would be accrued and classified as a component of income tax expense in our Consolidated Statements of Operations.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Insured and Self-Insured Claims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retained a significant portion of the risks related to our health and welfare, automobile, general liability and workers’ compensation claims programs.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operating revenues set forth below have generally come from fees charged for our collection, disposal, transfer, recycling and resource recovery,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diesel fuel. Our divested Wheelabrator business provided waste-to-energy services and managed waste-to-energy facilities and independent power production plants. We also provide additional services that are not managed through our Solid Waste business, including Strategic Business Solutions (“WMSBS”), Energy and Environmental Services, recycling brokerage services, landfill gas-to-energy services, and expanded service offerings and solutions. In addition, we offer portable self-storage and long distance moving services through a joint venture; fluorescent bulb and universal waste mail-back through our LampTracker</w:t>
      </w:r>
      <w:r>
        <w:rPr>
          <w:rFonts w:ascii="Arial" w:cs="Arial" w:eastAsia="Arial" w:hAnsi="Arial"/>
          <w:sz w:val="14"/>
          <w:szCs w:val="14"/>
          <w:color w:val="auto"/>
        </w:rPr>
        <w:t>®</w:t>
      </w:r>
      <w:r>
        <w:rPr>
          <w:rFonts w:ascii="Arial" w:cs="Arial" w:eastAsia="Arial" w:hAnsi="Arial"/>
          <w:sz w:val="17"/>
          <w:szCs w:val="17"/>
          <w:color w:val="auto"/>
        </w:rPr>
        <w:t xml:space="preserve"> program; portable restroom servicing under the name Port-o-Let</w:t>
      </w:r>
      <w:r>
        <w:rPr>
          <w:rFonts w:ascii="Arial" w:cs="Arial" w:eastAsia="Arial" w:hAnsi="Arial"/>
          <w:sz w:val="14"/>
          <w:szCs w:val="14"/>
          <w:color w:val="auto"/>
        </w:rPr>
        <w:t>®</w:t>
      </w:r>
      <w:r>
        <w:rPr>
          <w:rFonts w:ascii="Arial" w:cs="Arial" w:eastAsia="Arial" w:hAnsi="Arial"/>
          <w:sz w:val="17"/>
          <w:szCs w:val="17"/>
          <w:color w:val="auto"/>
        </w:rPr>
        <w:t xml:space="preserve">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293"/>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Wheelabrator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Intercompany</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(2,461)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(2,524)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13,983</w:t>
            </w:r>
          </w:p>
        </w:tc>
        <w:tc>
          <w:tcPr>
            <w:tcW w:w="0" w:type="dxa"/>
            <w:vAlign w:val="bottom"/>
          </w:tcPr>
          <w:p>
            <w:pPr>
              <w:spacing w:after="0"/>
              <w:rPr>
                <w:sz w:val="1"/>
                <w:szCs w:val="1"/>
                <w:color w:val="auto"/>
              </w:rPr>
            </w:pPr>
          </w:p>
        </w:tc>
      </w:tr>
      <w:tr>
        <w:trPr>
          <w:trHeight w:val="20"/>
        </w:trPr>
        <w:tc>
          <w:tcPr>
            <w:tcW w:w="718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gridSpan w:val="6"/>
          </w:tcPr>
          <w:p>
            <w:pPr>
              <w:jc w:val="right"/>
              <w:ind w:right="500"/>
              <w:spacing w:after="0"/>
              <w:rPr>
                <w:sz w:val="20"/>
                <w:szCs w:val="20"/>
                <w:color w:val="auto"/>
              </w:rPr>
            </w:pPr>
            <w:r>
              <w:rPr>
                <w:rFonts w:ascii="Arial" w:cs="Arial" w:eastAsia="Arial" w:hAnsi="Arial"/>
                <w:sz w:val="18"/>
                <w:szCs w:val="18"/>
                <w:color w:val="auto"/>
                <w:w w:val="91"/>
              </w:rPr>
              <w:t>The mix of operating revenues from our major lines of business is reflected in the table below (in millions):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293"/>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Industrial</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460" w:type="dxa"/>
            <w:vAlign w:val="bottom"/>
          </w:tcPr>
          <w:p>
            <w:pPr>
              <w:ind w:left="1080"/>
              <w:spacing w:after="0"/>
              <w:rPr>
                <w:sz w:val="20"/>
                <w:szCs w:val="20"/>
                <w:color w:val="auto"/>
              </w:rPr>
            </w:pPr>
            <w:r>
              <w:rPr>
                <w:rFonts w:ascii="Arial" w:cs="Arial" w:eastAsia="Arial" w:hAnsi="Arial"/>
                <w:sz w:val="18"/>
                <w:szCs w:val="18"/>
                <w:color w:val="auto"/>
              </w:rPr>
              <w:t>Total collection</w:t>
            </w: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Transfer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Recycling</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Intercompany</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(2,461)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(2,524)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13,983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60" w:type="dxa"/>
            <w:vAlign w:val="bottom"/>
            <w:vMerge w:val="restart"/>
          </w:tcPr>
          <w:p>
            <w:pPr>
              <w:jc w:val="right"/>
              <w:ind w:right="175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4"/>
              </w:rPr>
              <w:t>Period-to-Period</w:t>
            </w:r>
          </w:p>
        </w:tc>
        <w:tc>
          <w:tcPr>
            <w:tcW w:w="14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9"/>
              </w:rPr>
              <w:t>2015 vs. 2014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9"/>
              </w:rPr>
              <w:t>2014 vs.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9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vMerge w:val="restart"/>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5"/>
              </w:rPr>
              <w:t>Total</w:t>
            </w: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Company(a)</w:t>
            </w:r>
          </w:p>
        </w:tc>
        <w:tc>
          <w:tcPr>
            <w:tcW w:w="6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Company(a)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2360" w:type="dxa"/>
            <w:vAlign w:val="bottom"/>
            <w:gridSpan w:val="3"/>
          </w:tcPr>
          <w:p>
            <w:pPr>
              <w:jc w:val="right"/>
              <w:ind w:right="8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3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174</w:t>
            </w:r>
          </w:p>
        </w:tc>
        <w:tc>
          <w:tcPr>
            <w:tcW w:w="2360" w:type="dxa"/>
            <w:vAlign w:val="bottom"/>
            <w:gridSpan w:val="3"/>
          </w:tcPr>
          <w:p>
            <w:pPr>
              <w:jc w:val="right"/>
              <w:ind w:right="9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3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Subtotal (excluding divestitures)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by dividing the amount of current year increase or decrease by the prior year’s total Company revenue adjusted to exclude the impacts of current year divestitures ($13,234 million and $13,893 million for 2015 and 2014, respectively).</w:t>
      </w:r>
    </w:p>
    <w:p>
      <w:pPr>
        <w:spacing w:after="0" w:line="1" w:lineRule="exact"/>
        <w:rPr>
          <w:rFonts w:ascii="Arial" w:cs="Arial" w:eastAsia="Arial" w:hAnsi="Arial"/>
          <w:sz w:val="18"/>
          <w:szCs w:val="18"/>
          <w:color w:val="auto"/>
        </w:rPr>
      </w:pPr>
    </w:p>
    <w:p>
      <w:pPr>
        <w:jc w:val="both"/>
        <w:ind w:left="460" w:right="14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92"/>
              </w:rPr>
              <w:t>Period-to-Period</w:t>
            </w:r>
          </w:p>
        </w:tc>
        <w:tc>
          <w:tcPr>
            <w:tcW w:w="160" w:type="dxa"/>
            <w:vAlign w:val="bottom"/>
          </w:tcPr>
          <w:p>
            <w:pPr>
              <w:spacing w:after="0"/>
              <w:rPr>
                <w:sz w:val="14"/>
                <w:szCs w:val="14"/>
                <w:color w:val="auto"/>
              </w:rPr>
            </w:pPr>
          </w:p>
        </w:tc>
        <w:tc>
          <w:tcPr>
            <w:tcW w:w="1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1"/>
              </w:rPr>
              <w:t>2015 vs. 2014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2014 vs. 2013</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8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left="499"/>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Related</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Business(i)</w:t>
            </w:r>
          </w:p>
        </w:tc>
        <w:tc>
          <w:tcPr>
            <w:tcW w:w="640" w:type="dxa"/>
            <w:vAlign w:val="bottom"/>
            <w:gridSpan w:val="3"/>
            <w:vMerge w:val="continue"/>
          </w:tcPr>
          <w:p>
            <w:pPr>
              <w:spacing w:after="0"/>
              <w:rPr>
                <w:sz w:val="14"/>
                <w:szCs w:val="14"/>
                <w:color w:val="auto"/>
              </w:rPr>
            </w:pPr>
          </w:p>
        </w:tc>
        <w:tc>
          <w:tcPr>
            <w:tcW w:w="146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90"/>
              </w:rPr>
              <w:t>Business(i)</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8"/>
              <w:spacing w:after="0"/>
              <w:rPr>
                <w:sz w:val="20"/>
                <w:szCs w:val="20"/>
                <w:color w:val="auto"/>
              </w:rPr>
            </w:pPr>
            <w:r>
              <w:rPr>
                <w:rFonts w:ascii="Arial" w:cs="Arial" w:eastAsia="Arial" w:hAnsi="Arial"/>
                <w:sz w:val="18"/>
                <w:szCs w:val="18"/>
                <w:color w:val="auto"/>
              </w:rPr>
              <w:t>203</w:t>
            </w:r>
          </w:p>
        </w:tc>
        <w:tc>
          <w:tcPr>
            <w:tcW w:w="2060" w:type="dxa"/>
            <w:vAlign w:val="bottom"/>
            <w:gridSpan w:val="3"/>
          </w:tcPr>
          <w:p>
            <w:pPr>
              <w:jc w:val="right"/>
              <w:ind w:right="6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262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Electricity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21</w:t>
            </w: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(171)</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 The table below summarizes the related business revenues for each year, adjusted to exclude the impacts of divestitures (in millions):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b w:val="1"/>
                <w:bCs w:val="1"/>
                <w:color w:val="auto"/>
              </w:rPr>
              <w:t>Denominator</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2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Related-business revenues:</w:t>
            </w:r>
          </w:p>
        </w:tc>
        <w:tc>
          <w:tcPr>
            <w:tcW w:w="3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$11,214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Electricity</w:t>
            </w:r>
          </w:p>
        </w:tc>
        <w:tc>
          <w:tcPr>
            <w:tcW w:w="34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360"/>
              <w:spacing w:after="0"/>
              <w:rPr>
                <w:sz w:val="20"/>
                <w:szCs w:val="20"/>
                <w:color w:val="auto"/>
              </w:rPr>
            </w:pPr>
            <w:r>
              <w:rPr>
                <w:rFonts w:ascii="Arial" w:cs="Arial" w:eastAsia="Arial" w:hAnsi="Arial"/>
                <w:sz w:val="18"/>
                <w:szCs w:val="18"/>
                <w:color w:val="auto"/>
              </w:rPr>
              <w:t>Total Company</w:t>
            </w:r>
          </w:p>
        </w:tc>
        <w:tc>
          <w:tcPr>
            <w:tcW w:w="3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13,234</w:t>
            </w: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0" w:type="dxa"/>
            <w:vAlign w:val="bottom"/>
            <w:vMerge w:val="restart"/>
          </w:tcPr>
          <w:p>
            <w:pPr>
              <w:jc w:val="right"/>
              <w:ind w:right="2270"/>
              <w:spacing w:after="0"/>
              <w:rPr>
                <w:sz w:val="20"/>
                <w:szCs w:val="20"/>
                <w:color w:val="auto"/>
              </w:rPr>
            </w:pPr>
            <w:r>
              <w:rPr>
                <w:rFonts w:ascii="Arial" w:cs="Arial" w:eastAsia="Arial" w:hAnsi="Arial"/>
                <w:sz w:val="18"/>
                <w:szCs w:val="18"/>
                <w:color w:val="auto"/>
              </w:rPr>
              <w:t>43</w:t>
            </w: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revenues decreased $1,035 million, or 7.4%, for the year ended December 31, 2015. Our revenue decline was driven by (i) divestitures in 2014, principally our Wheelabrator business in December 2014, our Puerto Rico operations in the second quarter of 2014, and certain landfill and collection operations in our Eastern Canada Area in the third quarter of 2014; (ii) lower volumes; (iii) lower revenues from our fuel surcharge program due to declining fuel costs; (iv) lower recyclable commodity prices and (v) foreign currency translation, which affects revenues from our Canadian operations. Partially offsetting these revenue declines were (i) revenue growth from yield on our collection and disposal operations and (ii) revenue from acquired operations, primarily the Deffenbaugh acquisition in March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revenues increased $13 million, or 0.1%, for the year ended December 31, 2014, driven by (i) revenue growth from yield on our collection and disposal operations; (ii) revenue from acquired operations, particularly the RCI operations acquired in July 2013 and (iii) fluctuations in electricity prices at Wheelabrator’s merchant waste-to-energy facilities that favorably affected revenues. Offsetting these revenue increases were (i) revenue declines due to lower volumes; (ii) divestitures in 2014, primarily our Puerto Rico operations, our Wheelabrator business and certain landfill and collection operations in our Eastern Canada Area; (iii) foreign currency translation and (iv) revenue declines resulting from lower recyclable commodity prices.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Average yield</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 our collection, transfer and</w:t>
      </w:r>
      <w:r>
        <w:rPr>
          <w:rFonts w:ascii="Arial" w:cs="Arial" w:eastAsia="Arial" w:hAnsi="Arial"/>
          <w:sz w:val="17"/>
          <w:szCs w:val="17"/>
          <w:i w:val="1"/>
          <w:iCs w:val="1"/>
          <w:color w:val="auto"/>
        </w:rPr>
        <w:t xml:space="preserve"> </w:t>
      </w:r>
      <w:r>
        <w:rPr>
          <w:rFonts w:ascii="Arial" w:cs="Arial" w:eastAsia="Arial" w:hAnsi="Arial"/>
          <w:sz w:val="17"/>
          <w:szCs w:val="17"/>
          <w:color w:val="auto"/>
        </w:rPr>
        <w:t>landfill 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Revenue growth from collection and disposal average yield was $203 million, or 1.8%, and $262 million, or 2.3%, for the years ended December 31, 2015 and 2014, respectively.</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Our year-over-year yield growth was driven largely by our continued focus on our pricing strategy with lower rollbacks and improved new business pricing. We experienced growth in all three of our principal collection lines of business in both 2015 and 2014. The details are as follows (dollars in millions):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2"/>
              </w:rPr>
              <w:t>Period-to-Period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2015 vs. 2014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2014 vs. 2013</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Related</w:t>
            </w:r>
          </w:p>
        </w:tc>
        <w:tc>
          <w:tcPr>
            <w:tcW w:w="30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4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4.3%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820" w:type="dxa"/>
            <w:vAlign w:val="bottom"/>
            <w:gridSpan w:val="3"/>
          </w:tcPr>
          <w:p>
            <w:pPr>
              <w:ind w:left="1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w w:val="79"/>
              </w:rPr>
              <w:t>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8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drivers affecting both 2015 and 2014 average yield include:</w:t>
      </w:r>
    </w:p>
    <w:p>
      <w:pPr>
        <w:spacing w:after="0" w:line="131" w:lineRule="exact"/>
        <w:rPr>
          <w:sz w:val="20"/>
          <w:szCs w:val="20"/>
          <w:color w:val="auto"/>
        </w:rPr>
      </w:pPr>
    </w:p>
    <w:p>
      <w:pPr>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fee instituted to help us recover a portion of the significant regulatory costs and fees, such as host fees and disposal taxes, which are not recouped by our pricing programs. Revenues generated from this fee are approximately $113 million, $97 million and $43 million for the years ended December 31, 2015, 2014 and 2013, respectively, principally in our collection business, with the most significant impact in our commercial line of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line="30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2014 revenue growth from yield in our industrial line of business was aided by the expansion of our oilfield services business. These services typically have higher average rates due to extended transportation distances, special waste handling costs and higher disposal costs as compared with our other industrial business. However, in 2015, reduced drilling and auxiliary activities due to the continued decline in oil and gas prices negatively affected our oilfield services business, which in turn affected our revenue growth in our industrial line of business.</w:t>
      </w:r>
    </w:p>
    <w:p>
      <w:pPr>
        <w:spacing w:after="0" w:line="59" w:lineRule="exact"/>
        <w:rPr>
          <w:rFonts w:ascii="Arial" w:cs="Arial" w:eastAsia="Arial" w:hAnsi="Arial"/>
          <w:sz w:val="16"/>
          <w:szCs w:val="16"/>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our residential line of business, we continue to focus on bidding on contracts that improve our yield performance and increase our overall returns.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Yield growth from our landfill and transfer station operations also improved for both 2015 and 2014.</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The continuing declines in recycling commodities prices resulted in revenue declines of $138 million and $53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2015 and 2014, respectively, compared with the prior year.</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decreased $171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 million for the years ended December 31, 2015 and 2014, respectively. These revenues fluctuate in response to changes in the national average prices for diesel fuel on which our surcharge is based. We experienced a dramatic fuel price decline of approximately 30% in 2015 versus the 2.4% fuel price decline in 2014, which caused a much more significant decline in our fuel surcharge revenues in the current year. The mandated fees included in this line item are primarily related to pass-through fees and taxes assessed by various state, county and municipal government agencies at our landfills and transfer stations.</w:t>
      </w:r>
    </w:p>
    <w:p>
      <w:pPr>
        <w:spacing w:after="0" w:line="158"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Declines in our volumes caused our revenue to decrease $215 million, or 1.6%, and $188 million, or 1.4%,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2014, respectively, as compared with the prior year.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operating expenses are comprised of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w:t>
      </w:r>
    </w:p>
    <w:p>
      <w:pPr>
        <w:spacing w:after="0" w:line="5" w:lineRule="exact"/>
        <w:rPr>
          <w:sz w:val="20"/>
          <w:szCs w:val="20"/>
          <w:color w:val="auto"/>
        </w:rPr>
      </w:pPr>
    </w:p>
    <w:p>
      <w:pPr>
        <w:ind w:firstLine="8"/>
        <w:spacing w:after="0" w:line="271" w:lineRule="auto"/>
        <w:tabs>
          <w:tab w:leader="none" w:pos="3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auto liability, workers’ compensation, general liability and insurance and claim costs and (x) other operating costs, which include telecommunications, equipment and facility rent, property taxes, utilities and supplies.</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operating expenses decreased $771 million, or 8.6%, when comparing 2015 with 2014 and decreased $110 million, or 1.2%, when comparing 2014 with 2013. Operating expenses as a percentage of revenues were 63.5% in 2015, 64.3% in 2014, and 65.2% in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years ended December 31 (dollars in millions), with significant changes in our operating expenses discussed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00" w:type="dxa"/>
            <w:vAlign w:val="bottom"/>
            <w:vMerge w:val="restart"/>
          </w:tcPr>
          <w:p>
            <w:pPr>
              <w:spacing w:after="0"/>
              <w:rPr>
                <w:sz w:val="14"/>
                <w:szCs w:val="14"/>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Period-to-Period</w:t>
            </w:r>
          </w:p>
        </w:tc>
        <w:tc>
          <w:tcPr>
            <w:tcW w:w="120" w:type="dxa"/>
            <w:vAlign w:val="bottom"/>
            <w:vMerge w:val="restart"/>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Period-to-Period</w:t>
            </w: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Subcontractor costs</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Fuel</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(771)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9,112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During 2014, we divested our Wheelabrator business, our Puerto Rico operations, and certain landfill and collection operations in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Eastern Canada Area. The following table lists the operating expense categories in which these divestitures have had a material impact (in millions):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2400" w:type="dxa"/>
            <w:vAlign w:val="bottom"/>
            <w:gridSpan w:val="4"/>
          </w:tcPr>
          <w:p>
            <w:pPr>
              <w:jc w:val="center"/>
              <w:ind w:left="1088"/>
              <w:spacing w:after="0"/>
              <w:rPr>
                <w:sz w:val="20"/>
                <w:szCs w:val="20"/>
                <w:color w:val="auto"/>
              </w:rPr>
            </w:pPr>
            <w:r>
              <w:rPr>
                <w:rFonts w:ascii="Arial" w:cs="Arial" w:eastAsia="Arial" w:hAnsi="Arial"/>
                <w:sz w:val="14"/>
                <w:szCs w:val="14"/>
                <w:b w:val="1"/>
                <w:bCs w:val="1"/>
                <w:color w:val="auto"/>
                <w:w w:val="94"/>
              </w:rPr>
              <w:t>Period-to-Period</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126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Change for the</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2015 vs. 2014</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2014 vs. 2013</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Labor and related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Transfer and disposal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impact of divestitures noted above, other significant items by category of expense include: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following significant items affected the comparability of expenses for the periods presented:</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recognition of $51 million of net charges in 2015 associated with the withdrawal from certain underfunded multiemployer pension plans;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quarters of 2014 and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costs associated with the acquired operations of Deffenbaugh in 2015;</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headcount and contract labor due to lower volumes in our collection line of business and operating efficiencies in our recycling line of business;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health and welfare costs in 2015 and increased health and welfare costs in 2014.</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Transfer and disposal costs — </w:t>
      </w:r>
      <w:r>
        <w:rPr>
          <w:rFonts w:ascii="Arial" w:cs="Arial" w:eastAsia="Arial" w:hAnsi="Arial"/>
          <w:sz w:val="18"/>
          <w:szCs w:val="18"/>
          <w:color w:val="auto"/>
        </w:rPr>
        <w:t>The increase in transfer and disposal costs in 2015 compared to the prior year was primarily due to incurring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services previously provided on an intercompany basis prior to the divestiture of our Wheelabrator business in December 2014. These cost increases were offset, in part,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reduction in costs due to the divestitures, as discussed above. The decrease in costs in 2014 were driven in part by lower volumes in the collection and recycling lines of business.</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decrease in maintenance and repairs in 2015 was largely driven by the divestiture of Wheelabrator,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the increased costs related to the Deffenbaugh acquisition.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following significant items affected the comparability of expenses for the periods presented:</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Volume declines related to the loss of certain large accounts in our WMSBS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costs associated with lower costs in the landfill and recycling businesses in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costs related to remediation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costs related to the RCI operations acquired in July 2013.</w:t>
      </w:r>
    </w:p>
    <w:p>
      <w:pPr>
        <w:spacing w:after="0" w:line="22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Cost of goods sold — </w:t>
      </w:r>
      <w:r>
        <w:rPr>
          <w:rFonts w:ascii="Arial" w:cs="Arial" w:eastAsia="Arial" w:hAnsi="Arial"/>
          <w:sz w:val="16"/>
          <w:szCs w:val="16"/>
          <w:color w:val="auto"/>
        </w:rPr>
        <w:t>The reduction in costs is primarily driven by lower recycling rebates due to (i) lower commodity prices; (ii) increased efforts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controllable recycling rebates paid to customers; (iii) better alignment of rebate structures with commodity prices for new recycling contracts and</w:t>
      </w:r>
    </w:p>
    <w:p>
      <w:pPr>
        <w:ind w:right="420" w:firstLine="8"/>
        <w:spacing w:after="0" w:line="261" w:lineRule="auto"/>
        <w:tabs>
          <w:tab w:leader="none" w:pos="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 These cost reductions were offset, in part, by increased costs in our remediation business and increased costs in 2014 related to our portable self-storage service.</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decrease in fuel expense in 2015 and 2014 when compared to the prior periods was driven by (i) lower fuel prices; (ii) lower fuel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reduced collection volumes; (iii) lower costs resulting from the conversion of our fleet to natural gas vehicles and (iv) year-over-year increases in natural gas fuel excise credits.</w:t>
      </w:r>
    </w:p>
    <w:p>
      <w:pPr>
        <w:spacing w:after="0" w:line="18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i w:val="1"/>
          <w:iCs w:val="1"/>
          <w:color w:val="auto"/>
        </w:rPr>
        <w:t xml:space="preserve">Disposal and franchise fees and taxes — </w:t>
      </w:r>
      <w:r>
        <w:rPr>
          <w:rFonts w:ascii="Arial" w:cs="Arial" w:eastAsia="Arial" w:hAnsi="Arial"/>
          <w:sz w:val="17"/>
          <w:szCs w:val="17"/>
          <w:color w:val="auto"/>
        </w:rPr>
        <w:t>Significant items affecting the comparability of expenses for the periods presented include (i)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fees and taxes due to higher landfill volumes; (ii) decreased costs due to divestitures and (iii) a disposal surcharge in 2013.</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Significant items affecting the comparability of expenses for the periods presented include (i) unfavorable adjustments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as well as favorable adjustments in 2013 related to changes in U.S. Treasury rates used to discount the present value of our environmental remediation obligations and recovery assets and (ii) higher leachate costs for all comparable periods.</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The decrease in costs in 2014 was primarily due to lower auto and general liability claims and, to a lesser extent,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workers’ compensation claims.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w:t>
      </w:r>
    </w:p>
    <w:p>
      <w:pPr>
        <w:ind w:firstLine="8"/>
        <w:spacing w:after="0" w:line="25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selling, general and administrative expenses decreased $138 million, or 9.3%, when comparing 2015 with 2014 and increased $13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0.9%, when comparing 2014 with 2013. Our selling, general and administrative expenses as a percentage of revenues were 10.4% in 2015, 10.6% in 2014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10.5% in 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years ended December 31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Period-to-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6"/>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Professional fees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Our 2014 divestitures, primarily the sale of our Wheelabrator business in December 2014, favorably affected all cost categories when comparing expenses in 2015 to 2014. In addition to the impact of divestitures, other significant items by category of expense include: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Factors affecting the year-over-year changes in our labor and related benefits costs include:</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savings from our August 2014 reorganization, which favorably affected both periods presented;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incentive compensation costs in 2015 as compared to both 2014 and 2013;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Merit increases in both 2015 and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Changes in our other expenses are a result of higher litigation settlement costs in 2014 and our continued focus on controlling costs.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Depreciation and amortization includes (i) depreciation of property and equipment, including assets recorded for capital leases, on a straight-line basis from three to 40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 150% declining balance approach or a straight-line basis over the definitive terms of the related agreements, which are generally from two to 15 years depending on the type of asset.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expenses for the years ended December 31 (dollars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Period-to-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6"/>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13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1,245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1,292</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80" w:type="dxa"/>
            <w:vAlign w:val="bottom"/>
            <w:vMerge w:val="restart"/>
          </w:tcPr>
          <w:p>
            <w:pPr>
              <w:jc w:val="right"/>
              <w:ind w:right="57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decrease in depreciation of tangible property and equipment during 2015 is primarily due to the December 2014 sale of our Wheelabrator business as discussed further in Note 19 to the Consolidated Financial Statements. The increase in amortization of landfill airspace during 2015 is primarily due to increased volumes, a portion of which relates to the acquisition of Deffenbaugh. This increase was partially offset by favorable adjustments resulting from changes in landfill estimates. The decrease in depreciation and amortization expense during 2014 is primarily attributable to favorable adjustments resulting from changes in landfill estimates and fixed asset depreciation that was suspended when our Wheelabrator business was classified as held-for-sale in the third quarter of 2014 and subsequently sold in December 2014.</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During the year ended December 31, 2015, we recognized $15 million of pre-tax restructuring charges, of which $10 million was related to employee severance and benefit costs, including costs associated with the loss of a municipal contract in our Eastern Canada Area and our acquisition of Deffenbaugh. The remaining charges were primarily related to operating lease obligations for property that will no longer be utilized.</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 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w:t>
      </w:r>
    </w:p>
    <w:p>
      <w:pPr>
        <w:spacing w:after="0" w:line="1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and RCI and our prior restructurings. The remaining charges were primarily related to operating lease obligations for property that will no longer be utilized.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Impairments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During the year ended December 31, 2014, we recognized $10 million of goodwill impairment charges associated with our recycling operations. 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Assumptions — Asset Impairments </w:t>
      </w:r>
      <w:r>
        <w:rPr>
          <w:rFonts w:ascii="Arial" w:cs="Arial" w:eastAsia="Arial" w:hAnsi="Arial"/>
          <w:sz w:val="17"/>
          <w:szCs w:val="17"/>
          <w:color w:val="auto"/>
        </w:rPr>
        <w:t>and Note 3 to the Consolidated Financial Statements for additional information related to these impairment charges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accounting policy and analysis involved in identifying and calculating impairments.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(Other than Goodwill) and Unusual Items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summarizes the major components of “(Income) expense from divestitures, asset impairments (other than goodwill) and unusual items” for the year ended December 31 for the respective periods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$(515)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Asset impairments (other than goodwill)</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80" w:type="dxa"/>
            <w:vAlign w:val="bottom"/>
            <w:vMerge w:val="restart"/>
          </w:tcPr>
          <w:p>
            <w:pPr>
              <w:jc w:val="right"/>
              <w:ind w:right="1930"/>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During the year ended December 31, 2015, we recognized net charges of $82 million, primarily related to $66 million of charges to impair certain of our oil and gas producing properties, as a result of the continued decline in oil and gas prices. We wrote down the carrying value of these properties to their estimated fair value using an income approach. At December 31, 2015, our remaining book value in these investments was $30 million. We also recognized $18 million of charges to write down or divest of certain assets in our recycling operations and a $5 million impairment of a landfill in our Western Canada Area due to revised post-closure cost estimates. Partially offsetting these charges was $7 million in net gains from divestitures, including a $6 million gain on the sale of an oil and gas producing property in the second quarter of 2015.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2014, we recognized net gains of $170 million, primarily related to the following:</w:t>
      </w:r>
    </w:p>
    <w:p>
      <w:pPr>
        <w:spacing w:after="0" w:line="131" w:lineRule="exact"/>
        <w:rPr>
          <w:sz w:val="20"/>
          <w:szCs w:val="20"/>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recognized net gains of $515 million, primarily as a result of a $519 million gain on the sale of our Wheelabrator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an $18 million gain on the sale of certain landfill and collection operations in our Eastern Canada Area. Partially offsetting these gains was a $25 million loss on the divestiture of our Puerto Rico operations. Refer to Note 19 to the Consolidated Financial Statements for additional information related to our divestitures.</w:t>
      </w:r>
    </w:p>
    <w:p>
      <w:pPr>
        <w:spacing w:after="0" w:line="92" w:lineRule="exact"/>
        <w:rPr>
          <w:rFonts w:ascii="Arial" w:cs="Arial" w:eastAsia="Arial" w:hAnsi="Arial"/>
          <w:sz w:val="18"/>
          <w:szCs w:val="18"/>
          <w:color w:val="auto"/>
        </w:rPr>
      </w:pPr>
    </w:p>
    <w:p>
      <w:pPr>
        <w:jc w:val="both"/>
        <w:ind w:left="900" w:right="2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Oil and gas properties impairments </w:t>
      </w:r>
      <w:r>
        <w:rPr>
          <w:rFonts w:ascii="Arial" w:cs="Arial" w:eastAsia="Arial" w:hAnsi="Arial"/>
          <w:sz w:val="18"/>
          <w:szCs w:val="18"/>
          <w:color w:val="auto"/>
        </w:rPr>
        <w:t>— We recognized $272 million of charges to impair certain of our oil and gas producing properties,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pronounced decrease in oil and gas prices in the fourth quarter of 2014. We wrote down the carrying value of these properties to their estimated fair value using an income approach.</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We recognized additional impairment charges of $73 million to write down assets in our waste diversion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recycling and medical waste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2013, we recognized net charges of $464 million, primarily related to the following:</w:t>
      </w:r>
    </w:p>
    <w:p>
      <w:pPr>
        <w:spacing w:after="0" w:line="131" w:lineRule="exact"/>
        <w:rPr>
          <w:sz w:val="20"/>
          <w:szCs w:val="20"/>
          <w:color w:val="auto"/>
        </w:rPr>
      </w:pPr>
    </w:p>
    <w:p>
      <w:pPr>
        <w:ind w:left="90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Landfill impairments </w:t>
      </w:r>
      <w:r>
        <w:rPr>
          <w:rFonts w:ascii="Arial" w:cs="Arial" w:eastAsia="Arial" w:hAnsi="Arial"/>
          <w:sz w:val="16"/>
          <w:szCs w:val="16"/>
          <w:color w:val="auto"/>
        </w:rPr>
        <w:t>— We recognized $262 million of charges to impair certain of our landfills, primarily as a result of our consideration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71"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Waste-to-energy impairments </w:t>
      </w:r>
      <w:r>
        <w:rPr>
          <w:rFonts w:ascii="Arial" w:cs="Arial" w:eastAsia="Arial" w:hAnsi="Arial"/>
          <w:sz w:val="18"/>
          <w:szCs w:val="18"/>
          <w:color w:val="auto"/>
        </w:rPr>
        <w:t>— We recognized $144 million of impairment charges relating to three waste-to-energy facilities,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The remainder of our 2013 charges were attributable to (i) $31 million of charges to impair various recycling assets;</w:t>
      </w:r>
    </w:p>
    <w:p>
      <w:pPr>
        <w:spacing w:after="0" w:line="34" w:lineRule="exact"/>
        <w:rPr>
          <w:rFonts w:ascii="Arial" w:cs="Arial" w:eastAsia="Arial" w:hAnsi="Arial"/>
          <w:sz w:val="17"/>
          <w:szCs w:val="17"/>
          <w:color w:val="auto"/>
        </w:rPr>
      </w:pPr>
    </w:p>
    <w:p>
      <w:pPr>
        <w:ind w:left="900" w:right="40"/>
        <w:spacing w:after="0" w:line="261" w:lineRule="auto"/>
        <w:rPr>
          <w:rFonts w:ascii="Arial" w:cs="Arial" w:eastAsia="Arial" w:hAnsi="Arial"/>
          <w:sz w:val="17"/>
          <w:szCs w:val="17"/>
          <w:color w:val="auto"/>
        </w:rPr>
      </w:pPr>
      <w:r>
        <w:rPr>
          <w:rFonts w:ascii="Arial" w:cs="Arial" w:eastAsia="Arial" w:hAnsi="Arial"/>
          <w:sz w:val="18"/>
          <w:szCs w:val="18"/>
          <w:color w:val="auto"/>
        </w:rPr>
        <w:t>(ii) $20 million of charges to write down assets related to a majority-owned waste diversion technology company and (iii) a $15 million charge to write down the carrying value of an oil and gas property to its estimated fair value.</w:t>
      </w:r>
    </w:p>
    <w:p>
      <w:pPr>
        <w:spacing w:after="0" w:line="89" w:lineRule="exact"/>
        <w:rPr>
          <w:rFonts w:ascii="Arial" w:cs="Arial" w:eastAsia="Arial" w:hAnsi="Arial"/>
          <w:sz w:val="17"/>
          <w:szCs w:val="17"/>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Partially offsetting these charges were $8 million of net gains on divestitures.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920" w:firstLine="456"/>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Critical Accounting Estimates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Assumptions — Asset Impairments </w:t>
      </w:r>
      <w:r>
        <w:rPr>
          <w:rFonts w:ascii="Arial" w:cs="Arial" w:eastAsia="Arial" w:hAnsi="Arial"/>
          <w:sz w:val="18"/>
          <w:szCs w:val="18"/>
          <w:color w:val="auto"/>
        </w:rPr>
        <w:t>for additional information related to the accounting policy and analysis involved in identifying and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to the impairments discussed above, we are continuing to evaluate opportunities associated with the sale or discontinued use of assets that may no longer meet our strategic objectives or are underperforming. Accordingly, it is possible that additional charges may be recorded as assets are sold or become held-for-sale.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years ended December 31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Period-to-</w:t>
            </w: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Period-to-</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1"/>
              </w:rPr>
              <w:t>Period Change</w:t>
            </w: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Period 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Tier 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$ 1,290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$ 1,301</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1,246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Tier 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Solid Waste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Wheelabrator</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(669)</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1,186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Corporate and other</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$ 2,045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(254)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$ 2,299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1,220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Percentage change does not provide a meaningful comparison.</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21 to the Consolidated Financial Statements.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are summarized below:</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 and the impact of lower fuel prices.</w:t>
      </w:r>
    </w:p>
    <w:p>
      <w:pPr>
        <w:spacing w:after="0" w:line="130" w:lineRule="exact"/>
        <w:rPr>
          <w:rFonts w:ascii="Arial" w:cs="Arial" w:eastAsia="Arial" w:hAnsi="Arial"/>
          <w:sz w:val="18"/>
          <w:szCs w:val="18"/>
          <w:color w:val="auto"/>
        </w:rPr>
      </w:pPr>
    </w:p>
    <w:p>
      <w:pPr>
        <w:ind w:left="900" w:right="120" w:hanging="325"/>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recycling business has been negatively affected by lower market prices for recycling commodities and lower volumes. In 2014, these unfavorable drivers were offset by (i) increased efforts to reduce controllable recycling rebates paid to customers; (ii) better alignment of rebate structures to commodity prices for new recycling contracts and (iii) ongoing business improvement efforts around inbound quality control. In 2015, these benefits offset, in part, the impact of lower market prices, lower volumes, and impairment charges related to various recycling assets due to continued declines in commodity prices.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affected comparability of 2015 to 2014 within specific segments:</w:t>
      </w:r>
    </w:p>
    <w:p>
      <w:pPr>
        <w:spacing w:after="0" w:line="131" w:lineRule="exact"/>
        <w:rPr>
          <w:sz w:val="20"/>
          <w:szCs w:val="20"/>
          <w:color w:val="auto"/>
        </w:rPr>
      </w:pPr>
    </w:p>
    <w:p>
      <w:pPr>
        <w:ind w:left="900" w:right="6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recognized $51 million of net charges associated with the withdrawal from certain underfunded multiemployer pension plans in 2015 impacting all three tiers;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unfavorable impact of foreign currency translation on the results of our Canadian operations in Tiers 1 and 2;</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unfavorable impact on our oilfield services business, primarily in Tier 2, of reduced drilling and auxiliary activities as a result of declining oil and gas prices;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transfer of certain sales employees from our Corporate and Other segment in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affected comparability of 2014 to 2013 within specific segments:</w:t>
      </w:r>
    </w:p>
    <w:p>
      <w:pPr>
        <w:spacing w:after="0" w:line="131" w:lineRule="exact"/>
        <w:rPr>
          <w:sz w:val="20"/>
          <w:szCs w:val="20"/>
          <w:color w:val="auto"/>
        </w:rPr>
      </w:pPr>
    </w:p>
    <w:p>
      <w:pPr>
        <w:ind w:left="900" w:right="14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Net charges of $279 million, primarily related to impairments recognized in 2013. The most significant impairment charges were in our Eastern Canada Area, which is included in Tier 2, and were associated with the impairment of certain landfills as discussed above in </w:t>
      </w:r>
      <w:r>
        <w:rPr>
          <w:rFonts w:ascii="Arial" w:cs="Arial" w:eastAsia="Arial" w:hAnsi="Arial"/>
          <w:sz w:val="18"/>
          <w:szCs w:val="18"/>
          <w:i w:val="1"/>
          <w:iCs w:val="1"/>
          <w:color w:val="auto"/>
        </w:rPr>
        <w:t>(Income)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from Divestitures, Asset Impairments (Other than Goodwill) and Unusual Items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on the sale of our Puerto Rico operations and certain other collection and landfill assets in 2014, which were included in Tier 3 and Tier 1,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weather in the first quarter of 2014 unfavorably affected income from operations, which impacted all three tiers;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gain on the sale of certain landfill and collection operations in our Eastern Canada Area in 2014, which were included in Tier 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accretive benefits of the RCI operations acquired in July 2013, which are included in Tier 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gain on the sale of a vacant facility in 2014, which was included in Tier 3;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reversal of a reserve in 2014 due to a favorable litigation resolution, which was included in Tier 1.</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Wheelabrator — </w:t>
      </w:r>
      <w:r>
        <w:rPr>
          <w:rFonts w:ascii="Arial" w:cs="Arial" w:eastAsia="Arial" w:hAnsi="Arial"/>
          <w:sz w:val="16"/>
          <w:szCs w:val="16"/>
          <w:color w:val="auto"/>
        </w:rPr>
        <w:t>The most significant items affecting the results of operations of our Wheelabrator business in 2014 and 2013 were (i) a $519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gain on sale of our Wheelabrator business in December 2014 and (ii) $627 million of pre-tax charges to impair goodwill and certain waste-to-energy facilities in 2013 as discussed above in </w:t>
      </w:r>
      <w:r>
        <w:rPr>
          <w:rFonts w:ascii="Arial" w:cs="Arial" w:eastAsia="Arial" w:hAnsi="Arial"/>
          <w:sz w:val="16"/>
          <w:szCs w:val="16"/>
          <w:i w:val="1"/>
          <w:iCs w:val="1"/>
          <w:color w:val="auto"/>
        </w:rPr>
        <w:t>Goodwill Impairments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(Income) Expense from Divestitures, Asset Impairments (Other than Goodwill) and Unusual Items.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Our “Other” income from operations includes (i) those elements of our landfill gas-to-energy operations and third-party subcontract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revenues managed by our Energy and Environmental Services and Renewable Energy organizations, that are not included with the operations of our reportable segments; (ii) our recycling brokerage services and (iii) the results of investments that we are making in expanded service offerings, such as portable self-storage, long distance moving services, and fluorescent lamp recycling, and in oil and gas producing properties. In addition, our “Other” income from operations reflects the results of non-operating entities that provide financial assurance and self-insurance support for our Solid Waste.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items affecting the comparability for the periods presented include:</w:t>
      </w:r>
    </w:p>
    <w:p>
      <w:pPr>
        <w:spacing w:after="0" w:line="131" w:lineRule="exact"/>
        <w:rPr>
          <w:sz w:val="20"/>
          <w:szCs w:val="20"/>
          <w:color w:val="auto"/>
        </w:rPr>
      </w:pPr>
    </w:p>
    <w:p>
      <w:pPr>
        <w:ind w:left="900" w:right="3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charges of $66 million, $339 million, and $59 million primarily related to impairments of oil and gas producing properties recognized in 2015, 2014 and 2013,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costs related to remediation services in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transfer of certain sales employees from our Corporate and Other segment in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Improved results in our Strategic Business Solutions in 2014 and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Significant items affecting the comparability for the periods presented include:</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Restructuring costs related to our August 2014 reorganization and subsequent benefits resulting from our restructuring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medical costs in 2015 driven by lower claims and reduced headcount and higher year-over-year costs in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transfer of certain sales employees to our Solid Waste and Other segments that were included in this segment in 2014 as described above;</w:t>
      </w:r>
    </w:p>
    <w:p>
      <w:pPr>
        <w:spacing w:after="0" w:line="153" w:lineRule="exact"/>
        <w:rPr>
          <w:rFonts w:ascii="Arial" w:cs="Arial" w:eastAsia="Arial" w:hAnsi="Arial"/>
          <w:sz w:val="16"/>
          <w:szCs w:val="16"/>
          <w:color w:val="auto"/>
        </w:rPr>
      </w:pPr>
    </w:p>
    <w:p>
      <w:pPr>
        <w:ind w:left="900" w:right="3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focus on controlling costs resulting in lower professional fees, telecommunications, contract labor, and travel and entertainment in 2015;</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Charges for the settlement of a legal dispute and related fees in 2014;</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Unfavorable adjustments in 2014 as well as favorable adjustments in 2013 related to changes in U.S. Treasury rates used to discount the present value of our environmental remediation obligations and recovery assets; and</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risk management costs in 2015 primarily related to certain higher than anticipated auto and general liability claim settlements and favorable risk management allocation in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Our interest expense, net was $385 million in 2015, $466 million in 2014 and $477 million in 2013. During 2015, the decrease in interest expense was primarily attributable to the refinancing of a significant portion of our high-coupon senior notes. As a result of the combination of a make-whole redemption of certain senior notes, cash tender offers to purchase certain senior notes and the issuance of $1.8 billion of new senior notes, we reduced the weighted average interest rate of our senior note portfolio by 1%. During 2014, the decrease in interest expense was primarily attributable to (i) the impacts that lower market interest rates had on certain of our tax-exempt debt; (ii) issuing new debt at lower fixed interest rates than debt repaid upon scheduled maturities and</w:t>
      </w:r>
    </w:p>
    <w:p>
      <w:pPr>
        <w:spacing w:after="0" w:line="2" w:lineRule="exact"/>
        <w:rPr>
          <w:sz w:val="20"/>
          <w:szCs w:val="20"/>
          <w:color w:val="auto"/>
        </w:rPr>
      </w:pPr>
    </w:p>
    <w:p>
      <w:pPr>
        <w:ind w:right="320" w:firstLine="8"/>
        <w:spacing w:after="0" w:line="290" w:lineRule="auto"/>
        <w:tabs>
          <w:tab w:leader="none" w:pos="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reduced costs associated with our letter of credit facilities due to improvements in the Company’s overall credit rating. These decreases were partially offset by increases in expense associated with our terminated interest rate swaps due to the maturity of the underlying senior notes.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2015, we refinanced a significant portion of our high-coupon senior notes. As a result of the combination of a make-whole redemption of certain senior notes, cash tender offers to purchase certain senior notes and the issuance of $1.8 billion of new senior notes, we reduced the weighted average interest rate of our senior note portfolio by 1% and extended the weighted average duration of these debt obligations by three years. Additional details related to each component of the refinancing follow:</w:t>
      </w:r>
    </w:p>
    <w:p>
      <w:pPr>
        <w:spacing w:after="0" w:line="79" w:lineRule="exact"/>
        <w:rPr>
          <w:sz w:val="20"/>
          <w:szCs w:val="20"/>
          <w:color w:val="auto"/>
        </w:rPr>
      </w:pPr>
    </w:p>
    <w:p>
      <w:pPr>
        <w:ind w:left="460" w:right="240"/>
        <w:spacing w:after="0" w:line="302" w:lineRule="auto"/>
        <w:rPr>
          <w:sz w:val="20"/>
          <w:szCs w:val="20"/>
          <w:color w:val="auto"/>
        </w:rPr>
      </w:pPr>
      <w:r>
        <w:rPr>
          <w:rFonts w:ascii="Arial" w:cs="Arial" w:eastAsia="Arial" w:hAnsi="Arial"/>
          <w:sz w:val="16"/>
          <w:szCs w:val="16"/>
          <w:i w:val="1"/>
          <w:iCs w:val="1"/>
          <w:color w:val="auto"/>
        </w:rPr>
        <w:t xml:space="preserve">Make-Whole Redemption </w:t>
      </w:r>
      <w:r>
        <w:rPr>
          <w:rFonts w:ascii="Arial" w:cs="Arial" w:eastAsia="Arial" w:hAnsi="Arial"/>
          <w:sz w:val="16"/>
          <w:szCs w:val="16"/>
          <w:color w:val="auto"/>
        </w:rPr>
        <w:t>— In January 2015, we repaid $947 million of WM senior notes, which comprised all of the outstanding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maturing in 2015, 2017 and 2019. The repayment of these debt balances was achieved by exercising the optional redemption provisions of the notes, which required that we pay the outstanding principal plus a make-whole premium. The “Loss on early extinguishment of debt” reflected in our Consolidated Statement of Operations for the year ended December 31, 2015 includes the $122 million of charges related to these redemptions.</w:t>
      </w:r>
    </w:p>
    <w:p>
      <w:pPr>
        <w:spacing w:after="0" w:line="46"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i w:val="1"/>
          <w:iCs w:val="1"/>
          <w:color w:val="auto"/>
        </w:rPr>
        <w:t xml:space="preserve">Tender Offers </w:t>
      </w:r>
      <w:r>
        <w:rPr>
          <w:rFonts w:ascii="Arial" w:cs="Arial" w:eastAsia="Arial" w:hAnsi="Arial"/>
          <w:sz w:val="18"/>
          <w:szCs w:val="18"/>
          <w:color w:val="auto"/>
        </w:rPr>
        <w:t>— During 2015, WM and WM Holdings made cash tender offers to purchase any and all of certain outstanding senior notes. The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notes targeted in the tenders and the amounts tendered of each series are summarized below:</w:t>
      </w:r>
    </w:p>
    <w:p>
      <w:pPr>
        <w:spacing w:after="0" w:line="7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“Loss on early extinguishment of debt” reflected in our Consolidated Statement of Operations for the year ended December 31, 2015 includes $430 million of charges related to these tender offers.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We recognized “Equity in net losses of unconsolidated entities” of $38 million, $53 million and $34 million in 2015, 2014 and 2013,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9 and 20 to the Consolidated Financial Statements for more information related to these investments. In 2014, we recognized an additional $11 million to write down equity method investments in waste diversion technology companies to their fair value.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recognized other, net expense of $7 million, $29 million and $74 million in 2015, 2014 and 2013, respectively. The expenses for 2015, 2014 and 2013 were impacted by impairment charges of $5 million, $22 million and $71 million, respectively, related to other-than-temporary declines in the value of investments in waste diversion technology companies accounted for under the cost method. We wrote down our investments to their fair value which was primarily determined using an income approach based on estimated future cash flow projections and, to a lesser extent, third-party investors’ recent transactions in these securities. Partially offsetting the 2013 charges was a $4 million gain on the sale of a similar investment. The remaining expenses recognized during the reported periods are primarily related to the impact of foreign currency translation.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recorded provisions for income taxes of $308 million in 2015, $413 million in 2014 and $364 million in 2013. These tax provisions resulted in an effective income tax rate of approximately 29.1%, 23.6% and 73.8% for the years ended 2015, 2014 and 2013, respectively. The comparability of our reported income taxes for the years ended December 31, 2015, 2014 and 2013 is primarily affected by (i) variations in our income before income taxes; (ii) federal tax credits; (iii) adjustments to our accruals and related deferred taxes; (iv) the realization of state net operating losses and credits; (v) tax audit settlements and</w:t>
      </w:r>
    </w:p>
    <w:p>
      <w:pPr>
        <w:spacing w:after="0" w:line="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tax implications of divestitures and impairments. The impacts of these items are summarized below:</w:t>
      </w:r>
    </w:p>
    <w:p>
      <w:pPr>
        <w:spacing w:after="0" w:line="116" w:lineRule="exact"/>
        <w:rPr>
          <w:rFonts w:ascii="Arial" w:cs="Arial" w:eastAsia="Arial" w:hAnsi="Arial"/>
          <w:sz w:val="18"/>
          <w:szCs w:val="18"/>
          <w:color w:val="auto"/>
        </w:rPr>
      </w:pPr>
    </w:p>
    <w:p>
      <w:pPr>
        <w:ind w:left="900" w:right="80" w:hanging="325"/>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Our refined coal facility investment and the resulting federal tax credits reduced our provision for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by $23 million, $21 million and $20 million for the years ended December 31, 2015, 2014 and 2013, respectively. Refer to Note 9 to the Consolidated Financial Statements for more information related to our refined coal facility investment.</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Investment in Low-Income Housing Properties </w:t>
      </w:r>
      <w:r>
        <w:rPr>
          <w:rFonts w:ascii="Arial" w:cs="Arial" w:eastAsia="Arial" w:hAnsi="Arial"/>
          <w:sz w:val="16"/>
          <w:szCs w:val="16"/>
          <w:color w:val="auto"/>
        </w:rPr>
        <w:t>— Our low-income housing properties investment and the resulting federal tax credits reduced our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income taxes by $34 million, $37 million and $38 million for the years ended December 31, 2015, 2014 and 2013, respectively. Refer to Note 9 to the Consolidated Financial Statements for more information related to our low-income housing properties investment.</w:t>
      </w:r>
    </w:p>
    <w:p>
      <w:pPr>
        <w:spacing w:after="0" w:line="52" w:lineRule="exact"/>
        <w:rPr>
          <w:rFonts w:ascii="Arial" w:cs="Arial" w:eastAsia="Arial" w:hAnsi="Arial"/>
          <w:sz w:val="16"/>
          <w:szCs w:val="16"/>
          <w:color w:val="auto"/>
        </w:rPr>
      </w:pPr>
    </w:p>
    <w:p>
      <w:pPr>
        <w:jc w:val="both"/>
        <w:ind w:left="900" w:right="460" w:hanging="325"/>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Other Federal Tax Credits </w:t>
      </w:r>
      <w:r>
        <w:rPr>
          <w:rFonts w:ascii="Arial" w:cs="Arial" w:eastAsia="Arial" w:hAnsi="Arial"/>
          <w:sz w:val="18"/>
          <w:szCs w:val="18"/>
          <w:color w:val="auto"/>
        </w:rPr>
        <w:t>— During 2015, 2014 and 2013, we recognized federal tax credits in addition to the tax credits realized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refined coal facility and low-income housing properties resulting in a reduction to our provision for income taxes of $15 million, $13 million and $13 million, respectively.</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our accruals and related deferred taxes due to the filing of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changes in state law resulted in a reduction of $18 million, a reduction of $24 million and an increase of $4 million to our provision for income taxes for the years ended December 31, 2015, 2014 and 2013,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5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2015, 2014 and 2013, we recognized state net operating losses and credits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our provision for income taxes of $17 million, $16 million and $16 million, respectively.</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settlement of various tax audits resulted in reductions to our provision for income taxes of $10 million,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$11 million for the years ended December 31, 2015, 2014 and 2013, respectively.</w:t>
      </w:r>
    </w:p>
    <w:p>
      <w:pPr>
        <w:spacing w:after="0" w:line="75"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2014, the Company recorded a net gain of $515 million primarily related to the divestiture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Wheelabrator business, our Puerto Rico operations and certain landfill and collection operations in our Eastern Canada Area. Had this net gain been fully taxable, our provision for income taxes would have increased by $138 million. During 2015, the Company recorded an additional $10 million net gain primarily related to post-closing adjustments on the Wheelabrator divestiture. Had this gain been fully taxable, our provision for income taxes would have increased by $4 million. Refer to Note 19 to the Consolidated Financial Statements for more information related to divestitures.</w:t>
      </w:r>
    </w:p>
    <w:p>
      <w:pPr>
        <w:spacing w:after="0" w:line="98"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A portion of the impairment charges recognized are not deductible for tax purposes. Had the charges been</w:t>
      </w:r>
      <w:r>
        <w:rPr>
          <w:rFonts w:ascii="Arial" w:cs="Arial" w:eastAsia="Arial" w:hAnsi="Arial"/>
          <w:sz w:val="18"/>
          <w:szCs w:val="18"/>
          <w:i w:val="1"/>
          <w:iCs w:val="1"/>
          <w:color w:val="auto"/>
        </w:rPr>
        <w:t xml:space="preserve"> </w:t>
      </w:r>
      <w:r>
        <w:rPr>
          <w:rFonts w:ascii="Arial" w:cs="Arial" w:eastAsia="Arial" w:hAnsi="Arial"/>
          <w:sz w:val="18"/>
          <w:szCs w:val="18"/>
          <w:color w:val="auto"/>
        </w:rPr>
        <w:t>fully deductible, our provision for income taxes would have been reduced by $2 million, $8 million and $235 million for the years ended December 31, 2015, 2014 and 2013, respectively. See Note 13 to the Consolidated Financial Statements for more information related to asset impairments and unusual items.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expect our 2016 recurring effective tax rate will be approximately 35.0% based on projected income before income taxes, federal tax credits and other permanent items, which is similar to prior year expectations.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Protecting Americans from Tax Hikes Act of 2015 was signed into law on December 18, 2015 and included an extension for five years of the bonus depreciation allowance. As a result, 50% of qualifying capital expenditures on property placed in service before January 1, 2016 were depreciated immediately. The acceleration of deductions on 2015 qualifying capital expenditures resulting from the bonus depreciation provisions had no impact on our effective income tax rate for 2015 although it will reduce our cash taxes by approximately $65 million. This reduction will be offset by increased cash taxes in subsequent periods when the deductions related to the capital expenditures would have otherwise been taken.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Net loss attributable to noncontrolling interests was $1 million in 2015 and net income attributable to noncontrolling interests was $40 million in 2014 and $32 million in 2013. The income for 2014 and 2013 was principally related to third parties’ equity interests in two limited liability companies (“LLCs”) that owned three waste-to-energy facilities operated by our Wheelabrator business. In December 2014, we purchased the noncontrolling interests in the LLCs from the third parties in anticipation of our sale of the Wheelabrator business. The LLCs were then subsequently sold as part of the divestment of our Wheelabrator business. Refer to Notes 19 and 20 to the Consolidated Financial Statements for information related to the sale of our Wheelabrator business and the consolidation of these variable interest entities, respectively.</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income for 2013 includes a net loss of $10 million attributable to noncontrolling interest holders associated with the $20 million impairment charge related to a majority-owned waste diversion technology company discussed above in </w:t>
      </w:r>
      <w:r>
        <w:rPr>
          <w:rFonts w:ascii="Arial" w:cs="Arial" w:eastAsia="Arial" w:hAnsi="Arial"/>
          <w:sz w:val="18"/>
          <w:szCs w:val="18"/>
          <w:i w:val="1"/>
          <w:iCs w:val="1"/>
          <w:color w:val="auto"/>
        </w:rPr>
        <w:t>(Income) Expense from Divestitures, Asset Impairments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Unusual Items</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owned or operated 244 solid waste and five secure hazardous waste landfills at December 31, 2015 and 247 solid waste and five secure hazardous waste landfills at December 31, 2014. At December 31, 2015 and 2014, the expected remaining capacity, in cubic yards and tonnage of waste that can be accepted at our owned or operated landfills, is shown below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5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6"/>
              </w:rPr>
              <w:t>December 31, 2014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76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9"/>
              </w:rPr>
              <w:t>Remaining</w:t>
            </w:r>
          </w:p>
        </w:tc>
        <w:tc>
          <w:tcPr>
            <w:tcW w:w="4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Expansion</w:t>
            </w:r>
          </w:p>
        </w:tc>
        <w:tc>
          <w:tcPr>
            <w:tcW w:w="10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Remaining</w:t>
            </w:r>
          </w:p>
        </w:tc>
        <w:tc>
          <w:tcPr>
            <w:tcW w:w="4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7"/>
              </w:rPr>
              <w:t>Expansion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Permitted</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Permitted</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Capacity</w:t>
            </w:r>
          </w:p>
        </w:tc>
        <w:tc>
          <w:tcPr>
            <w:tcW w:w="4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Capacity</w:t>
            </w: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Capacity</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4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Capacity</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Capacity</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cubic yards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298</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Remaining tonnage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4,728</w:t>
            </w:r>
          </w:p>
        </w:tc>
        <w:tc>
          <w:tcPr>
            <w:tcW w:w="1540" w:type="dxa"/>
            <w:vAlign w:val="bottom"/>
            <w:gridSpan w:val="3"/>
          </w:tcPr>
          <w:p>
            <w:pPr>
              <w:ind w:left="780"/>
              <w:spacing w:after="0"/>
              <w:rPr>
                <w:sz w:val="20"/>
                <w:szCs w:val="20"/>
                <w:color w:val="auto"/>
              </w:rPr>
            </w:pPr>
            <w:r>
              <w:rPr>
                <w:rFonts w:ascii="Arial" w:cs="Arial" w:eastAsia="Arial" w:hAnsi="Arial"/>
                <w:sz w:val="18"/>
                <w:szCs w:val="18"/>
                <w:color w:val="auto"/>
              </w:rPr>
              <w:t>304</w:t>
            </w:r>
          </w:p>
        </w:tc>
        <w:tc>
          <w:tcPr>
            <w:tcW w:w="540" w:type="dxa"/>
            <w:vAlign w:val="bottom"/>
          </w:tcPr>
          <w:p>
            <w:pPr>
              <w:jc w:val="right"/>
              <w:spacing w:after="0"/>
              <w:rPr>
                <w:sz w:val="20"/>
                <w:szCs w:val="20"/>
                <w:color w:val="auto"/>
              </w:rPr>
            </w:pPr>
            <w:r>
              <w:rPr>
                <w:rFonts w:ascii="Arial" w:cs="Arial" w:eastAsia="Arial" w:hAnsi="Arial"/>
                <w:sz w:val="18"/>
                <w:szCs w:val="18"/>
                <w:color w:val="auto"/>
              </w:rPr>
              <w:t>5,032</w:t>
            </w:r>
          </w:p>
        </w:tc>
        <w:tc>
          <w:tcPr>
            <w:tcW w:w="5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4,660</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275</w:t>
            </w:r>
          </w:p>
        </w:tc>
        <w:tc>
          <w:tcPr>
            <w:tcW w:w="54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Based on remaining permitted airspace as of December 31, 2015 and projected annual disposal volumes, the weighted average remaining landfill life for all of our owned or operated landfills is approximately 46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21 of our landfills that meet the expansion criteria outlined in the </w:t>
      </w:r>
      <w:r>
        <w:rPr>
          <w:rFonts w:ascii="Arial" w:cs="Arial" w:eastAsia="Arial" w:hAnsi="Arial"/>
          <w:sz w:val="16"/>
          <w:szCs w:val="16"/>
          <w:i w:val="1"/>
          <w:iCs w:val="1"/>
          <w:color w:val="auto"/>
        </w:rPr>
        <w:t>Critical Accounting Estimates and Assumptions</w:t>
      </w:r>
      <w:r>
        <w:rPr>
          <w:rFonts w:ascii="Arial" w:cs="Arial" w:eastAsia="Arial" w:hAnsi="Arial"/>
          <w:sz w:val="16"/>
          <w:szCs w:val="16"/>
          <w:color w:val="auto"/>
        </w:rPr>
        <w:t xml:space="preserve"> section above. Although no assurances can be made that all future expansions will be permitted or permitted as designed, the weighted average remaining landfill life for all owned or operated landfills is approximately 49 years when considering remaining permitted airspace, expansion airspace and projected annual disposal volume.</w:t>
      </w:r>
    </w:p>
    <w:p>
      <w:pPr>
        <w:spacing w:after="0" w:line="16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number of landfills we own or operate as of December 31, 2015, segregated by their estimated operating lives (in years), based on remaining permitted and expansion airspace and projected annual disposal volume,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0 to 5</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6 to 10</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11 to 20</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21 to 40</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3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Owned</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Operated through lease(a)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contracts(b)</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Total landfills</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249</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48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Landfills we operate through lease agreements are similar to landfills we own because we own the landfill’s operating permit and will operate the landfill for the entire lease term, which in many cases is the life of the landfill. We are usually responsible for the final capping, closure and post-closure obligations of the landfills we lease.</w:t>
      </w:r>
    </w:p>
    <w:p>
      <w:pPr>
        <w:ind w:left="460" w:right="400" w:hanging="452"/>
        <w:spacing w:after="0" w:line="290"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operating contracts, the property owner owns the permit and we operate the landfill for a contracted term, which may be the life of the landfill. However, we are generally responsible for final capping, closure and post-closure obligations under the operating contracts.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reflects landfill capacity and airspace changes, as measured in tons of waste, for landfills owned or operated by us during the years ended December 31, 2015 and 2014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1"/>
              </w:rPr>
              <w:t>December 31, 2015</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1"/>
              </w:rPr>
              <w:t>December 31, 2014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Expansion</w:t>
            </w: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Expansion</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Permitted</w:t>
            </w: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Permitted</w:t>
            </w: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Capacity</w:t>
            </w:r>
          </w:p>
        </w:tc>
        <w:tc>
          <w:tcPr>
            <w:tcW w:w="3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Capacity</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Capacity</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Capacity</w:t>
            </w:r>
          </w:p>
        </w:tc>
        <w:tc>
          <w:tcPr>
            <w:tcW w:w="3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Capacity</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Acquisitions, divestitures, newly permitted landfills and 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Changes in expansions pursued(a)</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Expansion permits granted(b)</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(94)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Changes in engineering estimates and other(c)</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ind w:left="460" w:right="5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received expansion permits at six of our landfills during 2015 and eight of our landfills during 2014, demonstrating our continued success in working with municipalities and regulatory agencies to expand the disposal capacity of our existing landfills.</w:t>
      </w:r>
    </w:p>
    <w:p>
      <w:pPr>
        <w:ind w:left="460" w:right="40" w:hanging="452"/>
        <w:spacing w:after="0" w:line="26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18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The tons received at our landfills in 2015 and 2014 are shown below (tons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8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Total</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0"/>
              </w:rPr>
              <w:t>Tons per</w:t>
            </w:r>
          </w:p>
        </w:tc>
        <w:tc>
          <w:tcPr>
            <w:tcW w:w="400" w:type="dxa"/>
            <w:vAlign w:val="bottom"/>
          </w:tcPr>
          <w:p>
            <w:pPr>
              <w:spacing w:after="0"/>
              <w:rPr>
                <w:sz w:val="10"/>
                <w:szCs w:val="10"/>
                <w:color w:val="auto"/>
              </w:rPr>
            </w:pPr>
          </w:p>
        </w:tc>
        <w:tc>
          <w:tcPr>
            <w:tcW w:w="5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Total</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Sites</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Tons</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Day</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Tons</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Day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244(a)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96,777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92,847</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567</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505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97,344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252</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93,352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Solid waste landfills closed, divested or contract expired during related year</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960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3,768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98,304(b)</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97,120(b)</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2015, we acquired two landfills, our contract expired at two landfills and we closed three landfills.</w:t>
      </w:r>
    </w:p>
    <w:p>
      <w:pPr>
        <w:spacing w:after="0" w:line="23"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amounts include 1.2 million tons at both December 31, 2015 and December 31, 2014,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2015, our closed sites management group managed 210 closed landfills.</w:t>
      </w:r>
    </w:p>
    <w:p>
      <w:pPr>
        <w:spacing w:after="0" w:line="18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i w:val="1"/>
          <w:iCs w:val="1"/>
          <w:color w:val="auto"/>
        </w:rPr>
        <w:t xml:space="preserve">Landfill Assets </w:t>
      </w:r>
      <w:r>
        <w:rPr>
          <w:rFonts w:ascii="Arial" w:cs="Arial" w:eastAsia="Arial" w:hAnsi="Arial"/>
          <w:sz w:val="17"/>
          <w:szCs w:val="17"/>
          <w:color w:val="auto"/>
        </w:rPr>
        <w:t>— We capitalize various costs that we incur to prepare a landfill to accept waste. These costs generally include expenditures for land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reflects the total cost basis of our landfill assets and accumulated landfill airspace amortization as of December 31, 2015 and 2014, and summarizes significant changes in these amounts during 2015 (in millions):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Cost Basis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Landfill Airspace</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 Assets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Landfill Assets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5"/>
              </w:rPr>
              <w:t>Amortization</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Capital additions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Asset retirement obligations incurred and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capitalized</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landfill airspace</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retirements and other adjustments</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December 31, 2015</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9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December 31, 2015, we estimate that we will spend approximately $400 million in 2016, and approximately $900 million in 2017 and 2018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Landfill and Environmental Remediation Liabilities </w:t>
      </w:r>
      <w:r>
        <w:rPr>
          <w:rFonts w:ascii="Arial" w:cs="Arial" w:eastAsia="Arial" w:hAnsi="Arial"/>
          <w:sz w:val="17"/>
          <w:szCs w:val="17"/>
          <w:color w:val="auto"/>
        </w:rPr>
        <w:t>— As we accept waste at our landfills, we incur significant asset retirement obligations,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liabilities associated with 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reflects our landfill liabilities and our environmental remediation liabilities as of December 31, 2015 and 2014, and summarizes significant changes in these amounts during 2015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Landfill</w:t>
            </w: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Landfill Costs and Expenses </w:t>
      </w:r>
      <w:r>
        <w:rPr>
          <w:rFonts w:ascii="Arial" w:cs="Arial" w:eastAsia="Arial" w:hAnsi="Arial"/>
          <w:sz w:val="18"/>
          <w:szCs w:val="18"/>
          <w:color w:val="auto"/>
        </w:rPr>
        <w:t>— As disclosed in the</w:t>
      </w:r>
      <w:r>
        <w:rPr>
          <w:rFonts w:ascii="Arial" w:cs="Arial" w:eastAsia="Arial" w:hAnsi="Arial"/>
          <w:sz w:val="18"/>
          <w:szCs w:val="18"/>
          <w:i w:val="1"/>
          <w:iCs w:val="1"/>
          <w:color w:val="auto"/>
        </w:rPr>
        <w:t xml:space="preserve"> Operating Expenses </w:t>
      </w:r>
      <w:r>
        <w:rPr>
          <w:rFonts w:ascii="Arial" w:cs="Arial" w:eastAsia="Arial" w:hAnsi="Arial"/>
          <w:sz w:val="18"/>
          <w:szCs w:val="18"/>
          <w:color w:val="auto"/>
        </w:rPr>
        <w:t>section above, our landfill operating costs include interest accretion on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obligations, interest 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Interest accretion on and discount rate adjustments to environmental remediation</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liabilities and recovery assets</w:t>
            </w:r>
          </w:p>
        </w:tc>
        <w:tc>
          <w:tcPr>
            <w:tcW w:w="1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 landfill operating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266</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 U.S. Treasury bonds with a term approximating the weighted average period until settlement of the underlying obligations.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landfill airspace, which is included as a component of “Depreciation and amortization” expense, includes the following:</w:t>
      </w:r>
    </w:p>
    <w:p>
      <w:pPr>
        <w:spacing w:after="0" w:line="131" w:lineRule="exact"/>
        <w:rPr>
          <w:sz w:val="20"/>
          <w:szCs w:val="20"/>
          <w:color w:val="auto"/>
        </w:rPr>
      </w:pPr>
    </w:p>
    <w:p>
      <w:pPr>
        <w:ind w:left="900" w:right="380" w:hanging="325"/>
        <w:spacing w:after="0" w:line="308"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51" w:lineRule="exact"/>
        <w:rPr>
          <w:rFonts w:ascii="Arial" w:cs="Arial" w:eastAsia="Arial" w:hAnsi="Arial"/>
          <w:sz w:val="17"/>
          <w:szCs w:val="17"/>
          <w:color w:val="auto"/>
        </w:rPr>
      </w:pPr>
    </w:p>
    <w:p>
      <w:pPr>
        <w:ind w:left="900" w:right="2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amortization of asset retirement costs arising from landfill final capping, closure and post-closure obligations, including (i) costs that have been incurred and capitalized and (ii) projected asset retirement costs.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landfill airspace amortization expense on a per-ton basis: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gridSpan w:val="8"/>
          </w:tcPr>
          <w:p>
            <w:pPr>
              <w:ind w:left="3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19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2300" w:type="dxa"/>
            <w:vAlign w:val="bottom"/>
            <w:gridSpan w:val="3"/>
          </w:tcPr>
          <w:p>
            <w:pPr>
              <w:jc w:val="right"/>
              <w:ind w:right="280"/>
              <w:spacing w:after="0"/>
              <w:rPr>
                <w:sz w:val="20"/>
                <w:szCs w:val="20"/>
                <w:color w:val="auto"/>
              </w:rPr>
            </w:pPr>
            <w:r>
              <w:rPr>
                <w:rFonts w:ascii="Arial" w:cs="Arial" w:eastAsia="Arial" w:hAnsi="Arial"/>
                <w:sz w:val="18"/>
                <w:szCs w:val="18"/>
                <w:color w:val="auto"/>
              </w:rPr>
              <w:t>97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2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78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3"/>
              </w:rPr>
              <w:t>$4.29</w:t>
            </w: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Different per-ton amortization rates are applied at each of our 249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 (iii) construction, refurbishments and improvements at materials recovery facilities; (iv) the container and equipment needs of our operations; (v) final capping, closure and post-closure activities at our landfills; (vi) the repayment of debt and discharging of other obligations and (vii) capital expenditures, acquisitions and investments in support of our strategic growth plans. We also are committed to providing our shareholders with a return on their investment through dividend payments, and we have also returned value to our shareholders through share repurchases.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2015 and 2014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restricted trust and escrow accounts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Long-term portion</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8,728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w w:val="98"/>
              </w:rPr>
              <w:t>Increase in carrying value of debt due to hedge accounting for interest rate swaps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24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December 31, 2014, included a portion of the $1.95 billion of proceeds from the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Wheelabrator business in December 2014. In 2015, we have primarily allocated available cash to the acquisition of Deffenbaugh, repurchasing shares and paying premiums on the early extinguishment of debt. Discussion of these activities is included in Notes 19, 15 and 7, respectively, to the Consolidated Financial Statements.</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Restricted trust and escrow accounts </w:t>
      </w:r>
      <w:r>
        <w:rPr>
          <w:rFonts w:ascii="Arial" w:cs="Arial" w:eastAsia="Arial" w:hAnsi="Arial"/>
          <w:sz w:val="18"/>
          <w:szCs w:val="18"/>
          <w:color w:val="auto"/>
        </w:rPr>
        <w:t>— The decrease in final capping, closure, post-closure and environmental remediation funds from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to December 31, 2015 is primarily due to the closure of certain trust and escrow accounts which were converted to other forms of financial assurance. Other restricted trust and escrow accounts at December 31, 2014 included the funding of a legal settlement which was paid in full in the second quarter of 2015.</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We use long-term borrowings in addition to the cash we generate from operations as part of our overall financial strategy to support and grow</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 We primarily use senior notes and tax-exempt bonds to borrow on a long-term basis, but we also use other instruments and facilities when appropriate. The components of our long-term borrowings as of December 31, 2015 are described in Note 7 to the Consolidated Financial Statements.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outstanding debt balances from December 31, 2014 to December 31, 2015 were primarily attributable to (i) net debt repayments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$427 million and (ii) the impacts of other non-cash changes in our debt balances due to hedge accounting for interest rate swaps, foreign currency translation,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discounts.</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2015, we had $732 million of debt maturing within the next 12 months, including (i) $500 million of 2.6% senior notes that mature in September 2016; (ii) $146 million of tax-exempt bonds and (iii) $20 million of borrowings outstanding under our $2.25 billion revolving credit facility. In addition, $316 million of tax-exempt bonds have term interest rate periods subject to repricing within the next 12 months, which is prior to their scheduled maturities. We have classified the $20 million of borrowings outstanding under our $2.25 billion revolving credit facility as long-term because we intend and have the ability to refinance or maintain these borrowings on a long-term basis. Based on our intent and ability to refinance other portions of our current obligations on a long-term basis as of December 31, 2015, including through use of forecasted available capacity under our $2.25 billion revolving credit facility, we have classified an additional $775 million of debt as long-term. The remaining $253 million is classified as current obligations.</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During 2015, we refinanced a significant portion of our high-coupon senior notes in order to reduce the weighted average interest rate and extend the weighted average duration of our debt balances. We achieved this through a combination of a make-whole redemption of certain senior notes, cash tender offers to purchase certain senior notes and the issuance of $1.8 billion of new senior notes consisting of:</w:t>
      </w:r>
    </w:p>
    <w:p>
      <w:pPr>
        <w:spacing w:after="0" w:line="87"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offers discussed above and for general corporate purposes. See Note 7 to the Consolidated Financial Statements for more information related to the debt transactions.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(in millions) at December 31, categorized by type of facility:</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Letter of credit facilities(b)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1,297</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1,442</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0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July 2015, we amended and restated our revolving credit facility extending the term through July 2020. At December 31, 2015, we had $20 million of outstanding borrowings and $831 million of letters of credit issued and supported by the facility, leaving an unused and available credit capacity of $1,399 million.</w:t>
      </w:r>
    </w:p>
    <w:p>
      <w:pPr>
        <w:ind w:left="460" w:right="50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2015, we had an aggregate committed capacity of $150 million under letter of credit facilities with terms extending through December 2018. This letter of credit capacity was fully utilized as of December 31, 2015.</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letters of credit are outstanding under various arrangements that do not obligate the counterparty to provide a committed capacity.</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$ 2,498</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(1,608</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(1,900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60" w:type="dxa"/>
            <w:vAlign w:val="bottom"/>
            <w:gridSpan w:val="3"/>
            <w:shd w:val="clear" w:color="auto" w:fill="CCEEFF"/>
          </w:tcPr>
          <w:p>
            <w:pPr>
              <w:ind w:left="1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(2,072)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in 2015 to 2014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76" w:lineRule="exact"/>
        <w:rPr>
          <w:sz w:val="20"/>
          <w:szCs w:val="20"/>
          <w:color w:val="auto"/>
        </w:rPr>
      </w:pPr>
    </w:p>
    <w:p>
      <w:pPr>
        <w:jc w:val="both"/>
        <w:ind w:left="900" w:right="2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Increased earnings from our traditional Solid Waste business — </w:t>
      </w:r>
      <w:r>
        <w:rPr>
          <w:rFonts w:ascii="Arial" w:cs="Arial" w:eastAsia="Arial" w:hAnsi="Arial"/>
          <w:sz w:val="18"/>
          <w:szCs w:val="18"/>
          <w:color w:val="auto"/>
        </w:rPr>
        <w:t>In 2015, we saw an increase in cash earnings from our traditional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was enhanced by acquisitions and corporate overhead cost reductions. These cash flow improvements were slightly offset by a decrease in earnings of our recycling operations.</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Cash flow of divested businesses </w:t>
      </w:r>
      <w:r>
        <w:rPr>
          <w:rFonts w:ascii="Arial" w:cs="Arial" w:eastAsia="Arial" w:hAnsi="Arial"/>
          <w:sz w:val="18"/>
          <w:szCs w:val="18"/>
          <w:color w:val="auto"/>
        </w:rPr>
        <w:t>— The divestiture of Wheelabrator in December 2014 coupled with the sale of other Solid Waste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2014 affected the year-over-year comparison by approximately $140 million.</w:t>
      </w:r>
    </w:p>
    <w:p>
      <w:pPr>
        <w:spacing w:after="0" w:line="75" w:lineRule="exact"/>
        <w:rPr>
          <w:rFonts w:ascii="Arial" w:cs="Arial" w:eastAsia="Arial" w:hAnsi="Arial"/>
          <w:sz w:val="18"/>
          <w:szCs w:val="18"/>
          <w:color w:val="auto"/>
        </w:rPr>
      </w:pPr>
    </w:p>
    <w:p>
      <w:pPr>
        <w:jc w:val="both"/>
        <w:ind w:left="900" w:right="120" w:hanging="325"/>
        <w:spacing w:after="0" w:line="28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Decrease in tax payments </w:t>
      </w:r>
      <w:r>
        <w:rPr>
          <w:rFonts w:ascii="Arial" w:cs="Arial" w:eastAsia="Arial" w:hAnsi="Arial"/>
          <w:sz w:val="17"/>
          <w:szCs w:val="17"/>
          <w:color w:val="auto"/>
        </w:rPr>
        <w:t>— Cash paid for income taxes, net of excess tax benefits associated with equity-based transactions, was $329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lower on a year-over-year basis, largely driven by (i) lower year-over-year pre-tax earnings primarily due to the loss on early extinguishment of debt in the first quarter of 2015 and (ii) the tax implications and related impacts of divestitures and impairments.</w:t>
      </w:r>
    </w:p>
    <w:p>
      <w:pPr>
        <w:spacing w:after="0" w:line="70" w:lineRule="exact"/>
        <w:rPr>
          <w:rFonts w:ascii="Arial" w:cs="Arial" w:eastAsia="Arial" w:hAnsi="Arial"/>
          <w:sz w:val="17"/>
          <w:szCs w:val="17"/>
          <w:color w:val="auto"/>
        </w:rPr>
      </w:pPr>
    </w:p>
    <w:p>
      <w:pPr>
        <w:ind w:left="900" w:right="30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Decrease in interest payments </w:t>
      </w:r>
      <w:r>
        <w:rPr>
          <w:rFonts w:ascii="Arial" w:cs="Arial" w:eastAsia="Arial" w:hAnsi="Arial"/>
          <w:sz w:val="16"/>
          <w:szCs w:val="16"/>
          <w:color w:val="auto"/>
        </w:rPr>
        <w:t>— Cash paid for interest decreased $77 million, primarily due to the refinancing of a significant portion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high-coupon senior notes during the first quarter of 2015, which is discussed further in Note 7 to the Consolidated Financial Statements.</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Multiemployer pension plan settlements — </w:t>
      </w:r>
      <w:r>
        <w:rPr>
          <w:rFonts w:ascii="Arial" w:cs="Arial" w:eastAsia="Arial" w:hAnsi="Arial"/>
          <w:sz w:val="18"/>
          <w:szCs w:val="18"/>
          <w:color w:val="auto"/>
        </w:rPr>
        <w:t>In 2015, we paid approximately $60 million for multiemployer pension plan settlements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Central States, Southeast and Southwest Areas Pension Plan and the Teamsters Employers Local 945 Pension Fund. See Note 11 to the Consolidated Financial Statements for additional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22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Increase in bonus payments </w:t>
      </w:r>
      <w:r>
        <w:rPr>
          <w:rFonts w:ascii="Arial" w:cs="Arial" w:eastAsia="Arial" w:hAnsi="Arial"/>
          <w:sz w:val="16"/>
          <w:szCs w:val="16"/>
          <w:color w:val="auto"/>
        </w:rPr>
        <w:t>— Payments for our annual incentive plans are typically made in the first quarter of the year based on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Our cash flow from operations was unfavorably impacted by approximately $65 million on a year-over-year basis, as the annual incentive plan payments made in the first quarter of 2015 were significantly higher than payments made in the first quarter of 2014.</w:t>
      </w:r>
    </w:p>
    <w:p>
      <w:pPr>
        <w:spacing w:after="0" w:line="52"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Forward-starting swaps </w:t>
      </w:r>
      <w:r>
        <w:rPr>
          <w:rFonts w:ascii="Arial" w:cs="Arial" w:eastAsia="Arial" w:hAnsi="Arial"/>
          <w:sz w:val="18"/>
          <w:szCs w:val="18"/>
          <w:color w:val="auto"/>
        </w:rPr>
        <w:t>— During the first quarter of 2014, the forward-starting interest rate swaps associated with the anticipated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2014 matured, and we paid cash of $36 million to settle the liabilities related to the swaps, as discussed further in Note 8 to the Consolidated Financial Statements. This cash payment was classified as a change in “Accounts payable and accrued liabilities” within “Net cash provided by operating activities” in the Consolidated Statement of Cash Flows.</w:t>
      </w:r>
    </w:p>
    <w:p>
      <w:pPr>
        <w:spacing w:after="0" w:line="92" w:lineRule="exact"/>
        <w:rPr>
          <w:rFonts w:ascii="Arial" w:cs="Arial" w:eastAsia="Arial" w:hAnsi="Arial"/>
          <w:sz w:val="18"/>
          <w:szCs w:val="18"/>
          <w:color w:val="auto"/>
        </w:rPr>
      </w:pPr>
    </w:p>
    <w:p>
      <w:pPr>
        <w:ind w:left="900" w:right="20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 from operations was unfavorably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on a year-over-year basis by changes in our assets and liabilities accounts, particularly non-trade related items including payroll and incentive accruals. However, we did experience continued improvement in both trade accounts receivable and accounts payable. Although our working capital changes may vary from year-to-year, they are typically driven by changes in accounts receivable, which are affected by both revenue changes and timing of payments received, and accounts payable changes, which are affected by both cost changes and timing of payments.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affecting the comparisons of our operating cash flows in 2014 as compared to 2013 are summarized below:</w:t>
      </w:r>
    </w:p>
    <w:p>
      <w:pPr>
        <w:spacing w:after="0" w:line="131" w:lineRule="exact"/>
        <w:rPr>
          <w:sz w:val="20"/>
          <w:szCs w:val="20"/>
          <w:color w:val="auto"/>
        </w:rPr>
      </w:pPr>
    </w:p>
    <w:p>
      <w:pPr>
        <w:ind w:left="900" w:right="3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by $1.2 billion,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Certain of the more significant drivers of our earnings improvement include: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Lower non-cash impairment charges of $652 million in 2014 as compared to 2013;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net gain on the sale of our Wheelabrator business of $519 million in 2014.</w:t>
      </w:r>
    </w:p>
    <w:p>
      <w:pPr>
        <w:spacing w:after="0" w:line="117"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After considering these items, and certain other non-cash items included in our comparative results, our earnings drove an improvement in our cash flows from operating activities of approximately $100 million.</w:t>
      </w:r>
    </w:p>
    <w:p>
      <w:pPr>
        <w:spacing w:after="0" w:line="76" w:lineRule="exact"/>
        <w:rPr>
          <w:sz w:val="20"/>
          <w:szCs w:val="20"/>
          <w:color w:val="auto"/>
        </w:rPr>
      </w:pPr>
    </w:p>
    <w:p>
      <w:pPr>
        <w:ind w:left="900" w:right="4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tax payments </w:t>
      </w:r>
      <w:r>
        <w:rPr>
          <w:rFonts w:ascii="Arial" w:cs="Arial" w:eastAsia="Arial" w:hAnsi="Arial"/>
          <w:sz w:val="18"/>
          <w:szCs w:val="18"/>
          <w:color w:val="auto"/>
        </w:rPr>
        <w:t>— Cash paid for income taxes, net of excess tax benefits associated with equity-based transactions,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$242 million higher on a year-over-year basis due to (i) higher pre-tax earnings; (ii) approximately $210 million anticipated overpayment during 2014, when comparing our year-end tax provisions to payments made throughout the year and (iii) taxes associated with the divestiture of our Puerto Rico operations.</w:t>
      </w:r>
    </w:p>
    <w:p>
      <w:pPr>
        <w:spacing w:after="0" w:line="92"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Forward-starting swaps </w:t>
      </w:r>
      <w:r>
        <w:rPr>
          <w:rFonts w:ascii="Arial" w:cs="Arial" w:eastAsia="Arial" w:hAnsi="Arial"/>
          <w:sz w:val="16"/>
          <w:szCs w:val="16"/>
          <w:color w:val="auto"/>
        </w:rPr>
        <w:t>— During 2014, the forward-starting interest rate swaps associated with the anticipated issuance of senior notes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matured, and we paid cash of $36 million to settle the liabilities related to the swaps. This cash payment has been classified as a change in “Accounts payable and accrued liabilities” within “Net cash provided by operating activities” in the Consolidated Statement of Cash Flows.</w:t>
      </w:r>
    </w:p>
    <w:p>
      <w:pPr>
        <w:spacing w:after="0" w:line="52" w:lineRule="exact"/>
        <w:rPr>
          <w:rFonts w:ascii="Arial" w:cs="Arial" w:eastAsia="Arial" w:hAnsi="Arial"/>
          <w:sz w:val="16"/>
          <w:szCs w:val="16"/>
          <w:color w:val="auto"/>
        </w:rPr>
      </w:pPr>
    </w:p>
    <w:p>
      <w:pPr>
        <w:ind w:left="900" w:hanging="325"/>
        <w:spacing w:after="0" w:line="30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Changes in other operating assets and liabilities, net of effects from business acquisitions and divestitures </w:t>
      </w:r>
      <w:r>
        <w:rPr>
          <w:rFonts w:ascii="Arial" w:cs="Arial" w:eastAsia="Arial" w:hAnsi="Arial"/>
          <w:sz w:val="16"/>
          <w:szCs w:val="16"/>
          <w:color w:val="auto"/>
        </w:rPr>
        <w:t>— Our cash flow from operations was</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favorably impacted on a year-over-year basis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 The most significant items affecting the comparison of our investing cash flows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are summarized below:</w:t>
      </w:r>
    </w:p>
    <w:p>
      <w:pPr>
        <w:spacing w:after="0" w:line="76" w:lineRule="exact"/>
        <w:rPr>
          <w:sz w:val="20"/>
          <w:szCs w:val="20"/>
          <w:color w:val="auto"/>
        </w:rPr>
      </w:pPr>
    </w:p>
    <w:p>
      <w:pPr>
        <w:jc w:val="both"/>
        <w:ind w:left="900" w:right="12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$1,233 million during 2015 for capital expenditures, compared with $1,151 million in 2014 and $1,271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2013. The increase in capital expenditures in 2015 is primarily attributable to new business opportunities, growth in our existing business and the timing of replacement of aging assets.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divestitures — </w:t>
      </w:r>
      <w:r>
        <w:rPr>
          <w:rFonts w:ascii="Arial" w:cs="Arial" w:eastAsia="Arial" w:hAnsi="Arial"/>
          <w:sz w:val="16"/>
          <w:szCs w:val="16"/>
          <w:color w:val="auto"/>
        </w:rPr>
        <w:t>Proceeds from divestitures and other assets (net of cash divested) were $145 million in 2015, $2,253 million in</w:t>
      </w:r>
    </w:p>
    <w:p>
      <w:pPr>
        <w:spacing w:after="0" w:line="46" w:lineRule="exact"/>
        <w:rPr>
          <w:rFonts w:ascii="Arial" w:cs="Arial" w:eastAsia="Arial" w:hAnsi="Arial"/>
          <w:sz w:val="16"/>
          <w:szCs w:val="16"/>
          <w:color w:val="auto"/>
        </w:rPr>
      </w:pPr>
    </w:p>
    <w:p>
      <w:pPr>
        <w:ind w:left="900" w:right="100"/>
        <w:spacing w:after="0" w:line="252" w:lineRule="auto"/>
        <w:rPr>
          <w:rFonts w:ascii="Arial" w:cs="Arial" w:eastAsia="Arial" w:hAnsi="Arial"/>
          <w:sz w:val="16"/>
          <w:szCs w:val="16"/>
          <w:color w:val="auto"/>
        </w:rPr>
      </w:pPr>
      <w:r>
        <w:rPr>
          <w:rFonts w:ascii="Arial" w:cs="Arial" w:eastAsia="Arial" w:hAnsi="Arial"/>
          <w:sz w:val="18"/>
          <w:szCs w:val="18"/>
          <w:color w:val="auto"/>
        </w:rPr>
        <w:t>2014 and $138 million in 2013. In 2015, $79 million of these divestitures were made as part of our continuous focus on improving or divesting certain non-strategic or underperforming operations, with the remaining amounts generally related to the sale of fixed assets. In 2014, our proceeds from divestitures were primarily related to the sale of our Wheelabrator business for $1.95 billion and, to a lesser extent, the sale of our Puerto Rico operations and certain landfill and collection operations in our Eastern Canada Area. In 2013, our proceeds from divestitures included approximately $41 million related to oil and gas producing properties and $14 million related to certain of our medical waste service operations and a transfer station in our Greater Mid-Atlantic Area. The remaining amount reported for 2013, generally relates to the sale of fixed assets.</w:t>
      </w:r>
    </w:p>
    <w:p>
      <w:pPr>
        <w:spacing w:after="0" w:line="98" w:lineRule="exact"/>
        <w:rPr>
          <w:rFonts w:ascii="Arial" w:cs="Arial" w:eastAsia="Arial" w:hAnsi="Arial"/>
          <w:sz w:val="16"/>
          <w:szCs w:val="16"/>
          <w:color w:val="auto"/>
        </w:rPr>
      </w:pPr>
    </w:p>
    <w:p>
      <w:pPr>
        <w:ind w:left="900" w:hanging="325"/>
        <w:spacing w:after="0" w:line="272"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 Our spending on acquisitions was $554 million in 2015 compared to $35 million in 2014 and $724 million in 2013. In 2015, $415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spending on acquisitions was for the collection and disposal operations of Deffenbaugh. The remainder of our 2015 acquisition spending primarily related to our Solid Waste business. All of our 2014 acquisitions related to our Solid Waste business. In 2013, our acquisitions consisted primarily of the recycling operations of Greenstar, for which we paid $170 million, and substantially all of the assets of RCI, for which we paid $481 million. The remainder of our 2013 acquisitions related to our Solid Waste business and energy services operations. See Note 19 to the Consolidated Financial Statements for additional information related to our acquisitions. We continue to focus on accretive acquisitions and growth opportunities that will enhance and expand our existing service offerings.</w:t>
      </w:r>
    </w:p>
    <w:p>
      <w:pPr>
        <w:spacing w:after="0" w:line="83" w:lineRule="exact"/>
        <w:rPr>
          <w:rFonts w:ascii="Arial" w:cs="Arial" w:eastAsia="Arial" w:hAnsi="Arial"/>
          <w:sz w:val="17"/>
          <w:szCs w:val="17"/>
          <w:color w:val="auto"/>
        </w:rPr>
      </w:pPr>
    </w:p>
    <w:p>
      <w:pPr>
        <w:ind w:left="900" w:right="80" w:hanging="325"/>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Investments in unconsolidated entities </w:t>
      </w:r>
      <w:r>
        <w:rPr>
          <w:rFonts w:ascii="Arial" w:cs="Arial" w:eastAsia="Arial" w:hAnsi="Arial"/>
          <w:sz w:val="17"/>
          <w:szCs w:val="17"/>
          <w:color w:val="auto"/>
        </w:rPr>
        <w:t>— We made $20 million, $33 million and $33 million of cash investments in unconsolidated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2015, 2014 and 2013, respectively. In 2015, our investments primarily consisted of additional capital contributions associated with our investment in a refined coal facility, which generates federal tax credits. In 2014 and 2013, our investments primarily related to additional capital contributions associated with our investment in a refined coal facility and waste diversion technology companies.</w:t>
      </w:r>
    </w:p>
    <w:p>
      <w:pPr>
        <w:spacing w:after="0" w:line="76"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Net receipts from restricted funds </w:t>
      </w:r>
      <w:r>
        <w:rPr>
          <w:rFonts w:ascii="Arial" w:cs="Arial" w:eastAsia="Arial" w:hAnsi="Arial"/>
          <w:sz w:val="18"/>
          <w:szCs w:val="18"/>
          <w:color w:val="auto"/>
        </w:rPr>
        <w:t>— Net cash received from our restricted trust and escrow accounts contributed $51 million to our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2015 compared with $19 million in 2014 and $71 million in 2013. In 2015, these activities were largely related to our replacement of funded trust and escrow accounts with alternative forms of financial assurance.</w:t>
      </w:r>
    </w:p>
    <w:p>
      <w:pPr>
        <w:spacing w:after="0" w:line="86"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Net cash provided by our other investing activities was $3 million during 2015. Net cash used by our other investing activities of $58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$81 million during 2014 and 2013, respectively, was primarily associated with the funding of notes receivable associated with Wheelabrator’s investments in the U.K., prior to the sale of our Wheelabrator business in December 2014.</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most significant items affecting the comparison of our financing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76" w:lineRule="exact"/>
        <w:rPr>
          <w:sz w:val="20"/>
          <w:szCs w:val="20"/>
          <w:color w:val="auto"/>
        </w:rPr>
      </w:pPr>
    </w:p>
    <w:p>
      <w:pPr>
        <w:ind w:left="900" w:right="1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 </w:t>
      </w:r>
      <w:r>
        <w:rPr>
          <w:rFonts w:ascii="Arial" w:cs="Arial" w:eastAsia="Arial" w:hAnsi="Arial"/>
          <w:sz w:val="18"/>
          <w:szCs w:val="18"/>
          <w:color w:val="auto"/>
        </w:rPr>
        <w:t>For the periods presented, all share repurchases have been made in accordance with financial plans approved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w:t>
      </w:r>
    </w:p>
    <w:p>
      <w:pPr>
        <w:spacing w:after="0" w:line="6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We paid $600 million for share repurchases during both 2015 and 2014 and $239 million for share repurchases during 2013. See Note 15 to the Consolidated Financial Statements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We announced in December 2015 that the Board of Directors refreshed its prior authorization of up to $1 billion in future share repurchases. Any future share repurchases will be made at the discretion of management, and will depend on factors similar to those considered by the Board of Directors in making dividend declarations.</w:t>
      </w:r>
    </w:p>
    <w:p>
      <w:pPr>
        <w:spacing w:after="0" w:line="87" w:lineRule="exact"/>
        <w:rPr>
          <w:sz w:val="20"/>
          <w:szCs w:val="20"/>
          <w:color w:val="auto"/>
        </w:rPr>
      </w:pPr>
    </w:p>
    <w:p>
      <w:pPr>
        <w:ind w:left="900" w:right="24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For the periods presented, all dividends have been declared and paid in accordance with financial plans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w:t>
      </w:r>
    </w:p>
    <w:p>
      <w:pPr>
        <w:spacing w:after="0" w:line="62" w:lineRule="exact"/>
        <w:rPr>
          <w:sz w:val="20"/>
          <w:szCs w:val="20"/>
          <w:color w:val="auto"/>
        </w:rPr>
      </w:pPr>
    </w:p>
    <w:p>
      <w:pPr>
        <w:ind w:left="920" w:right="380"/>
        <w:spacing w:after="0" w:line="312" w:lineRule="auto"/>
        <w:rPr>
          <w:sz w:val="20"/>
          <w:szCs w:val="20"/>
          <w:color w:val="auto"/>
        </w:rPr>
      </w:pPr>
      <w:r>
        <w:rPr>
          <w:rFonts w:ascii="Arial" w:cs="Arial" w:eastAsia="Arial" w:hAnsi="Arial"/>
          <w:sz w:val="16"/>
          <w:szCs w:val="16"/>
          <w:color w:val="auto"/>
        </w:rPr>
        <w:t>We paid an aggregate of $695 million in cash dividends during 2015, compared with $693 million in 2014, and $683 million in 2013. The increase in dividend payments is due to our quarterly per share dividend increasing from $0.365 in 2013, to $0.375 in 2014, and to $0.385 in 2015 and has been offset, in part, by a reduction in our common stock outstanding as a result of our share repurchase programs.</w:t>
      </w:r>
    </w:p>
    <w:p>
      <w:pPr>
        <w:spacing w:after="0" w:line="39" w:lineRule="exact"/>
        <w:rPr>
          <w:sz w:val="20"/>
          <w:szCs w:val="20"/>
          <w:color w:val="auto"/>
        </w:rPr>
      </w:pPr>
    </w:p>
    <w:p>
      <w:pPr>
        <w:ind w:left="920" w:right="260"/>
        <w:spacing w:after="0" w:line="312" w:lineRule="auto"/>
        <w:rPr>
          <w:sz w:val="20"/>
          <w:szCs w:val="20"/>
          <w:color w:val="auto"/>
        </w:rPr>
      </w:pPr>
      <w:r>
        <w:rPr>
          <w:rFonts w:ascii="Arial" w:cs="Arial" w:eastAsia="Arial" w:hAnsi="Arial"/>
          <w:sz w:val="16"/>
          <w:szCs w:val="16"/>
          <w:color w:val="auto"/>
        </w:rPr>
        <w:t>In December 2015, we announced that our Board of Directors expects to increase the quarterly dividend from $0.385 to $0.41 per share for dividends declared in 2016.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52" w:lineRule="exact"/>
        <w:rPr>
          <w:sz w:val="20"/>
          <w:szCs w:val="20"/>
          <w:color w:val="auto"/>
        </w:rPr>
      </w:pPr>
    </w:p>
    <w:p>
      <w:pPr>
        <w:ind w:left="900" w:right="1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The exercise of common stock options generated $77 million of financing cash inflows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2015 compared with $93 million during 2014 and $132 million during 2013. The year-over-year changes are generally due to the level of stock options exercised throughout the year, which is primarily driven by changes in the Company’s stock price and the number of exercisable options.</w:t>
      </w:r>
    </w:p>
    <w:p>
      <w:pPr>
        <w:spacing w:after="0" w:line="92"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Debt borrowings (repayments) — </w:t>
      </w:r>
      <w:r>
        <w:rPr>
          <w:rFonts w:ascii="Arial" w:cs="Arial" w:eastAsia="Arial" w:hAnsi="Arial"/>
          <w:sz w:val="16"/>
          <w:szCs w:val="16"/>
          <w:color w:val="auto"/>
        </w:rPr>
        <w:t>Net debt repayments were $427 million in 2015 and $751 million in 2014 compared to net debt borrowings of</w:t>
      </w:r>
      <w:r>
        <w:rPr>
          <w:rFonts w:ascii="Arial" w:cs="Arial" w:eastAsia="Arial" w:hAnsi="Arial"/>
          <w:sz w:val="16"/>
          <w:szCs w:val="16"/>
          <w:i w:val="1"/>
          <w:iCs w:val="1"/>
          <w:color w:val="auto"/>
        </w:rPr>
        <w:t xml:space="preserve"> </w:t>
      </w:r>
      <w:r>
        <w:rPr>
          <w:rFonts w:ascii="Arial" w:cs="Arial" w:eastAsia="Arial" w:hAnsi="Arial"/>
          <w:sz w:val="16"/>
          <w:szCs w:val="16"/>
          <w:color w:val="auto"/>
        </w:rPr>
        <w:t>$155 million in 2013. The following summarizes our cash borrowings and debt repayments made during each year (in millions):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U.S. revolving credit facility</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4"/>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1,140</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4"/>
              <w:spacing w:after="0"/>
              <w:rPr>
                <w:sz w:val="20"/>
                <w:szCs w:val="20"/>
                <w:color w:val="auto"/>
              </w:rPr>
            </w:pPr>
            <w:r>
              <w:rPr>
                <w:rFonts w:ascii="Arial" w:cs="Arial" w:eastAsia="Arial" w:hAnsi="Arial"/>
                <w:sz w:val="18"/>
                <w:szCs w:val="18"/>
                <w:color w:val="auto"/>
                <w:w w:val="97"/>
              </w:rPr>
              <w:t>1,781</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bonds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Other debt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4"/>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7"/>
        </w:trPr>
        <w:tc>
          <w:tcPr>
            <w:tcW w:w="4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7"/>
              </w:rPr>
              <w:t>2,337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r>
      <w:tr>
        <w:trPr>
          <w:trHeight w:val="223"/>
        </w:trPr>
        <w:tc>
          <w:tcPr>
            <w:tcW w:w="486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revolving credit facility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(2,645)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(1,120)</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4"/>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w w:val="87"/>
              </w:rPr>
              <w:t>(1,970)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Tax-exempt bonds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4"/>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leases and other debt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(2,764</w:t>
            </w:r>
          </w:p>
        </w:tc>
        <w:tc>
          <w:tcPr>
            <w:tcW w:w="580" w:type="dxa"/>
            <w:vAlign w:val="bottom"/>
          </w:tcPr>
          <w:p>
            <w:pPr>
              <w:jc w:val="right"/>
              <w:ind w:right="44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(3,568</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For the year ended December 31, 2015, non-cash financing activities included $262 million of tax-exempt bond refundings and reissuances. For the year ended December 31, 2013, non-cash financing activities included proceeds from tax-exempt borrowings, net of principal payments made directly from trust funds, of $99 million. During 2014, we did not have any significant non-cash financing activities.</w:t>
      </w:r>
    </w:p>
    <w:p>
      <w:pPr>
        <w:spacing w:after="0" w:line="57"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 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2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Premiums paid on early extinguishment of debt of $555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are primarily related to (i) make-whole premiums paid on certain senior notes that the Company decided to redeem in advance of their scheduled maturities and (ii) premiums paid to tender certain high-coupon senior notes. See Note 7 to the Consolidated Financial Statements for further discussion of these transactions.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of and distributions paid to noncontrolling interests </w:t>
      </w:r>
      <w:r>
        <w:rPr>
          <w:rFonts w:ascii="Arial" w:cs="Arial" w:eastAsia="Arial" w:hAnsi="Arial"/>
          <w:sz w:val="18"/>
          <w:szCs w:val="18"/>
          <w:color w:val="auto"/>
        </w:rPr>
        <w:t>— The purchases of and distributions paid to our noncontrolling interests were</w:t>
      </w:r>
      <w:r>
        <w:rPr>
          <w:rFonts w:ascii="Arial" w:cs="Arial" w:eastAsia="Arial" w:hAnsi="Arial"/>
          <w:sz w:val="18"/>
          <w:szCs w:val="18"/>
          <w:i w:val="1"/>
          <w:iCs w:val="1"/>
          <w:color w:val="auto"/>
        </w:rPr>
        <w:t xml:space="preserve"> </w:t>
      </w:r>
      <w:r>
        <w:rPr>
          <w:rFonts w:ascii="Arial" w:cs="Arial" w:eastAsia="Arial" w:hAnsi="Arial"/>
          <w:sz w:val="18"/>
          <w:szCs w:val="18"/>
          <w:color w:val="auto"/>
        </w:rPr>
        <w:t>$1 million, $125 million and $59 million in 2015, 2014 and 2013, respectively. The increase during 2014 compared to 2013 is primarily attributable to the purchase of the noncontrolling interests in the LLCs related to our waste-to-energy facilities in December 2014 for $91 million, in anticipation of our sale of our Wheelabrator business. The LLCs were then subsequently sold as part of the divestment. See Note 20 to the Consolidated Financial Statements for further discussion of these LLCs.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2015 and the anticipated effect of these obligations on our liquidity in future years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Recorded Obligations</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environmental liabilities:(a)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Final capping, closure and post-closure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Debt payments(b),(c),(d)</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6,379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Unrecorded Obligations:(e)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Estimated unconditional purchase obligations(f)</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Anticipated liquidity impact as of December 31, 2015</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1,019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9,278</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13,663</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The amounts included here reflect environmental liabilities recorded in our Consolidated Balance Sheet as of December 31, 2015 without the impact of discounting and inflation. Our recorded environmental liabilities for final capping, closure and post-closure will increase as we continue to place additional tons within the permitted airspace at our landfills.</w:t>
      </w:r>
    </w:p>
    <w:p>
      <w:pPr>
        <w:spacing w:after="0" w:line="2"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here represent the scheduled principal payments related to our long-term debt, excluding related interest. Refer to Note 7 to the Consolidated Financial Statements for information regarding interest rates.</w:t>
      </w:r>
    </w:p>
    <w:p>
      <w:pPr>
        <w:ind w:left="46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debt obligations as of December 31, 2015 include $316 million of tax-exempt bonds subject to repricing within the next 12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2015, refer to Note 7 to the Consolidated Financial Statements.</w:t>
      </w:r>
    </w:p>
    <w:p>
      <w:pPr>
        <w:spacing w:after="0" w:line="2" w:lineRule="exact"/>
        <w:rPr>
          <w:rFonts w:ascii="Arial" w:cs="Arial" w:eastAsia="Arial" w:hAnsi="Arial"/>
          <w:sz w:val="18"/>
          <w:szCs w:val="18"/>
          <w:color w:val="auto"/>
        </w:rPr>
      </w:pPr>
    </w:p>
    <w:p>
      <w:pPr>
        <w:ind w:left="460" w:right="240" w:hanging="452"/>
        <w:spacing w:after="0" w:line="265"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ind w:left="460" w:right="240" w:hanging="452"/>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620"/>
        <w:spacing w:after="0" w:line="258" w:lineRule="auto"/>
        <w:rPr>
          <w:sz w:val="20"/>
          <w:szCs w:val="20"/>
          <w:color w:val="auto"/>
        </w:rPr>
      </w:pPr>
      <w:r>
        <w:rPr>
          <w:rFonts w:ascii="Arial" w:cs="Arial" w:eastAsia="Arial" w:hAnsi="Arial"/>
          <w:sz w:val="18"/>
          <w:szCs w:val="18"/>
          <w:color w:val="auto"/>
        </w:rPr>
        <w:t>in Note 11 to the Consolidated Financial Statements, that we do not expect to materially affect our current or future financial position, results of operations or liquidity.</w:t>
      </w:r>
    </w:p>
    <w:p>
      <w:pPr>
        <w:spacing w:after="0" w:line="1" w:lineRule="exact"/>
        <w:rPr>
          <w:sz w:val="20"/>
          <w:szCs w:val="20"/>
          <w:color w:val="auto"/>
        </w:rPr>
      </w:pPr>
    </w:p>
    <w:p>
      <w:pPr>
        <w:ind w:left="460" w:right="60" w:hanging="452"/>
        <w:spacing w:after="0" w:line="253"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Cash Taxes — </w:t>
      </w:r>
      <w:r>
        <w:rPr>
          <w:rFonts w:ascii="Arial" w:cs="Arial" w:eastAsia="Arial" w:hAnsi="Arial"/>
          <w:sz w:val="18"/>
          <w:szCs w:val="18"/>
          <w:color w:val="auto"/>
        </w:rPr>
        <w:t>Our tax payments in 2015, net of excess tax benefits associated with equity-based transactions, were $329 million lower than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lower pre-tax earnings due to the loss on early extinguishment of debt and (ii) the tax implications and related impacts of divestitures and impairments.</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Bonus Depreciation </w:t>
      </w:r>
      <w:r>
        <w:rPr>
          <w:rFonts w:ascii="Arial" w:cs="Arial" w:eastAsia="Arial" w:hAnsi="Arial"/>
          <w:sz w:val="16"/>
          <w:szCs w:val="16"/>
          <w:color w:val="auto"/>
        </w:rPr>
        <w:t>— The Protecting Americans from Tax Hikes Act of 2015 was signed into law on December 18, 2015 and included an extension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five years of the bonus depreciation allowance. As a result, 50% of qualifying capital expenditures on property placed in service before January 1, 2016 were depreciated immediately. The acceleration of deductions on 2015 qualifying capital expenditures resulting from the bonus depreciation provisions had no impact on our effective income tax rate for 2015 although it will reduce our cash taxes by approximately $65 million. This reduction will be offset by increased cash taxes in subsequent periods when the deductions related to the capital expenditures would have otherwise been taken. Overall, the effect of all applicable years’ bonus depreciation programs resulted in increased cash taxes of approximately $25 million in 2015.</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Uncertain Tax Positions </w:t>
      </w:r>
      <w:r>
        <w:rPr>
          <w:rFonts w:ascii="Arial" w:cs="Arial" w:eastAsia="Arial" w:hAnsi="Arial"/>
          <w:sz w:val="17"/>
          <w:szCs w:val="17"/>
          <w:color w:val="auto"/>
        </w:rPr>
        <w:t>— We have liabilities associated with unrecognized tax benefits and related interest. These liabilities are included 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long-term “Other liabilities” in our Consolidated Balance Sheets because the Company does not anticipate that settlement of the liabilities will require payment of cash within the next 12 months. We are not able to reasonably estimate when we might make any cash payments required to settle these liabilities, but we do not believe that the ultimate settlement of our obligations will materially affect our liquidity. As of December 31, 2015, we anticipate that approximately $36 million of liabilities for unrecognized tax benefits, including accrued interest, and $5 million of related tax assets may be reversed within the next 12 months. The anticipated reversals primarily relate to the deductibility and exclusion from gross income of certain federal tax items and other miscellaneous state tax items, each of which is individually insignificant. The recognition of the unrecognized tax benefits is expected to result from the filing of our tax returns, audit settlements or the expiration of the applicable statute of limitations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We have financial interests in unconsolidated variable interest entities as discussed in Note 20 to the Consolidated Financial Statements. Additionally, we are party to guarantee arrangements with unconsolidated entities as discussed 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11 to the Consolidated Financial Statements. These arrangements have not materially affected our financial position, results of operations or liquidity during the year ended December 31, 2015, nor are they expected to have a material impact on our future financial position, results of operations or liquidity.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May 2014, the FASB amended authoritative guidance associated with revenue recognition. The amended guidance requires companies to recognize revenue to depict the transfer of promised goods or services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as of December 31, 2015, approximately 30%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2015,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Our exposure to market risk for changes in interest rates relates primarily to our financing activities, although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can also be significantly affected by our ongoing financial assurance needs, which are discussed in the </w:t>
      </w:r>
      <w:r>
        <w:rPr>
          <w:rFonts w:ascii="Arial" w:cs="Arial" w:eastAsia="Arial" w:hAnsi="Arial"/>
          <w:sz w:val="18"/>
          <w:szCs w:val="18"/>
          <w:i w:val="1"/>
          <w:iCs w:val="1"/>
          <w:color w:val="auto"/>
        </w:rPr>
        <w:t>Financial Assurance and Insurance Obligations</w:t>
      </w:r>
      <w:r>
        <w:rPr>
          <w:rFonts w:ascii="Arial" w:cs="Arial" w:eastAsia="Arial" w:hAnsi="Arial"/>
          <w:sz w:val="18"/>
          <w:szCs w:val="18"/>
          <w:color w:val="auto"/>
        </w:rPr>
        <w:t xml:space="preserve"> section of Item 1.</w:t>
      </w:r>
    </w:p>
    <w:p>
      <w:pPr>
        <w:spacing w:after="0" w:line="181" w:lineRule="exact"/>
        <w:rPr>
          <w:sz w:val="20"/>
          <w:szCs w:val="20"/>
          <w:color w:val="auto"/>
        </w:rPr>
      </w:pPr>
    </w:p>
    <w:p>
      <w:pPr>
        <w:ind w:right="240" w:firstLine="456"/>
        <w:spacing w:after="0" w:line="271" w:lineRule="auto"/>
        <w:rPr>
          <w:sz w:val="20"/>
          <w:szCs w:val="20"/>
          <w:color w:val="auto"/>
        </w:rPr>
      </w:pPr>
      <w:r>
        <w:rPr>
          <w:rFonts w:ascii="Arial" w:cs="Arial" w:eastAsia="Arial" w:hAnsi="Arial"/>
          <w:sz w:val="17"/>
          <w:szCs w:val="17"/>
          <w:color w:val="auto"/>
        </w:rPr>
        <w:t>As of December 31, 2015, we had $9.0 billion of long-term debt when excluding the impacts of accounting for fair value adjustments attributable to interest rate derivatives, discounts and premiums. Approximately, $911 million of our debt is exposed to changes in market interest rates within the next 12 months. Our variable-rate debt obligations are (i) $491 million of tax-exempt bonds that are subject to repricing on either a daily or weekly basis through a remarketing process; (ii) $316 million of tax-exempt bonds with term interest rate periods that are subject to repricing within 12 months, which is prior to their scheduled maturities; (iii) $84 million of outstanding borrowings under our Canadian term loan and (iv) $20 million of borrowings outstanding under $2.25 billion revolving credit facility. We currently estimate that a 100 basis point increase in the interest rates of our outstanding variable-rate debt obligations would increase our 2016 interest expense by approximately $8 million. As of December 31, 2014, the effective interest rates of approximately $1.4 billion of our outstanding debt obligations were subject to change within 12 months.</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 exempt bonds, through the end of a term interest rate period that exceeds twelve months. The fair value of our fixed-rate debt obligations and various interest rate derivative instruments, if any, can increase or decrease significantly if market interest rates change.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hypothetical set of assumptions. Actual market movements may vary significantly from our assumptions. An instantaneous, one percentage point increase in interest rates across all maturities attributable to these instruments would have decreased the fair value of our debt by approximately $600 million at December 31, 2015.</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also exposed to interest rate market risk because we have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 In the normal course of our business, we are subject to operating agreements that expose us to market risks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 prices for commodities such as diesel fuel; recyclable materials, including old corrugated cardboard, old newsprint and plastics; and electricity, which generally correlates with natural gas prices in many of the markets in which we operate. During the three years ended December 31, 2015, we generally have not entered into derivatives to hedge the risks associated with changes in the market prices of these commodities, with the exception of electricity commodity derivatives divested in conjunction with the sale of our Wheelabrator business in December 2014.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 We have operations in Canada as well as a cost center in India and investments in Hong Kong. Where significant,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quantified and described the impact of foreign currency translation on components of income, including operating revenue and operating costs. However, the impact of foreign currency has not materially affected our results of operations. During 2015, we did see a reduction in stockholders’ equity of $159 million due to the fluctuations in the Canadian dollar within accumulated other comprehensive income (loss). We hedge a portion of our foreign currency risk using currency derivatives to mitigate the impact of currency translation on cash flows of intercompany Canadian-currency 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The foreign currency exposure associated with these investments has not been material. Refer to Notes 8 and 14 to the Consolidated Financial Statements for additional information regarding our foreign currency derivatives and translation.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9"/>
          </w:tcPr>
          <w:p>
            <w:pPr>
              <w:ind w:left="2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5"/>
          </w:tcPr>
          <w:p>
            <w:pPr>
              <w:jc w:val="center"/>
              <w:ind w:right="4500"/>
              <w:spacing w:after="0"/>
              <w:rPr>
                <w:sz w:val="20"/>
                <w:szCs w:val="20"/>
                <w:color w:val="auto"/>
              </w:rPr>
            </w:pPr>
            <w:r>
              <w:rPr>
                <w:rFonts w:ascii="Arial" w:cs="Arial" w:eastAsia="Arial" w:hAnsi="Arial"/>
                <w:sz w:val="18"/>
                <w:szCs w:val="18"/>
                <w:b w:val="1"/>
                <w:bCs w:val="1"/>
                <w:color w:val="auto"/>
              </w:rPr>
              <w:t>INDEX TO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gridSpan w:val="5"/>
            <w:vMerge w:val="restart"/>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Management’s Report on Internal Control Over Financial Reporting</w:t>
              </w:r>
            </w:hyperlink>
          </w:p>
        </w:tc>
        <w:tc>
          <w:tcPr>
            <w:tcW w:w="6100" w:type="dxa"/>
            <w:vAlign w:val="bottom"/>
            <w:gridSpan w:val="5"/>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5"/>
            <w:vMerge w:val="continue"/>
          </w:tcPr>
          <w:p>
            <w:pPr>
              <w:spacing w:after="0"/>
              <w:rPr>
                <w:sz w:val="13"/>
                <w:szCs w:val="13"/>
                <w:color w:val="auto"/>
              </w:rPr>
            </w:pPr>
          </w:p>
        </w:tc>
        <w:tc>
          <w:tcPr>
            <w:tcW w:w="6100" w:type="dxa"/>
            <w:vAlign w:val="bottom"/>
            <w:gridSpan w:val="5"/>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Reports of Independent Registered Public Accounting Firm</w:t>
              </w:r>
            </w:hyperlink>
          </w:p>
        </w:tc>
        <w:tc>
          <w:tcPr>
            <w:tcW w:w="6720" w:type="dxa"/>
            <w:vAlign w:val="bottom"/>
            <w:gridSpan w:val="7"/>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Sheets as of December 31, 2015 and 2014</w:t>
              </w:r>
            </w:hyperlink>
          </w:p>
        </w:tc>
        <w:tc>
          <w:tcPr>
            <w:tcW w:w="63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Operations for the Years Ended December 31, 2015, 2014 and 2013</w:t>
              </w:r>
            </w:hyperlink>
          </w:p>
        </w:tc>
        <w:tc>
          <w:tcPr>
            <w:tcW w:w="4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Comprehensive Income for the Years Ended December 31, 2015, 2014 and 2013</w:t>
              </w:r>
            </w:hyperlink>
          </w:p>
        </w:tc>
        <w:tc>
          <w:tcPr>
            <w:tcW w:w="31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Years Ended December 31, 2015, 2014 and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Changes in Equity for the Years Ended December 31, 2015, 2014 and 2013</w:t>
              </w:r>
            </w:hyperlink>
          </w:p>
        </w:tc>
        <w:tc>
          <w:tcPr>
            <w:tcW w:w="35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78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6120" w:type="dxa"/>
            <w:vAlign w:val="bottom"/>
            <w:gridSpan w:val="5"/>
          </w:tcPr>
          <w:p>
            <w:pPr>
              <w:jc w:val="center"/>
              <w:ind w:left="3610"/>
              <w:spacing w:after="0"/>
              <w:rPr>
                <w:sz w:val="20"/>
                <w:szCs w:val="20"/>
                <w:color w:val="auto"/>
              </w:rPr>
            </w:pPr>
            <w:r>
              <w:rPr>
                <w:rFonts w:ascii="Arial" w:cs="Arial" w:eastAsia="Arial" w:hAnsi="Arial"/>
                <w:sz w:val="18"/>
                <w:szCs w:val="18"/>
                <w:color w:val="auto"/>
                <w:w w:val="89"/>
              </w:rPr>
              <w:t>70</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 FINANCIAL REPORTING</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60" w:lineRule="exact"/>
        <w:rPr>
          <w:sz w:val="20"/>
          <w:szCs w:val="20"/>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900" w:right="60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2015 based on the Internal Control — Integrated Framework issued by the Committee of Sponsoring Organizations of the Treadway Commission (2013 framework). Based on its assessment, management has concluded that our internal control over financial reporting was effective as of December 31, 2015.</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have audited Waste Management, Inc.’s internal control over financial reporting as of December 31, 2015, based on criteria established in Internal Control-Integrated Framework issued by the Committee of Sponsoring Organizations of the Treadway Commission (2013 framework)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our opinion, Waste Management, Inc. maintained, in all material respects, effective internal control over financial reporting as of December 31, 2015, based on the COSO criteria.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Waste Management, Inc. as of December 31, 2015 and 2014, and the related consolidated statements of operations, comprehensive income, cash flows, and changes in equity for each of the three years in the period ended December 31, 2015, and our report dated February 18, 2016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2015 and 2014, and the related consolidated statements of operations, comprehensive income, cash flows, and changes in equity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2015 and 2014, and the consolidated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Waste Management, Inc.’s internal control over financial reporting as of December 31, 2015, based on criteria established in Internal Control-Integrated Framework issued by the Committee of Sponsoring Organizations of the Treadway Commission (2013 framework) and our report dated February 18, 2016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ind w:left="44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 of $25 and $30, respectively</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$16,420 and $15,968, respectively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10,657</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5,740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21,297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8,728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8,345</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15,052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6,888</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Treasury stock at cost, 183,105,326 and 171,745,077 shares, respectively</w:t>
            </w: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(6,300)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(5,636)</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20,419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21,297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center"/>
              <w:ind w:right="45"/>
              <w:spacing w:after="0"/>
              <w:rPr>
                <w:sz w:val="20"/>
                <w:szCs w:val="20"/>
                <w:color w:val="auto"/>
              </w:rPr>
            </w:pPr>
            <w:r>
              <w:rPr>
                <w:rFonts w:ascii="Arial" w:cs="Arial" w:eastAsia="Arial" w:hAnsi="Arial"/>
                <w:sz w:val="14"/>
                <w:szCs w:val="14"/>
                <w:b w:val="1"/>
                <w:bCs w:val="1"/>
                <w:color w:val="auto"/>
                <w:w w:val="83"/>
              </w:rPr>
              <w:t>Years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7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72"/>
              <w:spacing w:after="0"/>
              <w:rPr>
                <w:sz w:val="20"/>
                <w:szCs w:val="20"/>
                <w:color w:val="auto"/>
              </w:rPr>
            </w:pPr>
            <w:r>
              <w:rPr>
                <w:rFonts w:ascii="Arial" w:cs="Arial" w:eastAsia="Arial" w:hAnsi="Arial"/>
                <w:sz w:val="18"/>
                <w:szCs w:val="18"/>
                <w:color w:val="auto"/>
                <w:w w:val="87"/>
              </w:rPr>
              <w:t>11,887</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$12,646</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product revenues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1,074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12,961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13,996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Operating costs: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services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7,281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Cost of tangible products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costs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72"/>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1,245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7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(Income) expense from divestitures, asset impairments (other than goodwill) and unusual items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10,916</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11,697</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12"/>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debt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(555)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12"/>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1,060</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753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w:t>
            </w:r>
          </w:p>
        </w:tc>
        <w:tc>
          <w:tcPr>
            <w:tcW w:w="3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3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96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Pr>
          <w:p>
            <w:pPr>
              <w:ind w:left="5220"/>
              <w:spacing w:after="0"/>
              <w:rPr>
                <w:sz w:val="20"/>
                <w:szCs w:val="20"/>
                <w:color w:val="auto"/>
              </w:rPr>
            </w:pPr>
            <w:r>
              <w:rPr>
                <w:rFonts w:ascii="Arial" w:cs="Arial" w:eastAsia="Arial" w:hAnsi="Arial"/>
                <w:sz w:val="18"/>
                <w:szCs w:val="18"/>
                <w:b w:val="1"/>
                <w:bCs w:val="1"/>
                <w:color w:val="auto"/>
              </w:rPr>
              <w:t>(In Millions)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center"/>
              <w:ind w:right="45"/>
              <w:spacing w:after="0"/>
              <w:rPr>
                <w:sz w:val="20"/>
                <w:szCs w:val="20"/>
                <w:color w:val="auto"/>
              </w:rPr>
            </w:pPr>
            <w:r>
              <w:rPr>
                <w:rFonts w:ascii="Arial" w:cs="Arial" w:eastAsia="Arial" w:hAnsi="Arial"/>
                <w:sz w:val="14"/>
                <w:szCs w:val="14"/>
                <w:b w:val="1"/>
                <w:bCs w:val="1"/>
                <w:color w:val="auto"/>
                <w:w w:val="83"/>
              </w:rPr>
              <w:t>Years Ended December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1,338</w:t>
            </w:r>
          </w:p>
        </w:tc>
        <w:tc>
          <w:tcPr>
            <w:tcW w:w="30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 net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Available-for-sale securities,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Post-retirement benefit obligation,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1,167</w:t>
            </w: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752</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$ 1,338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1,245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1,292</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(benefit) provision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(118)</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Interest accretion on landfill liabilities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89</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Provision for bad debts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36</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72</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Excess tax benefits associated with equity-based transactions</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Effect of goodwill impairments</w:t>
            </w:r>
          </w:p>
        </w:tc>
        <w:tc>
          <w:tcPr>
            <w:tcW w:w="100" w:type="dxa"/>
            <w:vAlign w:val="bottom"/>
          </w:tcPr>
          <w:p>
            <w:pPr>
              <w:spacing w:after="0"/>
              <w:rPr>
                <w:sz w:val="17"/>
                <w:szCs w:val="17"/>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Effect of (income) expense from divestitures, asset impairments (other than goodwill) and unusual items and 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42</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on early extinguishment of debt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555</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(178)</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68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16</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(112)</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7"/>
        </w:trPr>
        <w:tc>
          <w:tcPr>
            <w:tcW w:w="882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2,498</w:t>
            </w: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2,331</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(554)</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(1,233)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(1,151)</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145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2,253</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receipts from restricted trust and escrow accounts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51</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Investments in unconsolidated entities</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(20)</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7"/>
        </w:trPr>
        <w:tc>
          <w:tcPr>
            <w:tcW w:w="8820" w:type="dxa"/>
            <w:vAlign w:val="bottom"/>
            <w:gridSpan w:val="2"/>
          </w:tcPr>
          <w:p>
            <w:pPr>
              <w:spacing w:after="0"/>
              <w:rPr>
                <w:sz w:val="20"/>
                <w:szCs w:val="20"/>
                <w:color w:val="auto"/>
              </w:rPr>
            </w:pPr>
            <w:r>
              <w:rPr>
                <w:rFonts w:ascii="Arial" w:cs="Arial" w:eastAsia="Arial" w:hAnsi="Arial"/>
                <w:sz w:val="17"/>
                <w:szCs w:val="17"/>
                <w:color w:val="auto"/>
              </w:rPr>
              <w:t>Net cash provided by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77"/>
              </w:rPr>
              <w:t>(1,608)</w:t>
            </w: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995</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1"/>
              </w:rPr>
              <w:t>(1,900)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New borrowings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2,337</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2,817</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Debt repayments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(2,764)</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(3,568)</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Premiums paid on early extinguishment of debt</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(555)</w:t>
            </w: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repurchases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Cash dividends</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(695)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(693)</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Excess tax benefits associated with equity-based transactions</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15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Acquisitions of and distributions paid to noncontrolling interests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31</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(2,155)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(2,072)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(1,268)</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1,249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Cash and cash equivalents at beginning of year</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1,307</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39</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1"/>
              </w:rPr>
              <w:t>$ 1,307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8"/>
              </w:rPr>
              <w:t>Waste Management, Inc. Stockholders’ Equity</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680" w:type="dxa"/>
            <w:vAlign w:val="bottom"/>
            <w:gridSpan w:val="6"/>
            <w:vMerge w:val="restart"/>
          </w:tcPr>
          <w:p>
            <w:pPr>
              <w:jc w:val="right"/>
              <w:ind w:right="448"/>
              <w:spacing w:after="0"/>
              <w:rPr>
                <w:sz w:val="20"/>
                <w:szCs w:val="20"/>
                <w:color w:val="auto"/>
              </w:rPr>
            </w:pPr>
            <w:r>
              <w:rPr>
                <w:rFonts w:ascii="Arial" w:cs="Arial" w:eastAsia="Arial" w:hAnsi="Arial"/>
                <w:sz w:val="14"/>
                <w:szCs w:val="14"/>
                <w:b w:val="1"/>
                <w:bCs w:val="1"/>
                <w:color w:val="auto"/>
              </w:rPr>
              <w:t>Treasury Stock</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4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Comprehensive</w:t>
            </w:r>
          </w:p>
        </w:tc>
        <w:tc>
          <w:tcPr>
            <w:tcW w:w="1680" w:type="dxa"/>
            <w:vAlign w:val="bottom"/>
            <w:gridSpan w:val="6"/>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5"/>
              </w:rPr>
              <w:t>Total</w:t>
            </w:r>
          </w:p>
        </w:tc>
        <w:tc>
          <w:tcPr>
            <w:tcW w:w="7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8"/>
              </w:rPr>
              <w:t>Amounts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2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0"/>
              </w:rPr>
              <w:t>Earnings</w:t>
            </w:r>
          </w:p>
        </w:tc>
        <w:tc>
          <w:tcPr>
            <w:tcW w:w="124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720" w:type="dxa"/>
            <w:vAlign w:val="bottom"/>
            <w:tcBorders>
              <w:top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8"/>
              </w:rPr>
              <w:t>Amounts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2012</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$6,675</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6,879</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76"/>
              </w:rPr>
              <w:t>193</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(166,062)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(5,273)</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321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(683)</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(683)</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equivalents, net of taxes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5,461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174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(239)</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(5,368)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2013</w:t>
            </w:r>
          </w:p>
        </w:tc>
        <w:tc>
          <w:tcPr>
            <w:tcW w:w="4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$6,002</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630,282</w:t>
            </w: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6</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4,596</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6,289</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76"/>
              </w:rPr>
              <w:t>154</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(165,962)</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(5,338)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295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1,338</w:t>
            </w:r>
          </w:p>
        </w:tc>
        <w:tc>
          <w:tcPr>
            <w:tcW w:w="2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1,298</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(693)</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(693)</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equivalents, net of taxes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3,779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122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(9,569)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tcPr>
          <w:p>
            <w:pPr>
              <w:spacing w:after="0" w:line="130" w:lineRule="exact"/>
              <w:rPr>
                <w:sz w:val="20"/>
                <w:szCs w:val="20"/>
                <w:color w:val="auto"/>
              </w:rPr>
            </w:pPr>
            <w:r>
              <w:rPr>
                <w:rFonts w:ascii="Arial" w:cs="Arial" w:eastAsia="Arial" w:hAnsi="Arial"/>
                <w:sz w:val="14"/>
                <w:szCs w:val="14"/>
                <w:color w:val="auto"/>
              </w:rPr>
              <w:t>Acquisitions of noncontrolling interests and divestiture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ind w:left="140"/>
              <w:spacing w:after="0"/>
              <w:rPr>
                <w:sz w:val="20"/>
                <w:szCs w:val="20"/>
                <w:color w:val="auto"/>
              </w:rPr>
            </w:pPr>
            <w:r>
              <w:rPr>
                <w:rFonts w:ascii="Arial" w:cs="Arial" w:eastAsia="Arial" w:hAnsi="Arial"/>
                <w:sz w:val="14"/>
                <w:szCs w:val="14"/>
                <w:color w:val="auto"/>
              </w:rPr>
              <w:t>of Wheelabrator business</w:t>
            </w:r>
          </w:p>
        </w:tc>
        <w:tc>
          <w:tcPr>
            <w:tcW w:w="660" w:type="dxa"/>
            <w:vAlign w:val="bottom"/>
            <w:gridSpan w:val="4"/>
          </w:tcPr>
          <w:p>
            <w:pPr>
              <w:jc w:val="right"/>
              <w:ind w:right="200"/>
              <w:spacing w:after="0"/>
              <w:rPr>
                <w:sz w:val="20"/>
                <w:szCs w:val="20"/>
                <w:color w:val="auto"/>
              </w:rPr>
            </w:pPr>
            <w:r>
              <w:rPr>
                <w:rFonts w:ascii="Arial" w:cs="Arial" w:eastAsia="Arial" w:hAnsi="Arial"/>
                <w:sz w:val="14"/>
                <w:szCs w:val="14"/>
                <w:color w:val="auto"/>
              </w:rPr>
              <w:t>(188)</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48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2014</w:t>
            </w:r>
          </w:p>
        </w:tc>
        <w:tc>
          <w:tcPr>
            <w:tcW w:w="2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$5,889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6,888</w:t>
            </w:r>
          </w:p>
        </w:tc>
        <w:tc>
          <w:tcPr>
            <w:tcW w:w="260" w:type="dxa"/>
            <w:vAlign w:val="bottom"/>
          </w:tcPr>
          <w:p>
            <w:pPr>
              <w:spacing w:after="0"/>
              <w:rPr>
                <w:sz w:val="13"/>
                <w:szCs w:val="13"/>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ind w:left="740"/>
              <w:spacing w:after="0" w:line="155" w:lineRule="exact"/>
              <w:rPr>
                <w:sz w:val="20"/>
                <w:szCs w:val="20"/>
                <w:color w:val="auto"/>
              </w:rPr>
            </w:pPr>
            <w:r>
              <w:rPr>
                <w:rFonts w:ascii="Arial" w:cs="Arial" w:eastAsia="Arial" w:hAnsi="Arial"/>
                <w:sz w:val="14"/>
                <w:szCs w:val="14"/>
                <w:color w:val="auto"/>
                <w:w w:val="76"/>
              </w:rPr>
              <w:t>23</w:t>
            </w:r>
          </w:p>
        </w:tc>
        <w:tc>
          <w:tcPr>
            <w:tcW w:w="2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(171,745)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(5,636)</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5"/>
              </w:rPr>
              <w:t>753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(150)</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(695)</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ind w:left="140"/>
              <w:spacing w:after="0"/>
              <w:rPr>
                <w:sz w:val="20"/>
                <w:szCs w:val="20"/>
                <w:color w:val="auto"/>
              </w:rPr>
            </w:pPr>
            <w:r>
              <w:rPr>
                <w:rFonts w:ascii="Arial" w:cs="Arial" w:eastAsia="Arial" w:hAnsi="Arial"/>
                <w:sz w:val="14"/>
                <w:szCs w:val="14"/>
                <w:color w:val="auto"/>
              </w:rPr>
              <w:t>dividend equivalents, net of taxes</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1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3,457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66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(14,823)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8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2015</w:t>
            </w:r>
          </w:p>
        </w:tc>
        <w:tc>
          <w:tcPr>
            <w:tcW w:w="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5,367</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2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(183,105</w:t>
            </w:r>
          </w:p>
        </w:tc>
        <w:tc>
          <w:tcPr>
            <w:tcW w:w="160" w:type="dxa"/>
            <w:vAlign w:val="bottom"/>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(6,300</w:t>
            </w:r>
          </w:p>
        </w:tc>
        <w:tc>
          <w:tcPr>
            <w:tcW w:w="28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5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21.</w:t>
      </w:r>
    </w:p>
    <w:p>
      <w:pPr>
        <w:spacing w:after="0" w:line="18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In December 2014, we sold our Wheelabrator business, which provides waste-to-energy services and manages waste-to-energy facilities and independent power production plants. Refer to Note 19 for additional information related to our divestitures.</w:t>
      </w:r>
    </w:p>
    <w:p>
      <w:pPr>
        <w:spacing w:after="0" w:line="275" w:lineRule="exact"/>
        <w:rPr>
          <w:sz w:val="20"/>
          <w:szCs w:val="20"/>
          <w:color w:val="auto"/>
        </w:rPr>
      </w:pPr>
    </w:p>
    <w:p>
      <w:pPr>
        <w:ind w:left="240" w:right="7980" w:hanging="232"/>
        <w:spacing w:after="0" w:line="400" w:lineRule="auto"/>
        <w:tabs>
          <w:tab w:leader="none" w:pos="192"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Accounting Changes and Reclassifications </w:t>
      </w:r>
      <w:r>
        <w:rPr>
          <w:rFonts w:ascii="Arial" w:cs="Arial" w:eastAsia="Arial" w:hAnsi="Arial"/>
          <w:sz w:val="17"/>
          <w:szCs w:val="17"/>
          <w:b w:val="1"/>
          <w:bCs w:val="1"/>
          <w:i w:val="1"/>
          <w:iCs w:val="1"/>
          <w:color w:val="auto"/>
        </w:rPr>
        <w:t>Accounting Changes</w:t>
      </w:r>
    </w:p>
    <w:p>
      <w:pPr>
        <w:spacing w:after="0" w:line="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Deferred Income Taxes </w:t>
      </w:r>
      <w:r>
        <w:rPr>
          <w:rFonts w:ascii="Arial" w:cs="Arial" w:eastAsia="Arial" w:hAnsi="Arial"/>
          <w:sz w:val="17"/>
          <w:szCs w:val="17"/>
          <w:color w:val="auto"/>
        </w:rPr>
        <w:t>— In November 2015, the Financial Accounting Standards Board (“FASB”) amended authoritative guidance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To simplify the presentation of deferred income taxes, the amended guidance requires that deferred tax liabilities and assets be classified as noncurrent in the statement of financial position. This eliminates the guidance to separate deferred income tax liabilities and assets into current and noncurrent amounts in the statement of financial position. The amendments to the authoritative guidance associated with deferred income taxes were effective for the Company on January 1, 2016; however, early adoption was permitted. The Company’s early adoption of this guidance in 2015 was applied retrospectively and did not have a material impact on our consolidated financial statements.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of diverse customers we serve. At December 31, 2015 and 2014, no single customer represented greater than 5% of total accounts receivable.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Other receivables at December 31, 2015 and 2014 include receivables related to tax payments in excess of the provision of $439 million and $255 million, respectively.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Cost Basis of Landfill Assets </w:t>
      </w:r>
      <w:r>
        <w:rPr>
          <w:rFonts w:ascii="Arial" w:cs="Arial" w:eastAsia="Arial" w:hAnsi="Arial"/>
          <w:sz w:val="18"/>
          <w:szCs w:val="18"/>
          <w:color w:val="auto"/>
        </w:rPr>
        <w:t>— We capitalize various costs that we incur to make a landfill ready to accept waste. These costs generally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our asset retirement activities and our related accounting:</w:t>
      </w:r>
    </w:p>
    <w:p>
      <w:pPr>
        <w:spacing w:after="0" w:line="131" w:lineRule="exact"/>
        <w:rPr>
          <w:sz w:val="20"/>
          <w:szCs w:val="20"/>
          <w:color w:val="auto"/>
        </w:rPr>
      </w:pPr>
    </w:p>
    <w:p>
      <w:pPr>
        <w:ind w:left="900" w:right="12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topsoil 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93"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93"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Post-Closure </w:t>
      </w:r>
      <w:r>
        <w:rPr>
          <w:rFonts w:ascii="Arial" w:cs="Arial" w:eastAsia="Arial" w:hAnsi="Arial"/>
          <w:sz w:val="18"/>
          <w:szCs w:val="18"/>
          <w:color w:val="auto"/>
        </w:rPr>
        <w:t>— Involves the maintenance and monitoring of a landfill site that has been certified closed by the applicable regulatory agency.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years ended December 31, 2015, 2014 and 2013, we inflated these costs in current dollars until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at December 31, 2015 is approximately 6.25%. We expect to apply a credit-adjusted, risk-free discount rate of 4.50% to liabilities incurred in the first quarter of 2016.</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6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 xml:space="preserve">Amortization of Landfill Assets </w:t>
      </w:r>
      <w:r>
        <w:rPr>
          <w:rFonts w:ascii="Arial" w:cs="Arial" w:eastAsia="Arial" w:hAnsi="Arial"/>
          <w:sz w:val="16"/>
          <w:szCs w:val="16"/>
          <w:color w:val="auto"/>
        </w:rPr>
        <w:t>— The amortizable basis of a landfill includes (i) amounts previously expended and capitalized; (ii) capitalized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final 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31" w:lineRule="exact"/>
        <w:rPr>
          <w:sz w:val="20"/>
          <w:szCs w:val="20"/>
          <w:color w:val="auto"/>
        </w:rPr>
      </w:pPr>
    </w:p>
    <w:p>
      <w:pPr>
        <w:ind w:left="900" w:right="12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86"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92"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75" w:lineRule="exact"/>
        <w:rPr>
          <w:rFonts w:ascii="Arial" w:cs="Arial" w:eastAsia="Arial" w:hAnsi="Arial"/>
          <w:sz w:val="18"/>
          <w:szCs w:val="18"/>
          <w:color w:val="auto"/>
        </w:rPr>
      </w:pPr>
    </w:p>
    <w:p>
      <w:pPr>
        <w:ind w:left="1480" w:right="520" w:hanging="446"/>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21 landfill sites with expansions included at December 31, 2015, three landfills required the Chief Financial Officer to approve the inclusion of the unpermitted airspace. One landfill required approval by our Chief Financial Officer because of community or political opposition that could impede the expansion process. The remaining two landfills required approval because the permit application process did not meet the one- or five-year requirements.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87"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$209 million recorded in the Consolidated Financial Statements as of December 31, 2015.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83"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 the cost in current dollars (by 2.5% at December 31, 2015 and 2014)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Years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Charge (reduction) to Operating expenses</w:t>
            </w:r>
          </w:p>
        </w:tc>
        <w:tc>
          <w:tcPr>
            <w:tcW w:w="11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w:t>
            </w:r>
          </w:p>
        </w:tc>
        <w:tc>
          <w:tcPr>
            <w:tcW w:w="200" w:type="dxa"/>
            <w:vAlign w:val="bottom"/>
            <w:shd w:val="clear" w:color="auto" w:fill="CCEEFF"/>
          </w:tcPr>
          <w:p>
            <w:pPr>
              <w:spacing w:after="0"/>
              <w:rPr>
                <w:sz w:val="18"/>
                <w:szCs w:val="18"/>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 recovery</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assets</w:t>
            </w:r>
          </w:p>
        </w:tc>
        <w:tc>
          <w:tcPr>
            <w:tcW w:w="1120" w:type="dxa"/>
            <w:vAlign w:val="bottom"/>
            <w:gridSpan w:val="2"/>
          </w:tcPr>
          <w:p>
            <w:pPr>
              <w:jc w:val="right"/>
              <w:ind w:right="468"/>
              <w:spacing w:after="0"/>
              <w:rPr>
                <w:sz w:val="20"/>
                <w:szCs w:val="20"/>
                <w:color w:val="auto"/>
              </w:rPr>
            </w:pPr>
            <w:r>
              <w:rPr>
                <w:rFonts w:ascii="Arial" w:cs="Arial" w:eastAsia="Arial" w:hAnsi="Arial"/>
                <w:sz w:val="18"/>
                <w:szCs w:val="18"/>
                <w:color w:val="auto"/>
              </w:rPr>
              <w:t>2.25%</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portion of our recorded environmental remediation liabilities that were not subject to inflation or discounting, as the amounts and timing of payments are not fixed or reliably determinable, was $52 million at December 31, 2015 and $41 million at December 31, 2014. Had we not inflated and discounted any portion of our environmental remediation liability, the amount recorded would have decreased by $3 million and $6 million at December 31, 2015 and 2014,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Useful Lives</w:t>
            </w: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 to 20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30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 to 40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Operating Leases (excluding landfills discussed below) </w:t>
      </w:r>
      <w:r>
        <w:rPr>
          <w:rFonts w:ascii="Arial" w:cs="Arial" w:eastAsia="Arial" w:hAnsi="Arial"/>
          <w:sz w:val="18"/>
          <w:szCs w:val="18"/>
          <w:color w:val="auto"/>
        </w:rPr>
        <w:t>— The majority of our leases are operating leases. This classification generally can be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2015 are disclosed in Note 11.</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t>
      </w:r>
      <w:r>
        <w:rPr>
          <w:rFonts w:ascii="Arial" w:cs="Arial" w:eastAsia="Arial" w:hAnsi="Arial"/>
          <w:sz w:val="18"/>
          <w:szCs w:val="18"/>
          <w:i w:val="1"/>
          <w:iCs w:val="1"/>
          <w:color w:val="auto"/>
        </w:rPr>
        <w:t xml:space="preserve">excluding landfills discussed below) </w:t>
      </w:r>
      <w:r>
        <w:rPr>
          <w:rFonts w:ascii="Arial" w:cs="Arial" w:eastAsia="Arial" w:hAnsi="Arial"/>
          <w:sz w:val="18"/>
          <w:szCs w:val="18"/>
          <w:color w:val="auto"/>
        </w:rPr>
        <w:t>— Assets under capital leases are capitalized using interest rates determined at the inception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87"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i w:val="1"/>
          <w:iCs w:val="1"/>
          <w:color w:val="auto"/>
        </w:rPr>
        <w:t xml:space="preserve">Landfill Leases </w:t>
      </w:r>
      <w:r>
        <w:rPr>
          <w:rFonts w:ascii="Arial" w:cs="Arial" w:eastAsia="Arial" w:hAnsi="Arial"/>
          <w:sz w:val="18"/>
          <w:szCs w:val="18"/>
          <w:color w:val="auto"/>
        </w:rPr>
        <w:t>— From an operating perspective, landfills that we lease are similar to landfills we own because generally we own the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permit and will operate the landfill for the entire lease term, which in many cases is the life of the landfill. As a result, our landfill leases are generally capital leases.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 achievement by the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of certain negotiated goals, such as targeted revenue levels, targeted disposal volumes or the issuance of permits for expanded landfill airspace.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 environmental matters and</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Acquisition-date fair value estimates are revised as necessary and accounted for as an adjustment to income from operations if, and when, additional information regarding these contingencies becomes available to further define and quantify assets acquired and liabilities assumed. All acquisition-related transaction costs have been expensed as incurred.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section below, we assess our goodwill for impairment at least annually.</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acquisition date fair value and are generally amortized using either a 150% declining balance approach or a straight-line basis as we determine appropriate. Customer and supplier relationships are typically amortized over a term ranging between 10 and 15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monitor the carrying value of our long-lived assets for potential impairment on an ongoing basis and test the recoverability of such assets using significant unobservable (“Level 3”) inputs whenever events or changes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w:t>
      </w:r>
    </w:p>
    <w:p>
      <w:pPr>
        <w:spacing w:after="0" w:line="5" w:lineRule="exact"/>
        <w:rPr>
          <w:sz w:val="20"/>
          <w:szCs w:val="20"/>
          <w:color w:val="auto"/>
        </w:rPr>
      </w:pPr>
    </w:p>
    <w:p>
      <w:pPr>
        <w:ind w:firstLine="8"/>
        <w:spacing w:after="0" w:line="271" w:lineRule="auto"/>
        <w:tabs>
          <w:tab w:leader="none" w:pos="265" w:val="left"/>
        </w:tabs>
        <w:numPr>
          <w:ilvl w:val="0"/>
          <w:numId w:val="73"/>
        </w:numPr>
        <w:rPr>
          <w:rFonts w:ascii="Arial" w:cs="Arial" w:eastAsia="Arial" w:hAnsi="Arial"/>
          <w:sz w:val="17"/>
          <w:szCs w:val="17"/>
          <w:color w:val="auto"/>
        </w:rPr>
      </w:pPr>
      <w:r>
        <w:rPr>
          <w:rFonts w:ascii="Arial" w:cs="Arial" w:eastAsia="Arial" w:hAnsi="Arial"/>
          <w:sz w:val="17"/>
          <w:szCs w:val="17"/>
          <w:color w:val="auto"/>
        </w:rPr>
        <w:t>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(other than goodwill)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Environnement, Inc. (“RCI”), we determined that the future costs to construct 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At least annually, and more frequently if warranted, we assess our goodwill for impairment using Level 3 inputs.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our annual 2013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 carrying amount of goodwill to determine the amount of the impairment. The factors contributing to the $483 million goodwill impairment charge principally related to the continued challenging business environment in areas of the country in which Wheelabrator operated, characterized by lower available disposal volumes (which impact disposal rates and overall disposal revenue, as well as the amount of electricity Wheelabrator was able to generate), lower electricity pricing due to the pricing pressure created by availability of natural gas and increased operating costs as Wheelabrator’s facilities aged. These factors caused us to lower prior assumptions for electricity and disposal revenue, and increase assumed operating costs. Additionally, the discount factor previously utilized in the income approach in 2013 increased mainly due to increases in interest rates. In 2013, we also incurred $10 million of charges to impair goodwill associated with our Puerto Rico operations. In 2014, we recognized $10 million of goodwill impairment charges associated with our recycling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13 for information related to impairments recognized during the reported periods.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goodwill for impairment.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Fair value is typically estimated using an income approach. The income approach is based on the long-term projected future cash flows.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restricted trust and escrow accounts consist principally of funds deposited for purposes of settling landfill final capping, closure, post-closure and environmental remediation obligations. At several of our landfills, we provide financial assurance by depositing 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 (iv) acquisitions or divestitures of landfills and (v) changes in the fair value of the financial instruments held in the trust fund or escrow accounts. As of December 31, 2015 and 2014, we had $105 million and $171 million, respectively, of restricted trust and escrow accounts, which are primarily included in “Other assets” in our Consolidated Balance Sheets. See Note 20 for additional discussion related to restricted trust and escrow accounts.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The following table summarizes our equity and cost method investments as of December 31 (in millions):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$186</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Cost investments</w:t>
            </w:r>
          </w:p>
        </w:tc>
        <w:tc>
          <w:tcPr>
            <w:tcW w:w="20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entities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monitor and assess the carrying value of our investments throughout the year for potential impairment and write them down to their fair value when other-than-temporary declines exist. Fair value is generally based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(i) other third-party investors’ recent transactions in the securities; (ii) other information available regarding the current market for similar assets and/or (iii) a market or income approach as deemed appropriate.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have operations in Canada as well as a cost center in India and investments in Hong Kong. Local currencies generally are considered the functional currencies of our operations and investments outside the United States.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primarily use derivative financial instruments to manage our risk associated with fluctuations in interest rates and foreign currency exchange rates. In prior years, we used interest rate swaps to maintain a strategic portion of our long-term debt obligations at variable, market-driven interest rates or in anticipation of planned senior note issuances to effectively lock in a fixed interest rate for those anticipated issuances. We use foreign currency exchange rate derivatives to hedge our exposure to fluctuations in exchange rates for anticipated intercompany cash transactions between Waste Management Holdings, Inc., a wholly-owned subsidiary (“WM Holdings”), and its Canadian subsidiaries. Prior to the sale of our Wheelabrator business in December 2014, we used electricity commodity derivatives to mitigate the variability in our revenues and cash flows caused by fluctuations in the market prices for electricity. The financial statement impacts of our derivatives are discussed in Notes 8 and 14.</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obtain current valuations of our foreign currency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current accrued liabilities or other long-term liabilities, as appropriate. Any ineffectiveness present in either fair value or cash flow hedges is recognized immediately in earnings without offset. There was no significant ineffectiveness in 2015, 2014 or 2013.</w:t>
      </w:r>
    </w:p>
    <w:p>
      <w:pPr>
        <w:spacing w:after="0" w:line="94" w:lineRule="exact"/>
        <w:rPr>
          <w:sz w:val="20"/>
          <w:szCs w:val="20"/>
          <w:color w:val="auto"/>
        </w:rPr>
      </w:pPr>
    </w:p>
    <w:p>
      <w:pPr>
        <w:ind w:left="900" w:hanging="325"/>
        <w:spacing w:after="0" w:line="27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Foreign Currency Derivatives </w:t>
      </w:r>
      <w:r>
        <w:rPr>
          <w:rFonts w:ascii="Arial" w:cs="Arial" w:eastAsia="Arial" w:hAnsi="Arial"/>
          <w:sz w:val="17"/>
          <w:szCs w:val="17"/>
          <w:color w:val="auto"/>
        </w:rPr>
        <w:t>— Our foreign currency derivatives have been designated as cash flow hedges for accounting purposes,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the unrealized changes in 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w:t>
      </w:r>
    </w:p>
    <w:p>
      <w:pPr>
        <w:spacing w:after="0" w:line="77" w:lineRule="exact"/>
        <w:rPr>
          <w:rFonts w:ascii="Arial" w:cs="Arial" w:eastAsia="Arial" w:hAnsi="Arial"/>
          <w:sz w:val="17"/>
          <w:szCs w:val="17"/>
          <w:color w:val="auto"/>
        </w:rPr>
      </w:pPr>
    </w:p>
    <w:p>
      <w:pPr>
        <w:ind w:left="900" w:hanging="325"/>
        <w:spacing w:after="0" w:line="291"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Interest Rate Derivatives </w:t>
      </w:r>
      <w:r>
        <w:rPr>
          <w:rFonts w:ascii="Arial" w:cs="Arial" w:eastAsia="Arial" w:hAnsi="Arial"/>
          <w:sz w:val="16"/>
          <w:szCs w:val="16"/>
          <w:color w:val="auto"/>
        </w:rPr>
        <w:t>— Our previously outstanding interest rate swaps associated with outstanding fixed-rate senior notes had been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as fair value hedges for accounting purposes. Accordingly, derivative assets were accounted for as an increase in the carrying value of our underlying debt obligations and derivative liabilities were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prior years were designated as cash flow hedges for accounting purposes. The fair value of these derivative instruments were recorded in “Accumulated other comprehensive income” within the equity section of our Consolidated Balance Sheets. The associated balance in other comprehensive income is reclassified to earnings as the hedged cash flows occur.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revenues are generated from the fees we charge for waste collection, transfer, disposal and recycling and resource recovery services; from the sale of electricity and landfill gas, which are byproducts of our landfill operations; and from the sale of recyclable commodities,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or recycling commodities are delivered.</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Tangible product revenues primarily include the sale of recyclable commodities at our material recovery facilities and through our recycling brokerage services and, to a lesser extent, sales of oil and gas, metals and organic lawn and garden products.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capitalize interest on certain projects under development, including internal-use software and landfill expansion projects, and on certain assets under construction, including operating landfills and landfill gas-to-energy projects. During 2015, 2014 and 2013, total interest costs were $407 million, $487 million and $500 million, respectively, of which $16 million was capitalized in 2015, $16 million was capitalized in 2014 and $19 million was capitalized in 2013. In 2015, 2014 and 2013, interest was capitalized primarily for landfill construction costs.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is subject to income tax in the U.S. and Canada.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Deferred income taxes are based on the difference between the financial reporting and tax basis of assets and liabilities. The deferred income tax provision represents the change during the reporting period in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Should interest and penalties be assessed by taxing authorities on any underpayment of income tax, such amounts would be accrued and classified as a component of income tax expense in our Consolidated Statements of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U.S. Generally Accepted Accounting Principles.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11 for discussion of our commitments and contingencies.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Cash paid during the year (in millions):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net of capitalized interest and periodic settlements from interest rate</w:t>
            </w: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swap agreements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384</w:t>
            </w:r>
          </w:p>
        </w:tc>
        <w:tc>
          <w:tcPr>
            <w:tcW w:w="19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461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478</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Income taxes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980" w:type="dxa"/>
            <w:vAlign w:val="bottom"/>
            <w:gridSpan w:val="3"/>
          </w:tcPr>
          <w:p>
            <w:pPr>
              <w:jc w:val="right"/>
              <w:ind w:right="740"/>
              <w:spacing w:after="0"/>
              <w:rPr>
                <w:sz w:val="20"/>
                <w:szCs w:val="20"/>
                <w:color w:val="auto"/>
              </w:rPr>
            </w:pPr>
            <w:r>
              <w:rPr>
                <w:rFonts w:ascii="Arial" w:cs="Arial" w:eastAsia="Arial" w:hAnsi="Arial"/>
                <w:sz w:val="18"/>
                <w:szCs w:val="18"/>
                <w:color w:val="auto"/>
              </w:rPr>
              <w:t>758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the year ended December 31, 2015, non-cash investing and financing activities included $262 million of tax-exempt bond refundings and reissuances as discussed further in Note 7. For the year ended December 31, 2013, non-cash investing and financing activities included proceeds from tax-exempt borrowings, net of principal payments made directly from trust funds, of $99 million. During 2014 we did not have any significant non-cash investing and financing activities. Non-cash investing and financing activities are generally excluded from the Consolidated Statements of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Landfill and Environmental Remediation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0"/>
                <w:szCs w:val="10"/>
                <w:color w:val="auto"/>
              </w:rPr>
            </w:pPr>
          </w:p>
        </w:tc>
        <w:tc>
          <w:tcPr>
            <w:tcW w:w="14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9"/>
              </w:rPr>
              <w:t>Environmental</w:t>
            </w:r>
          </w:p>
        </w:tc>
        <w:tc>
          <w:tcPr>
            <w:tcW w:w="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0"/>
                <w:szCs w:val="10"/>
                <w:color w:val="auto"/>
              </w:rPr>
            </w:pP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0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Remediation</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Remediation</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1,339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1,443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92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years ended December 31, 2014 and 2015 are reflected in the table below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Landfill</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assumptions(a)(b)</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adjustments(c)</w:t>
            </w:r>
          </w:p>
        </w:tc>
        <w:tc>
          <w:tcPr>
            <w:tcW w:w="1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assumptions(a)(b)</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adjustments(c)</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for our landfill liabilities include an increase of approximately $2 million for 2014 and a decrease of approximately $18 million for 2015, related to our year-end annual review of landfill final capping, closure and post-closure obligations.</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 2014 for environmental remediation liabilities includes the impact of a decrease in the risk-free discount rate used to measure our liabilities from 3.0% at December 31, 2013 to 2.0% at December 31, 2014, resulting in an increase of $13 million to our environmental remediation liabilities and a corresponding increase to “Operating” expenses.</w:t>
      </w:r>
    </w:p>
    <w:p>
      <w:pPr>
        <w:spacing w:after="0" w:line="95" w:lineRule="exact"/>
        <w:rPr>
          <w:rFonts w:ascii="Arial" w:cs="Arial" w:eastAsia="Arial" w:hAnsi="Arial"/>
          <w:sz w:val="18"/>
          <w:szCs w:val="18"/>
          <w:color w:val="auto"/>
        </w:rPr>
      </w:pPr>
    </w:p>
    <w:p>
      <w:pPr>
        <w:ind w:left="460" w:right="320"/>
        <w:spacing w:after="0" w:line="264" w:lineRule="auto"/>
        <w:rPr>
          <w:rFonts w:ascii="Arial" w:cs="Arial" w:eastAsia="Arial" w:hAnsi="Arial"/>
          <w:sz w:val="18"/>
          <w:szCs w:val="18"/>
          <w:color w:val="auto"/>
        </w:rPr>
      </w:pPr>
      <w:r>
        <w:rPr>
          <w:rFonts w:ascii="Arial" w:cs="Arial" w:eastAsia="Arial" w:hAnsi="Arial"/>
          <w:sz w:val="18"/>
          <w:szCs w:val="18"/>
          <w:color w:val="auto"/>
        </w:rPr>
        <w:t>The amount reported in 2015 for our environmental remediation liabilities includes the impact of an increase in the risk-free discount rate used to measure our liabilities from 2.0% at December 31, 2014 to 2.25% at December 31, 2015, resulting in a decrease of $3 million to our environmental remediation liabilities and a corresponding decrease to “Operating” expenses.</w:t>
      </w:r>
    </w:p>
    <w:p>
      <w:pPr>
        <w:spacing w:after="0" w:line="8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for our 2014 landfill liabilities include reductions of approximately $25 million for divestitures, including the divestiture of our Wheelabrator business.</w:t>
      </w:r>
    </w:p>
    <w:p>
      <w:pPr>
        <w:spacing w:after="0" w:line="75"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amounts reported for our 2015 landfill liabilities include an increase of approximately $18 million associated with the acquisition of Deffenbaugh Disposal, Inc. (“Deffenbaugh”).</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recorded liabilities as of December 31, 2015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$32 million in 2016, $26 million in 2017, $30 million in 2018, $19 million in 2019, $11 million in 2020 and $89 million thereafter.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18 and 20 for additional information related to these trusts.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Landfills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13,772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13,463</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27,085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26,625</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(8,495)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(8,278)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Less accumulated landfill airspace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(7,925)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(7,690)</w:t>
            </w:r>
          </w:p>
        </w:tc>
      </w:tr>
      <w:tr>
        <w:trPr>
          <w:trHeight w:val="27"/>
        </w:trPr>
        <w:tc>
          <w:tcPr>
            <w:tcW w:w="5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10,657</w:t>
            </w:r>
          </w:p>
        </w:tc>
        <w:tc>
          <w:tcPr>
            <w:tcW w:w="12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was comprised of the following for the years ended December 31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1,214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1,253</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Goodwill was $5,984 million as of December 31, 2015 compared with $5,740 million as of December 31, 2014. The $244 million increase in goodwill during 2015 is primarily related to acquisitions, offset in part by the effect of foreign currency translation adjustments related to the goodwill associated with our Canadian operations. See Notes 19 and 21 for additional information.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discussed more fully in Note 3, we perform our annual impairment test of our goodwill balances using a measurement date of October 1. We will also perform interim tests if an impairment indicator exists such that the fair value of a reporting unit could potentially be less than its carrying amount. We did not encounter any events or changes in circumstances that indicated that an impairment was more likely than not during interim periods in 2015, 2014 or 2013.</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intangible assets as of December 31, 2015 and 2014 were comprised of the following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1"/>
              </w:rPr>
              <w:t>Customer</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Covenants</w:t>
            </w:r>
          </w:p>
        </w:tc>
        <w:tc>
          <w:tcPr>
            <w:tcW w:w="340" w:type="dxa"/>
            <w:vAlign w:val="bottom"/>
          </w:tcPr>
          <w:p>
            <w:pPr>
              <w:spacing w:after="0"/>
              <w:rPr>
                <w:sz w:val="14"/>
                <w:szCs w:val="14"/>
                <w:color w:val="auto"/>
              </w:rPr>
            </w:pPr>
          </w:p>
        </w:tc>
        <w:tc>
          <w:tcPr>
            <w:tcW w:w="144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87"/>
              </w:rPr>
              <w:t>Licenses,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6"/>
              </w:rPr>
              <w:t>and</w:t>
            </w:r>
          </w:p>
        </w:tc>
        <w:tc>
          <w:tcPr>
            <w:tcW w:w="10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Supplier</w:t>
            </w:r>
          </w:p>
        </w:tc>
        <w:tc>
          <w:tcPr>
            <w:tcW w:w="80" w:type="dxa"/>
            <w:vAlign w:val="bottom"/>
          </w:tcPr>
          <w:p>
            <w:pPr>
              <w:spacing w:after="0"/>
              <w:rPr>
                <w:sz w:val="12"/>
                <w:szCs w:val="12"/>
                <w:color w:val="auto"/>
              </w:rPr>
            </w:pP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Not-to-</w:t>
            </w:r>
          </w:p>
        </w:tc>
        <w:tc>
          <w:tcPr>
            <w:tcW w:w="340" w:type="dxa"/>
            <w:vAlign w:val="bottom"/>
          </w:tcPr>
          <w:p>
            <w:pPr>
              <w:spacing w:after="0"/>
              <w:rPr>
                <w:sz w:val="12"/>
                <w:szCs w:val="12"/>
                <w:color w:val="auto"/>
              </w:rPr>
            </w:pPr>
          </w:p>
        </w:tc>
        <w:tc>
          <w:tcPr>
            <w:tcW w:w="14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Permits</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Relationships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Compete</w:t>
            </w:r>
          </w:p>
        </w:tc>
        <w:tc>
          <w:tcPr>
            <w:tcW w:w="3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119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$ 828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116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$ 755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7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Amortization expense for other intangible assets was $76 million for 2015, $78 million for 2014 and $80 million for 2013. At December 31, 2015, we had $18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19. As of December 31, 2015, expected annual amortization expense related to other intangible assets is $76 million in 2016; $67 million in 2017; $61 million in 2018; $54 million in 2019 and $47 million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December 31, 2015:</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U.S. revolving credit facility, maturing July 2020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credit facility and term loan, maturing November 2017 (weighted average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effective interest rate of 2.2% at December 31, 2015 and 2.6% at December 31, 2014)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rPr>
              <w:t>Senior notes maturing through 2045, interest rates ranging from 2.60% to 7.75%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(weighted average interest rate of 4.7% at December 31, 2015 and 5.7% at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6,082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Tax-exempt bonds maturing through 2045, fixed and variable interest rates ranging from</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0.02% to 5.7% (weighted average interest rate of 1.9% at December 31, 2015 and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 at December 31, 2014)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2,467</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424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2015, we had $732 million of debt maturing within the next 12 months, including (i) $500 million of 2.6% senior notes that mature in September 2016; (ii) $146 million of tax-exempt bonds and (iii) $20 million of borrowings outstanding under our long-term U.S. revolving credit facility (“$2.25 billion revolving credit facility”). In addition, $316 million of tax-exempt bonds have term interest rate periods subject to repricing within the next 12 months, which is prior to their scheduled maturities. We have classified the $20 million of borrowings outstanding under our $2.25 billion revolving credit facility as long-term because we intend and have the ability to refinance or maintain these borrowings on a long-term basis. Based on our intent and ability to refinance other portions of our current obligations on a long-term basis as of December 31, 2015, including through use of forecasted available capacity under our $2.25 billion revolving credit facility, we have classified an additional $775 million of debt as long-term. The remaining $253 million is classified as current obligations.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December 31, 2015, we also had $491 million of variable-rate tax-exempt bonds that are supported by letters of credit. The interest rates on these bonds are reset on either a daily or weekly basis through a remarketing process. All recent remarketings have successfully placed Company bonds with investors at reasonable,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Consolidated Balance Sheet at December 31, 2015.</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117" w:lineRule="exact"/>
        <w:rPr>
          <w:sz w:val="20"/>
          <w:szCs w:val="20"/>
          <w:color w:val="auto"/>
        </w:rPr>
      </w:pPr>
    </w:p>
    <w:p>
      <w:pPr>
        <w:jc w:val="both"/>
        <w:ind w:right="20" w:firstLine="456"/>
        <w:spacing w:after="0" w:line="276" w:lineRule="auto"/>
        <w:rPr>
          <w:sz w:val="20"/>
          <w:szCs w:val="20"/>
          <w:color w:val="auto"/>
        </w:rPr>
      </w:pPr>
      <w:r>
        <w:rPr>
          <w:rFonts w:ascii="Arial" w:cs="Arial" w:eastAsia="Arial" w:hAnsi="Arial"/>
          <w:sz w:val="17"/>
          <w:szCs w:val="17"/>
          <w:i w:val="1"/>
          <w:iCs w:val="1"/>
          <w:color w:val="auto"/>
        </w:rPr>
        <w:t xml:space="preserve">$2.25 Billion Revolving Credit Facility </w:t>
      </w:r>
      <w:r>
        <w:rPr>
          <w:rFonts w:ascii="Arial" w:cs="Arial" w:eastAsia="Arial" w:hAnsi="Arial"/>
          <w:sz w:val="17"/>
          <w:szCs w:val="17"/>
          <w:color w:val="auto"/>
        </w:rPr>
        <w:t>— In July 2015, we amended and restated our $2.25 billion revolving credit facility, extending the term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July 2020. This facility provides us with credit capacity to be used for either cash borrowings or to support letters of credit. The rates we pay for outstanding loans are generally based on LIBOR plus a spread depending on the Company’s debt rating assigned by Moody’s Investors Service and Standard and Poor’s. The spread above LIBOR ranges from 0.805% to 1.30%. At December 31, 2015, we had $20 million of outstanding borrowings and $831 million of letters of credit issued and supported by the facility, leaving unused and available credit capacity of $1,399 million.</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Letter of Credit Facilities </w:t>
      </w:r>
      <w:r>
        <w:rPr>
          <w:rFonts w:ascii="Arial" w:cs="Arial" w:eastAsia="Arial" w:hAnsi="Arial"/>
          <w:sz w:val="18"/>
          <w:szCs w:val="18"/>
          <w:color w:val="auto"/>
        </w:rPr>
        <w:t>— As of December 31, 2015, we had an aggregate committed capacity of $150 million under letter of credit facilities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terms extending through December 2018. This letter of credit capacity was fully utilized as of December 31, 2015. The financial assurance needs of our business are extensive so we supplement the letter of credit capacity we have through these committed facilities with stand-alone letters of credit with various banking partners.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Canadian Credit Facility and Term Loan </w:t>
      </w:r>
      <w:r>
        <w:rPr>
          <w:rFonts w:ascii="Arial" w:cs="Arial" w:eastAsia="Arial" w:hAnsi="Arial"/>
          <w:sz w:val="18"/>
          <w:szCs w:val="18"/>
          <w:color w:val="auto"/>
        </w:rPr>
        <w:t>— Waste Management of Canada Corporation and WM Quebec Inc., wholly-owned subsidiaries of WM, are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under a Canadian credit agreement that provides C$150 million of revolving credit capacity and initially provided C$500 million of term credit. The credit agreement matures in November 2017. WM and WM Holdings guarantee all subsidiary obligations outstanding under the credit agreement. The rates we pay for outstanding loans under the Canadian credit agreement are generally based on the applicable Canadian Dealer Offered Rate (CDOR) plus a spread depending on the Company’s debt rating assigned by Moody’s Investors Service and Standard and Poor’s. The spread above CDOR ranges from 1.125% to 2.15%.</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have the ability to issue up to C$50 million of letters of credit under the Canadian revolving credit facility, which if utilized, reduces the amount of credit capacity available for borrowings. As of December 31, 2015 and 2014, we had no borrowings and no letters of credit outstanding under the facility.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C$500 million of term credit was established specifically to fund the acquisition of substantially all of the assets of RCI and was fully drawn in July 2013. The term loan is a non-revolving loan and principal amounts repaid may not be re-borrowed. Through December 31, 2015, we had repaid C$383 million of the term loan with available cash, reducing the outstanding balance to C$117 million, or $84 million. For additional information related to borrowings and principal repayments under the term loan, see below.</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117"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i w:val="1"/>
          <w:iCs w:val="1"/>
          <w:color w:val="auto"/>
        </w:rPr>
        <w:t xml:space="preserve">Canadian Credit Facility — </w:t>
      </w:r>
      <w:r>
        <w:rPr>
          <w:rFonts w:ascii="Arial" w:cs="Arial" w:eastAsia="Arial" w:hAnsi="Arial"/>
          <w:sz w:val="18"/>
          <w:szCs w:val="18"/>
          <w:color w:val="auto"/>
        </w:rPr>
        <w:t>We borrowed and repaid C$15 million, or $11 million, under the Canadian credit facility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We repaid C$153 million, or $119 million, of the advances under our Canadian term loan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with available cash. The remaining decline in the carrying value of borrowings outstanding under our Canadian term loan is due to foreign currency translation.</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During 2015, we refinanced a significant portion of our high-coupon senior notes. Details related to each component of the refinancing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follow:</w:t>
      </w:r>
    </w:p>
    <w:p>
      <w:pPr>
        <w:spacing w:after="0" w:line="62" w:lineRule="exact"/>
        <w:rPr>
          <w:sz w:val="20"/>
          <w:szCs w:val="20"/>
          <w:color w:val="auto"/>
        </w:rPr>
      </w:pPr>
    </w:p>
    <w:p>
      <w:pPr>
        <w:ind w:left="460" w:right="240"/>
        <w:spacing w:after="0" w:line="302" w:lineRule="auto"/>
        <w:rPr>
          <w:sz w:val="20"/>
          <w:szCs w:val="20"/>
          <w:color w:val="auto"/>
        </w:rPr>
      </w:pPr>
      <w:r>
        <w:rPr>
          <w:rFonts w:ascii="Arial" w:cs="Arial" w:eastAsia="Arial" w:hAnsi="Arial"/>
          <w:sz w:val="16"/>
          <w:szCs w:val="16"/>
          <w:i w:val="1"/>
          <w:iCs w:val="1"/>
          <w:color w:val="auto"/>
        </w:rPr>
        <w:t xml:space="preserve">Make-Whole Redemption </w:t>
      </w:r>
      <w:r>
        <w:rPr>
          <w:rFonts w:ascii="Arial" w:cs="Arial" w:eastAsia="Arial" w:hAnsi="Arial"/>
          <w:sz w:val="16"/>
          <w:szCs w:val="16"/>
          <w:color w:val="auto"/>
        </w:rPr>
        <w:t>— In January 2015, we repaid $947 million of WM senior notes, which comprised all of the outstanding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maturing in 2015, 2017 and 2019. The repayment of these debt balances was achieved by exercising the optional redemption provisions of the notes, which required that we pay the outstanding principal plus a make-whole premium. The “Loss on early extinguishment of debt” reflected in our Consolidated Statement of Operations for the year ended December 31, 2015 includes $122 million of charges related to these redemptions.</w:t>
      </w:r>
    </w:p>
    <w:p>
      <w:pPr>
        <w:spacing w:after="0" w:line="46"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i w:val="1"/>
          <w:iCs w:val="1"/>
          <w:color w:val="auto"/>
        </w:rPr>
        <w:t>Tender Offer</w:t>
      </w:r>
      <w:r>
        <w:rPr>
          <w:rFonts w:ascii="Arial" w:cs="Arial" w:eastAsia="Arial" w:hAnsi="Arial"/>
          <w:sz w:val="18"/>
          <w:szCs w:val="18"/>
          <w:color w:val="auto"/>
        </w:rPr>
        <w:t>s — During 2015, WM and WM Holdings made cash tender offers to purchase any and all of certain outstanding senior notes. The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notes targeted in the tenders and the amounts tendered of each series are summarized below:</w:t>
      </w:r>
    </w:p>
    <w:p>
      <w:pPr>
        <w:spacing w:after="0" w:line="76"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“Loss on early extinguishment of debt” reflected in our Consolidated Statement of Operations for the year ended December 31, 2015 includes $430 million of charges related to these tender offers.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New Issuance </w:t>
      </w:r>
      <w:r>
        <w:rPr>
          <w:rFonts w:ascii="Arial" w:cs="Arial" w:eastAsia="Arial" w:hAnsi="Arial"/>
          <w:sz w:val="18"/>
          <w:szCs w:val="18"/>
          <w:color w:val="auto"/>
        </w:rPr>
        <w:t>– In February 2015, WM issued $1.8 billion of new senior notes consisting of:</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117"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offers discussed above and for general corporate purposes.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Also affecting the change in the carrying value of our senior notes from December 31, 2014 to December 31, 2015 were decreases due to the amortization and write-off associated with fair value hedge accounting for previously terminated interest rate swap contracts, as discussed in Note 8, offset primarily by underwriting discounts related to the issuance of new senior notes in February 2015.</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year ended December 31, 2015, we repaid $79 million of our tax-exempt bonds with available cash. Additionally, we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to refund and reissue $262 million of tax-exempt bonds and finance the related debt issuance costs and premiums totaling $5 million. The “Loss on early extinguishment of debt” reflected in our Consolidated Statement of Operations for the year ended December 31, 2015 includes $3 million of charges related to these refundings.</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The decrease in our capital leases and other debt obligations is primarily related to the net repayment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at their scheduled maturities, including a $20 million guaranteed payment related to the acquisition of Greenstar, LLC (“Greenstar”), which is discussed further in Note 19.</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Scheduled Debt Payments </w:t>
      </w:r>
      <w:r>
        <w:rPr>
          <w:rFonts w:ascii="Arial" w:cs="Arial" w:eastAsia="Arial" w:hAnsi="Arial"/>
          <w:sz w:val="18"/>
          <w:szCs w:val="18"/>
          <w:color w:val="auto"/>
        </w:rPr>
        <w:t>— Principal payments of our debt and capital leases for the next five years, based on scheduled maturities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$730 million in 2016, $221 million in 2017, $792 million in 2018, $175 million in 2019, and $740 million in 2020.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debt balances are generally unsecured, except for capital leases and the note payable associated with our investment in low-income housing properties.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Our $2.25 billion revolving credit facility, our Canadian credit agreement and certain other financing agreements contain financial covenants. The following table summarizes the most restrictive requirements of these financial covenants (all terms used to measure these ratios are defined by the facilities):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354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&gt; 2.75 to 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 debt to EBITDA</w:t>
            </w:r>
          </w:p>
        </w:tc>
        <w:tc>
          <w:tcPr>
            <w:tcW w:w="3540" w:type="dxa"/>
            <w:vAlign w:val="bottom"/>
          </w:tcPr>
          <w:p>
            <w:pPr>
              <w:ind w:left="2620"/>
              <w:spacing w:after="0"/>
              <w:rPr>
                <w:sz w:val="20"/>
                <w:szCs w:val="20"/>
                <w:color w:val="auto"/>
              </w:rPr>
            </w:pPr>
            <w:r>
              <w:rPr>
                <w:rFonts w:ascii="Arial" w:cs="Arial" w:eastAsia="Arial" w:hAnsi="Arial"/>
                <w:sz w:val="18"/>
                <w:szCs w:val="18"/>
                <w:color w:val="auto"/>
              </w:rPr>
              <w:t>&lt; 3.50 to 1</w:t>
            </w: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credit facilities and senior notes also contain certain restrictions intended to monitor our level of subsidiary indebtedness, types of investments and net worth. We monitor our compliance with these restrictions, but do not believe that they significantly impact our ability to enter into investing or financing arrangements typical for our business. As of December 31, 2015 and 2014, we were in compliance with the covenants and restrictions under all of our debt agreements that may have a material effect on our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240" w:right="7640" w:hanging="232"/>
        <w:spacing w:after="0" w:line="378" w:lineRule="auto"/>
        <w:tabs>
          <w:tab w:leader="none" w:pos="19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b w:val="1"/>
          <w:bCs w:val="1"/>
          <w:i w:val="1"/>
          <w:iCs w:val="1"/>
          <w:color w:val="auto"/>
        </w:rPr>
        <w:t>Cash Flow Hedges</w:t>
      </w: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December 31, 2015 and 2014, we had foreign exchange cross currency swaps outstanding for all of the anticipated cash flows associated with intercompany loans from WM Holdings to its wholly-owned Canadian subsidiaries. Our Consolidated Balance Sheets include $15 million of current other assets at December 31, 2015 and $63 million and $28 million of long-term other assets at December 31, 2015 and 2014, respectively, related to foreign currency derivatives. We designated these cross currency swaps as cash flow hedges. The hedged cash flows as of December 31, 2015 and 2014 included C$370 million of total notional value. The scheduled principal payments of the loan and the related swaps are as follows: C$70 million due in October 2016, C$150 million due in October 2017 and C$150 million due in October 2018.</w:t>
      </w:r>
    </w:p>
    <w:p>
      <w:pPr>
        <w:spacing w:after="0" w:line="16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Gains or losses resulting from the remeasurement of the underlying non-functional currency intercompany loans are recognized in current earnings in the same financial statement line item as offsetting gains or losses on the related cross currency swaps. We have not offset fair value amounts recognized for our derivative instruments. For information related to the inputs used to measure our derivative assets and liabilities at fair value, refer to Note 18.</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 debt issuance initially forecasted for March 2014, but which occurred in May 2014. Accordingly, the loss associated with the matured forward-starting swaps was deferred as a component of “Accumulated other comprehensive income” and is being amortized to interest expense over the term of the May 2014 debt issuance. Ineffectiveness associated with the change in timing of the debt issuance was not material.</w:t>
      </w:r>
    </w:p>
    <w:p>
      <w:pPr>
        <w:spacing w:after="0" w:line="19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At December 31, 2015 and 2014, our “Accumulated other comprehensive income” included $43 million and $50 million, respectively, of after-tax deferred losses related to all previously terminated swaps, which are being amortized as an increase to interest expense over the ten-year term of the related senior note issuances using the effective interest method. As of December 31, 2015, $11 million of the deferred losses for these previously terminated swaps (on a pre-tax basis) is scheduled to be reclassified as an increase to interest expense over the next 12 months.</w:t>
      </w:r>
    </w:p>
    <w:p>
      <w:pPr>
        <w:spacing w:after="0" w:line="17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As discussed in Note 7, during 2015, the Company elected to redeem or tender certain senior notes. As a result, $3 million of deferred losses for previously terminated swaps were recorded as interest expense in the Consolidated Statement of Operations.</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There was no significant ineffectiveness associated with our cash flow hedges during the years ended December 31, 2015, 2014 or 2013. Refer to Note 14 for information regarding the impacts of our cash flow derivatives on our comprehensive income and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did not have any interest rate swaps outstanding during the reported periods. However, in prior years, we entered into interest rate swaps to maintain a portion of our debt obligations at variable market interest rates and designated these interest rate swaps as fair value hedges of our fixed-rate senior notes. Fair value hedge accounting for interest rate swap contracts increased the carrying value of our debt instruments by $23 million as of December 31, 2015 and $45 million as of December 31, 2014. The significant decrease in the fair value adjustment during the year ended December 31, 2015 is primarily due to accounting for the impact of our senior note redemption discussed in Note 7. During the year ended December 31, 2015, the redemption and tender of certain senior notes prior to their scheduled maturity dates resulted in the write-off of related fair value adjustments for terminated interest rate swaps as a $14 million credit to the “Loss on early extinguishment of debt” within our Consolidated Statement of Operations. The remaining fair value adjustments 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$8 million, $14 million and $20 million for the years ended December 31, 2015, 2014 and 2013,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consisted of the following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8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520" w:type="dxa"/>
            <w:vAlign w:val="bottom"/>
            <w:gridSpan w:val="3"/>
          </w:tcPr>
          <w:p>
            <w:pPr>
              <w:jc w:val="right"/>
              <w:ind w:right="300"/>
              <w:spacing w:after="0"/>
              <w:rPr>
                <w:sz w:val="20"/>
                <w:szCs w:val="20"/>
                <w:color w:val="auto"/>
              </w:rPr>
            </w:pPr>
            <w:r>
              <w:rPr>
                <w:rFonts w:ascii="Arial" w:cs="Arial" w:eastAsia="Arial" w:hAnsi="Arial"/>
                <w:sz w:val="18"/>
                <w:szCs w:val="18"/>
                <w:color w:val="auto"/>
              </w:rPr>
              <w:t>$192</w:t>
            </w: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$ 414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$ 389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3300" w:type="dxa"/>
            <w:vAlign w:val="bottom"/>
          </w:tcPr>
          <w:p>
            <w:pPr>
              <w:ind w:left="360"/>
              <w:spacing w:after="0"/>
              <w:rPr>
                <w:sz w:val="20"/>
                <w:szCs w:val="20"/>
                <w:color w:val="auto"/>
              </w:rPr>
            </w:pPr>
            <w:r>
              <w:rPr>
                <w:rFonts w:ascii="Arial" w:cs="Arial" w:eastAsia="Arial" w:hAnsi="Arial"/>
                <w:sz w:val="18"/>
                <w:szCs w:val="18"/>
                <w:color w:val="auto"/>
              </w:rPr>
              <w:t>Foreign</w:t>
            </w:r>
          </w:p>
        </w:tc>
        <w:tc>
          <w:tcPr>
            <w:tcW w:w="38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Deferred:</w:t>
            </w:r>
          </w:p>
        </w:tc>
        <w:tc>
          <w:tcPr>
            <w:tcW w:w="38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4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State</w:t>
            </w:r>
          </w:p>
        </w:tc>
        <w:tc>
          <w:tcPr>
            <w:tcW w:w="452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4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5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$ 413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$ 364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860" w:type="dxa"/>
            <w:vAlign w:val="bottom"/>
            <w:vMerge w:val="restart"/>
          </w:tcPr>
          <w:p>
            <w:pPr>
              <w:jc w:val="right"/>
              <w:ind w:right="2150"/>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federal statutory income tax rate is reconciled to the effective income tax rate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8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35.00%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35.00%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Federal tax credits</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(5.49)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(3.21)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(11.74)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0.04</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(0.81)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(0.99)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(0.46)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0.23</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Tax impact of divestitures</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(0.34)</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(7.89)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r>
      <w:tr>
        <w:trPr>
          <w:trHeight w:val="223"/>
        </w:trPr>
        <w:tc>
          <w:tcPr>
            <w:tcW w:w="684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29.11%</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23.61%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73.75%</w:t>
            </w:r>
          </w:p>
        </w:tc>
      </w:tr>
      <w:tr>
        <w:trPr>
          <w:trHeight w:val="20"/>
        </w:trPr>
        <w:tc>
          <w:tcPr>
            <w:tcW w:w="6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comparability of our provision for income taxes for the reported periods has been primarily affected by (i) variations in our income before income taxes; (ii) federal tax credits; (iii) adjustments to our accruals and related deferred taxes; (iv) the realization of state net operating losses and credits; (v) tax audit settlements and (vi) the tax implications of divestitures and impairments.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financial reporting purposes, income (loss) before income taxes by source was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$548</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7"/>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1,060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1,751</w:t>
            </w: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494</w:t>
            </w: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 refined coal facility in North Dakota. The facility’s refinement processes qualify for federal tax credits that are expected to be realized through 2019 in accordance with Section 45 of the Internal Revenue Code.</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Consolidated Statement of Operations. We recognized $7 million, $7 million and $8 million of net losses resulting from our share of the entity’s operating losses during the years ended December 31, 2015, 2014 and 2013, respectively. Our tax provision was reduced by $23 million, $21 million and $20 million for the years ended December 31, 2015, 2014 and 2013, respectively, primarily as a result of federal tax credits realized from this investment. See Note 20 for additional information related to this investment.</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 low-income housing properties. The entity’s low-income housing investments qualify for federal tax credits that are expected to be realized through 2020 in accordance with Section 42 of the Internal Revenue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Consolidated Statement of Operations. The value of our investment decreases as the tax credits are generated and utilized. During the years ended December 31, 2015, 2014 and 2013, we recognized $23 million, $25 million and $25 million, respectively, of net losses relating to our equity investment in this entity, $4 million, $5 million and $6 million, respectively, of interest expense, and a reduction in our tax provision of $34 million (including $23 million of federal tax credits), $37 million (including $25 million of federal tax credits) and $38 million (including $26 million of federal tax credits), respectively. See Note 20 for additional information related to this investment.</w:t>
      </w:r>
    </w:p>
    <w:p>
      <w:pPr>
        <w:spacing w:after="0" w:line="18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 xml:space="preserve">Other Federal Tax Credits </w:t>
      </w:r>
      <w:r>
        <w:rPr>
          <w:rFonts w:ascii="Arial" w:cs="Arial" w:eastAsia="Arial" w:hAnsi="Arial"/>
          <w:sz w:val="18"/>
          <w:szCs w:val="18"/>
          <w:color w:val="auto"/>
        </w:rPr>
        <w:t>— During 2015, 2014 and 2013, we recognized federal tax credits in addition to the tax credits realized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refined coal facility and low-income housing properties, resulting in a reduction to our provision for income taxes of $15 million, $13 million and $13 million, respectively.</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our accruals and related deferred taxes due to the filing of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changes in state law resulted in a reduction of $18 million, a reduction of $24 million and an increase of $4 million to our provision for income taxes for the years ended December 31, 2015, 2014 and 2013, respectively.</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2015, 2014 and 2013, we recognized state net operating losses and credits resulting in a reduction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provision for income taxes of $17 million, $16 million and $16 million, respectively.</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We file income tax returns in the United States and Canada as well as various state and local jurisdictions. We are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under audit by the IRS, Canada Revenue Agency and various state and local taxing authorities. Our audits are in various stages of completion.</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2015, 2014 and 2013 we settled various tax audits. The settlement of these tax audits resulted in a reduction to our provision for income taxes of $10 million, $12 million and $11 million for the years ended December 31, 2015, 2014 and 2013, respectively.</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participate in the IRS’s Compliance Assurance Process, which means we work with the IRS throughout the year in order to resolve any material issues prior to the filing of our annual tax return. We are currently in the examination phase of IRS audits for the tax years 2014, 2015 and 2016 and expect these audits to be completed within the next three, 15 and 27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We acquired Deffenbaugh, which is subject to potential IRS examination for the years 2012 through the date of acquisition in 2015.</w:t>
      </w:r>
    </w:p>
    <w:p>
      <w:pPr>
        <w:spacing w:after="0" w:line="193"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2014, the Company recorded a net gain of $515 million primarily related to the divestiture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Wheelabrator business, our Puerto Rico operations and certain landfill and collection operations in our Eastern Canada Area. Had this net gain been fully taxable, our provision for income taxes would have increased by $138 million. During 2015, the Company recorded an additional $10 million net gain primarily related to post-closing adjustments on the Wheelabrator divestiture. Had this gain been fully taxable, our provision for income taxes would have increased by $4 million. See Note 19 for more information related to divestitures.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A portion of the impairment charges recognized are not deductible for tax purposes. Had the charges been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our provision for income taxes would have been reduced by $2 million, $8 million and $235 million for the years ended December 31, 2015, 2014 and 2013, respectively. See Note 13 for more information related to asset impairments and unusual items.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Unremitted Earnings in Foreign Subsidiaries </w:t>
      </w:r>
      <w:r>
        <w:rPr>
          <w:rFonts w:ascii="Arial" w:cs="Arial" w:eastAsia="Arial" w:hAnsi="Arial"/>
          <w:sz w:val="17"/>
          <w:szCs w:val="17"/>
          <w:color w:val="auto"/>
        </w:rPr>
        <w:t>— At December 31, 2015, remaining unremitted earnings in foreign operations were approximately $825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which are considered permanently invested and, therefore, no provision for U.S. income taxes were accrued for these unremitted earnings. Determination of the unrecognized deferred U.S. income tax liability is not practicable due to uncertainties related to the timing and source of any potential distribution of such funds, along with other important factors such as the amount of associated foreign tax credits.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deferred tax assets (liabilities) are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Net operating loss, capital loss and tax credit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Miscellaneous and other reserves,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(1,095)</w:t>
            </w: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(1,391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valuation allowance decreased by $27 million in 2015 primarily due to changes in our capital loss and state NOL carry-forwards, as well as the tax impacts of impairments.</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At December 31, 2015, we had $47 million of federal NOL carry-forwards and $1.8 billion of state NOL carry-forwards. The federal and state NOL carry-forwards have expiration dates through the year 2035. We also have $423 million of federal capital loss carry-forwards which expire in 2019. In addition, we have $32 million of state tax credit carry-forwards at December 31, 2015.</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beginning and ending amount of gross unrecognized tax benefits, including accrued interest is as follows (in millions):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of prior years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Lapse of statute of limitations</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$ 71</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liabilities are included as a component of long-term “Other liabilities” in our Consolidated Balance Sheets because the Company does not anticipate that settlement of the liabilities will require payment of cash within the next 12 months. As of December 31, 2015, $57 million of net unrecognized tax benefits, if recognized in future periods, would impact our effective tax rate.</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recognize interest expense related to unrecognized tax benefits in income tax expense. During the years ended December 31, 2015, 2014 and 2013, we recognized $2 million, $1 million and $2 million, respectively, of such interest expense as a component of our provisions for income taxes. We had $3 million of accrued interest expense in our Consolidated Balance Sheets as of both December 31, 2015 and 2014. We did not have any accrued liabilities or expense for penalties related to unrecognized tax benefits for the years ended December 31, 2015, 2014 and 2013.</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not able to reasonably estimate when we might make any cash payments required to settle these liabilities, but we do not believe that the ultimate settlement of our obligations will materially affect our liquidity. As of December 31, 2015 we anticipate that approximately $36 million of liabilities for unrecognized tax benefits, including accrued interest, and $5 million of related tax assets may be reversed within the next 12 months. The anticipated reversals primarily relate to the deductibility and exclusion from gross income of certain federal tax items and other miscellaneous state tax items, each of which is individually insignificant. The recognition of the unrecognized tax benefits is expected to result from the filing of our tax returns, audit settlements or the expiration of the applicable statute of limitations period.</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 Depreciation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Protecting Americans from Tax Hikes Act of 2015 was signed into law on December 18, 2015 and included an extension for five years of the bonus depreciation allowance. As a result, 50% of qualifying capital expenditures on property placed in service before January 1, 2016 were depreciated immediately. The acceleration of deductions on 2015 qualifying capital expenditures resulting from the bonus depreciation provisions had no impact on our effective income tax rate for 2015 although it will reduce our cash taxes. This reduction will be offset by increased cash taxes in subsequent periods when the deductions related to the capital expenditures would have otherwise been taken.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 except those working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 bargaining agreements that do not allow for coverage under that plan. United States employees who are not subject to such collective bargaining agreements are generally eligible to participate in the plan following a 90-day waiting period after hire and may contribute as much as 25% of their annual compensation, subject to annual contribution limitations established by the IRS. Under the retirement savings plan, we match non-union employee contributions, in cash, 100% of employee contributions on the first 3% of their eligible compensation and 50% of employee contributions on the next 3% of their eligible compensation, resulting in a maximum match of 4.5% of eligible compensation. Both employee and Company contributions vest immediately. Certain United States employees who are subject to collective bargaining agreements may participate in the 401(k) retirement savings plan under terms specified in their collective bargaining agreement. Certain employees outside the United States, including those in Canada, participate in defined contribution plans maintained by the Company in compliance with laws of the appropriate jurisdiction. Charges to “Operating” and “Selling, general and administrative” expenses for our defined contribution plans were $61 million, $63 million and $63 million for the years ended December 31, 2015, 2014 and 2013, respectively.</w:t>
      </w:r>
    </w:p>
    <w:p>
      <w:pPr>
        <w:spacing w:after="0" w:line="18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Defined Benefit Plans (other than multiemployer defined benefit plans discussed below) — </w:t>
      </w:r>
      <w:r>
        <w:rPr>
          <w:rFonts w:ascii="Arial" w:cs="Arial" w:eastAsia="Arial" w:hAnsi="Arial"/>
          <w:sz w:val="18"/>
          <w:szCs w:val="18"/>
          <w:color w:val="auto"/>
        </w:rPr>
        <w:t>Our accrued benefit liabilities for our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and other post-retirement plans were $56 million as of December 31, 2015 and are included as components of “Accrued liabilities” and long-term “Other liabilities” in our Consolidated Balance Sheet.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Waste Management Holdings, Inc. sponsors a defined benefit plan for certain employees who are subject to collective bargaining agreements that provide for participation in that plan. Further, qualifying Canadian employees participate in defined benefit plans sponsored by certain of our Canadian subsidiaries. As of December 31, 2015, the combined benefit obligation of these pension plans was $116 million, and the plans had $88 million of plan assets, resulting in an unfunded benefit obligation for these plans of $28 million.</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$28 million at December 31,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We are a participating employer in a number of trustee-managed multiemployer,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plans for employees who are covered by collective bargaining agreements. The risks of participating in these multiemployer plans are different from single-employer plans in that (i) assets contributed to the multiemployer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 The following table outlines our participation in multiemployer plans considered to be individually significant (dollar amounts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Pension Protection Act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Reported Status(a)</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89"/>
              </w:rPr>
              <w:t>Contributions(d)</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EIN/Pension Plan</w:t>
            </w:r>
          </w:p>
        </w:tc>
        <w:tc>
          <w:tcPr>
            <w:tcW w:w="156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FIP/RP</w:t>
            </w: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8"/>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25"/>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1240" w:type="dxa"/>
            <w:vAlign w:val="bottom"/>
            <w:gridSpan w:val="2"/>
            <w:vMerge w:val="continue"/>
          </w:tcPr>
          <w:p>
            <w:pPr>
              <w:spacing w:after="0"/>
              <w:rPr>
                <w:sz w:val="2"/>
                <w:szCs w:val="2"/>
                <w:color w:val="auto"/>
              </w:rPr>
            </w:pP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
                <w:szCs w:val="2"/>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2"/>
                <w:szCs w:val="2"/>
                <w:color w:val="auto"/>
              </w:rPr>
            </w:pPr>
          </w:p>
        </w:tc>
        <w:tc>
          <w:tcPr>
            <w:tcW w:w="4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2"/>
                <w:szCs w:val="2"/>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020" w:type="dxa"/>
            <w:vAlign w:val="bottom"/>
            <w:gridSpan w:val="3"/>
            <w:vMerge w:val="continue"/>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Status(b),(c)</w:t>
            </w:r>
          </w:p>
        </w:tc>
        <w:tc>
          <w:tcPr>
            <w:tcW w:w="4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Agreement(s)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50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Automotive Industries Pension Plan</w:t>
            </w:r>
          </w:p>
        </w:tc>
        <w:tc>
          <w:tcPr>
            <w:tcW w:w="114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EIN: 94-1133245;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Critical</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Critical</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Implemented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8"/>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Plan Number: 001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6/30/2018</w:t>
            </w:r>
          </w:p>
        </w:tc>
        <w:tc>
          <w:tcPr>
            <w:tcW w:w="0" w:type="dxa"/>
            <w:vAlign w:val="bottom"/>
          </w:tcPr>
          <w:p>
            <w:pPr>
              <w:spacing w:after="0"/>
              <w:rPr>
                <w:sz w:val="1"/>
                <w:szCs w:val="1"/>
                <w:color w:val="auto"/>
              </w:rPr>
            </w:pPr>
          </w:p>
        </w:tc>
      </w:tr>
      <w:tr>
        <w:trPr>
          <w:trHeight w:val="238"/>
        </w:trPr>
        <w:tc>
          <w:tcPr>
            <w:tcW w:w="5020" w:type="dxa"/>
            <w:vAlign w:val="bottom"/>
            <w:gridSpan w:val="3"/>
          </w:tcPr>
          <w:p>
            <w:pPr>
              <w:spacing w:after="0"/>
              <w:rPr>
                <w:sz w:val="20"/>
                <w:szCs w:val="20"/>
                <w:color w:val="auto"/>
              </w:rPr>
            </w:pPr>
            <w:r>
              <w:rPr>
                <w:rFonts w:ascii="Arial" w:cs="Arial" w:eastAsia="Arial" w:hAnsi="Arial"/>
                <w:sz w:val="14"/>
                <w:szCs w:val="14"/>
                <w:color w:val="auto"/>
              </w:rPr>
              <w:t>Local 731 Private Scavengers and Garage Attendants Pension Trust Fund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EIN: 36-6513567;</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Endangered</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Endangered</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Implemented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6</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9/30/2018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 Number: 001</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9/30/2014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9/30/2013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Suburban Teamsters of Northern Illinois Pension Plan</w:t>
            </w:r>
          </w:p>
        </w:tc>
        <w:tc>
          <w:tcPr>
            <w:tcW w:w="12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6"/>
              </w:rPr>
              <w:t>EIN: 36-6155778;</w:t>
            </w:r>
          </w:p>
        </w:tc>
        <w:tc>
          <w:tcPr>
            <w:tcW w:w="8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rPr>
              <w:t>Critical</w:t>
            </w:r>
          </w:p>
        </w:tc>
        <w:tc>
          <w:tcPr>
            <w:tcW w:w="7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Critical</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Implemented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Plan Number: 001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9/30/2017</w:t>
            </w:r>
          </w:p>
        </w:tc>
        <w:tc>
          <w:tcPr>
            <w:tcW w:w="0" w:type="dxa"/>
            <w:vAlign w:val="bottom"/>
          </w:tcPr>
          <w:p>
            <w:pPr>
              <w:spacing w:after="0"/>
              <w:rPr>
                <w:sz w:val="1"/>
                <w:szCs w:val="1"/>
                <w:color w:val="auto"/>
              </w:rPr>
            </w:pPr>
          </w:p>
        </w:tc>
      </w:tr>
      <w:tr>
        <w:trPr>
          <w:trHeight w:val="238"/>
        </w:trPr>
        <w:tc>
          <w:tcPr>
            <w:tcW w:w="5020" w:type="dxa"/>
            <w:vAlign w:val="bottom"/>
            <w:gridSpan w:val="3"/>
          </w:tcPr>
          <w:p>
            <w:pPr>
              <w:spacing w:after="0"/>
              <w:rPr>
                <w:sz w:val="20"/>
                <w:szCs w:val="20"/>
                <w:color w:val="auto"/>
              </w:rPr>
            </w:pPr>
            <w:r>
              <w:rPr>
                <w:rFonts w:ascii="Arial" w:cs="Arial" w:eastAsia="Arial" w:hAnsi="Arial"/>
                <w:sz w:val="14"/>
                <w:szCs w:val="14"/>
                <w:color w:val="auto"/>
              </w:rPr>
              <w:t>Teamsters Local 301 Pension Plan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EIN: 36-6492992;</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Not</w:t>
            </w:r>
          </w:p>
        </w:tc>
        <w:tc>
          <w:tcPr>
            <w:tcW w:w="720" w:type="dxa"/>
            <w:vAlign w:val="bottom"/>
          </w:tcPr>
          <w:p>
            <w:pPr>
              <w:jc w:val="center"/>
              <w:spacing w:after="0"/>
              <w:rPr>
                <w:sz w:val="20"/>
                <w:szCs w:val="20"/>
                <w:color w:val="auto"/>
              </w:rPr>
            </w:pPr>
            <w:r>
              <w:rPr>
                <w:rFonts w:ascii="Arial" w:cs="Arial" w:eastAsia="Arial" w:hAnsi="Arial"/>
                <w:sz w:val="14"/>
                <w:szCs w:val="14"/>
                <w:color w:val="auto"/>
              </w:rPr>
              <w:t>Not</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Not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9/30/2018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 Number: 001</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Endangered</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9"/>
              </w:rPr>
              <w:t>Endangered</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Applicable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or Critical</w:t>
            </w:r>
          </w:p>
        </w:tc>
        <w:tc>
          <w:tcPr>
            <w:tcW w:w="720" w:type="dxa"/>
            <w:vAlign w:val="bottom"/>
          </w:tcPr>
          <w:p>
            <w:pPr>
              <w:jc w:val="center"/>
              <w:spacing w:after="0"/>
              <w:rPr>
                <w:sz w:val="20"/>
                <w:szCs w:val="20"/>
                <w:color w:val="auto"/>
              </w:rPr>
            </w:pPr>
            <w:r>
              <w:rPr>
                <w:rFonts w:ascii="Arial" w:cs="Arial" w:eastAsia="Arial" w:hAnsi="Arial"/>
                <w:sz w:val="14"/>
                <w:szCs w:val="14"/>
                <w:color w:val="auto"/>
              </w:rPr>
              <w:t>or Critical</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Western Conference of Teamsters Pension Plan</w:t>
            </w:r>
          </w:p>
        </w:tc>
        <w:tc>
          <w:tcPr>
            <w:tcW w:w="12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6"/>
              </w:rPr>
              <w:t>EIN: 91-6145047;</w:t>
            </w:r>
          </w:p>
        </w:tc>
        <w:tc>
          <w:tcPr>
            <w:tcW w:w="8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Not</w:t>
            </w:r>
          </w:p>
        </w:tc>
        <w:tc>
          <w:tcPr>
            <w:tcW w:w="7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Not</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Not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89"/>
              </w:rPr>
              <w:t>22</w:t>
            </w: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Plan Number: 001</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Endangered</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Endangered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Applicable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or Critical</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or Critical</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12/31/2019</w:t>
            </w:r>
          </w:p>
        </w:tc>
        <w:tc>
          <w:tcPr>
            <w:tcW w:w="0" w:type="dxa"/>
            <w:vAlign w:val="bottom"/>
          </w:tcPr>
          <w:p>
            <w:pPr>
              <w:spacing w:after="0"/>
              <w:rPr>
                <w:sz w:val="1"/>
                <w:szCs w:val="1"/>
                <w:color w:val="auto"/>
              </w:rPr>
            </w:pPr>
          </w:p>
        </w:tc>
      </w:tr>
      <w:tr>
        <w:trPr>
          <w:trHeight w:val="238"/>
        </w:trPr>
        <w:tc>
          <w:tcPr>
            <w:tcW w:w="5020" w:type="dxa"/>
            <w:vAlign w:val="bottom"/>
            <w:gridSpan w:val="3"/>
          </w:tcPr>
          <w:p>
            <w:pPr>
              <w:spacing w:after="0"/>
              <w:rPr>
                <w:sz w:val="20"/>
                <w:szCs w:val="20"/>
                <w:color w:val="auto"/>
              </w:rPr>
            </w:pPr>
            <w:r>
              <w:rPr>
                <w:rFonts w:ascii="Arial" w:cs="Arial" w:eastAsia="Arial" w:hAnsi="Arial"/>
                <w:sz w:val="14"/>
                <w:szCs w:val="14"/>
                <w:color w:val="auto"/>
              </w:rPr>
              <w:t>Western Pennsylvania Teamsters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EIN: 25-6029946;</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Critical</w:t>
            </w:r>
          </w:p>
        </w:tc>
        <w:tc>
          <w:tcPr>
            <w:tcW w:w="720" w:type="dxa"/>
            <w:vAlign w:val="bottom"/>
          </w:tcPr>
          <w:p>
            <w:pPr>
              <w:jc w:val="center"/>
              <w:spacing w:after="0"/>
              <w:rPr>
                <w:sz w:val="20"/>
                <w:szCs w:val="20"/>
                <w:color w:val="auto"/>
              </w:rPr>
            </w:pPr>
            <w:r>
              <w:rPr>
                <w:rFonts w:ascii="Arial" w:cs="Arial" w:eastAsia="Arial" w:hAnsi="Arial"/>
                <w:sz w:val="14"/>
                <w:szCs w:val="14"/>
                <w:color w:val="auto"/>
              </w:rPr>
              <w:t>Critical</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Implemented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12/31/2016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gridSpan w:val="2"/>
          </w:tcPr>
          <w:p>
            <w:pPr>
              <w:ind w:left="140"/>
              <w:spacing w:after="0"/>
              <w:rPr>
                <w:sz w:val="20"/>
                <w:szCs w:val="20"/>
                <w:color w:val="auto"/>
              </w:rPr>
            </w:pPr>
            <w:r>
              <w:rPr>
                <w:rFonts w:ascii="Arial" w:cs="Arial" w:eastAsia="Arial" w:hAnsi="Arial"/>
                <w:sz w:val="14"/>
                <w:szCs w:val="14"/>
                <w:color w:val="auto"/>
              </w:rPr>
              <w:t>and Employers Pension Plan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Plan Number: 001</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33</w:t>
            </w: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020" w:type="dxa"/>
            <w:vAlign w:val="bottom"/>
            <w:gridSpan w:val="3"/>
          </w:tcPr>
          <w:p>
            <w:pPr>
              <w:spacing w:after="0"/>
              <w:rPr>
                <w:sz w:val="20"/>
                <w:szCs w:val="20"/>
                <w:color w:val="auto"/>
              </w:rPr>
            </w:pPr>
            <w:r>
              <w:rPr>
                <w:rFonts w:ascii="Arial" w:cs="Arial" w:eastAsia="Arial" w:hAnsi="Arial"/>
                <w:sz w:val="14"/>
                <w:szCs w:val="14"/>
                <w:color w:val="auto"/>
              </w:rPr>
              <w:t>Contributions to other multiemployer pension plans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contributions to multiemployer pension plans(e)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40</w:t>
            </w: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jc w:val="both"/>
        <w:ind w:left="340" w:right="80" w:hanging="332"/>
        <w:spacing w:after="0" w:line="227"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Unless otherwise noted in the table, the most recent Pension Protection Act zone status available in 2015 and 2014 is for the plan’s year-end at December 31, 2014 and 2013,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“FIP/RP Status” column indicates plans for which a Funding Improvement Plan (“FIP”) or a Rehabilitation Plan (“RP”) is either pending or has been implemented.</w:t>
      </w:r>
    </w:p>
    <w:p>
      <w:pPr>
        <w:ind w:left="340" w:right="40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 multiemployer defined benefit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ind w:left="340" w:right="160" w:hanging="332"/>
        <w:spacing w:after="0" w:line="237"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Company was listed in the Form 5500 of the multiemployer plans considered to be individually significant as providing more than 5% of the total contributions for each of the following plans and plan years: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Contributions to Plan</w:t>
            </w:r>
          </w:p>
        </w:tc>
      </w:tr>
      <w:tr>
        <w:trPr>
          <w:trHeight w:val="149"/>
        </w:trPr>
        <w:tc>
          <w:tcPr>
            <w:tcW w:w="8180" w:type="dxa"/>
            <w:vAlign w:val="bottom"/>
          </w:tcPr>
          <w:p>
            <w:pPr>
              <w:spacing w:after="0"/>
              <w:rPr>
                <w:sz w:val="12"/>
                <w:szCs w:val="12"/>
                <w:color w:val="auto"/>
              </w:rPr>
            </w:pPr>
          </w:p>
        </w:tc>
        <w:tc>
          <w:tcPr>
            <w:tcW w:w="23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Exceeded 5% of Total Contributions</w:t>
            </w:r>
          </w:p>
        </w:tc>
      </w:tr>
      <w:tr>
        <w:trPr>
          <w:trHeight w:val="171"/>
        </w:trPr>
        <w:tc>
          <w:tcPr>
            <w:tcW w:w="8180" w:type="dxa"/>
            <w:vAlign w:val="bottom"/>
          </w:tcPr>
          <w:p>
            <w:pPr>
              <w:spacing w:after="0"/>
              <w:rPr>
                <w:sz w:val="14"/>
                <w:szCs w:val="14"/>
                <w:color w:val="auto"/>
              </w:rPr>
            </w:pPr>
          </w:p>
        </w:tc>
        <w:tc>
          <w:tcPr>
            <w:tcW w:w="2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 Plan’s Year End)</w:t>
            </w:r>
          </w:p>
        </w:tc>
      </w:tr>
      <w:tr>
        <w:trPr>
          <w:trHeight w:val="142"/>
        </w:trPr>
        <w:tc>
          <w:tcPr>
            <w:tcW w:w="8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Local 731 Private Scavengers and Garage Attendants Pension Trust Fund</w:t>
            </w:r>
          </w:p>
        </w:tc>
        <w:tc>
          <w:tcPr>
            <w:tcW w:w="2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9/30/2014 and 9/30/2013</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Suburban Teamsters of Northern Illinois Pension Plan</w:t>
            </w:r>
          </w:p>
        </w:tc>
        <w:tc>
          <w:tcPr>
            <w:tcW w:w="2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12/31/2014 and 12/31/2013</w:t>
            </w:r>
          </w:p>
        </w:tc>
      </w:tr>
      <w:tr>
        <w:trPr>
          <w:trHeight w:val="149"/>
        </w:trPr>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Teamsters Local 301 Pension Plan</w:t>
            </w:r>
          </w:p>
        </w:tc>
        <w:tc>
          <w:tcPr>
            <w:tcW w:w="2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12/31/2014 and 12/31/2013</w:t>
            </w:r>
          </w:p>
        </w:tc>
      </w:tr>
    </w:tbl>
    <w:p>
      <w:pPr>
        <w:spacing w:after="0" w:line="49"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Total contributions to multiemployer pension plans excludes contributions related to withdrawal liabilities discussed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date the financial statements were issued, Forms 5500 were not available for the plan years ended in 2015.</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2015, 2014 and 2013, we recognized aggregate charges of $51 million, $4 million and $5 million, respectively, to “Operating” expenses for the withdrawal of certain bargaining units from multiemployer pension plans. Refer to Note 11 for additional information related to our obligations to multiemployer plans for which we have withdrawn or partially withdrawn.</w:t>
      </w:r>
    </w:p>
    <w:p>
      <w:pPr>
        <w:spacing w:after="0" w:line="16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 xml:space="preserve">Multiemployer Plan Benefits Other Than Pensions — </w:t>
      </w:r>
      <w:r>
        <w:rPr>
          <w:rFonts w:ascii="Arial" w:cs="Arial" w:eastAsia="Arial" w:hAnsi="Arial"/>
          <w:sz w:val="16"/>
          <w:szCs w:val="16"/>
          <w:color w:val="auto"/>
        </w:rPr>
        <w:t>During the years ended December 31, 2015, 2014 and 2013 the Company made contributions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$33 million, $34 million and $34 million, respectively, to multiemployer health and welfare plans that also provide other postretirement employee benefits. Funding of benefit payments for plan participants are made at rates as negotiated in the respective collective bargaining agreements as costs are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 We have obtained letters of credit, surety bonds and insurance policies and have established trust funds and issued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2015, our commercial General Liability Insurance Policy carried self-insurance exposures of up to $2.5 million per incident and our workers’ compensation insurance program carried self-insurance exposures of up to $5 million per incident. As of December 31, 2015, our auto liability insurance program included a per-incident base deductible of $5 million, subject to additional deductibles of $4.8 million in the $5 million to $10 million layer. The changes to our net insurance liabilities for the three years ended December 31, 2015 are summarized below (in millions):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Claims</w:t>
            </w:r>
          </w:p>
        </w:tc>
        <w:tc>
          <w:tcPr>
            <w:tcW w:w="140" w:type="dxa"/>
            <w:vAlign w:val="bottom"/>
          </w:tcPr>
          <w:p>
            <w:pPr>
              <w:spacing w:after="0"/>
              <w:rPr>
                <w:sz w:val="14"/>
                <w:szCs w:val="14"/>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3"/>
              </w:rPr>
              <w:t>Receivables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Claims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92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w w:val="95"/>
              </w:rPr>
              <w:t>Associated with</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Liability</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Insured Claims(a)</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December 31, 2015(b)</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at December 31, 2015</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Long-term portion at December 31, 2015</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reported as receivables associated with insured claims are related to both paid and unpaid claims liabilities.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currently expect substantially all of our net claims liability to be settled in cash over the next five years.</w:t>
      </w:r>
    </w:p>
    <w:p>
      <w:pPr>
        <w:spacing w:after="0" w:line="21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leased properties was $140 million during 2015, $159 million during 2014 and $170 million during 2013.</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contractual payments due for our operating lease obligations are $89 million in 2016, $77 million in 2017, $61 million in 2018, $51 million in 2019, $42 million in 2020 and $281 million thereafter. Our minimum contractual payments for lease agreements during future periods is less than current year rent expense due to short-term leases.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131" w:lineRule="exact"/>
        <w:rPr>
          <w:sz w:val="20"/>
          <w:szCs w:val="20"/>
          <w:color w:val="auto"/>
        </w:rPr>
      </w:pPr>
    </w:p>
    <w:p>
      <w:pPr>
        <w:ind w:left="900" w:hanging="325"/>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Disposal </w:t>
      </w:r>
      <w:r>
        <w:rPr>
          <w:rFonts w:ascii="Arial" w:cs="Arial" w:eastAsia="Arial" w:hAnsi="Arial"/>
          <w:sz w:val="17"/>
          <w:szCs w:val="17"/>
          <w:color w:val="auto"/>
        </w:rPr>
        <w:t>— We have several agreements expiring at various dates through 2052 that require us to dispose of a minimum number of tons at third-party disposal facilities. Under these put-or-pay agreements, we are required to pay for the agreed upon minimum volumes regardless of the actual number of tons placed at the facilities. Additionally, following the sale of our Wheelabrator business, we entered into several agreements to dispose of a minimum number of tons of waste at certain Wheelabrator facilities. These agreements generally provide for fixed volume commitments with certain market price resets through 2021. We generally fulfill our minimum contractual obligations by disposing of volumes collected in the ordinary course of business at these disposal facilities.</w:t>
      </w:r>
    </w:p>
    <w:p>
      <w:pPr>
        <w:spacing w:after="0" w:line="83"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waste paper purchase agreements expiring at various dates through 2018 that require us to purchase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tons of waste paper. The cost per ton we pay is based on market prices.</w:t>
      </w:r>
    </w:p>
    <w:p>
      <w:pPr>
        <w:spacing w:after="0" w:line="75" w:lineRule="exact"/>
        <w:rPr>
          <w:rFonts w:ascii="Arial" w:cs="Arial" w:eastAsia="Arial" w:hAnsi="Arial"/>
          <w:sz w:val="18"/>
          <w:szCs w:val="18"/>
          <w:color w:val="auto"/>
        </w:rPr>
      </w:pPr>
    </w:p>
    <w:p>
      <w:pPr>
        <w:ind w:left="900" w:right="120" w:hanging="325"/>
        <w:spacing w:after="0" w:line="27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 We have various arrangements that require us to make royalty payments to third parties including prior land owners, lessors or host</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where our operations are located. Our obligations generally are based on per ton rates for waste actually received at our transfer stations or landfills. Royalty agreements that are non-cancelable and require fixed or minimum payments are included in our “Capital leases and other” debt obligations in our Consolidated Balance Sheet as disclosed in Note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unconditional purchase obligations are generally established in the ordinary course of our business and are structured in a manner that provides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access to important resources at competitive, market-driven rates. We may also establish unconditional purchase obligations in conjunction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acquisitions or divestitures. Our actual future minimum obligations under these outstanding purchase agreements are generally quantity driven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our associated financial obligations are not fixed as of December 31, 2015. For contracts that require us to purchase minimum quantities of goods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we have estimated our future minimum obligations based on the current market values of the underlying products or services.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our estimated minimum obligations for the above-described purchase obligations, which are not recognized in our Consolidated Balance Sheet,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$184 million in 2016, $164 million in 2017, $126 million in 2018, $100 million in 2019, $86 million in 2020 and $424 million thereafter. We currently expect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products and services provided by these agreements to continue to meet the needs of our ongoing operations. Therefore, we do not expect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established arrangements to materially impact our future financial position, results of operations or cash flows.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31" w:lineRule="exact"/>
        <w:rPr>
          <w:sz w:val="20"/>
          <w:szCs w:val="20"/>
          <w:color w:val="auto"/>
        </w:rPr>
      </w:pPr>
    </w:p>
    <w:p>
      <w:pPr>
        <w:ind w:left="900" w:right="160" w:hanging="325"/>
        <w:spacing w:after="0" w:line="297"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of December 31, 2015, WM Holdings has fully and unconditionally guaranteed all of WM’s senior indebtedness, including its senior notes, $2.25 billion revolving credit agreement and certain letter of credit facilities, which mature through 2045.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63" w:lineRule="exact"/>
        <w:rPr>
          <w:rFonts w:ascii="Arial" w:cs="Arial" w:eastAsia="Arial" w:hAnsi="Arial"/>
          <w:sz w:val="16"/>
          <w:szCs w:val="16"/>
          <w:color w:val="auto"/>
        </w:rPr>
      </w:pPr>
    </w:p>
    <w:p>
      <w:pPr>
        <w:ind w:left="900" w:right="260" w:hanging="325"/>
        <w:spacing w:after="0" w:line="25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WM and WM Holdings have guaranteed subsidiary debt obligations, including the Canadian credit facility and term loan,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these debt obligations.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00" w:right="80" w:hanging="325"/>
        <w:spacing w:after="0" w:line="28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and as of December 31, 2015, WM’s maximum future payments associated with those guarantees are $106 million. WM’s exposure under certain of the performance guarantees is variable and a maximum exposure is not defined. We have recorded the fair value of the financial and performance guarantees, some of which could extend through 2038 if not sooner terminated, in our December 31, 2015 Consolidated Balance Sheet. The estimated fair value of WM’s potential obligation associated with guarantees of Wheelabrator obligations (net of the credit support fee) at December 31, 2015 and 2014 was $13 million and $18 million, respectively. We currently do not expect the financial impact of such performance and financial guarantees to materially exceed the recorded fair value.</w:t>
      </w:r>
    </w:p>
    <w:p>
      <w:pPr>
        <w:spacing w:after="0" w:line="78"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related obligations, which mature through 2020, are not recorded on our Consolidated Balance Sheets. As of December 31, 2015, our maximum future payments associated with these guarantees are approximately $7 million. Any requirement to act under these guarantees would not materially impact our financial position, results of operations or cash flows.</w:t>
      </w:r>
    </w:p>
    <w:p>
      <w:pPr>
        <w:spacing w:after="0" w:line="92"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2015, we have agreements guaranteeing certain market value losses for approximately 850 homeowners’ properties adjacent to or near 21 of our landfills. We do not believe that these contingent obligations will have a material effect on our financial position, results of operations or cash flows.</w:t>
      </w:r>
    </w:p>
    <w:p>
      <w:pPr>
        <w:spacing w:after="0" w:line="98"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72" w:lineRule="exact"/>
        <w:rPr>
          <w:rFonts w:ascii="Arial" w:cs="Arial" w:eastAsia="Arial" w:hAnsi="Arial"/>
          <w:sz w:val="16"/>
          <w:szCs w:val="16"/>
          <w:color w:val="auto"/>
        </w:rPr>
      </w:pPr>
    </w:p>
    <w:p>
      <w:pPr>
        <w:ind w:left="900" w:right="240" w:hanging="325"/>
        <w:spacing w:after="0" w:line="29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A significant portion of our operating costs and capital expenditures could be characterized as costs of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193"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of December 31, 2015, we had been notified by the government that we are a PRP in connection with 76 locations listed on the EPA’s Superfund National Priorities List, or NPL. Of the 76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2"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December 18, 2015, the Pennsylvania Department of Environmental Protection (“DEP”) and Waste Management of Pennsylvania, Inc. agreed in principal to a consent assessment of civil penalty of $190,000 relating to alleged odors from the Tullytown Resource Recovery Facility occurring between June 1, 2015 and December 31, 2015. We expect the consent assessment of civil penalty to be finalized and the payment to be made in the first quarter of 2016.</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July 10, 2015, Waste Management of Hawaii, Inc. (“WMHI”) entered a plea resolving the April 30, 2014 indictment against WMHI in connection with water discharges at the Waimanalo Gulch Sanitary Landfill, which WMHI operates for the city and county of Honolulu, following three major rainstorms in December 2010 and January 2011. WMHI may face civil claims from the Hawaii Department of Health or the EPA based on the same underlying events, but we do not anticipate such claims could have a material adverse effect on the Company’s business, financial condition, results of operations or cash flows.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On March 26, 2015, the Company acquired Deffenbaugh. In May 2012 and December 2013, Deffenbaugh was named as a defendant in</w:t>
      </w:r>
      <w:r>
        <w:rPr>
          <w:rFonts w:ascii="Arial" w:cs="Arial" w:eastAsia="Arial" w:hAnsi="Arial"/>
          <w:sz w:val="18"/>
          <w:szCs w:val="18"/>
          <w:i w:val="1"/>
          <w:iCs w:val="1"/>
          <w:color w:val="auto"/>
        </w:rPr>
        <w:t xml:space="preserve"> </w:t>
      </w:r>
      <w:r>
        <w:rPr>
          <w:rFonts w:ascii="Arial" w:cs="Arial" w:eastAsia="Arial" w:hAnsi="Arial"/>
          <w:sz w:val="18"/>
          <w:szCs w:val="18"/>
          <w:color w:val="auto"/>
        </w:rPr>
        <w:t>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have agreed on settlement terms for both cases. We submitted a request for preliminary court approval during the fourth quarter of 2015 and are awaiting action on our request. The anticipated settlements will not have a material adverse effect on the Company’s business, financial condition, results of operations or cash flows.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the Company has direct contractual obligations to provide indemnification to each of the members of WM’s Board of Directors and each of our executive officers and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multiemployer defined benefit pension plans for the covered employees. Refer to Note 10 for additional information about our participation in multiemployer defined benefit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In 2008, we reached agreement with all of the unions involved to cease participation in the Central States Pension Plan. Since that time, litigation with the Central States Pension Plan had been pending over several matters, including the effective date that our contribution obligations ceased. In the third quarter of 2015, we settled and paid all amounts due for all pending litigation with the trustees for the Central States Pension Plan regarding liability for contributions to the plan and withdrawal liability resulting from the cessation of contributions. Similarly, in the fourth quarter of 2015, we settled and paid all amounts due for outstanding issues regarding plan contributions and withdrawal liability with the Teamsters Employers Local 945 Pension Fund.</w:t>
      </w:r>
    </w:p>
    <w:p>
      <w:pPr>
        <w:spacing w:after="0" w:line="1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2015, we recognized a $51 million charge to “Operating” expenses associated with withdrawal from certain underfunded multiemployer pension plans, nearly all of which was associated with the Central States Pension Plan and the Teamsters Employers Local 945 Pension Fund withdrawals discussed above. We do not believe any additional liability above the charges we have already recognized for previous withdrawals could be material to the Company’s business, financial condition, liquidity, results of operations or cash flows.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maintain a liability for uncertain tax positions, the balance of which management believes is adequate. Results of audit assessments</w:t>
      </w:r>
      <w:r>
        <w:rPr>
          <w:rFonts w:ascii="Arial" w:cs="Arial" w:eastAsia="Arial" w:hAnsi="Arial"/>
          <w:sz w:val="18"/>
          <w:szCs w:val="18"/>
          <w:i w:val="1"/>
          <w:iCs w:val="1"/>
          <w:color w:val="auto"/>
        </w:rPr>
        <w:t xml:space="preserve"> </w:t>
      </w:r>
      <w:r>
        <w:rPr>
          <w:rFonts w:ascii="Arial" w:cs="Arial" w:eastAsia="Arial" w:hAnsi="Arial"/>
          <w:sz w:val="18"/>
          <w:szCs w:val="18"/>
          <w:color w:val="auto"/>
        </w:rPr>
        <w:t>by taxing authorities are not currently expected to have a material adverse impact on our results of operations or cash flows. See Note 9 for additional discussion regarding tax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pre-tax restructuring charges, including employee severance and benefit costs and other charges,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4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$ 82</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360" w:type="dxa"/>
            <w:vAlign w:val="bottom"/>
            <w:vMerge w:val="restart"/>
          </w:tcPr>
          <w:p>
            <w:pPr>
              <w:jc w:val="right"/>
              <w:ind w:right="2439"/>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During the year ended December 31, 2015, we recognized $15 million of pre-tax restructuring charges, of which $10 million was related to employee severance and benefit costs, including costs associated with the loss of a municipal contract in our Eastern Canada Area and our acquisition of Deffenbaugh. The remaining charges were primarily related to operating lease obligations for property that will no longer be utilized.</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 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w:t>
      </w:r>
    </w:p>
    <w:p>
      <w:pPr>
        <w:spacing w:after="0" w:line="1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and RCI and our prior restructurings. The remaining charges were primarily related to operating lease obligations for property that will no longer be utilized.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substantially all of the accrued employee severance and benefits related to our restructuring efforts was paid.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 Impairments and Unusual Items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During the year ended December 31, 2014, we recognized $10 million of goodwill impairment charges associated with our recycling operations. 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See Note 3 for additional information related to these impairment charges as well as the accounting policy and analysis involved in identifying and calculating impairments.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(other than goodwill) and unusual items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summarizes the major components of “(Income) expense from divestitures, asset impairments (other than goodwill) and unusual items” for the years ended December 31 for the respective periods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2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(7)</w:t>
            </w:r>
          </w:p>
        </w:tc>
        <w:tc>
          <w:tcPr>
            <w:tcW w:w="2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$(515)</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Asset impairments (other than goodwill)</w:t>
            </w:r>
          </w:p>
        </w:tc>
        <w:tc>
          <w:tcPr>
            <w:tcW w:w="218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$ 82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the year ended December 31, 2015, we recognized net charges of $82 million, primarily related to $66 million of charges to impair certain of our oil and gas producing properties as a result of the continued decline in oil and gas prices. We wrote down the carrying value of these properties to their estimated fair value using an income approach. At December 31, 2015, our remaining book value in these investments was $30 million. We also recognized $18 million of charges to write down or divest of certain assets in our recycling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operations and a $5 million impairment of a landfill in our Western Canada Area due to revised post-closure cost estimates. Partially offsetting these charges was $7 million in net gains from divestitures, including a $6 million gain on the sale of an oil and gas producing property in the second quarter of 2015.</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2014, we recognized net gains of $170 million, primarily related to the following:</w:t>
      </w:r>
    </w:p>
    <w:p>
      <w:pPr>
        <w:spacing w:after="0" w:line="131" w:lineRule="exact"/>
        <w:rPr>
          <w:sz w:val="20"/>
          <w:szCs w:val="20"/>
          <w:color w:val="auto"/>
        </w:rPr>
      </w:pPr>
    </w:p>
    <w:p>
      <w:pPr>
        <w:ind w:left="900" w:right="20" w:hanging="325"/>
        <w:spacing w:after="0" w:line="31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We recognized net gains of $515 million, primarily as a result of a $519 million gain on the sale of our Wheelabrator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an $18 million gain on the sale of certain landfill and collection operations in our Eastern Canada Area. Partially offsetting these gains was a $25 million loss on the divestiture of our Puerto Rico operations. Refer to Note 19 for additional information related to our divestitures.</w:t>
      </w:r>
    </w:p>
    <w:p>
      <w:pPr>
        <w:spacing w:after="0" w:line="52" w:lineRule="exact"/>
        <w:rPr>
          <w:rFonts w:ascii="Arial" w:cs="Arial" w:eastAsia="Arial" w:hAnsi="Arial"/>
          <w:sz w:val="16"/>
          <w:szCs w:val="16"/>
          <w:color w:val="auto"/>
        </w:rPr>
      </w:pPr>
    </w:p>
    <w:p>
      <w:pPr>
        <w:jc w:val="both"/>
        <w:ind w:left="900" w:right="2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Oil and gas properties impairments </w:t>
      </w:r>
      <w:r>
        <w:rPr>
          <w:rFonts w:ascii="Arial" w:cs="Arial" w:eastAsia="Arial" w:hAnsi="Arial"/>
          <w:sz w:val="18"/>
          <w:szCs w:val="18"/>
          <w:color w:val="auto"/>
        </w:rPr>
        <w:t>— We recognized $272 million of charges to impair certain of our oil and gas producing properties,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pronounced decrease in oil and gas prices in the fourth quarter of 2014. We wrote down the carrying value of these properties to their estimated fair value using an income approach.</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We recognized additional impairment charges of $73 million to write down assets in our waste diversion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recycling and medical waste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2013, we recognized net charges of $464 million, primarily related to the following:</w:t>
      </w:r>
    </w:p>
    <w:p>
      <w:pPr>
        <w:spacing w:after="0" w:line="131" w:lineRule="exact"/>
        <w:rPr>
          <w:sz w:val="20"/>
          <w:szCs w:val="20"/>
          <w:color w:val="auto"/>
        </w:rPr>
      </w:pPr>
    </w:p>
    <w:p>
      <w:pPr>
        <w:ind w:left="900" w:hanging="325"/>
        <w:spacing w:after="0" w:line="290"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Landfill impairments </w:t>
      </w:r>
      <w:r>
        <w:rPr>
          <w:rFonts w:ascii="Arial" w:cs="Arial" w:eastAsia="Arial" w:hAnsi="Arial"/>
          <w:sz w:val="16"/>
          <w:szCs w:val="16"/>
          <w:color w:val="auto"/>
        </w:rPr>
        <w:t>— We recognized $262 million of charges to impair certain of our landfills, primarily as a result of our consideration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71"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Waste-to-energy impairments </w:t>
      </w:r>
      <w:r>
        <w:rPr>
          <w:rFonts w:ascii="Arial" w:cs="Arial" w:eastAsia="Arial" w:hAnsi="Arial"/>
          <w:sz w:val="18"/>
          <w:szCs w:val="18"/>
          <w:color w:val="auto"/>
        </w:rPr>
        <w:t>— We recognized $144 million of impairment charges relating to three waste-to-energy facilities,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The remainder of our 2013 charges were attributable to (i) $31 million of charges to impair various recycling assets;</w:t>
      </w:r>
    </w:p>
    <w:p>
      <w:pPr>
        <w:spacing w:after="0" w:line="34" w:lineRule="exact"/>
        <w:rPr>
          <w:rFonts w:ascii="Arial" w:cs="Arial" w:eastAsia="Arial" w:hAnsi="Arial"/>
          <w:sz w:val="17"/>
          <w:szCs w:val="17"/>
          <w:color w:val="auto"/>
        </w:rPr>
      </w:pPr>
    </w:p>
    <w:p>
      <w:pPr>
        <w:ind w:left="900" w:right="40"/>
        <w:spacing w:after="0" w:line="261" w:lineRule="auto"/>
        <w:rPr>
          <w:rFonts w:ascii="Arial" w:cs="Arial" w:eastAsia="Arial" w:hAnsi="Arial"/>
          <w:sz w:val="17"/>
          <w:szCs w:val="17"/>
          <w:color w:val="auto"/>
        </w:rPr>
      </w:pPr>
      <w:r>
        <w:rPr>
          <w:rFonts w:ascii="Arial" w:cs="Arial" w:eastAsia="Arial" w:hAnsi="Arial"/>
          <w:sz w:val="18"/>
          <w:szCs w:val="18"/>
          <w:color w:val="auto"/>
        </w:rPr>
        <w:t>(ii) $20 million of charges to write down assets related to a majority-owned waste diversion technology company and (iii) a $15 million charge to write down the carrying value of an oil and gas property to its estimated fair value.</w:t>
      </w:r>
    </w:p>
    <w:p>
      <w:pPr>
        <w:spacing w:after="0" w:line="89" w:lineRule="exact"/>
        <w:rPr>
          <w:rFonts w:ascii="Arial" w:cs="Arial" w:eastAsia="Arial" w:hAnsi="Arial"/>
          <w:sz w:val="17"/>
          <w:szCs w:val="17"/>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Partially offsetting these charges were $8 million of net gains on divestitures.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See Notes 3 and 21 for additional information related to the accounting policy and analysis involved in identifying and calculating impairments; and information related to the impact of impairments on the results of operations of our reportable segments,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During the year ended December 31, 2014, we recognized charges of $11 million primarily to write down equity method investments in waste diversion technology companies to their fair value.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years ended December 31, 2015, 2014 and 2013, we recognized impairment charges of $5 million, $22 million and $71 million, respectively, related to other-than-temporary declines in the value of investments in waste diversion technology companies accounted for under the cost method. We wrote down our investments to their fair value which was primarily determined using an income approach based on estimated future cash flow projections and, to a lesser extent, third-party investors’ recent transactions in these securities. Partially offsetting the 2013 charges was a $4 million gain on the sale of a similar investment.</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Also, during the year ended December 31,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provided by (used in) investing activities” in the Consolidated Statement of Cash Flows. The losses recognized related to the sale were not material.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net charges are recorded in “Other, net” in our Consolidated Statement of Operations.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decreases to accumulated other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Available-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for-Sale</w:t>
            </w:r>
          </w:p>
        </w:tc>
        <w:tc>
          <w:tcPr>
            <w:tcW w:w="24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Benefit</w:t>
            </w:r>
          </w:p>
        </w:tc>
        <w:tc>
          <w:tcPr>
            <w:tcW w:w="5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Plans</w:t>
            </w: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1" w:lineRule="exact"/>
              <w:rPr>
                <w:sz w:val="20"/>
                <w:szCs w:val="20"/>
                <w:color w:val="auto"/>
              </w:rPr>
            </w:pPr>
            <w:r>
              <w:rPr>
                <w:rFonts w:ascii="Arial" w:cs="Arial" w:eastAsia="Arial" w:hAnsi="Arial"/>
                <w:sz w:val="18"/>
                <w:szCs w:val="18"/>
                <w:color w:val="auto"/>
                <w:w w:val="97"/>
              </w:rPr>
              <w:t>Other comprehensive income (loss) before reclassifications, net of</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tax expense (benefit) of $9, $1, $0 and $10, respectively</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net of tax (expense) benefit of $(1), $0, $0 and $0,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1" w:lineRule="exact"/>
              <w:rPr>
                <w:sz w:val="20"/>
                <w:szCs w:val="20"/>
                <w:color w:val="auto"/>
              </w:rPr>
            </w:pPr>
            <w:r>
              <w:rPr>
                <w:rFonts w:ascii="Arial" w:cs="Arial" w:eastAsia="Arial" w:hAnsi="Arial"/>
                <w:sz w:val="18"/>
                <w:szCs w:val="18"/>
                <w:color w:val="auto"/>
                <w:w w:val="97"/>
              </w:rPr>
              <w:t>Other comprehensive income (loss) before reclassifications, net of</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tax expense (benefit) of $4, $2, $0 and $(8), respectively</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net of tax (expense) benefit of $(3), $0, $0 and $0,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1" w:lineRule="exact"/>
              <w:rPr>
                <w:sz w:val="20"/>
                <w:szCs w:val="20"/>
                <w:color w:val="auto"/>
              </w:rPr>
            </w:pPr>
            <w:r>
              <w:rPr>
                <w:rFonts w:ascii="Arial" w:cs="Arial" w:eastAsia="Arial" w:hAnsi="Arial"/>
                <w:sz w:val="18"/>
                <w:szCs w:val="18"/>
                <w:color w:val="auto"/>
                <w:w w:val="97"/>
              </w:rPr>
              <w:t>Other comprehensive income (loss) before reclassifications, net of</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tax expense (benefit) of $20, $(1), $0 and $1, respectively</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net of tax (expense) benefit of $(14), $0, $0 and $0,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 (loss)</w:t>
            </w: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(150)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amounts of other comprehensive income (loss) before reclassifications associated with the effective portion of derivatives designated as cash flow hedges are as follows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color w:val="auto"/>
              </w:rPr>
              <w:t>Total before tax</w:t>
            </w:r>
          </w:p>
        </w:tc>
        <w:tc>
          <w:tcPr>
            <w:tcW w:w="3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(expense) benefit</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3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60" w:type="dxa"/>
            <w:vAlign w:val="bottom"/>
            <w:vMerge w:val="restart"/>
          </w:tcPr>
          <w:p>
            <w:pPr>
              <w:jc w:val="right"/>
              <w:ind w:right="177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are as follows (in millions, with amounts in parentheses representing debits to the statement of operations classification):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spacing w:after="0"/>
              <w:rPr>
                <w:sz w:val="20"/>
                <w:szCs w:val="20"/>
                <w:color w:val="auto"/>
              </w:rPr>
            </w:pPr>
            <w:r>
              <w:rPr>
                <w:rFonts w:ascii="Arial" w:cs="Arial" w:eastAsia="Arial" w:hAnsi="Arial"/>
                <w:sz w:val="14"/>
                <w:szCs w:val="14"/>
                <w:b w:val="1"/>
                <w:bCs w:val="1"/>
                <w:color w:val="auto"/>
                <w:w w:val="99"/>
              </w:rPr>
              <w:t>Years Ended December 31,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ind w:left="66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23"/>
        </w:trPr>
        <w:tc>
          <w:tcPr>
            <w:tcW w:w="67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Operations Classification</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Gains and losses on cash flow hedges: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100" w:type="dxa"/>
            <w:vAlign w:val="bottom"/>
          </w:tcPr>
          <w:p>
            <w:pPr>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rate locks</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4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23"/>
        </w:trPr>
        <w:tc>
          <w:tcPr>
            <w:tcW w:w="6720" w:type="dxa"/>
            <w:vAlign w:val="bottom"/>
          </w:tcPr>
          <w:p>
            <w:pPr>
              <w:ind w:left="720"/>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Stock, Dividends and Share Repurchases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Stock</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2015, we had 447.2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quarterly dividends have been declared and paid in accordance with financial plans approved by our Board of Directors. Cash dividends declared and paid were $695 million in 2015, or $1.54 per common share, $693 million in 2014, or $1.50 per common share, and $683 million in 2013, or $1.46 per common share.</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December 2015, we announced that our Board of Directors expects to increase the quarterly dividend from $0.385 to $0.41 per share for dividends declared in 2016.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The following is a summary of our share repurchases for the periods presented: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2015(a)</w:t>
            </w:r>
          </w:p>
        </w:tc>
        <w:tc>
          <w:tcPr>
            <w:tcW w:w="28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2014(a)</w:t>
            </w: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2013(c)</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14,823(b)</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9,569(b)</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5,368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Weighted average per share purchase price</w:t>
            </w:r>
          </w:p>
        </w:tc>
        <w:tc>
          <w:tcPr>
            <w:tcW w:w="2620" w:type="dxa"/>
            <w:vAlign w:val="bottom"/>
            <w:gridSpan w:val="2"/>
          </w:tcPr>
          <w:p>
            <w:pPr>
              <w:jc w:val="center"/>
              <w:ind w:left="1590"/>
              <w:spacing w:after="0"/>
              <w:rPr>
                <w:sz w:val="20"/>
                <w:szCs w:val="20"/>
                <w:color w:val="auto"/>
              </w:rPr>
            </w:pPr>
            <w:r>
              <w:rPr>
                <w:rFonts w:ascii="Arial" w:cs="Arial" w:eastAsia="Arial" w:hAnsi="Arial"/>
                <w:sz w:val="18"/>
                <w:szCs w:val="18"/>
                <w:color w:val="auto"/>
                <w:w w:val="90"/>
              </w:rPr>
              <w:t>$49.83</w:t>
            </w:r>
          </w:p>
        </w:tc>
        <w:tc>
          <w:tcPr>
            <w:tcW w:w="2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$43.89(b)</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$43.48 - $45.95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262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89"/>
              </w:rPr>
              <w:t>$600</w:t>
            </w:r>
          </w:p>
        </w:tc>
        <w:tc>
          <w:tcPr>
            <w:tcW w:w="124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89"/>
              </w:rPr>
              <w:t>$600</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w:t>
            </w:r>
          </w:p>
        </w:tc>
      </w:tr>
      <w:tr>
        <w:trPr>
          <w:trHeight w:val="365"/>
        </w:trPr>
        <w:tc>
          <w:tcPr>
            <w:tcW w:w="3880" w:type="dxa"/>
            <w:vAlign w:val="bottom"/>
          </w:tcPr>
          <w:p>
            <w:pPr>
              <w:spacing w:after="0"/>
              <w:rPr>
                <w:sz w:val="24"/>
                <w:szCs w:val="24"/>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118</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right="140" w:hanging="452"/>
        <w:spacing w:after="0" w:line="28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 repurchases in 2015 and 2014 were completed through accelerated share repurchase (“ASR”) agreements. The terms of these agreements required that we deliver cash at the beginning of each ASR repurchase period. In exchange, we received 70% of the shares expected to be repurchased based on the then-current market price of our common stock. The remaining shares repurchased over the course of each repurchase period were delivered to us once the repurchase period was complete. Additional information related to our ASRs is included below.</w:t>
      </w:r>
    </w:p>
    <w:p>
      <w:pPr>
        <w:spacing w:after="0" w:line="1"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July 2014, we executed ASR agreements to repurchase $600 million of our common stock. At the beginning of the ASR repurchase periods, we delivered $600 million in cash and received 9.6 million shares based on a stock price of $43.89. The share repurchase periods of the agreements concluded in February 2015, at which time we received 2.8 million additional shares based on a final weighted average per share purchase price during the repurchase period of $48.58. The amounts reported here as “Shares repurchased” are based on when shares were delivered to WM.</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 repurchases in 2013 were completed through open market purchases.</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was included in treasury stock at cost and resulted in an immediate reduction of the outstanding shares used to calculate the weighted average common shares outstanding for basic and diluted earnings per share. The forward contracts indexed to our own stock met the criteria for equity classification, and these amounts were initially recorded in additional paid-in capital and reclassified to treasury stock upon completion of the ASR agreements.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entered into an additional ASR agreement in December 2015 to repurchase $150 million of our common stock in early 2016. Subsequent to this ASR agreement, we announced that the Board of Directors refreshed its prior authorization of up to $1 billion in future share repurchases. Any future share repurchases will be made at the discretion of management, and will depend on factors similar to those considered by the Board in making dividend declarations.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and the number of shares that may be purchased is limited by IRS regulations. The total number of shares issued under the plan for the offering periods in each of 2015, 2014 and 2013 was approximately 786,000, 774,000 and 928,000, respectively. Including the impact of the January 2016 issuance of shares associated with the July to December 2015 offering period, approximately 3.2 million shares remain available for issuance under the plan, which includes 3.0 million additional shares that stockholders approved in May 2015 for future issuance.</w:t>
      </w:r>
    </w:p>
    <w:p>
      <w:pPr>
        <w:spacing w:after="0" w:line="166" w:lineRule="exact"/>
        <w:rPr>
          <w:sz w:val="20"/>
          <w:szCs w:val="20"/>
          <w:color w:val="auto"/>
        </w:rPr>
      </w:pPr>
    </w:p>
    <w:p>
      <w:pPr>
        <w:jc w:val="center"/>
        <w:ind w:left="480" w:right="220"/>
        <w:spacing w:after="0" w:line="449" w:lineRule="auto"/>
        <w:rPr>
          <w:sz w:val="20"/>
          <w:szCs w:val="20"/>
          <w:color w:val="auto"/>
        </w:rPr>
      </w:pPr>
      <w:r>
        <w:rPr>
          <w:rFonts w:ascii="Arial" w:cs="Arial" w:eastAsia="Arial" w:hAnsi="Arial"/>
          <w:sz w:val="18"/>
          <w:szCs w:val="18"/>
          <w:color w:val="auto"/>
        </w:rPr>
        <w:t>Accounting for our ESPP increased annual compensation expense by approximately by $6 million, or $4 million net of tax, for 2015, 2014 and 2013. 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the 2009 Plan that are subsequently cancelled, forfeited, terminate, expire or lapse. As of December 31, 2015, approximately 24.4 million shares were available for future grants under the 2014 Plan. All of our stock-based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65"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2015 annual Incentive Plan awards granted to the Company’s senior leadership team, which generally includes the Company’s executive officers, included a combination of PSUs and stock options. The annual Incentive Plan awards granted to certain key employees included a combination of PSUs, RSUs and stock options in 2015. The Company has also periodically granted RSUs and stock options to employees working on key initiatives, in connection with new hires and promotions and to field-based managers.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Units</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2015</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(240)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total fair market value of RSUs that vested during the years ended December 31, 2015, 2014 and 2013 was $13 million, $3 million and $1 million, respectively. Net of 84,000 units deferred or used for payment of associated taxes, we issued approximately 156,000 shares of common stock for RSUs that vested during the year ended December 31, 2015.</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18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Three types of PSUs are currently outstanding: (i) PSUs for which payout is dependent on total shareholder return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S&amp;P 500 (“TSR PSUs”); (ii) PSUs for which payout is dependent on the Company’s performance against pre-established adjusted cash flow metrics (“Cash Flow PSUs”) and (iii) PSUs for which payout is dependent on the Company’s performance against pre-established return on invested capital metrics (“ROIC PSUs”). All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is presented in the table below (units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2,033</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1,762</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determination of achievement of performance results and corresponding vesting of PSUs for the three-year performance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was performed by the Management Development and Compensation Committee in February 2016. Accordingly, vesting information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awards is not included in the table above as of December 31, 2015. The “vested” PSUs are for the three-year performance period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as achievement of performance results and corresponding vesting was determined in February 2015. The Company’s financial results, as measured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these awards, were lower than the target levels established but in excess of the threshold performance criteria. Accordingly, recipients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PSU awards were entitled to receive a payout of approximately 96.6% of the vested PSUs. In early 2015, we issued approximately 385,000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for these vested PSUs, net of 364,000 units deferred or used for payment of associated taxes.</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shares of common stock that were issued or deferred during the years ended December 31, 2015, 2014 and 2013 for prior PSU award grants had a fair market value of $35 million, $8 million and $14 million, respectively. PSUs have no voting rights. PSUs receive dividend equivalents that are paid out in cash based on actual performance at the end of the awards’ performance period.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15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Compensation expense associated with our Cash Flow PSUs and ROIC PSUs that continue to vest based on future performance is measured based on the fair value of our common stock at the end of each reporting period until the performance period ends.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Deferred Units — </w:t>
      </w:r>
      <w:r>
        <w:rPr>
          <w:rFonts w:ascii="Arial" w:cs="Arial" w:eastAsia="Arial" w:hAnsi="Arial"/>
          <w:sz w:val="18"/>
          <w:szCs w:val="18"/>
          <w:color w:val="auto"/>
        </w:rPr>
        <w:t>Recipients can elect to defer some or all of the vested RSU or PSU awards until a specified date or dates they choose. Deferred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At December 31, 2015, we had approximately 423,000 vested deferred units outstanding.</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Stock options granted primarily vest in 25% increments on the first two anniversaries of the date of grant with the remaining 50%</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1,455</w:t>
            </w:r>
          </w:p>
        </w:tc>
        <w:tc>
          <w:tcPr>
            <w:tcW w:w="48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(2,170)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2015(a)</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2015(b)</w:t>
            </w: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vMerge w:val="restart"/>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4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Stock options outstanding as of December 31, 2015 have a weighted average remaining contractual term of 7.0 years and an aggregate intrinsic value of $96 million based on the market value of our common stock on December 31, 2015.</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Stock options exercisable as of December 31, 2015 have a weighted average remaining contractual term of 5.7 years and an aggregate intrinsic value of $67 million based on the market value of our common stock on December 31, 2015. Stock options exercisable at December 31, 2015 have an exercise price ranging from $32.18 to $44.01.</w:t>
      </w:r>
    </w:p>
    <w:p>
      <w:pPr>
        <w:spacing w:after="0" w:line="19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received cash proceeds of $77 million, $93 million and $132 million during the years ended December 31, 2015, 2014 and 2013, respectively, from employee stock option exercises. The aggregate intrinsic value of stock options exercised during the years ended December 31, 2015, 2014 and 2013 was $37 million, $27 million and $41 million, respectively.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account for our employee stock options under the fair value method of accounting using a Black-Scholes methodology to measure stock option expense at the date of grant. The weighted average grant-date fair value of stock options granted during the years ended December 31, 2015, 2014 and 2013 was $5.56, $4.55 and $4.26, respectively.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4.4 years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4.8 years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5.4 years</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16.7%</w:t>
            </w:r>
          </w:p>
        </w:tc>
        <w:tc>
          <w:tcPr>
            <w:tcW w:w="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18.4%</w:t>
            </w: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21.8%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2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w:t>
            </w:r>
          </w:p>
        </w:tc>
      </w:tr>
    </w:tbl>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years ended December 31, 2015, 2014 and 2013 we recognized $64 million, $59 million and $54 million, respectively, of compensation expense associated with RSU, PSU and stock option awards as a component of “Selling, general and administrative” expenses in our Consolidated Statement of Operations. Our “Provision for income taxes” for the years ended December 31, 2015, 2014 and 2013 includes related deferred income tax benefits of $26 million, $23 million and $21 million, respectively. We also realized excess tax benefits from stock option exercises and RSU and PSU vestings during the years ended December 31, 2015, 2014 and 2013 of $15 million, $5 million and $10 million, respectively. These amounts have been presented as cash inflows in the “Cash flows from financing activities” section of our Consolidated Statements of Cash Flows. We have not capitalized any equity-based compensation costs during the years ended December 31, 2015, 2014 and 2013.</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Compensation expense recognized in 2015 and 2014 increased when compared to the respective prior year, primarily due to the increase in expected payout of our PSUs. As of December 31, 2015 we estimate that a total of approximately $48 million of currently unrecognized compensation expense will be recognized over a weighted average period of 1.5 years for unvested RSU, PSU and stock option awards issued and outstanding.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Incentive Plans described above.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462.6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455.9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465.6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469.8</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Fair Value Measurements at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 2015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760" w:type="dxa"/>
            <w:vAlign w:val="bottom"/>
          </w:tcPr>
          <w:p>
            <w:pPr>
              <w:spacing w:after="0"/>
              <w:rPr>
                <w:sz w:val="10"/>
                <w:szCs w:val="10"/>
                <w:color w:val="auto"/>
              </w:rPr>
            </w:pPr>
          </w:p>
        </w:tc>
        <w:tc>
          <w:tcPr>
            <w:tcW w:w="144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Prices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60" w:type="dxa"/>
            <w:vAlign w:val="bottom"/>
          </w:tcPr>
          <w:p>
            <w:pPr>
              <w:spacing w:after="0"/>
              <w:rPr>
                <w:sz w:val="12"/>
                <w:szCs w:val="12"/>
                <w:color w:val="auto"/>
              </w:rPr>
            </w:pP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Markets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38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Fixed-income securities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preferred stock</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8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vMerge w:val="restart"/>
          </w:tcPr>
          <w:p>
            <w:pPr>
              <w:jc w:val="right"/>
              <w:ind w:right="150"/>
              <w:spacing w:after="0"/>
              <w:rPr>
                <w:sz w:val="20"/>
                <w:szCs w:val="20"/>
                <w:color w:val="auto"/>
              </w:rPr>
            </w:pPr>
            <w:r>
              <w:rPr>
                <w:rFonts w:ascii="Arial" w:cs="Arial" w:eastAsia="Arial" w:hAnsi="Arial"/>
                <w:sz w:val="18"/>
                <w:szCs w:val="18"/>
                <w:color w:val="auto"/>
              </w:rPr>
              <w:t>124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4"/>
                <w:szCs w:val="14"/>
                <w:b w:val="1"/>
                <w:bCs w:val="1"/>
                <w:color w:val="auto"/>
                <w:w w:val="92"/>
              </w:rPr>
              <w:t>December 31, 2014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Quoted</w:t>
            </w:r>
          </w:p>
        </w:tc>
        <w:tc>
          <w:tcPr>
            <w:tcW w:w="540" w:type="dxa"/>
            <w:vAlign w:val="bottom"/>
          </w:tcPr>
          <w:p>
            <w:pPr>
              <w:spacing w:after="0"/>
              <w:rPr>
                <w:sz w:val="10"/>
                <w:szCs w:val="10"/>
                <w:color w:val="auto"/>
              </w:rPr>
            </w:pPr>
          </w:p>
        </w:tc>
        <w:tc>
          <w:tcPr>
            <w:tcW w:w="142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w:t>
            </w:r>
          </w:p>
        </w:tc>
        <w:tc>
          <w:tcPr>
            <w:tcW w:w="540" w:type="dxa"/>
            <w:vAlign w:val="bottom"/>
          </w:tcPr>
          <w:p>
            <w:pPr>
              <w:spacing w:after="0"/>
              <w:rPr>
                <w:sz w:val="12"/>
                <w:szCs w:val="12"/>
                <w:color w:val="auto"/>
              </w:rPr>
            </w:pP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480" w:type="dxa"/>
            <w:vAlign w:val="bottom"/>
            <w:gridSpan w:val="3"/>
          </w:tcPr>
          <w:p>
            <w:pPr>
              <w:jc w:val="right"/>
              <w:ind w:right="360"/>
              <w:spacing w:after="0"/>
              <w:rPr>
                <w:sz w:val="20"/>
                <w:szCs w:val="20"/>
                <w:color w:val="auto"/>
              </w:rPr>
            </w:pPr>
            <w:r>
              <w:rPr>
                <w:rFonts w:ascii="Arial" w:cs="Arial" w:eastAsia="Arial" w:hAnsi="Arial"/>
                <w:sz w:val="18"/>
                <w:szCs w:val="18"/>
                <w:color w:val="auto"/>
              </w:rPr>
              <w:t>$1,332</w:t>
            </w:r>
          </w:p>
        </w:tc>
        <w:tc>
          <w:tcPr>
            <w:tcW w:w="106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$ 1,332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2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Fixed-income securities</w:t>
            </w:r>
          </w:p>
        </w:tc>
        <w:tc>
          <w:tcPr>
            <w:tcW w:w="2480" w:type="dxa"/>
            <w:vAlign w:val="bottom"/>
            <w:gridSpan w:val="3"/>
          </w:tcPr>
          <w:p>
            <w:pPr>
              <w:jc w:val="right"/>
              <w:ind w:right="36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preferred stock</w:t>
            </w:r>
          </w:p>
        </w:tc>
        <w:tc>
          <w:tcPr>
            <w:tcW w:w="2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6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1,488</w:t>
            </w:r>
          </w:p>
        </w:tc>
        <w:tc>
          <w:tcPr>
            <w:tcW w:w="10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$ 1,332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Money Market Funds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invest portions of our “Cash and cash equivalents” and restricted trust and escrow account balances in money market funds. We measure the fair value of these investments using quoted prices in active markets for identical assets. The fair value of our money market funds approximates our cost basis in the investments. The decrease in the fair value at December 31, 2015 compared to December 31, 2014 is primarily attributable to the utilization, in 2015, of the cash proceeds received from the sale of our Wheelabrator business in 2014.</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Available-for-Sale Securities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Available-for-sale securities are primarily related to the restricted trust funds that were created to settle certain of our final capping, closure, post-closure or environmental remediation obligations, which are discussed further in Note 20. These trust funds are invested in U.S. Treasury securities and equity and bond funds. We measure the fair value of these securities using quoted prices for identical or similar assets in active markets. Any changes in fair value of these trusts related to unrealized gains and losses have been appropriately reflected as a component of “Accumulated other comprehensive income.”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Fixed-Income Securities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invest a portion of our restricted trust and escrow balances in fixed-income securities, including U.S. Treasury securities, U.S. agency securities, municipal securities and mortgage- and asset-backed securities. We measure the fair value of these securities using quoted prices for identical or similar assets in inactive markets. The fair value of our fixed-income securities approximates our cost basis in these investments.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Redeemable Preferred Stock</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Redeemable preferred stock is primarily related to a noncontrolling investment in an unconsolidated entity and is included in “Investments in unconsolidated entities” in our Consolidated Balance Sheet. The fair value of our investment has been measured based on third-party investors’ recent or pending transactions in these securities, which is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Redeemable preferred stock also includes stock received in conjunction with the 2014 sale of our Puerto Rico operations, as discussed in Note 19.</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foreign currency derivatives are valued using a third-party pricing model that incorporates information about forward Canadian dollar rates, or observable market data, as of the reporting date. The third-party pricing model used to value our foreign currency derivatives also incorporates Company and counterparty credit valuation adjustments, as appropriate. Counterparties to these contracts are financial institutions who participate in our $2.25 billion revolving credit facility. Valuations may fluctuate significantly from period-to-period due to volatility in the Canadian dollar to U.S. dollar exchange rate over the term of the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Notes 8 and 14 for additional information regarding the derivative instruments discussed above.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2015 the carrying value of our debt was approximately $9.0 billion compared with approximately $9.4 billion at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includes adjustments associated with fair value hedge accounting related to our interest rate swaps as discussed in Note 8.</w:t>
      </w:r>
    </w:p>
    <w:p>
      <w:pPr>
        <w:spacing w:after="0" w:line="2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estimated fair value of our debt was approximately $9.2 billion at December 31, 2015 and approximately $10.6 billion at December 31, 2014. The carrying value of remarketable debt and borrowings under our revolving credit facilities approximates fair value due to the short-term nature of the interest rates. The fair value of our senior notes and other debt is estimated using discounted cash flow analysis, based on current market rates for similar types of instruments. The decrease in the fair value of our debt when comparing December 31, 2015 with December 31, 2014 is primarily related to the net repayment of $427 million of our debt, a substantial portion of which was related to our debt refinancing as further discussed in Note 7. This refinancing resulted in a reduction of high-coupon debt and the payment of related market premiums on these notes, and the replacement of this debt with new notes with a fair value that closely approximates book value.</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December 31, 2015 and 2014. These amounts have not been revalued since those dates, and current estimates of fair value could differ significantly from the amounts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Acquisitions and Divestitures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Year Acquisitions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continue to pursue the acquisition of businesses that are accretive to our Solid Waste business and enhance and expand our existing service offerings. During the year ended December 31, 2015, we acquired 27 businesses primarily related to our Solid Waste business. Total consideration, net of cash acquired, for all acquisitions was $661 million, which included $554 million in cash paid in 2015, purchase price holdbacks of $11 million and a liability for contingent consideration with a preliminary estimated fair value of $96 million. The contingent consideration is primarily based on achievement by the acquired businesses of certain negotiated goals, which generally include targeted financial metrics. Our estimated maximum obligations for the contingent cash payments were $126 million at the dates of acquisition. As of December 31, 2015, we had paid $8 million of this contingent consideration. In 2015, we also paid $4 million of contingent consideration associated with acquisitions completed prior to 2015.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allocation of purchase price for 2015 acquisitions was primarily to “Property and equipment,” which had an estimated fair value of $243 million; “Other intangible assets,” which had an estimated fair value of $145 million; and “Goodwill” of $325 million. Other intangible assets included $131 million of customer and supplier relationships and $8 million of covenants not-to-compete and $6 million of trade name. Goodwill is primarily a result of expected synergies from combining the acquired businesses with our existing operations. Goodwill of $166 million is tax deductible and $159 million of goodwill associated with the acquisition of Deffenbaugh, discussed below, is not tax deductible.</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Since the acquisition date, Deffenbaugh has recognized revenues of $134 million and net income of $2 million which are included in our Consolidated Statements of Operations.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Goodwill of $159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will be integrating these operations as they are expected to benefit from the synergies of the combination. Goodwill related to this acquisition is not deductible for income tax purposes.</w:t>
      </w:r>
    </w:p>
    <w:p>
      <w:pPr>
        <w:spacing w:after="0" w:line="187"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allocation of the purchase price for the Deffenbaugh acquisition is preliminary and subject to change based on the finalization of our detailed valuations. The following table presents adjustments since the acquisition date to the allocation of the purchase price (in millions):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March 26,</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Accounts and other 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360"/>
              <w:spacing w:after="0"/>
              <w:rPr>
                <w:sz w:val="20"/>
                <w:szCs w:val="20"/>
                <w:color w:val="auto"/>
              </w:rPr>
            </w:pPr>
            <w:r>
              <w:rPr>
                <w:rFonts w:ascii="Arial" w:cs="Arial" w:eastAsia="Arial" w:hAnsi="Arial"/>
                <w:sz w:val="18"/>
                <w:szCs w:val="18"/>
                <w:color w:val="auto"/>
              </w:rPr>
              <w:t>Total purchase price</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preliminary allocation of $100 million for other intangibles includes $94 million for customer relationships and $6 million for a trade name, each with an amortization period of 15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Deffenbaugh occurred at January 1, 2014 (in millions, except per share amounts):</w:t>
      </w:r>
    </w:p>
    <w:p>
      <w:pPr>
        <w:spacing w:after="0" w:line="18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Years Ended</w:t>
      </w:r>
    </w:p>
    <w:p>
      <w:pPr>
        <w:ind w:left="8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2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$13,001</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2014, we acquired 15 businesses related to our Solid Waste business. Total consideration, net of cash acquired, for all acquisitions was $32 million, which included $26 million in cash paid in 2014 and a liability for contingent consideration with a preliminary estimated fair value of $6 million. The contingent consideration is primarily based on achievement by the acquired businesses of certain negotiated goals, which generally include targeted revenues. Our estimated maximum obligations for the contingent cash payments were $6 million at the dates of acquisition. As of December 31, 2014, we had paid $4 million of this contingent consideration. In 2014, we also paid $5 million of contingent consideration associated with acquisitions completed prior to 2014.</w:t>
      </w:r>
    </w:p>
    <w:p>
      <w:pPr>
        <w:spacing w:after="0" w:line="19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allocation of purchase price for 2014 acquisitions was primarily to “Property and equipment,” which had an estimated fair value of $6 million; “Other intangible assets,” which had an estimated fair value of $9 million; and “Goodwill” of $17 million. Other intangible assets included $7 million of customer and supplier relationships and $2 million of covenants not-to-compete. Goodwill is primarily a result of expected synergies from combining the acquired businesses with our existing operations and is tax deductible.</w:t>
      </w:r>
    </w:p>
    <w:p>
      <w:pPr>
        <w:spacing w:after="0" w:line="18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During the year ended December 31, 2013, we acquired Greenstar and substantially all of the assets of RCI, which are discussed further below. Additionally, we acquired 14 other businesses primarily related to our Solid Waste business and energy services operations. Total consideration, inclusive of $7 million for estimated working capital, for all acquisitions was $772 million, which included $714 million in cash paid in 2013, debt of $22 million and a liability for contingent consideration with an estimated fair value of $29 million. The contingent consideration is primarily based on changes in certain recycling commodity indexes and, to a lesser extent, contingent upon achievement by the acquired businesses of certain negotiated goals, which generally include targeted revenues. Our estimated maximum obligations for the contingent cash payments were $33 million at the dates of acquisition. As of December 31, 2013, we had paid $4 million of this contingent consideration. In 2013, we also paid $6 million of contingent consideration associated with acquisitions completed prior to 2013.</w:t>
      </w:r>
    </w:p>
    <w:p>
      <w:pPr>
        <w:spacing w:after="0" w:line="192"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allocation of purchase price for 2013 acquisitions was primarily to “Property and equipment,” which had an estimated fair value of $195 million; “Other intangible assets,” which had an estimated fair value of $232 million; and “Goodwill” of $327 million. Other intangible assets included $218 million of customer and supplier relationships, $5 million of covenants not-to-compete and $9 million of other intangible assets. Goodwill is primarily a result of expected synergies from combining the acquired businesses with our existing operations and is generally tax deductible.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of Greenstar, LLC</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January 31, 2013, we paid $170 million inclusive of certain adjustments, to acquire Greenstar. Pursuant to the sale and purchase agreement, up to an additional $40 million was payable to the sellers, of which $20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million was guaranteed and paid in 2015. The remaining $20 million of this consideration was contingent based on changes in certain recyclable commodity indexes and had an estimated fair value at closing of $16 million. This contingent consideration was not earned.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of RCI Environnement, Inc.</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July 5, 2013, we paid C$509 million, or $481 million, to acquire substantially all of the assets of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Consolidated Results of Operations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RCI and Greenstar occurred at January 1, 2013 (in millions, except per share amounts):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720" w:type="dxa"/>
            <w:vAlign w:val="bottom"/>
          </w:tcPr>
          <w:p>
            <w:pPr>
              <w:spacing w:after="0"/>
              <w:rPr>
                <w:sz w:val="14"/>
                <w:szCs w:val="14"/>
                <w:color w:val="auto"/>
              </w:rPr>
            </w:pPr>
          </w:p>
        </w:tc>
        <w:tc>
          <w:tcPr>
            <w:tcW w:w="2960" w:type="dxa"/>
            <w:vAlign w:val="bottom"/>
            <w:gridSpan w:val="3"/>
          </w:tcPr>
          <w:p>
            <w:pPr>
              <w:jc w:val="center"/>
              <w:ind w:left="1837"/>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720" w:type="dxa"/>
            <w:vAlign w:val="bottom"/>
          </w:tcPr>
          <w:p>
            <w:pPr>
              <w:spacing w:after="0"/>
              <w:rPr>
                <w:sz w:val="14"/>
                <w:szCs w:val="14"/>
                <w:color w:val="auto"/>
              </w:rPr>
            </w:pPr>
          </w:p>
        </w:tc>
        <w:tc>
          <w:tcPr>
            <w:tcW w:w="2860" w:type="dxa"/>
            <w:vAlign w:val="bottom"/>
            <w:gridSpan w:val="2"/>
          </w:tcPr>
          <w:p>
            <w:pPr>
              <w:jc w:val="center"/>
              <w:ind w:left="193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Year Divestitures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aggregate sales price for divestitures of operations was $79 million in 2015 and we recognized net gains on these divestitures of $7 million. These divestitures were made as part of our continuous focus on improving or divesting certain non-strategic or underperforming operations. The remaining amounts reported in the Consolidated Statement of Cash Flows generally relate to the sale of fixed assets.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Year Divestitures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aggregate sales price for divestitures of operations was $2.09 billion in 2014, primarily related to (i) the sale of our Wheelabrator business; (ii) the sale of our Puerto Rico operations and (iii) the sale of certain landfill and collection operations in our Eastern Canada Area, as discussed further below. We recognized net gains on these divestitures of $515 million in 2014. These divestitures were made as part of our continuous focus on improving or divesting certain non-strategic or underperforming operations. The remaining amounts reported in the Consolidated Statement of Cash Flows generally relate to the sale of fixed assets.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Divestiture of Wheelabrator Business</w:t>
      </w:r>
    </w:p>
    <w:p>
      <w:pPr>
        <w:spacing w:after="0" w:line="11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On December 19, 2014, we sold our Wheelabrator business to an affiliate of Energy Capital Partners and received cash proceeds of $1.95 billion, net of cash divested, subject to certain post-closing adjustments. We recognized a gain of $519 million on this sale which is included within “(Income) expense from divestitures, asset impairments (other than goodwill) and unusual items” in the Consolidated Statement of Operations. For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year ended December 31,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through 2021.</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Divestitures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During 2014, we sold our Puerto Rico operations and received proceeds of $80 million, consisting of $65 million of cash and $15 million of preferred stock and recognized a loss of $25 million. In addition, we sold certain landfill and collection operations in our Eastern Canada Area and received cash proceeds of $39 million and recognized a gain of $18 million. The gain or loss on these divestitures is included within “(Income) expense from divestitures, asset impairments (other than goodwill) and unusual items” in the Consolidated Statement of Operations. The remaining proceeds from divestitures in 2014 were comprised substantially of cash.</w:t>
      </w:r>
    </w:p>
    <w:p>
      <w:pPr>
        <w:spacing w:after="0" w:line="188"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The aggregate sales price for divestitures of operations in 2013 was $70 million comprised substantially of cash and we recognized net gains of $8 million. These divestitures were made as part of our continuous focus on improving or divesting certain non-strategic or underperforming operations. The remaining amounts reported in the Consolidated Statement of Cash Flows generally relate to the sale of fixed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Variable Interest Entities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i w:val="1"/>
          <w:iCs w:val="1"/>
          <w:color w:val="auto"/>
        </w:rPr>
        <w:t xml:space="preserve">Waste-to-Energy LLCs </w:t>
      </w:r>
      <w:r>
        <w:rPr>
          <w:rFonts w:ascii="Arial" w:cs="Arial" w:eastAsia="Arial" w:hAnsi="Arial"/>
          <w:sz w:val="16"/>
          <w:szCs w:val="16"/>
          <w:color w:val="auto"/>
        </w:rPr>
        <w:t>— In June 2000, two limited liability companies were established to purchase interests in existing leveraged lease financings at</w:t>
      </w:r>
      <w:r>
        <w:rPr>
          <w:rFonts w:ascii="Arial" w:cs="Arial" w:eastAsia="Arial" w:hAnsi="Arial"/>
          <w:sz w:val="16"/>
          <w:szCs w:val="16"/>
          <w:i w:val="1"/>
          <w:iCs w:val="1"/>
          <w:color w:val="auto"/>
        </w:rPr>
        <w:t xml:space="preserve"> </w:t>
      </w:r>
      <w:r>
        <w:rPr>
          <w:rFonts w:ascii="Arial" w:cs="Arial" w:eastAsia="Arial" w:hAnsi="Arial"/>
          <w:sz w:val="16"/>
          <w:szCs w:val="16"/>
          <w:color w:val="auto"/>
        </w:rPr>
        <w:t>three waste-to-energy facilities that we leased, operated and maintained. We initially owned a 0.5% interest in one of the LLCs (“LLC I”) and a 0.25% interest in the second LLC (“LLC II”). John Hancock Life Insurance Company (“Hancock”) owned 99.5% of LLC I and 99.75% of LLC II was owned by LLC I and the CIT Group (“CIT”). We determined that we were the primary beneficiary of the LLCs and consolidated these entities in our Consolidated Financial Statements because (i) all of the equity owners of the LLCs were considered related parties for purposes of applying this accounting guidance;</w:t>
      </w:r>
    </w:p>
    <w:p>
      <w:pPr>
        <w:spacing w:after="0" w:line="2" w:lineRule="exact"/>
        <w:rPr>
          <w:sz w:val="20"/>
          <w:szCs w:val="20"/>
          <w:color w:val="auto"/>
        </w:rPr>
      </w:pPr>
    </w:p>
    <w:p>
      <w:pPr>
        <w:ind w:right="20" w:firstLine="8"/>
        <w:spacing w:after="0" w:line="253" w:lineRule="auto"/>
        <w:tabs>
          <w:tab w:leader="none" w:pos="2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equity owners shared power over the significant activities of the LLCs and (iii) we were the entity within the related party group whose activities were most closely associated with the LLCs. During the years ended December 31, 2014 and 2013 we recognized reductions in earnings of $39 million and $43 million, respectively, for Hancock’s and CIT’s noncontrolling interests in the LLCs’ earnings, which are included in our consolidated net income. The LLCs’ earnings related to the rental income generated from leasing the facilities to our subsidiaries, reduced by depreciation expense. The LLCs’ rental income was eliminated in WM’s consolidation.</w:t>
      </w:r>
    </w:p>
    <w:p>
      <w:pPr>
        <w:spacing w:after="0" w:line="191" w:lineRule="exact"/>
        <w:rPr>
          <w:sz w:val="20"/>
          <w:szCs w:val="20"/>
          <w:color w:val="auto"/>
        </w:rPr>
      </w:pPr>
    </w:p>
    <w:p>
      <w:pPr>
        <w:jc w:val="both"/>
        <w:ind w:right="500" w:firstLine="456"/>
        <w:spacing w:after="0" w:line="342" w:lineRule="auto"/>
        <w:rPr>
          <w:sz w:val="20"/>
          <w:szCs w:val="20"/>
          <w:color w:val="auto"/>
        </w:rPr>
      </w:pPr>
      <w:r>
        <w:rPr>
          <w:rFonts w:ascii="Arial" w:cs="Arial" w:eastAsia="Arial" w:hAnsi="Arial"/>
          <w:sz w:val="16"/>
          <w:szCs w:val="16"/>
          <w:color w:val="auto"/>
        </w:rPr>
        <w:t>In December 2014, we purchased the noncontrolling interests in the LLCs from Hancock and CIT in anticipation of our sale of our Wheelabrator business. The LLCs were then subsequently sold as part of the divestment. See Note 19 for further discussion of the sale of our Wheelabrator business.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 refined coal facility. Along with the other equity investor, we support the operations of the entity in exchange for a pro-rata share of the tax credits it generates. Our initial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consideration for this investment consisted of a cash payment of $48 million. At December 31, 2015 and 2014, our investment balance was $29 million and $32 million, respectively, representing our current maximum pre-tax exposure to loss. Under the terms and conditions of the transaction, we do not believe that we have any material exposure to loss. Required capital contributions commenced in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18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Investment in Low-Income Housing Properties </w:t>
      </w:r>
      <w:r>
        <w:rPr>
          <w:rFonts w:ascii="Arial" w:cs="Arial" w:eastAsia="Arial" w:hAnsi="Arial"/>
          <w:sz w:val="16"/>
          <w:szCs w:val="16"/>
          <w:color w:val="auto"/>
        </w:rPr>
        <w:t>— In 2010, we acquired a noncontrolling interest in a limited liability company established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December 31, 2015 and 2014, our investment balance was $81 million and $104 million, respectively, and our debt balance was $80 million and $104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18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account for the trusts for which we are the sole beneficiary as long-term “Other assets” in our Consolidated Balance Sheet. We reflect our interests in the unrealized gains and losses on available-for-sale securities held by these trusts as a component of “Accumulated other comprehensive income.” These trusts had a fair value of $94 million at December 31, 2015 and $129 million at December 31, 2014. The decline in these balances can be attributed to our decision to work with various beneficiaries to release these funds and secure the obligations with alternate assurance instruments.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Consolidated Balance Sheets, as appropriate. Our investments and receivables related to these trusts had an aggregate carrying value of $93 million and $113 million as of December 31, 2015 and December 31, 2014, respectively.</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and Related Information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Consistent with prior years, we have analyzed the Areas’ income from operations margin for purposes of segment reporting and have realigned our Solid Waste tiers to reflect recent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in order to conform to the current year presentation.</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Tier 1 is now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15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Wheelabrator business, which managed waste-to-energy facilities and independent power production plants, was a separate reportable segment until the sale of the business in 2014, as it met the quantitative disclosure thresholds.</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Operating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Operating</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Expenditures</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Revenues(c)</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(d),(e)</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w:t>
            </w: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(g),(h)</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2,691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15,350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15,350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3,516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16,457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16,457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16,507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16,507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13,983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00" w:hanging="452"/>
        <w:spacing w:after="0" w:line="27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“Other” net operating revenues and “Other” income from operations include (i) the effects of those elements of our landfill gas-to-energy operations and third-party subcontract and administration revenues managed by our Energy and Environmental Services and Renewable Energy organizations, that are not included with the operations of our reportable segments; (ii) our recycling brokerage services and (iii) the impacts of investments in expanded service offerings, such as portable self-storage, long distance moving services, fluorescent lamp recycling and oil and gas producing properties. In addition, our “Other” income from operations reflects the impacts of non-operating entities that provide financial assurance and self-insurance support for the segments or financing for our Canadian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right="160" w:hanging="452"/>
        <w:spacing w:after="0" w:line="286"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Corporate operating results reflect the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1" w:lineRule="exact"/>
        <w:rPr>
          <w:rFonts w:ascii="Arial" w:cs="Arial" w:eastAsia="Arial" w:hAnsi="Arial"/>
          <w:sz w:val="16"/>
          <w:szCs w:val="16"/>
          <w:color w:val="auto"/>
        </w:rPr>
      </w:pPr>
    </w:p>
    <w:p>
      <w:pPr>
        <w:ind w:left="460" w:right="680" w:hanging="452"/>
        <w:spacing w:after="0" w:line="281"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ind w:left="46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businesses. From time to time the operating results of our reportable segments are significantly affected by certain transactions or events that management believes are not indicative or representative of our results. In 2014, we recognized a $519 million gain on the sale of our Wheelabrator business. In 2013, we recognized $981 million of impairment charges, the most significant of which impacted our Tier 2 and Wheelabrator segments by $253 million and $627 million, respectively. Refer to Note 12 and Note 13 for an explanation of certain other transactions and events affecting our operating results.</w:t>
      </w:r>
    </w:p>
    <w:p>
      <w:pPr>
        <w:spacing w:after="0" w:line="2"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 is as follows (in millions):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900" w:type="dxa"/>
            <w:vAlign w:val="bottom"/>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as reported above</w:t>
            </w:r>
          </w:p>
        </w:tc>
        <w:tc>
          <w:tcPr>
            <w:tcW w:w="1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$20,958</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$21,888</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$23,102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7"/>
                <w:szCs w:val="17"/>
                <w:color w:val="auto"/>
              </w:rPr>
              <w:t>Elimination of intercompany investments and advances</w:t>
            </w:r>
          </w:p>
        </w:tc>
        <w:tc>
          <w:tcPr>
            <w:tcW w:w="14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(539)</w:t>
            </w:r>
          </w:p>
        </w:tc>
        <w:tc>
          <w:tcPr>
            <w:tcW w:w="1460" w:type="dxa"/>
            <w:vAlign w:val="bottom"/>
            <w:gridSpan w:val="3"/>
          </w:tcPr>
          <w:p>
            <w:pPr>
              <w:jc w:val="right"/>
              <w:ind w:right="500"/>
              <w:spacing w:after="0"/>
              <w:rPr>
                <w:sz w:val="20"/>
                <w:szCs w:val="20"/>
                <w:color w:val="auto"/>
              </w:rPr>
            </w:pPr>
            <w:r>
              <w:rPr>
                <w:rFonts w:ascii="Arial" w:cs="Arial" w:eastAsia="Arial" w:hAnsi="Arial"/>
                <w:sz w:val="17"/>
                <w:szCs w:val="17"/>
                <w:color w:val="auto"/>
              </w:rPr>
              <w:t>(591)</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(612)</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Total assets, per Consolidated Balance Sheet</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20,419</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21,297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22,490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Areas and our recycling brokerage business is included as part of our “Other” operations. As discussed in Note 19, the goodwill associated with our acquisition of Deffenbaugh has been assigned to our Areas, primarily in Tier 3 and to a lesser extent Tier 1. The following table presents changes in goodwill during 2014 and 2015 by reportable segment (in millions):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Solid Waste</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Wheelabrator</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Tier 1</w:t>
            </w:r>
          </w:p>
        </w:tc>
        <w:tc>
          <w:tcPr>
            <w:tcW w:w="1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Tier 2</w:t>
            </w: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Tier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December 31, 2013</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$2,183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$1,814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$1,653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77"/>
              </w:rPr>
              <w:t>305</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$ 115</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$6,070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Acquired goodwill</w:t>
            </w: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Divested goodwill, net of assets held-for-sale</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(305)</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Impairments</w:t>
            </w:r>
          </w:p>
        </w:tc>
        <w:tc>
          <w:tcPr>
            <w:tcW w:w="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(10)</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Translation and other adjustments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7"/>
                <w:szCs w:val="17"/>
                <w:color w:val="auto"/>
              </w:rPr>
              <w:t>Balance, December 31, 2014</w:t>
            </w:r>
          </w:p>
        </w:tc>
        <w:tc>
          <w:tcPr>
            <w:tcW w:w="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$2,178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$1,795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$1,662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$ 105</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Acquired goodwill</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105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Divested goodwill, net of assets held-for-sale</w:t>
            </w:r>
          </w:p>
        </w:tc>
        <w:tc>
          <w:tcPr>
            <w:tcW w:w="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(6)</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Translation and other adjustments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7"/>
                <w:szCs w:val="17"/>
                <w:color w:val="auto"/>
              </w:rPr>
              <w:t>Balance, December 31, 2015</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2,190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1,772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$ 210</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Industrial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23"/>
        </w:trPr>
        <w:tc>
          <w:tcPr>
            <w:tcW w:w="4280" w:type="dxa"/>
            <w:vAlign w:val="bottom"/>
          </w:tcPr>
          <w:p>
            <w:pPr>
              <w:ind w:left="720"/>
              <w:spacing w:after="0"/>
              <w:rPr>
                <w:sz w:val="20"/>
                <w:szCs w:val="20"/>
                <w:color w:val="auto"/>
              </w:rPr>
            </w:pPr>
            <w:r>
              <w:rPr>
                <w:rFonts w:ascii="Arial" w:cs="Arial" w:eastAsia="Arial" w:hAnsi="Arial"/>
                <w:sz w:val="18"/>
                <w:szCs w:val="18"/>
                <w:color w:val="auto"/>
              </w:rPr>
              <w:t>Total collection</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Transfer</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Recycling</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Intercompany(b)</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(2,461)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(2,524)</w:t>
            </w:r>
          </w:p>
        </w:tc>
      </w:tr>
      <w:tr>
        <w:trPr>
          <w:trHeight w:val="27"/>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13,983</w:t>
            </w: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“Other” line of business includes Strategic Business Solutions, landfill gas-to-energy operations, Port-O-Let</w:t>
      </w:r>
      <w:r>
        <w:rPr>
          <w:rFonts w:ascii="Arial" w:cs="Arial" w:eastAsia="Arial" w:hAnsi="Arial"/>
          <w:sz w:val="15"/>
          <w:szCs w:val="15"/>
          <w:color w:val="auto"/>
        </w:rPr>
        <w:t>®</w:t>
      </w:r>
      <w:r>
        <w:rPr>
          <w:rFonts w:ascii="Arial" w:cs="Arial" w:eastAsia="Arial" w:hAnsi="Arial"/>
          <w:sz w:val="18"/>
          <w:szCs w:val="18"/>
          <w:color w:val="auto"/>
        </w:rPr>
        <w:t xml:space="preserve"> services, portable self-storage, long distance moving services, fluorescent lamp recycling, and oil and gas producing properties.</w:t>
      </w:r>
    </w:p>
    <w:p>
      <w:pPr>
        <w:spacing w:after="0" w:line="1" w:lineRule="exact"/>
        <w:rPr>
          <w:rFonts w:ascii="Arial" w:cs="Arial" w:eastAsia="Arial" w:hAnsi="Arial"/>
          <w:sz w:val="18"/>
          <w:szCs w:val="18"/>
          <w:color w:val="auto"/>
        </w:rPr>
      </w:pPr>
    </w:p>
    <w:p>
      <w:pPr>
        <w:ind w:left="460" w:right="1500" w:hanging="452"/>
        <w:spacing w:after="0" w:line="566" w:lineRule="auto"/>
        <w:tabs>
          <w:tab w:leader="none" w:pos="449"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Consolidated Financial Statements included herein. Net operating revenues relating to operations in the United States and Puerto Rico, as well as Canada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$12,196</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$13,064</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12,961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13,996</w:t>
            </w:r>
          </w:p>
        </w:tc>
        <w:tc>
          <w:tcPr>
            <w:tcW w:w="5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13,983</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sold our Puerto Rico operations in 2014. Refer to Note 19 for additional information.</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800" w:type="dxa"/>
            <w:vAlign w:val="bottom"/>
            <w:gridSpan w:val="2"/>
          </w:tcPr>
          <w:p>
            <w:pPr>
              <w:jc w:val="center"/>
              <w:ind w:left="139"/>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 and Puerto Rico(a)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$11,198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10,657</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12,344</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580" w:right="4420" w:hanging="5572"/>
        <w:spacing w:after="0" w:line="490" w:lineRule="auto"/>
        <w:tabs>
          <w:tab w:leader="none" w:pos="4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sold our Puerto Rico operations in 2014. Refer to Note 19 for additional information. 135</w:t>
      </w:r>
    </w:p>
    <w:p>
      <w:pPr>
        <w:sectPr>
          <w:pgSz w:w="11900" w:h="16838" w:orient="portrait"/>
          <w:cols w:equalWidth="0" w:num="1">
            <w:col w:w="11280"/>
          </w:cols>
          <w:pgMar w:left="240" w:top="459"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quarterly results of operations for 2015 and 2014 (in millions, except per share amounts):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First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2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5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Quarter</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revenues</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$3,040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$3,315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$3,360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Consolidated net income (loss)</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(131)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337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 earnings (loss) common share</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(0.28)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0.75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common share</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$3,396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$3,561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469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546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752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228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270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0.49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0.58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1.28</w:t>
            </w:r>
          </w:p>
        </w:tc>
      </w:tr>
    </w:tbl>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8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2015</w:t>
      </w:r>
    </w:p>
    <w:p>
      <w:pPr>
        <w:spacing w:after="0" w:line="131" w:lineRule="exact"/>
        <w:rPr>
          <w:sz w:val="20"/>
          <w:szCs w:val="20"/>
          <w:color w:val="auto"/>
        </w:rPr>
      </w:pPr>
    </w:p>
    <w:p>
      <w:pPr>
        <w:ind w:left="900" w:hanging="325"/>
        <w:spacing w:after="0" w:line="279"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recognition of a pre-tax loss of $550 million associated with the early extinguishment of almost $2 billion of our high-coupon senior notes through a make-whole redemption and cash tender offer. We replaced substantially all of the debt extinguished with new senior notes at significantly lower coupon interest rates, which will reduce future interest expense and extended the average maturity of our debt obligations. The charges incurred for the redemption had a negative impact of $0.74 on our diluted loss per share.</w:t>
      </w:r>
    </w:p>
    <w:p>
      <w:pPr>
        <w:spacing w:after="0" w:line="76" w:lineRule="exact"/>
        <w:rPr>
          <w:rFonts w:ascii="Arial" w:cs="Arial" w:eastAsia="Arial" w:hAnsi="Arial"/>
          <w:sz w:val="17"/>
          <w:szCs w:val="17"/>
          <w:color w:val="auto"/>
        </w:rPr>
      </w:pPr>
    </w:p>
    <w:p>
      <w:pPr>
        <w:ind w:left="900" w:right="60" w:hanging="325"/>
        <w:spacing w:after="0" w:line="286"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recognition of pre-tax charges of $14 million associated with divestitures, impairments and restructuring, which include a $7 million net loss associated with the sale of our Wheelabrator business in December 2014 and a $5 million impairment charge related to a landfill in our Western Canada Area. Combined, these charges had a negative impact of $0.03 on our diluted loss per share.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2015</w:t>
      </w:r>
    </w:p>
    <w:p>
      <w:pPr>
        <w:spacing w:after="0" w:line="131" w:lineRule="exact"/>
        <w:rPr>
          <w:sz w:val="20"/>
          <w:szCs w:val="20"/>
          <w:color w:val="auto"/>
        </w:rPr>
      </w:pPr>
    </w:p>
    <w:p>
      <w:pPr>
        <w:ind w:left="900" w:right="2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recognition of a $55 million charge associated with the withdrawal from certain underfunded multiemployer pension plans had a negative impact of $0.07 on our diluted earnings per share.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recognition of net pre-tax losses of $6 million primarily related to the impairment of various recycling assets and certain adjustments associated with the sale of our Wheelabrator business. Combined, these charges had a favorable after-tax impact of $0.01 on our diluted earnings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2015</w:t>
      </w:r>
    </w:p>
    <w:p>
      <w:pPr>
        <w:spacing w:after="0" w:line="131" w:lineRule="exact"/>
        <w:rPr>
          <w:sz w:val="20"/>
          <w:szCs w:val="20"/>
          <w:color w:val="auto"/>
        </w:rPr>
      </w:pPr>
    </w:p>
    <w:p>
      <w:pPr>
        <w:ind w:left="900" w:right="1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recognition of $70 million of pre-tax charges primarily to impair our oil and gas producing properties, which negatively affected our diluted earnings per share by $0.09.</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recognition of $8 million of pre-tax restructuring charges and a $4 million other-than-temporary decline in the value of an investment in a waste diversion technology company accounted for under the cost method. These charges had a negative impact of $0.02 on our diluted earnings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2014</w:t>
      </w:r>
    </w:p>
    <w:p>
      <w:pPr>
        <w:spacing w:after="0" w:line="131" w:lineRule="exact"/>
        <w:rPr>
          <w:sz w:val="20"/>
          <w:szCs w:val="20"/>
          <w:color w:val="auto"/>
        </w:rPr>
      </w:pPr>
    </w:p>
    <w:p>
      <w:pPr>
        <w:jc w:val="both"/>
        <w:ind w:left="900" w:right="6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first quarter of 2014, we experienced significantly higher revenues in our Wheelabrator business and the renewable energy operations in Solid Waste from temporarily higher electricity prices driven by weather-related demand. This increase in revenues offset reduced revenues in our collection and disposal operations due to inclement weather.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2014</w:t>
      </w:r>
    </w:p>
    <w:p>
      <w:pPr>
        <w:spacing w:after="0" w:line="131" w:lineRule="exact"/>
        <w:rPr>
          <w:sz w:val="20"/>
          <w:szCs w:val="20"/>
          <w:color w:val="auto"/>
        </w:rPr>
      </w:pPr>
    </w:p>
    <w:p>
      <w:pPr>
        <w:jc w:val="both"/>
        <w:ind w:left="900" w:right="1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recognition of a pre-tax loss of $25 million on the divestiture of our Puerto Rico operations. No tax benefit was recorded in connection with the loss. In addition, we incurred $32 million of tax charges to repatriate accumulated cash prior to the divestment. These charges had a negative impact of $0.12 on our diluted earnings per share.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recognition of other net pre-tax charges of $16 million, primarily as a result of a $12 million impairment charge due to the decision to close a waste processing facility. These charges had a negative impact of $0.03 on our diluted earnings per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2014</w:t>
      </w:r>
    </w:p>
    <w:p>
      <w:pPr>
        <w:spacing w:after="0" w:line="131" w:lineRule="exact"/>
        <w:rPr>
          <w:sz w:val="20"/>
          <w:szCs w:val="20"/>
          <w:color w:val="auto"/>
        </w:rPr>
      </w:pPr>
    </w:p>
    <w:p>
      <w:pPr>
        <w:ind w:left="900" w:right="28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recognition of $67 million of pre-tax restructuring charges primarily related to our August 2014 restructuring. These items had a negative impact of $0.09 on our diluted earnings per share.</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recognition of pre-tax charges aggregating $20 million comprised of (i) litigation reserves and (ii) the write down of an investment in a waste diversion technology company, partially offset by a gain on the sale of certain landfill and collection operations in our Eastern Canada Area. These items had a negative impact of $0.05 on our diluted earnings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2014</w:t>
      </w:r>
    </w:p>
    <w:p>
      <w:pPr>
        <w:spacing w:after="0" w:line="131" w:lineRule="exact"/>
        <w:rPr>
          <w:sz w:val="20"/>
          <w:szCs w:val="20"/>
          <w:color w:val="auto"/>
        </w:rPr>
      </w:pPr>
    </w:p>
    <w:p>
      <w:pPr>
        <w:ind w:left="900" w:right="32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recognition of a pre-tax gain of $519 million on the sale of our Wheelabrator business, which positively affected our diluted earnings per share by $1.12.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00" w:right="80" w:hanging="325"/>
        <w:spacing w:after="0" w:line="255"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Net income was negatively impacted by the recognition of net pre-tax charges aggregating $364 million comprised of (i) $270 million of charges to impair our oil and gas producing properties; (ii) $25 million of charges to write down assets related to waste diversion technology companies; (iii) $20 million of other-than-temporary declines in the value of investments in waste diversion technology companies accounted for under the cost method; (iv) $10 million of goodwill impairment charges associated with our recycling operations and (v) other charges to write down the carrying value of assets to their estimated fair values related to certain of our operations. These items had a negative impact of $0.49 on our diluted earnings per share.</w:t>
      </w:r>
    </w:p>
    <w:p>
      <w:pPr>
        <w:spacing w:after="0" w:line="98" w:lineRule="exact"/>
        <w:rPr>
          <w:rFonts w:ascii="Arial" w:cs="Arial" w:eastAsia="Arial" w:hAnsi="Arial"/>
          <w:sz w:val="18"/>
          <w:szCs w:val="18"/>
          <w:color w:val="auto"/>
        </w:rPr>
      </w:pPr>
    </w:p>
    <w:p>
      <w:pPr>
        <w:ind w:left="900" w:right="120" w:hanging="325"/>
        <w:spacing w:after="0" w:line="277"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pre-tax restructuring charges of $13 million, which negatively affected our diluted earnings per share by $0.02.</w:t>
      </w:r>
    </w:p>
    <w:p>
      <w:pPr>
        <w:spacing w:after="0" w:line="274" w:lineRule="exact"/>
        <w:rPr>
          <w:rFonts w:ascii="Arial" w:cs="Arial" w:eastAsia="Arial" w:hAnsi="Arial"/>
          <w:sz w:val="18"/>
          <w:szCs w:val="18"/>
          <w:color w:val="auto"/>
        </w:rPr>
      </w:pPr>
    </w:p>
    <w:p>
      <w:pPr>
        <w:ind w:left="280" w:hanging="272"/>
        <w:spacing w:after="0"/>
        <w:tabs>
          <w:tab w:leader="none" w:pos="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10,665</w:t>
            </w:r>
          </w:p>
        </w:tc>
        <w:tc>
          <w:tcPr>
            <w:tcW w:w="18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18,557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18,911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(44,833)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18,615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27,691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(44,833)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Pr>
          <w:p>
            <w:pPr>
              <w:spacing w:after="0"/>
              <w:rPr>
                <w:sz w:val="24"/>
                <w:szCs w:val="24"/>
                <w:color w:val="auto"/>
              </w:rPr>
            </w:pPr>
          </w:p>
        </w:tc>
        <w:tc>
          <w:tcPr>
            <w:tcW w:w="364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Due to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(7,365)</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13,270</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18,557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18,911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(37,468)</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18,557</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18,933</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(37,468)</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4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18,615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18,946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27,691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(44,833)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WM</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3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70"/>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10,657</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17,312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17,782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(41,839)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7,036</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1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17,816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(41,839)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Pr>
          <w:p>
            <w:pPr>
              <w:spacing w:after="0"/>
              <w:rPr>
                <w:sz w:val="24"/>
                <w:szCs w:val="24"/>
                <w:color w:val="auto"/>
              </w:rPr>
            </w:pPr>
          </w:p>
        </w:tc>
        <w:tc>
          <w:tcPr>
            <w:tcW w:w="346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957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Due to affiliates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6,703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(6,745)</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3,546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12,736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504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5,866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17,312</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17,782</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(35,094)</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17,312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17,805</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(35,094)</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1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17,816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(41,839)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 Ended December 31, 2015</w:t>
            </w: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12,961</w:t>
            </w:r>
          </w:p>
        </w:tc>
        <w:tc>
          <w:tcPr>
            <w:tcW w:w="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12,961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Costs and expenses(a)</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10,917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10,916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Income from operations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4"/>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2,044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(298)</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Loss on early extinguishment of debt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taxes</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w w:val="90"/>
              </w:rPr>
              <w:t>1,245</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1,289</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(2,534)</w:t>
            </w:r>
          </w:p>
        </w:tc>
        <w:tc>
          <w:tcPr>
            <w:tcW w:w="2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(45)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447</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1,215</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(113)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(2,534)</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447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1,216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1,931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(2,534)</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(306)</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(29)</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643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753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1,245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1,288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(2,534)</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attributable to Waste Management, Inc.</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753</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1,245</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1,289</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(2,534)</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Year Ended December 31, 2014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13,996</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Costs and expenses(a)</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(459)</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12,156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operations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459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1,840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Arial" w:cs="Arial" w:eastAsia="Arial" w:hAnsi="Arial"/>
                <w:sz w:val="15"/>
                <w:szCs w:val="15"/>
                <w:color w:val="auto"/>
              </w:rPr>
              <w:t>Other income (expense):</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(351)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(84)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taxes</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w w:val="90"/>
              </w:rPr>
              <w:t>1,510</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1,070</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(2,580)</w:t>
            </w:r>
          </w:p>
        </w:tc>
        <w:tc>
          <w:tcPr>
            <w:tcW w:w="2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(82)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w w:val="90"/>
              </w:rPr>
              <w:t>1,159</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1,039</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(166)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(2,580)</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w w:val="90"/>
              </w:rPr>
              <w:t>1,159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1,498</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1,674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(2,580)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(139)</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(12)</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564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w w:val="90"/>
              </w:rPr>
              <w:t>1,298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1,510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1,110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(2,580)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attributable to Waste Management, Inc.</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w w:val="90"/>
              </w:rPr>
              <w:t>1,298</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1,510</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1,070</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(2,580)</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Year Ended December 31, 2013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13,983</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13,983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Costs and expenses(a)</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12,904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12,904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operations</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1,079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taxes</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313</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332</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(645)</w:t>
            </w:r>
          </w:p>
        </w:tc>
        <w:tc>
          <w:tcPr>
            <w:tcW w:w="2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(108)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(42)</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300</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(645)</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300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881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(140)</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(13)</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517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364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attributable to Waste Management, Inc.</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332</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p>
      <w:pPr>
        <w:ind w:left="340" w:right="80" w:hanging="332"/>
        <w:spacing w:after="0" w:line="255" w:lineRule="auto"/>
        <w:tabs>
          <w:tab w:leader="none" w:pos="3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Includes “Goodwill impairments” and “(Income) expense from divestitures, asset impairments (other than goodwill) and unusual items” as reported in our Consolidated Statements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762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1,245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(2,534)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Comprehensive income (loss) attributable to Waste Management,</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762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1,245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(2,534)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0"/>
                <w:szCs w:val="20"/>
                <w:color w:val="auto"/>
              </w:rPr>
            </w:pPr>
            <w:r>
              <w:rPr>
                <w:rFonts w:ascii="Arial" w:cs="Arial" w:eastAsia="Arial" w:hAnsi="Arial"/>
                <w:sz w:val="18"/>
                <w:szCs w:val="18"/>
                <w:color w:val="auto"/>
                <w:w w:val="84"/>
              </w:rPr>
              <w:t>1,300</w:t>
            </w:r>
          </w:p>
        </w:tc>
        <w:tc>
          <w:tcPr>
            <w:tcW w:w="30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1,510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(2,580)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Comprehensive income (loss) attributable to Waste Management,</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Inc.</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spacing w:after="0"/>
              <w:rPr>
                <w:sz w:val="20"/>
                <w:szCs w:val="20"/>
                <w:color w:val="auto"/>
              </w:rPr>
            </w:pPr>
            <w:r>
              <w:rPr>
                <w:rFonts w:ascii="Arial" w:cs="Arial" w:eastAsia="Arial" w:hAnsi="Arial"/>
                <w:sz w:val="18"/>
                <w:szCs w:val="18"/>
                <w:color w:val="auto"/>
                <w:w w:val="84"/>
              </w:rPr>
              <w:t>1,300</w:t>
            </w:r>
          </w:p>
        </w:tc>
        <w:tc>
          <w:tcPr>
            <w:tcW w:w="300" w:type="dxa"/>
            <w:vAlign w:val="bottom"/>
          </w:tcPr>
          <w:p>
            <w:pPr>
              <w:spacing w:after="0"/>
              <w:rPr>
                <w:sz w:val="20"/>
                <w:szCs w:val="20"/>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1,510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(2,580)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Comprehensive income (loss) attributable to Waste Management,</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99"/>
              </w:rPr>
              <w:t>141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WM</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1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Eliminations</w:t>
            </w:r>
          </w:p>
        </w:tc>
        <w:tc>
          <w:tcPr>
            <w:tcW w:w="2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3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net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1,245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1,288</w:t>
            </w: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(1,245)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(1,289)</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w w:val="95"/>
              </w:rPr>
              <w:t>Proceeds from divestitures of businesses and other 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(net of cash divested)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Net receipts from restricted trust and escrow accounts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(1,920)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Acquisitions of and distributions paid to noncontrolling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interests and other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(Increase) decrease in intercompany and investments,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 changes on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(1,235)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WM</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2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net income (loss)</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$ 1,298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1,510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(1,070)</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439</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340"/>
              <w:spacing w:after="0" w:line="201" w:lineRule="exact"/>
              <w:rPr>
                <w:sz w:val="20"/>
                <w:szCs w:val="20"/>
                <w:color w:val="auto"/>
              </w:rPr>
            </w:pPr>
            <w:r>
              <w:rPr>
                <w:rFonts w:ascii="Arial" w:cs="Arial" w:eastAsia="Arial" w:hAnsi="Arial"/>
                <w:sz w:val="18"/>
                <w:szCs w:val="18"/>
                <w:color w:val="auto"/>
                <w:w w:val="92"/>
              </w:rPr>
              <w:t>Proceeds from divestitures of businesses and other assets (net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520"/>
              <w:spacing w:after="0"/>
              <w:rPr>
                <w:sz w:val="20"/>
                <w:szCs w:val="20"/>
                <w:color w:val="auto"/>
              </w:rPr>
            </w:pPr>
            <w:r>
              <w:rPr>
                <w:rFonts w:ascii="Arial" w:cs="Arial" w:eastAsia="Arial" w:hAnsi="Arial"/>
                <w:sz w:val="18"/>
                <w:szCs w:val="18"/>
                <w:color w:val="auto"/>
              </w:rPr>
              <w:t>of cash divested)</w:t>
            </w:r>
          </w:p>
        </w:tc>
        <w:tc>
          <w:tcPr>
            <w:tcW w:w="26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1,618</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receipts from restricted trust and escrow accounts and</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Acquisitions of and distributions paid to noncontrolling</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interests and other</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(2,057)</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(2,057)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$ 1,235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3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Year Ended December 31, 2013</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Consolidated 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313</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77"/>
              </w:rPr>
              <w:t>364</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(645)</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Equity in earnings of subsidiaries, net of taxes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7"/>
                <w:szCs w:val="17"/>
                <w:color w:val="auto"/>
              </w:rPr>
              <w:t>(313)</w:t>
            </w:r>
          </w:p>
        </w:tc>
        <w:tc>
          <w:tcPr>
            <w:tcW w:w="12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7"/>
                <w:szCs w:val="17"/>
                <w:color w:val="auto"/>
              </w:rPr>
              <w:t>(332)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ind w:left="260"/>
              <w:spacing w:after="0"/>
              <w:rPr>
                <w:sz w:val="20"/>
                <w:szCs w:val="20"/>
                <w:color w:val="auto"/>
              </w:rPr>
            </w:pPr>
            <w:r>
              <w:rPr>
                <w:rFonts w:ascii="Arial" w:cs="Arial" w:eastAsia="Arial" w:hAnsi="Arial"/>
                <w:sz w:val="17"/>
                <w:szCs w:val="17"/>
                <w:color w:val="auto"/>
                <w:w w:val="84"/>
              </w:rPr>
              <w:t>645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adjustments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2,327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7"/>
                <w:szCs w:val="17"/>
                <w:color w:val="auto"/>
              </w:rPr>
              <w:t>Net cash provided by (used in) operating activities</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2,691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Acquisitions of businesses, net of cash acquired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(1,271)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Pr>
          <w:p>
            <w:pPr>
              <w:ind w:left="340"/>
              <w:spacing w:after="0" w:line="185" w:lineRule="exact"/>
              <w:rPr>
                <w:sz w:val="20"/>
                <w:szCs w:val="20"/>
                <w:color w:val="auto"/>
              </w:rPr>
            </w:pPr>
            <w:r>
              <w:rPr>
                <w:rFonts w:ascii="Arial" w:cs="Arial" w:eastAsia="Arial" w:hAnsi="Arial"/>
                <w:sz w:val="17"/>
                <w:szCs w:val="17"/>
                <w:color w:val="auto"/>
                <w:w w:val="96"/>
              </w:rPr>
              <w:t>Proceeds from divestitures of businesses and other assets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tcPr>
          <w:p>
            <w:pPr>
              <w:ind w:left="500"/>
              <w:spacing w:after="0"/>
              <w:rPr>
                <w:sz w:val="20"/>
                <w:szCs w:val="20"/>
                <w:color w:val="auto"/>
              </w:rPr>
            </w:pPr>
            <w:r>
              <w:rPr>
                <w:rFonts w:ascii="Arial" w:cs="Arial" w:eastAsia="Arial" w:hAnsi="Arial"/>
                <w:sz w:val="17"/>
                <w:szCs w:val="17"/>
                <w:color w:val="auto"/>
              </w:rPr>
              <w:t>(net of cash divested)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7"/>
                <w:szCs w:val="17"/>
                <w:color w:val="auto"/>
                <w:w w:val="77"/>
              </w:rPr>
              <w:t>138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w w:val="96"/>
              </w:rPr>
              <w:t>Net receipts from restricted trust and escrow accounts and</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net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7"/>
                <w:szCs w:val="17"/>
                <w:color w:val="auto"/>
              </w:rPr>
              <w:t>Net cash provided by (used in) investing activities</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New borrowings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1,140</w:t>
            </w:r>
          </w:p>
        </w:tc>
        <w:tc>
          <w:tcPr>
            <w:tcW w:w="12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rPr>
              <w:t>1,092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Debt repayments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(1,120)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Common stock repurchases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dividends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Exercise of common stock options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Acquisitions of and distributions paid to noncontrolling</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interests and other</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w w:val="96"/>
              </w:rPr>
              <w:t>(Increase) decrease in intercompany and investments, net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913</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(932)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(863)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color w:val="auto"/>
                <w:w w:val="97"/>
              </w:rPr>
              <w:t>Effect of exchange rate changes on cash and cash equivalents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7"/>
                <w:szCs w:val="17"/>
                <w:color w:val="auto"/>
              </w:rPr>
              <w:t>—</w:t>
            </w:r>
          </w:p>
        </w:tc>
        <w:tc>
          <w:tcPr>
            <w:tcW w:w="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Cash and cash equivalents at beginning of year</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w w:val="77"/>
              </w:rPr>
              <w:t>134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New Accounting Standard Pending Adoption (Unaudited)</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May 2014, the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8, 2016, Waste Management Inc. of Florida, a wholly-owned subsidiary of WM, acquired certain operations and business assets of Southern Waste Systems/Sun Recycling in Southern Florida. The acquired business assets include residential, commercial, and industrial solid waste collection, processing/recycling and transfer operations, equipment, vehicles, real estate and customer agreements. Total consideration, inclusive of amounts for estimated working capital, paid at closing was $516 million and is subject to standard post-closing adjustments. The acquisition was funded primarily with borrowings under our $2.25 billion revolving credit facility.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2015 (the end of the period covered by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Management’s report on our internal control over financial reporting can be found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report. Ernst &amp; Young LLP, an independent registered public accounting firm, has audited the effectiveness of our internal control over financial reporting as of December 31, 2015 as stated in their report, which appears in Item 8 of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Management, together with our CEO and CFO, evaluated the changes in our internal control over financial reporting during the quarter ended December 31, 2015. We determined that there were no changes in our internal control over financial reporting during the quarter ended December 31, 2015 that have materially affected, or are reasonably likely to materially affect, our internal control over financial reporting.</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sections entitled “Board of Directors,” “Section 16(a) Beneficial Ownership Reporting Compliance,” and “Executive Officers,” in the Company’s definitive Proxy Statement for its 2016 Annual Meeting of Stockholders (the “Proxy Statement”), to be held May 12, 2016. The Proxy Statement will be filed with the SEC within 120 days of the end of our fiscal year.</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Non-Employee Director Compensation,” “— Compensation Committee Report,” “— Compensation Committee Interlocks and Insider Participation,” “Executive Compensation — Compensation Discussion and Analysis” and “— Executive Compensation Tables” in the Proxy Statement.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jc w:val="center"/>
        <w:ind w:right="7460"/>
        <w:spacing w:after="0"/>
        <w:tabs>
          <w:tab w:leader="none" w:pos="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(a) (1) Consolidated Financial Statements:</w:t>
      </w:r>
    </w:p>
    <w:p>
      <w:pPr>
        <w:spacing w:after="0" w:line="131" w:lineRule="exact"/>
        <w:rPr>
          <w:sz w:val="20"/>
          <w:szCs w:val="20"/>
          <w:color w:val="auto"/>
        </w:rPr>
      </w:pPr>
    </w:p>
    <w:p>
      <w:pPr>
        <w:ind w:left="4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Reports of Independent Registered Public Accounting Firm</w:t>
        </w:r>
      </w:hyperlink>
    </w:p>
    <w:p>
      <w:pPr>
        <w:spacing w:after="0" w:line="23" w:lineRule="exact"/>
        <w:rPr>
          <w:sz w:val="20"/>
          <w:szCs w:val="20"/>
          <w:color w:val="auto"/>
        </w:rPr>
      </w:pPr>
    </w:p>
    <w:p>
      <w:pPr>
        <w:ind w:left="4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Balance Sheets as of December 31, 2015 and 2014</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Operations for the years ended December 31, 2015, 2014 and 2013</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Comprehensive Income for the years ended December 31, 2015, 2014 and 2013</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Cash Flows for the years ended December 31, 2015, 2014 and 2013</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Changes in Equity for the years ended December 31, 2015, 2014 and 2013</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p>
      <w:pPr>
        <w:spacing w:after="0" w:line="103" w:lineRule="exact"/>
        <w:rPr>
          <w:sz w:val="20"/>
          <w:szCs w:val="20"/>
          <w:color w:val="auto"/>
        </w:rPr>
      </w:pP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Consolidated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97"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/s/ DAVID P. STEINER</w:t>
            </w:r>
          </w:p>
        </w:tc>
      </w:tr>
      <w:tr>
        <w:trPr>
          <w:trHeight w:val="195"/>
        </w:trPr>
        <w:tc>
          <w:tcPr>
            <w:tcW w:w="28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89"/>
              </w:rPr>
              <w:t>David P. Steiner</w:t>
            </w:r>
          </w:p>
        </w:tc>
      </w:tr>
      <w:tr>
        <w:trPr>
          <w:trHeight w:val="230"/>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4"/>
                <w:szCs w:val="14"/>
                <w:color w:val="auto"/>
              </w:rPr>
            </w:pPr>
          </w:p>
        </w:tc>
        <w:tc>
          <w:tcPr>
            <w:tcW w:w="4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gridSpan w:val="3"/>
          </w:tcPr>
          <w:p>
            <w:pPr>
              <w:jc w:val="center"/>
              <w:ind w:left="27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DAVID P. STEINER</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 (Principal</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9"/>
              </w:rPr>
              <w:t>David P. Steiner</w:t>
            </w:r>
          </w:p>
        </w:tc>
        <w:tc>
          <w:tcPr>
            <w:tcW w:w="48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Executive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JAMES C. FISH, JR.</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Executive Vice President and</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182"/>
        </w:trPr>
        <w:tc>
          <w:tcPr>
            <w:tcW w:w="450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86"/>
              </w:rPr>
              <w:t>James C. Fish, Jr.</w:t>
            </w:r>
          </w:p>
        </w:tc>
        <w:tc>
          <w:tcPr>
            <w:tcW w:w="4840" w:type="dxa"/>
            <w:vAlign w:val="bottom"/>
            <w:gridSpan w:val="3"/>
          </w:tcPr>
          <w:p>
            <w:pPr>
              <w:jc w:val="center"/>
              <w:ind w:right="120"/>
              <w:spacing w:after="0" w:line="182" w:lineRule="exact"/>
              <w:rPr>
                <w:sz w:val="20"/>
                <w:szCs w:val="20"/>
                <w:color w:val="auto"/>
              </w:rPr>
            </w:pPr>
            <w:r>
              <w:rPr>
                <w:rFonts w:ascii="Arial" w:cs="Arial" w:eastAsia="Arial" w:hAnsi="Arial"/>
                <w:sz w:val="18"/>
                <w:szCs w:val="18"/>
                <w:color w:val="auto"/>
                <w:w w:val="94"/>
              </w:rPr>
              <w:t>Chief Financial Officer</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6"/>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DON P. CARPENTER</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Vice President and Chief Accounting Officer (Principal</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8"/>
              </w:rPr>
              <w:t>Don P. Carpenter</w:t>
            </w:r>
          </w:p>
        </w:tc>
        <w:tc>
          <w:tcPr>
            <w:tcW w:w="484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BRADBURY H. ANDERSON</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Bradbury H. Anderson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FRANK M. CLARK, JR.</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Frank M. Clark</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ANDRÉS R. GLUSKI</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3"/>
              </w:rPr>
              <w:t>Andrés R. Gluski</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PATRICK W. GROSS</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Patrick W. Gross</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VICTORIA M. HOLT</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8"/>
              </w:rPr>
              <w:t>Victoria M. Holt</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KATHLEEN M. MAZZARELLA</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Kathleen M. Mazzarella</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JOHN C. POPE</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7"/>
              </w:rPr>
              <w:t>John C. Pope</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W. ROBERT REUM</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Chairman of the Board and 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9"/>
              </w:rPr>
              <w:t>W. Robert Reum</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THOMAS H. WEIDEMEYER</w:t>
            </w:r>
          </w:p>
        </w:tc>
        <w:tc>
          <w:tcPr>
            <w:tcW w:w="48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91"/>
              <w:spacing w:after="0"/>
              <w:rPr>
                <w:sz w:val="20"/>
                <w:szCs w:val="20"/>
                <w:color w:val="auto"/>
              </w:rPr>
            </w:pPr>
            <w:r>
              <w:rPr>
                <w:rFonts w:ascii="Arial" w:cs="Arial" w:eastAsia="Arial" w:hAnsi="Arial"/>
                <w:sz w:val="18"/>
                <w:szCs w:val="18"/>
                <w:color w:val="auto"/>
                <w:w w:val="89"/>
              </w:rPr>
              <w:t>February 18, 2016</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Thomas H. Weidemeyer</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audited the consolidated financial statements of Waste Management, Inc. as of December 31, 2015 and 2014, and for each of the three years in the period ended December 31, 2015, and have issued our report thereon dated February 18, 2016 (included elsewhere in this Form 10-K). Our audits also included the financial statement schedule listed in Item 15(a)(2) of this Form 10-K. This schedule is the responsibility of the Company’s management. Our responsibility is to express an opinion on this schedule based on our audits.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Balance</w:t>
            </w:r>
          </w:p>
        </w:tc>
        <w:tc>
          <w:tcPr>
            <w:tcW w:w="38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Charged</w:t>
            </w:r>
          </w:p>
        </w:tc>
        <w:tc>
          <w:tcPr>
            <w:tcW w:w="76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Accounts</w:t>
            </w: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Written</w:t>
            </w: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to</w:t>
            </w:r>
          </w:p>
        </w:tc>
        <w:tc>
          <w:tcPr>
            <w:tcW w:w="7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Off/Use of</w:t>
            </w: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Year</w:t>
            </w:r>
          </w:p>
        </w:tc>
        <w:tc>
          <w:tcPr>
            <w:tcW w:w="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Income</w:t>
            </w:r>
          </w:p>
        </w:tc>
        <w:tc>
          <w:tcPr>
            <w:tcW w:w="76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4"/>
                <w:szCs w:val="1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2013</w:t>
            </w:r>
          </w:p>
        </w:tc>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Reserves for doubtful accounts(a)</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72"/>
              </w:rPr>
              <w:t>(50)</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4120" w:type="dxa"/>
            <w:vAlign w:val="bottom"/>
          </w:tcPr>
          <w:p>
            <w:pPr>
              <w:ind w:left="40"/>
              <w:spacing w:after="0"/>
              <w:rPr>
                <w:sz w:val="20"/>
                <w:szCs w:val="20"/>
                <w:color w:val="auto"/>
              </w:rPr>
            </w:pPr>
            <w:r>
              <w:rPr>
                <w:rFonts w:ascii="Arial" w:cs="Arial" w:eastAsia="Arial" w:hAnsi="Arial"/>
                <w:sz w:val="18"/>
                <w:szCs w:val="18"/>
                <w:color w:val="auto"/>
              </w:rPr>
              <w:t>— Reserves for doubtful accounts(a)</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Reserves for doubtful accounts(a)</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4120" w:type="dxa"/>
            <w:vAlign w:val="bottom"/>
          </w:tcPr>
          <w:p>
            <w:pPr>
              <w:ind w:left="40"/>
              <w:spacing w:after="0"/>
              <w:rPr>
                <w:sz w:val="20"/>
                <w:szCs w:val="20"/>
                <w:color w:val="auto"/>
              </w:rPr>
            </w:pPr>
            <w:r>
              <w:rPr>
                <w:rFonts w:ascii="Arial" w:cs="Arial" w:eastAsia="Arial" w:hAnsi="Arial"/>
                <w:sz w:val="18"/>
                <w:szCs w:val="18"/>
                <w:color w:val="auto"/>
              </w:rPr>
              <w:t>— Merger and restructuring accruals(b)</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2014</w:t>
            </w: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Merger and restructuring accruals(b)</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2015</w:t>
            </w:r>
          </w:p>
        </w:tc>
        <w:tc>
          <w:tcPr>
            <w:tcW w:w="4120" w:type="dxa"/>
            <w:vAlign w:val="bottom"/>
          </w:tcPr>
          <w:p>
            <w:pPr>
              <w:ind w:left="40"/>
              <w:spacing w:after="0"/>
              <w:rPr>
                <w:sz w:val="20"/>
                <w:szCs w:val="20"/>
                <w:color w:val="auto"/>
              </w:rPr>
            </w:pPr>
            <w:r>
              <w:rPr>
                <w:rFonts w:ascii="Arial" w:cs="Arial" w:eastAsia="Arial" w:hAnsi="Arial"/>
                <w:sz w:val="18"/>
                <w:szCs w:val="18"/>
                <w:color w:val="auto"/>
              </w:rPr>
              <w:t>— Merger and restructuring accruals(b)</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Included in accrued liabilities in our Consolidated Balance Sheets. These accruals represent employee severance and benefit costs and transitional costs.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wp:posOffset>
            </wp:positionV>
            <wp:extent cx="2914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ind w:right="380" w:hanging="446"/>
        <w:spacing w:after="0" w:line="259" w:lineRule="auto"/>
        <w:rPr>
          <w:sz w:val="20"/>
          <w:szCs w:val="20"/>
          <w:color w:val="auto"/>
        </w:rPr>
      </w:pPr>
      <w:r>
        <w:rPr>
          <w:rFonts w:ascii="Arial" w:cs="Arial" w:eastAsia="Arial" w:hAnsi="Arial"/>
          <w:sz w:val="18"/>
          <w:szCs w:val="18"/>
          <w:color w:val="auto"/>
        </w:rPr>
        <w:t>— Third Restated Certificate of Incorporation of Waste Management, Inc. [incorporated by reference to Exhibit 3.1 to Form 10-Q for the quarter ended June 30, 2010].</w:t>
      </w:r>
    </w:p>
    <w:p>
      <w:pPr>
        <w:spacing w:after="0" w:line="77" w:lineRule="exact"/>
        <w:rPr>
          <w:sz w:val="20"/>
          <w:szCs w:val="20"/>
          <w:color w:val="auto"/>
        </w:rPr>
      </w:pPr>
    </w:p>
    <w:p>
      <w:pPr>
        <w:ind w:right="360" w:hanging="446"/>
        <w:spacing w:after="0" w:line="277" w:lineRule="auto"/>
        <w:rPr>
          <w:sz w:val="20"/>
          <w:szCs w:val="20"/>
          <w:color w:val="auto"/>
        </w:rPr>
      </w:pPr>
      <w:r>
        <w:rPr>
          <w:rFonts w:ascii="Arial" w:cs="Arial" w:eastAsia="Arial" w:hAnsi="Arial"/>
          <w:sz w:val="18"/>
          <w:szCs w:val="18"/>
          <w:color w:val="auto"/>
        </w:rPr>
        <w:t>— Amended and Restated By-laws of Waste Management, Inc. [incorporated by reference to Exhibit 3.2 to Form 8-K dated December 6, 2012].</w:t>
      </w:r>
    </w:p>
    <w:p>
      <w:pPr>
        <w:spacing w:after="0" w:line="62" w:lineRule="exact"/>
        <w:rPr>
          <w:sz w:val="20"/>
          <w:szCs w:val="20"/>
          <w:color w:val="auto"/>
        </w:rPr>
      </w:pPr>
    </w:p>
    <w:p>
      <w:pPr>
        <w:sectPr>
          <w:pgSz w:w="11900" w:h="16838" w:orient="portrait"/>
          <w:cols w:equalWidth="0" w:num="2">
            <w:col w:w="660" w:space="720"/>
            <w:col w:w="10040"/>
          </w:cols>
          <w:pgMar w:left="240" w:top="459" w:right="239" w:bottom="1440" w:gutter="0" w:footer="0" w:header="0"/>
          <w:type w:val="continuous"/>
        </w:sectPr>
      </w:pPr>
    </w:p>
    <w:tbl>
      <w:tblPr>
        <w:tblLayout w:type="fixed"/>
        <w:tblInd w:w="100" w:type="dxa"/>
        <w:tblCellMar>
          <w:top w:w="0" w:type="dxa"/>
          <w:left w:w="0" w:type="dxa"/>
          <w:bottom w:w="0" w:type="dxa"/>
          <w:right w:w="0" w:type="dxa"/>
        </w:tblCellMar>
      </w:tblPr>
      <w:tr>
        <w:trPr>
          <w:trHeight w:val="23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4.1</w:t>
            </w:r>
          </w:p>
        </w:tc>
        <w:tc>
          <w:tcPr>
            <w:tcW w:w="10700" w:type="dxa"/>
            <w:vAlign w:val="bottom"/>
          </w:tcPr>
          <w:p>
            <w:pPr>
              <w:ind w:left="220"/>
              <w:spacing w:after="0"/>
              <w:rPr>
                <w:sz w:val="20"/>
                <w:szCs w:val="20"/>
                <w:color w:val="auto"/>
              </w:rPr>
            </w:pPr>
            <w:r>
              <w:rPr>
                <w:rFonts w:ascii="Arial" w:cs="Arial" w:eastAsia="Arial" w:hAnsi="Arial"/>
                <w:sz w:val="18"/>
                <w:szCs w:val="18"/>
                <w:color w:val="auto"/>
              </w:rPr>
              <w:t>—   Specimen Stock Certificate [incorporated by reference to Exhibit 4.1 to Form 10-K for the year ended December 31, 1998].</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4.2</w:t>
            </w:r>
          </w:p>
        </w:tc>
        <w:tc>
          <w:tcPr>
            <w:tcW w:w="10700" w:type="dxa"/>
            <w:vAlign w:val="bottom"/>
          </w:tcPr>
          <w:p>
            <w:pPr>
              <w:ind w:left="220"/>
              <w:spacing w:after="0"/>
              <w:rPr>
                <w:sz w:val="20"/>
                <w:szCs w:val="20"/>
                <w:color w:val="auto"/>
              </w:rPr>
            </w:pPr>
            <w:r>
              <w:rPr>
                <w:rFonts w:ascii="Arial" w:cs="Arial" w:eastAsia="Arial" w:hAnsi="Arial"/>
                <w:sz w:val="18"/>
                <w:szCs w:val="18"/>
                <w:color w:val="auto"/>
                <w:w w:val="94"/>
              </w:rPr>
              <w:t>—   Third Restated Certificate of Incorporation of Waste Management Holdings, Inc. [incorporated by reference to Exhibit 4.2 to Form 10-K</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for the year ended December 31, 2014].</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4.3</w:t>
            </w:r>
          </w:p>
        </w:tc>
        <w:tc>
          <w:tcPr>
            <w:tcW w:w="10700" w:type="dxa"/>
            <w:vAlign w:val="bottom"/>
          </w:tcPr>
          <w:p>
            <w:pPr>
              <w:ind w:left="220"/>
              <w:spacing w:after="0"/>
              <w:rPr>
                <w:sz w:val="20"/>
                <w:szCs w:val="20"/>
                <w:color w:val="auto"/>
              </w:rPr>
            </w:pPr>
            <w:r>
              <w:rPr>
                <w:rFonts w:ascii="Arial" w:cs="Arial" w:eastAsia="Arial" w:hAnsi="Arial"/>
                <w:sz w:val="18"/>
                <w:szCs w:val="18"/>
                <w:color w:val="auto"/>
                <w:w w:val="96"/>
              </w:rPr>
              <w:t>—   Amended and Restated By-laws of Waste Management Holdings, Inc. [incorporated by reference to Exhibit 4.3 to Form 10-Q for the</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quarter ended June 30, 2014].</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4.4</w:t>
            </w:r>
          </w:p>
        </w:tc>
        <w:tc>
          <w:tcPr>
            <w:tcW w:w="10700" w:type="dxa"/>
            <w:vAlign w:val="bottom"/>
          </w:tcPr>
          <w:p>
            <w:pPr>
              <w:ind w:left="220"/>
              <w:spacing w:after="0"/>
              <w:rPr>
                <w:sz w:val="20"/>
                <w:szCs w:val="20"/>
                <w:color w:val="auto"/>
              </w:rPr>
            </w:pPr>
            <w:r>
              <w:rPr>
                <w:rFonts w:ascii="Arial" w:cs="Arial" w:eastAsia="Arial" w:hAnsi="Arial"/>
                <w:sz w:val="18"/>
                <w:szCs w:val="18"/>
                <w:color w:val="auto"/>
                <w:w w:val="97"/>
              </w:rPr>
              <w:t>—   Indenture for Subordinated Debt Securities dated February 3, 1997, among the Registrant and The Bank of New York Mellon Trust</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0"/>
              </w:rPr>
              <w:t>Company, N.A. (the current successor to Texas Commerce Bank National Association), as trustee [incorporated by reference to Exhibit 4.1</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to Form 8-K dated February 7, 1997].</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4.5</w:t>
            </w: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   Indenture for Senior Debt Securities dated September 10, 1997, among the Registrant and The Bank of New York Mellon Trust Company,</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2"/>
              </w:rPr>
              <w:t>N.A. (the current successor to Texas Commerce Bank National Association), as trustee [incorporated by reference to Exhibit 4.1 to Form</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8-K dated September 10, 1997].</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4.6</w:t>
            </w:r>
          </w:p>
        </w:tc>
        <w:tc>
          <w:tcPr>
            <w:tcW w:w="10700" w:type="dxa"/>
            <w:vAlign w:val="bottom"/>
          </w:tcPr>
          <w:p>
            <w:pPr>
              <w:ind w:left="220"/>
              <w:spacing w:after="0"/>
              <w:rPr>
                <w:sz w:val="20"/>
                <w:szCs w:val="20"/>
                <w:color w:val="auto"/>
              </w:rPr>
            </w:pPr>
            <w:r>
              <w:rPr>
                <w:rFonts w:ascii="Arial" w:cs="Arial" w:eastAsia="Arial" w:hAnsi="Arial"/>
                <w:sz w:val="18"/>
                <w:szCs w:val="18"/>
                <w:color w:val="auto"/>
                <w:w w:val="94"/>
              </w:rPr>
              <w:t>—   Officers’ Certificate delivered pursuant to Section 301 of the Indenture dated September 10, 1997 by and between Waste Management,</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3"/>
              </w:rPr>
              <w:t>Inc. and The Bank of New York Mellon Trust Company, N.A., as Trustee, establishing the terms and form of Waste Management, Inc.’s</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3.125% Senior Notes due 2025 [incorporated by reference to Exhibit 4.1 to Form 10-Q for the quarter ended March 31, 2015].</w:t>
            </w:r>
          </w:p>
        </w:tc>
      </w:tr>
      <w:tr>
        <w:trPr>
          <w:trHeight w:val="31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5"/>
              </w:rPr>
              <w:t>4.7</w:t>
            </w:r>
          </w:p>
        </w:tc>
        <w:tc>
          <w:tcPr>
            <w:tcW w:w="10700" w:type="dxa"/>
            <w:vAlign w:val="bottom"/>
          </w:tcPr>
          <w:p>
            <w:pPr>
              <w:ind w:left="220"/>
              <w:spacing w:after="0"/>
              <w:rPr>
                <w:sz w:val="20"/>
                <w:szCs w:val="20"/>
                <w:color w:val="auto"/>
              </w:rPr>
            </w:pPr>
            <w:r>
              <w:rPr>
                <w:rFonts w:ascii="Arial" w:cs="Arial" w:eastAsia="Arial" w:hAnsi="Arial"/>
                <w:sz w:val="18"/>
                <w:szCs w:val="18"/>
                <w:color w:val="auto"/>
                <w:w w:val="94"/>
              </w:rPr>
              <w:t>—   Guarantee Agreement by Waste Management Holdings, Inc. in favor of The Bank of New York Mellon Trust Company, N.A., as Trustee</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1"/>
              </w:rPr>
              <w:t>for the holders of Waste Management, Inc.’s 3.125% Senior Notes due 2025 [incorporated by reference to Exhibit 4.4 to Form 10-Q for the</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quarter ended March 31, 2015].</w:t>
            </w:r>
          </w:p>
        </w:tc>
      </w:tr>
      <w:tr>
        <w:trPr>
          <w:trHeight w:val="310"/>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   Schedule of Officers’ Certificates delivered pursuant to Section 301 of the Indenture dated September 10, 1997 establishing the terms and</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89"/>
              </w:rPr>
              <w:t>form of Waste Management, Inc.’s Senior Notes. Waste Management and its subsidiaries are parties to debt instruments that have not been</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4"/>
              </w:rPr>
              <w:t>filed with the SEC under which the total amount of securities authorized under any single instrument does not exceed 10% of the total</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w w:val="90"/>
              </w:rPr>
              <w:t>assets of Waste Management and its subsidiaries on a consolidated basis. Pursuant to paragraph 4(iii)(A) of Item 601(b) of Regulation S-K,</w:t>
            </w:r>
          </w:p>
        </w:tc>
      </w:tr>
      <w:tr>
        <w:trPr>
          <w:trHeight w:val="230"/>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Arial" w:cs="Arial" w:eastAsia="Arial" w:hAnsi="Arial"/>
                <w:sz w:val="18"/>
                <w:szCs w:val="18"/>
                <w:color w:val="auto"/>
              </w:rPr>
              <w:t>Waste Management agrees to furnish a copy of such instruments to the SEC upon request.</w:t>
            </w:r>
          </w:p>
        </w:tc>
      </w:tr>
      <w:tr>
        <w:trPr>
          <w:trHeight w:val="324"/>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w:t>
            </w:r>
          </w:p>
        </w:tc>
        <w:tc>
          <w:tcPr>
            <w:tcW w:w="10700" w:type="dxa"/>
            <w:vAlign w:val="bottom"/>
          </w:tcPr>
          <w:p>
            <w:pPr>
              <w:ind w:left="220"/>
              <w:spacing w:after="0"/>
              <w:rPr>
                <w:sz w:val="20"/>
                <w:szCs w:val="20"/>
                <w:color w:val="auto"/>
              </w:rPr>
            </w:pPr>
            <w:r>
              <w:rPr>
                <w:rFonts w:ascii="Arial" w:cs="Arial" w:eastAsia="Arial" w:hAnsi="Arial"/>
                <w:sz w:val="18"/>
                <w:szCs w:val="18"/>
                <w:color w:val="auto"/>
              </w:rPr>
              <w:t>—   2014 Stock Incentive Plan [incorporated by reference to Exhibit 10.1 to Form 8-K dated May 13, 2014].</w:t>
            </w:r>
          </w:p>
        </w:tc>
      </w:tr>
      <w:tr>
        <w:trPr>
          <w:trHeight w:val="324"/>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10.2†</w:t>
            </w:r>
          </w:p>
        </w:tc>
        <w:tc>
          <w:tcPr>
            <w:tcW w:w="10700" w:type="dxa"/>
            <w:vAlign w:val="bottom"/>
          </w:tcPr>
          <w:p>
            <w:pPr>
              <w:ind w:left="220"/>
              <w:spacing w:after="0"/>
              <w:rPr>
                <w:sz w:val="20"/>
                <w:szCs w:val="20"/>
                <w:color w:val="auto"/>
              </w:rPr>
            </w:pPr>
            <w:r>
              <w:rPr>
                <w:rFonts w:ascii="Arial" w:cs="Arial" w:eastAsia="Arial" w:hAnsi="Arial"/>
                <w:sz w:val="18"/>
                <w:szCs w:val="18"/>
                <w:color w:val="auto"/>
                <w:w w:val="96"/>
              </w:rPr>
              <w:t>—   2009 Stock Incentive Plan [incorporated by reference to Appendix B to the Proxy Statement on Schedule 14A filed March 25, 2009].</w:t>
            </w:r>
          </w:p>
        </w:tc>
      </w:tr>
      <w:tr>
        <w:trPr>
          <w:trHeight w:val="324"/>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10.3†</w:t>
            </w:r>
          </w:p>
        </w:tc>
        <w:tc>
          <w:tcPr>
            <w:tcW w:w="10700" w:type="dxa"/>
            <w:vAlign w:val="bottom"/>
          </w:tcPr>
          <w:p>
            <w:pPr>
              <w:ind w:left="220"/>
              <w:spacing w:after="0"/>
              <w:rPr>
                <w:sz w:val="20"/>
                <w:szCs w:val="20"/>
                <w:color w:val="auto"/>
              </w:rPr>
            </w:pPr>
            <w:r>
              <w:rPr>
                <w:rFonts w:ascii="Arial" w:cs="Arial" w:eastAsia="Arial" w:hAnsi="Arial"/>
                <w:sz w:val="18"/>
                <w:szCs w:val="18"/>
                <w:color w:val="auto"/>
                <w:w w:val="97"/>
              </w:rPr>
              <w:t>—   2005 Annual Incentive Plan [incorporated by reference to Appendix D to the Proxy Statement on Schedule 14A filed April 8, 2004].</w:t>
            </w:r>
          </w:p>
        </w:tc>
      </w:tr>
      <w:tr>
        <w:trPr>
          <w:trHeight w:val="324"/>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10.4†</w:t>
            </w:r>
          </w:p>
        </w:tc>
        <w:tc>
          <w:tcPr>
            <w:tcW w:w="10700" w:type="dxa"/>
            <w:vAlign w:val="bottom"/>
          </w:tcPr>
          <w:p>
            <w:pPr>
              <w:ind w:left="220"/>
              <w:spacing w:after="0"/>
              <w:rPr>
                <w:sz w:val="20"/>
                <w:szCs w:val="20"/>
                <w:color w:val="auto"/>
              </w:rPr>
            </w:pPr>
            <w:r>
              <w:rPr>
                <w:rFonts w:ascii="Arial" w:cs="Arial" w:eastAsia="Arial" w:hAnsi="Arial"/>
                <w:sz w:val="18"/>
                <w:szCs w:val="18"/>
                <w:color w:val="auto"/>
                <w:w w:val="96"/>
              </w:rPr>
              <w:t>—   Waste Management, Inc. Employee Stock Purchase Plan [incorporated by reference to Exhibit 10.1 to Form 8-K filed May 15, 2015].</w:t>
            </w:r>
          </w:p>
        </w:tc>
      </w:tr>
      <w:tr>
        <w:trPr>
          <w:trHeight w:val="365"/>
        </w:trPr>
        <w:tc>
          <w:tcPr>
            <w:tcW w:w="620" w:type="dxa"/>
            <w:vAlign w:val="bottom"/>
          </w:tcPr>
          <w:p>
            <w:pPr>
              <w:spacing w:after="0"/>
              <w:rPr>
                <w:sz w:val="24"/>
                <w:szCs w:val="24"/>
                <w:color w:val="auto"/>
              </w:rPr>
            </w:pPr>
          </w:p>
        </w:tc>
        <w:tc>
          <w:tcPr>
            <w:tcW w:w="10700" w:type="dxa"/>
            <w:vAlign w:val="bottom"/>
          </w:tcPr>
          <w:p>
            <w:pPr>
              <w:ind w:left="4860"/>
              <w:spacing w:after="0"/>
              <w:rPr>
                <w:sz w:val="20"/>
                <w:szCs w:val="20"/>
                <w:color w:val="auto"/>
              </w:rPr>
            </w:pPr>
            <w:r>
              <w:rPr>
                <w:rFonts w:ascii="Arial" w:cs="Arial" w:eastAsia="Arial" w:hAnsi="Arial"/>
                <w:sz w:val="18"/>
                <w:szCs w:val="18"/>
                <w:color w:val="auto"/>
              </w:rPr>
              <w:t>151</w:t>
            </w:r>
          </w:p>
        </w:tc>
      </w:tr>
    </w:tbl>
    <w:p>
      <w:pPr>
        <w:sectPr>
          <w:pgSz w:w="11900" w:h="16838" w:orient="portrait"/>
          <w:cols w:equalWidth="0" w:num="1">
            <w:col w:w="11420"/>
          </w:cols>
          <w:pgMar w:left="240" w:top="459" w:right="2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rPr>
              <w:t>First Amendment to Waste Management, Inc. Employee Stock Purchase Plan effective as of July 1, 2015.</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89"/>
              </w:rPr>
              <w:t>Waste Management, Inc. 409A Deferral Savings Plan as Amended and Restated effective January 1, 2014 [incorporated by reference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Exhibit 10.2 to Form 10-Q for the quarter ended March 31, 2014].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2004 Stock Incentive Plan [incorporated by reference to Appendix C to Proxy Statement on Schedule 14A filed April 8, 2004].</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7"/>
              </w:rPr>
              <w:t>$2.25 Billion Second Amended and Restated Revolving Credit Agreement by and among Waste Management, Inc. and Waste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Management Holdings, Inc. and certain banks party thereto, Bank of America, N.A., as Administrative Agent, JPMorgan Chase Bank,</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N.A. and Barclays Bank PLC, as syndication agents, BNP Paribas, Citibank, N.A., Deutsche Bank AG New York Branch, The Bank of</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Tokyo-Mitsubishi UFJ, Ltd., The Royal Bank of Scotland plc, U.S. Bank National Association and Wells Fargo Bank, National</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Association, as co-documentation agents and J.P. Morgan Securities LLC, Merrill Lynch, Pierce, Fenner &amp; Smith Incorporated, and</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4"/>
              </w:rPr>
              <w:t>Barclays Bank PLC, as lead arrangers and joint bookrunners. [incorporated by reference to Exhibit 10.1 to Form 8-K filed July 30,</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$2.25 Billion Third Amended and Restated Revolving Credit Agreement dated as of July 10, 2015 by and among Waste Management,</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Inc. and Waste Management Holdings, Inc. and certain banks party thereto, Bank of America, N.A., as administrative agent, JPMorgan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Chase Bank, N.A. and Barclays Bank PLC, as syndication agents, BNP Paribas, Citibank, N.A., Deutsche Bank Securities Inc., The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Bank of Tokyo-Mitsubishi UFJ, Ltd., Mizuho Bank, Ltd., U.S. Bank National Association and Wells Fargo Bank, National Association,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as co-documentation agents and J.P. Morgan Securities LLC, Merrill Lynch, Pierce, Fenner &amp; Smith Incorporated, and Barclays Bank</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PLC, as lead arrangers and joint bookrunners [incorporated by reference to Exhibit 10.1 to Form 8-K filed July 14, 2015].</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CDN$650 Million Credit Facilities Credit Agreement by and among Waste Management of Canada Corporation and WM Quebec Inc.,</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as borrowers, Waste Management, Inc. and Waste Management Holdings, Inc., as guarantors, The Bank of Nova Scotia, as</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administrative agent, JP Morgan Chase Bank, N.A., Bank of America, N.A. and PNC Bank, National Association, as co-syndication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agents, the Bank of Nova Scotia, J.P. Morgan Securities LLC, Merrill, Lynch, Pierce, Fenner &amp; Smith Incorporated and PNC Capital</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Markets LLC, as joint lead arrangers and joint bookrunners and the Lenders from time to time party thereto [incorporated by reference</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to Exhibit 10.2 to Form 10-Q for the quarter ended September 30, 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9"/>
              </w:rPr>
              <w:t>First Amendment Agreement to CDN$650 Credit Facilities Credit Agreement by and among Waste Management of Canada</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Corporation and WM Quebec Inc., as borrowers, Waste Management, Inc. and Waste Management Holdings, Inc., as guarantors, the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Lenders from time to time party thereto, and The Bank of Nova Scotia, as administrative agent [incorporated by reference to Exhibit</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10.3 to Form 10-Q for the quarter ended September 30, 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4"/>
              </w:rPr>
              <w:t>Employment Agreement between the Company and David Steiner dated May 6, 2002 [incorporated by reference to Exhibit 10.1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Form 10-Q for the quarter ended March 31,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0"/>
              </w:rPr>
              <w:t>Employment Agreement between the Company and James E. Trevathan dated June 1, 2000 [incorporated by reference to Exhibit 10.20</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to Form 10-K for the year ended December 31, 2000].</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Amendment to Employment Agreement between the Company and James E. Trevathan [incorporated by reference to Exhibit 10.3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Form 8-K dated March 9, 2011].</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0"/>
              </w:rPr>
              <w:t>Employment Agreement between the Company and James C. Fish, Jr. dated August 15, 2011 [incorporated by reference to Exhibit 10.2</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to Form 10-Q for the quarter ended September 30, 2011].</w:t>
            </w:r>
          </w:p>
        </w:tc>
      </w:tr>
      <w:tr>
        <w:trPr>
          <w:trHeight w:val="36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40" w:type="dxa"/>
            <w:vAlign w:val="bottom"/>
          </w:tcPr>
          <w:p>
            <w:pPr>
              <w:ind w:left="4120"/>
              <w:spacing w:after="0"/>
              <w:rPr>
                <w:sz w:val="20"/>
                <w:szCs w:val="20"/>
                <w:color w:val="auto"/>
              </w:rPr>
            </w:pPr>
            <w:r>
              <w:rPr>
                <w:rFonts w:ascii="Arial" w:cs="Arial" w:eastAsia="Arial" w:hAnsi="Arial"/>
                <w:sz w:val="18"/>
                <w:szCs w:val="18"/>
                <w:color w:val="auto"/>
              </w:rPr>
              <w:t>152</w:t>
            </w:r>
          </w:p>
        </w:tc>
      </w:tr>
    </w:tbl>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5"/>
              </w:rPr>
              <w:t>First Amendment to Employment Agreement between the Company and James C. Fish, Jr. dated July 20, 2012 [incorporated by</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reference to Exhibit 10.3 to Form 10-Q for the quarter ended June 30,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Employment Agreement between the Company and Jeff Harris dated December 1, 2006 [incorporated by reference to Exhibit 10.1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Form 8-K dated December 1, 2006].</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4"/>
              </w:rPr>
              <w:t>Amendment to Employment Agreement by and between the Company and Jeff Harris [incorporated by reference to Exhibit 10.6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Form 10-Q for the quarter ended March 30, 2011].</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4"/>
              </w:rPr>
              <w:t>Employment Agreement between the Company and John Morris dated June 18, 2012 [incorporated by reference to Exhibit 10.4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Form 10-Q for the quarter ended June 30,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1"/>
              </w:rPr>
              <w:t>Employment Agreement between the Company and Barry H. Caldwell dated September 23, 2002 [incorporated by reference to Exhibit</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10.24 to Form 10-K for the year ended December 31,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5"/>
              </w:rPr>
              <w:t>Employment Agreement between the Company and Rick L Wittenbraker dated November 10, 2003 [incorporated by reference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Exhibit 10.30 to Form 10-K for the year ended December 31, 2003].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89"/>
              </w:rPr>
              <w:t>Separation and Release Agreement between USA Waste Management Resources, LLC and Rick L Wittenbraker dated January 30, 2015</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10.2 to Form 10-Q for the quarter ended March 31, 2015].</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Employment Agreement between the Company and Puneet Bhasin dated December 7, 2009 [incorporated by reference to Exhibit 10.12</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to Form 10-K for the year ended December 31, 2009].</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3"/>
              </w:rPr>
              <w:t>Employment Agreement between the Company and Mark Schwartz dated July 5, 2012 [incorporated by reference to Exhibit 10.5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Form 10-Q for the quarter ended June 30,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6"/>
              </w:rPr>
              <w:t>Employment Agreement between the Company and Don P. Carpenter dated July 31, 2000, as amended by First Amendment to</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3"/>
              </w:rPr>
              <w:t>Employment Agreement between USA Waste-Management Resources, LLC and Don P. Carpenter effective as of August 24, 2012</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10.23 to Form 10-K for the year ended December 31,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4"/>
              </w:rPr>
              <w:t>Form of Director and Executive Officer Indemnity Agreement [incorporated by reference to Exhibit 10.43 to Form 10-K for the year</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ended December 31,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Form of 2014 Senior Leadership Team Award Agreement for Long Term Incentive Compensation under the Waste Management, Inc.</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2009 Stock Incentive Plan [incorporated by reference to Exhibit 10.1 to Form 8-K dated March 7, 2014].</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Form of 2013 PSU Award Agreement with ROIC Performance Measure [incorporated by reference to Exhibit 10.1 to Form 8-K dated</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March 7, 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3"/>
              </w:rPr>
              <w:t>Form of 2013 PSU Award Agreement with TSR Performance Measure [incorporated by reference to Exhibit 10.2 to Form 8-K dated</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March 7, 2013].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9"/>
              </w:rPr>
              <w:t>Form of 2013 Stock Option Award Agreement [incorporated by reference to Exhibit 10.3 to Form 8-K dated March 7, 2013].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5"/>
              </w:rPr>
              <w:t>Form of 2012 Restricted Stock Unit Award Agreement [incorporated by reference to Exhibit 10.2 to Form 8-K dated July 3, 2012].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6"/>
              </w:rPr>
              <w:t>Form of 2015 Senior Leadership Team Award Agreement [incorporated by reference to Exhibit 10.1 to Form 8-K dated March 3,</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2015].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12.1*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36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60" w:type="dxa"/>
            <w:vAlign w:val="bottom"/>
          </w:tcPr>
          <w:p>
            <w:pPr>
              <w:ind w:left="4120"/>
              <w:spacing w:after="0"/>
              <w:rPr>
                <w:sz w:val="20"/>
                <w:szCs w:val="20"/>
                <w:color w:val="auto"/>
              </w:rPr>
            </w:pPr>
            <w:r>
              <w:rPr>
                <w:rFonts w:ascii="Arial" w:cs="Arial" w:eastAsia="Arial" w:hAnsi="Arial"/>
                <w:sz w:val="18"/>
                <w:szCs w:val="18"/>
                <w:color w:val="auto"/>
              </w:rPr>
              <w:t>153</w:t>
            </w: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Subsidiaries of the Registrant.</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Consent of Independent Registered Public Accounting Firm.</w:t>
            </w:r>
          </w:p>
        </w:tc>
      </w:tr>
      <w:tr>
        <w:trPr>
          <w:trHeight w:val="310"/>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w w:val="92"/>
              </w:rPr>
              <w:t>—   Certification Pursuant to Rule 13a-14(a) and 15d-14(a) under the Securities Exchange Act of 1934, as amended, of David P. Steiner,</w:t>
            </w:r>
          </w:p>
        </w:tc>
      </w:tr>
      <w:tr>
        <w:trPr>
          <w:trHeight w:val="230"/>
        </w:trPr>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w w:val="90"/>
              </w:rPr>
              <w:t>—   Certification Pursuant to Rule 13a-14(a) and 15d-14(a) under the Securities Exchange Act of 1934, as amended, of James C. Fish, Jr.,</w:t>
            </w:r>
          </w:p>
        </w:tc>
      </w:tr>
      <w:tr>
        <w:trPr>
          <w:trHeight w:val="230"/>
        </w:trPr>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95*</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7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7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2"/>
          </w:tcPr>
          <w:p>
            <w:pPr>
              <w:ind w:left="26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or compensatory plan or arrangement.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40"/>
          </w:cols>
          <w:pgMar w:left="240" w:top="460" w:right="319" w:bottom="1440" w:gutter="0" w:footer="0" w:header="0"/>
        </w:sectPr>
      </w:pPr>
    </w:p>
    <w:bookmarkStart w:id="154" w:name="page155"/>
    <w:bookmarkEnd w:id="154"/>
    <w:p>
      <w:pPr>
        <w:ind w:left="10600"/>
        <w:spacing w:after="0"/>
        <w:rPr>
          <w:sz w:val="20"/>
          <w:szCs w:val="20"/>
          <w:color w:val="auto"/>
        </w:rPr>
      </w:pPr>
      <w:r>
        <w:rPr>
          <w:rFonts w:ascii="Arial" w:cs="Arial" w:eastAsia="Arial" w:hAnsi="Arial"/>
          <w:sz w:val="16"/>
          <w:szCs w:val="16"/>
          <w:b w:val="1"/>
          <w:bCs w:val="1"/>
          <w:color w:val="auto"/>
        </w:rPr>
        <w:t>Exhibit 4.8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20" w:type="dxa"/>
            <w:vAlign w:val="bottom"/>
            <w:gridSpan w:val="2"/>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Amount</w:t>
            </w: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(per annum)</w:t>
            </w:r>
          </w:p>
        </w:tc>
        <w:tc>
          <w:tcPr>
            <w:tcW w:w="1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Issue Date</w:t>
            </w:r>
          </w:p>
        </w:tc>
        <w:tc>
          <w:tcPr>
            <w:tcW w:w="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CUSIP</w:t>
            </w:r>
          </w:p>
        </w:tc>
        <w:tc>
          <w:tcPr>
            <w:tcW w:w="9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87"/>
              </w:rPr>
              <w:t>Interest Payment Dates</w:t>
            </w:r>
          </w:p>
        </w:tc>
        <w:tc>
          <w:tcPr>
            <w:tcW w:w="24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$ 600 million</w:t>
            </w:r>
          </w:p>
        </w:tc>
        <w:tc>
          <w:tcPr>
            <w:tcW w:w="1040" w:type="dxa"/>
            <w:vAlign w:val="bottom"/>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4"/>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7/17/1998</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7/15/2028</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902917AH6</w:t>
            </w:r>
          </w:p>
        </w:tc>
        <w:tc>
          <w:tcPr>
            <w:tcW w:w="900" w:type="dxa"/>
            <w:vAlign w:val="bottom"/>
            <w:shd w:val="clear" w:color="auto" w:fill="CCEEFF"/>
          </w:tcPr>
          <w:p>
            <w:pPr>
              <w:spacing w:after="0"/>
              <w:rPr>
                <w:sz w:val="18"/>
                <w:szCs w:val="18"/>
                <w:color w:val="auto"/>
              </w:rPr>
            </w:pPr>
          </w:p>
        </w:tc>
        <w:tc>
          <w:tcPr>
            <w:tcW w:w="1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January 15; July 15</w:t>
            </w:r>
          </w:p>
        </w:tc>
        <w:tc>
          <w:tcPr>
            <w:tcW w:w="240" w:type="dxa"/>
            <w:vAlign w:val="bottom"/>
            <w:shd w:val="clear" w:color="auto" w:fill="CCEEFF"/>
          </w:tcPr>
          <w:p>
            <w:pPr>
              <w:spacing w:after="0"/>
              <w:rPr>
                <w:sz w:val="18"/>
                <w:szCs w:val="18"/>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$ 250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12/21/1999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5/15/2029</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94106LAG4</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5/21/2002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5/15/2032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94106LAN9</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6.10%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3/6/2008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3/15/2018**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94106LAS8</w:t>
            </w:r>
          </w:p>
        </w:tc>
        <w:tc>
          <w:tcPr>
            <w:tcW w:w="1640" w:type="dxa"/>
            <w:vAlign w:val="bottom"/>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11/12/2009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11/30/2039**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94106LAV1</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30; November 30</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6/8/2010</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6/30/2020**</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94106LAW9</w:t>
            </w: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3"/>
              </w:rPr>
              <w:t>June 30; December 30</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2/28/2011</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3/1/2021**</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941063AQ2</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2.60%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8/29/2011</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9/1/2016**</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94106LAX7</w:t>
            </w:r>
          </w:p>
        </w:tc>
        <w:tc>
          <w:tcPr>
            <w:tcW w:w="1640" w:type="dxa"/>
            <w:vAlign w:val="bottom"/>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9/12/2012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9/15/2022**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3"/>
              </w:rPr>
              <w:t>94106LAY5</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3.50%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5/8/2014</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5/15/2024**</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94106LAZ2</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3/1/2025**</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3"/>
              </w:rPr>
              <w:t>94106LBA6</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$ 450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3.90%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3/1/2035**</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94106LBB4</w:t>
            </w:r>
          </w:p>
        </w:tc>
        <w:tc>
          <w:tcPr>
            <w:tcW w:w="1640" w:type="dxa"/>
            <w:vAlign w:val="bottom"/>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4.10%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3/1/2045**</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0"/>
              </w:rPr>
              <w:t>94106LBC2</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0" w:hanging="452"/>
        <w:spacing w:after="0" w:line="28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of these series of Senior Notes have been partially redeemed, such that the remaining outstanding principal amount of such Senior Notes as of December 31, 2015 was $394.9 million due 2028, $139.2 million due 2029, $210.4 million due 2032 and $273.6 million due 2039.</w:t>
      </w:r>
    </w:p>
    <w:p>
      <w:pPr>
        <w:ind w:left="460" w:hanging="452"/>
        <w:spacing w:after="0" w:line="255"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12, 2015)</w:t>
      </w:r>
    </w:p>
    <w:p>
      <w:pPr>
        <w:spacing w:after="0" w:line="207"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WHEREAS, WASTE MANAGEMENT, INC. </w:t>
      </w:r>
      <w:r>
        <w:rPr>
          <w:rFonts w:ascii="Arial" w:cs="Arial" w:eastAsia="Arial" w:hAnsi="Arial"/>
          <w:sz w:val="18"/>
          <w:szCs w:val="18"/>
          <w:color w:val="auto"/>
        </w:rPr>
        <w:t>(the “Company”) has established the Waste Management, Inc. Employee Stock Purchase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for the benefit of its eligible employees and the employees of its Participating Subsidiaries;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14 of the Plan, the Board of Directors has reserved the right to amend the Plan in any respect;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records of the Plan are transitioning to a new record keeper that cannot accommodate the purchase of fractional shares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it has been determined that it is appropriate to amend the Plan to reflect this administrative limitation;</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such amendment does not require shareholder approval in order for the Plan to continue to meet the requirements of Section 423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Code of 1986, as amended; and</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intended that this amendment become effective as of, and for, the Offering Period commencing July 1, 2015 and all Offering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thereafter (“Effective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hereby amended as follows, effective at the Effective Time:</w:t>
      </w:r>
    </w:p>
    <w:p>
      <w:pPr>
        <w:spacing w:after="0" w:line="229"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Paragraph 8(a) of the Plan is deleted in its entirety and the following shall be substituted therefor:</w:t>
      </w:r>
    </w:p>
    <w:p>
      <w:pPr>
        <w:spacing w:after="0" w:line="130" w:lineRule="exact"/>
        <w:rPr>
          <w:rFonts w:ascii="Arial" w:cs="Arial" w:eastAsia="Arial" w:hAnsi="Arial"/>
          <w:sz w:val="18"/>
          <w:szCs w:val="18"/>
          <w:color w:val="auto"/>
        </w:rPr>
      </w:pPr>
    </w:p>
    <w:p>
      <w:pPr>
        <w:ind w:left="1480" w:right="20" w:hanging="567"/>
        <w:spacing w:after="0" w:line="302"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On the Enrollment Date of each Offering Period, subject to the limitations set forth in Sections 3 and 8(b) hereof, each Eligible Employee shall be granted an option to purchase on the Exercise Date for such Offering Period a number of shares of the Company’s Common Stock (rounded down to the nearest whole number) determined by dividing such Eligible Employee’s payroll deductions accumulated during the Offering Period by the Exercise Price established for such Offering Period. No fractional shares may be purchased.</w:t>
      </w:r>
    </w:p>
    <w:p>
      <w:pPr>
        <w:sectPr>
          <w:pgSz w:w="11900" w:h="16838" w:orient="portrait"/>
          <w:cols w:equalWidth="0" w:num="1">
            <w:col w:w="11420"/>
          </w:cols>
          <w:pgMar w:left="240" w:top="121" w:right="23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Section 9 of the Plan is deleted in its entirety and the following shall be substituted therefor:</w:t>
      </w:r>
    </w:p>
    <w:p>
      <w:pPr>
        <w:spacing w:after="0" w:line="131" w:lineRule="exact"/>
        <w:rPr>
          <w:sz w:val="20"/>
          <w:szCs w:val="20"/>
          <w:color w:val="auto"/>
        </w:rPr>
      </w:pPr>
    </w:p>
    <w:p>
      <w:pPr>
        <w:ind w:left="1480" w:hanging="567"/>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Automatic Purchase</w:t>
      </w:r>
    </w:p>
    <w:p>
      <w:pPr>
        <w:spacing w:after="0" w:line="117" w:lineRule="exact"/>
        <w:rPr>
          <w:sz w:val="20"/>
          <w:szCs w:val="20"/>
          <w:color w:val="auto"/>
        </w:rPr>
      </w:pPr>
    </w:p>
    <w:p>
      <w:pPr>
        <w:ind w:left="460" w:firstLine="438"/>
        <w:spacing w:after="0" w:line="276" w:lineRule="auto"/>
        <w:rPr>
          <w:sz w:val="20"/>
          <w:szCs w:val="20"/>
          <w:color w:val="auto"/>
        </w:rPr>
      </w:pPr>
      <w:r>
        <w:rPr>
          <w:rFonts w:ascii="Arial" w:cs="Arial" w:eastAsia="Arial" w:hAnsi="Arial"/>
          <w:sz w:val="17"/>
          <w:szCs w:val="17"/>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shares (rounded down to the nearest whole number) subject to the option will be purchased for the Participant at the Exercise Price established for the Offering Period, as provided above in Section 8. No fractional shares may be purchased. Any remaining payroll deductions credited to the Participant’s account which are not used to purchase shares on the Exercise Date will be returned to the Participant.</w:t>
      </w:r>
    </w:p>
    <w:p>
      <w:pPr>
        <w:spacing w:after="0" w:line="169"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Waste Management, Inc. has executed this amendment on this 10th day of December, 2015, to be effective as indicated</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Gordon Blasius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of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Benefits and Compensation</w:t>
      </w:r>
    </w:p>
    <w:p>
      <w:pPr>
        <w:sectPr>
          <w:pgSz w:w="11900" w:h="16838" w:orient="portrait"/>
          <w:cols w:equalWidth="0" w:num="1">
            <w:col w:w="11300"/>
          </w:cols>
          <w:pgMar w:left="240" w:top="274" w:right="359" w:bottom="1440" w:gutter="0" w:footer="0" w:header="0"/>
        </w:sectPr>
      </w:pPr>
    </w:p>
    <w:bookmarkStart w:id="157" w:name="page158"/>
    <w:bookmarkEnd w:id="157"/>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investments(b)</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610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610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2,329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720"/>
              <w:spacing w:after="0"/>
              <w:rPr>
                <w:sz w:val="20"/>
                <w:szCs w:val="20"/>
                <w:color w:val="auto"/>
              </w:rPr>
            </w:pPr>
            <w:r>
              <w:rPr>
                <w:rFonts w:ascii="Arial" w:cs="Arial" w:eastAsia="Arial" w:hAnsi="Arial"/>
                <w:sz w:val="18"/>
                <w:szCs w:val="18"/>
                <w:color w:val="auto"/>
              </w:rPr>
              <w:t>Total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Ratio of earnings to fixed charges(a)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3.4x</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4.3x</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720"/>
              <w:spacing w:after="0"/>
              <w:rPr>
                <w:sz w:val="20"/>
                <w:szCs w:val="20"/>
                <w:color w:val="auto"/>
              </w:rPr>
            </w:pPr>
            <w:r>
              <w:rPr>
                <w:rFonts w:ascii="Arial" w:cs="Arial" w:eastAsia="Arial" w:hAnsi="Arial"/>
                <w:sz w:val="18"/>
                <w:szCs w:val="18"/>
                <w:color w:val="auto"/>
              </w:rPr>
              <w:t>Adjusted ratio of earnings to fixed charges(c)</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4.9x</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hanging="452"/>
        <w:spacing w:after="0" w:line="254"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2"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spacing w:after="0" w:line="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divestitures and losses on early extinguishment of debt. A reconciliation showing the effect of these items on our “Income before income taxes and losses in equity investments” used to calculate our earnings available for fixed charges is as follows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reported income before income taxes and losses in equity investments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1,109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Adjustments to Income before income taxes and losses in equity investments: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Goodwill impairments</w:t>
            </w:r>
          </w:p>
        </w:tc>
        <w:tc>
          <w:tcPr>
            <w:tcW w:w="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(other than goodwill)</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(Income) expense from divestitures</w:t>
            </w: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(7)</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Adjusted income before income taxes and losses in equity investments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1,761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1,526</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1,500</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i w:val="1"/>
          <w:i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718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c>
          <w:tcPr>
            <w:tcW w:w="20" w:type="dxa"/>
            <w:vAlign w:val="bottom"/>
          </w:tcPr>
          <w:p>
            <w:pPr>
              <w:spacing w:after="0"/>
              <w:rPr>
                <w:sz w:val="14"/>
                <w:szCs w:val="14"/>
                <w:color w:val="auto"/>
              </w:rPr>
            </w:pPr>
          </w:p>
        </w:tc>
      </w:tr>
      <w:tr>
        <w:trPr>
          <w:trHeight w:val="195"/>
        </w:trPr>
        <w:tc>
          <w:tcPr>
            <w:tcW w:w="7540" w:type="dxa"/>
            <w:vAlign w:val="bottom"/>
            <w:gridSpan w:val="2"/>
          </w:tcPr>
          <w:p>
            <w:pPr>
              <w:spacing w:after="0" w:line="195" w:lineRule="exact"/>
              <w:rPr>
                <w:sz w:val="20"/>
                <w:szCs w:val="20"/>
                <w:color w:val="auto"/>
              </w:rPr>
            </w:pPr>
            <w:r>
              <w:rPr>
                <w:rFonts w:ascii="Arial" w:cs="Arial" w:eastAsia="Arial" w:hAnsi="Arial"/>
                <w:sz w:val="18"/>
                <w:szCs w:val="18"/>
                <w:color w:val="auto"/>
              </w:rPr>
              <w:t>1-800-Pack-Rat, LLC</w:t>
            </w:r>
          </w:p>
        </w:tc>
        <w:tc>
          <w:tcPr>
            <w:tcW w:w="2400" w:type="dxa"/>
            <w:vAlign w:val="bottom"/>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635952 Ontario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Ontario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8242348 Canada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Federally Chartered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Acaverde S.A. de C.V.</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Mexico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Acaverde Servicios, S.A. de C.V.</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Mexico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Advanced Environmental Technical Services,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Akron Regional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Alliance Sanitary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Alpharetta Transfer Station,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American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Anderson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Antelope Valley Recycling and Disposal Facility,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Arden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Atlantic Waste Disposal,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Automated Salvage Transport Co.,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Auxiwaste Services SA</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France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Avalon South,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Avalon Southwest,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Azusa Land Reclamation,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B&amp;B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Barre Landfill Gas Associates, L.P.</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Big Dipper Enterprises,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North Dakota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Bluegrass Containment,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Burnsville Sanitary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 Newco,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Cal Sierra Disposal</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California Asbestos Monofill,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Canadian Waste Services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Ontario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Capital Sanitation Company</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Nevada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Capitol Disposal,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Alaska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Carolina Grading,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Cedar Ridge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Central Disposal Systems,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Iowa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Chadwick Road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Chambers Clearview Environmental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Mississippi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Chambers Development Company,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Chambers Development of Ohio,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Chambers of Georgia,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Chambers of Mississippi,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Mississippi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Chemical Waste Management of Indiana,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Chemical Waste Management of the Northwest,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Washington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Chemical Waste Management,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Chesser Island Road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City Environmental Services, Inc. of Waters</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Cleburne Landfill Company Corp.</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Alabama</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Coast Waste Management,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bl>
    <w:p>
      <w:pPr>
        <w:sectPr>
          <w:pgSz w:w="11900" w:h="16838" w:orient="portrait"/>
          <w:cols w:equalWidth="0" w:num="1">
            <w:col w:w="11420"/>
          </w:cols>
          <w:pgMar w:left="240" w:top="125" w:right="23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718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c>
          <w:tcPr>
            <w:tcW w:w="20" w:type="dxa"/>
            <w:vAlign w:val="bottom"/>
          </w:tcPr>
          <w:p>
            <w:pPr>
              <w:spacing w:after="0"/>
              <w:rPr>
                <w:sz w:val="14"/>
                <w:szCs w:val="14"/>
                <w:color w:val="auto"/>
              </w:rPr>
            </w:pPr>
          </w:p>
        </w:tc>
      </w:tr>
      <w:tr>
        <w:trPr>
          <w:trHeight w:val="195"/>
        </w:trPr>
        <w:tc>
          <w:tcPr>
            <w:tcW w:w="7540" w:type="dxa"/>
            <w:vAlign w:val="bottom"/>
            <w:gridSpan w:val="2"/>
          </w:tcPr>
          <w:p>
            <w:pPr>
              <w:spacing w:after="0" w:line="195" w:lineRule="exact"/>
              <w:rPr>
                <w:sz w:val="20"/>
                <w:szCs w:val="20"/>
                <w:color w:val="auto"/>
              </w:rPr>
            </w:pPr>
            <w:r>
              <w:rPr>
                <w:rFonts w:ascii="Arial" w:cs="Arial" w:eastAsia="Arial" w:hAnsi="Arial"/>
                <w:sz w:val="18"/>
                <w:szCs w:val="18"/>
                <w:color w:val="auto"/>
              </w:rPr>
              <w:t>Connecticut Valley Sanitary Waste Disposal, Inc.</w:t>
            </w:r>
          </w:p>
        </w:tc>
        <w:tc>
          <w:tcPr>
            <w:tcW w:w="2400" w:type="dxa"/>
            <w:vAlign w:val="bottom"/>
          </w:tcPr>
          <w:p>
            <w:pPr>
              <w:jc w:val="center"/>
              <w:spacing w:after="0" w:line="195" w:lineRule="exact"/>
              <w:rPr>
                <w:sz w:val="20"/>
                <w:szCs w:val="20"/>
                <w:color w:val="auto"/>
              </w:rPr>
            </w:pPr>
            <w:r>
              <w:rPr>
                <w:rFonts w:ascii="Arial" w:cs="Arial" w:eastAsia="Arial" w:hAnsi="Arial"/>
                <w:sz w:val="18"/>
                <w:szCs w:val="18"/>
                <w:color w:val="auto"/>
                <w:w w:val="86"/>
              </w:rPr>
              <w:t>Massachusetts</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Conservation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Coshocton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Cougar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Countryside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CR Group,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Utah</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Cuyahoga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CWM Chemical Services,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Dafter Sanitary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Dauphin Meadows,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Deep Valley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Deer Track Park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Container Company,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Missouri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Disposal,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Group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Industries,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Missouri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of Arkansas,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Deffenbaugh Recycling Company,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Del Almo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Delaware Recyclable Products,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Dickinson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Disposal Service, Incorporated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West 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Doctor Bramblett Road,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Dolphin Services &amp; Chemicals,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Dolphin-One,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Earthmovers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East Liverpool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Eastern One Land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Eco-Vista,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Arkansas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eCycling Services,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ELDA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Elk River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Envirofil of Illinois,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Evergreen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Evergreen Recycling and Disposal Facility,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G.I. Industries</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Utah</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 Landfills,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Gallia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Garick,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Garnet of Maryland,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Gartran,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Gateway Transfer Station,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Georgia Waste Systems,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Giordano Recycling,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Glades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Glen’s Sanitary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bl>
    <w:p>
      <w:pPr>
        <w:sectPr>
          <w:pgSz w:w="11900" w:h="16838" w:orient="portrait"/>
          <w:cols w:equalWidth="0" w:num="1">
            <w:col w:w="10219"/>
          </w:cols>
          <w:pgMar w:left="240" w:top="269" w:right="1440"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1"/>
              </w:rPr>
              <w:t>Grand</w:t>
            </w:r>
          </w:p>
        </w:tc>
        <w:tc>
          <w:tcPr>
            <w:tcW w:w="7180" w:type="dxa"/>
            <w:vAlign w:val="bottom"/>
          </w:tcPr>
          <w:p>
            <w:pPr>
              <w:ind w:left="140"/>
              <w:spacing w:after="0" w:line="195" w:lineRule="exact"/>
              <w:rPr>
                <w:sz w:val="20"/>
                <w:szCs w:val="20"/>
                <w:color w:val="auto"/>
              </w:rPr>
            </w:pPr>
            <w:r>
              <w:rPr>
                <w:rFonts w:ascii="Arial" w:cs="Arial" w:eastAsia="Arial" w:hAnsi="Arial"/>
                <w:sz w:val="18"/>
                <w:szCs w:val="18"/>
                <w:color w:val="auto"/>
              </w:rPr>
              <w:t>Central Sanitary Landfill,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Pennsylvania</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Greenbow,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Alabama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Greenleaf Compaction,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Allentown,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Georgia,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Managed Services – Connecticut,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Managed Services – RLWM,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Mid-America,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New Jersey,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Ohio,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Paterson,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Pittsburgh,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Recycled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Greenstar,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Grupo WMX, S.A. De C.V.</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Mexico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Guadalupe Mines Mutual Water Company</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Guadalupe Rubbish Disposal Co.,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Harris Sanitation,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Harwood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Hedco Landfill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England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High Mountain Fuels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Hillsboro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Oregon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Holyoke Sanitary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IN Landfills,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International Environmental Management,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Jahner Sanitation,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North Dakota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Jay County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JFS (UK)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England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 and W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Keene Road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Kelly Run Sanitation,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King George Landfill Properties,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King George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Kirby Canyon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L&amp;K Acquisitions,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Missouri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L&amp;K Group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Lakeville Recycling, L.P.</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Land South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Landfill Services of Charleston,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West 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Laurel Highlands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LCS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West 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Liberty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Liquid Waste Management,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Longleaf C&amp;D Disposal Facility,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Looney Bins,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Mahoning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0219"/>
          </w:cols>
          <w:pgMar w:left="240" w:top="270" w:right="1440" w:bottom="1440" w:gutter="0" w:footer="0" w:header="0"/>
        </w:sectPr>
      </w:pPr>
    </w:p>
    <w:bookmarkStart w:id="161" w:name="page162"/>
    <w:bookmarkEnd w:id="1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8"/>
              </w:rPr>
              <w:t>Mass</w:t>
            </w:r>
          </w:p>
        </w:tc>
        <w:tc>
          <w:tcPr>
            <w:tcW w:w="7180" w:type="dxa"/>
            <w:vAlign w:val="bottom"/>
          </w:tcPr>
          <w:p>
            <w:pPr>
              <w:ind w:left="80"/>
              <w:spacing w:after="0" w:line="195" w:lineRule="exact"/>
              <w:rPr>
                <w:sz w:val="20"/>
                <w:szCs w:val="20"/>
                <w:color w:val="auto"/>
              </w:rPr>
            </w:pPr>
            <w:r>
              <w:rPr>
                <w:rFonts w:ascii="Arial" w:cs="Arial" w:eastAsia="Arial" w:hAnsi="Arial"/>
                <w:sz w:val="18"/>
                <w:szCs w:val="18"/>
                <w:color w:val="auto"/>
              </w:rPr>
              <w:t>Gravel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Massachusetts</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Mc Ginnes Industrial Maintenance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McDaniel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North Dakota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McGill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Meadowfill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Michigan Environs,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Midwest One Land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Modesto Garbage Co.,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Moor Refuse,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Mountain Indemnity Insurance Company</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Vermont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Utah</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Nassau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National Guaranty Insurance Company of Vermont</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Vermont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New England CR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New Milford Connecticut Farms,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New Milford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New Orleans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North Manatee Recycling and Disposal Facility,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Northwestern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Nu-Way Live Oak Reclamation,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 Grove Disposal Co.,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Oregon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Oakleaf Global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Oakleaf Waste Management Ltd.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Federally Chartered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Oakleaf Waste Management,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Oakleaf Waste Management,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Connecticut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Oakridge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Oakwood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OGH Acquisition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Okeechobee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Ozark Ridge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Arkansas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 &amp; R Environmental Industries,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North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Pacific Waste Management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Pappy,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Peltz H.C.,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Wisconsin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Pen-Rob,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People’s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Peterson Demolition,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Phoenix Resources,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Pine Grove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Pine Tree Acres,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Quail Hollow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Questquill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England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 &amp; B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RAA Colorado,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RAA Trucking,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Wisconsin</w:t>
            </w:r>
          </w:p>
        </w:tc>
      </w:tr>
    </w:tbl>
    <w:p>
      <w:pPr>
        <w:sectPr>
          <w:pgSz w:w="11900" w:h="16838" w:orient="portrait"/>
          <w:cols w:equalWidth="0" w:num="1">
            <w:col w:w="10219"/>
          </w:cols>
          <w:pgMar w:left="240" w:top="269" w:right="1440"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RCI</w:t>
            </w:r>
          </w:p>
        </w:tc>
        <w:tc>
          <w:tcPr>
            <w:tcW w:w="7180" w:type="dxa"/>
            <w:vAlign w:val="bottom"/>
          </w:tcPr>
          <w:p>
            <w:pPr>
              <w:spacing w:after="0" w:line="195" w:lineRule="exact"/>
              <w:rPr>
                <w:sz w:val="20"/>
                <w:szCs w:val="20"/>
                <w:color w:val="auto"/>
              </w:rPr>
            </w:pPr>
            <w:r>
              <w:rPr>
                <w:rFonts w:ascii="Arial" w:cs="Arial" w:eastAsia="Arial" w:hAnsi="Arial"/>
                <w:sz w:val="18"/>
                <w:szCs w:val="18"/>
                <w:color w:val="auto"/>
              </w:rPr>
              <w:t>Hudson,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Massachusetts</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Recycle America Co.,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Recycle America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Redwood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Refuse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Refuse,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Nevada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Reliable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Remote Landfill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Tennessee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Reno Disposal Co.</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Nevada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Resco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Resource Control Composting,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Resource Control,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Richland County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Riverbend Landfill Co.</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Oregon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Roll Off Service,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RTS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Rust Engineering &amp; Construction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Rust Engineering (Thailand) Ltd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Thailand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Rust International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 &amp; J Landfill Limited Partnership</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 &amp; S Grading,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West 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S&amp;T Materials,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Sanifill de Mexico (US),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Sanifill de Mexico, S.A. de C.V.</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Mexico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SC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Serurbam Servicos Urbanos E Ambientais Ltda</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Shade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Shawnee Rock Company</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Missouri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Sierra Estrella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Southern Alleghenies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Southern One Land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Southern Waste Services,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Spruce Ridge,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Stony Hollow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Suburban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Swire Waste Management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Hong Kong</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Texarkana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Austin #1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Dallas #1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Houston #1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Houston #2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Houston #3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 San Antonio #1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Texas Pack Rat Service Company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The Peltz Group,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Wisconsin</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The Waste Management Charitable Foundation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19"/>
          </w:cols>
          <w:pgMar w:left="240" w:top="269" w:right="1440"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w:t>
            </w:r>
          </w:p>
        </w:tc>
        <w:tc>
          <w:tcPr>
            <w:tcW w:w="7180" w:type="dxa"/>
            <w:vAlign w:val="bottom"/>
          </w:tcPr>
          <w:p>
            <w:pPr>
              <w:spacing w:after="0" w:line="195" w:lineRule="exact"/>
              <w:rPr>
                <w:sz w:val="20"/>
                <w:szCs w:val="20"/>
                <w:color w:val="auto"/>
              </w:rPr>
            </w:pPr>
            <w:r>
              <w:rPr>
                <w:rFonts w:ascii="Arial" w:cs="Arial" w:eastAsia="Arial" w:hAnsi="Arial"/>
                <w:sz w:val="18"/>
                <w:szCs w:val="18"/>
                <w:color w:val="auto"/>
              </w:rPr>
              <w:t>Woodlands of Van Buren,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Thermal Remediation Solutions, L.L.C.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Oregon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TN’T Sands,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Trail Ridge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Transamerican Waste Central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Trash Hunters,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Mississippi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TrashCo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Truck and Industrial Supply,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TX Newco,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United Waste Systems Leasing,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South Hills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Valley Facility,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Geneva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Landfill Operations and Transfer,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of California,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of Texas Landfills,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of Virginia Landfills,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 Services of NYC,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 Waste-Management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New York</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USA-Crinc,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UWS Barre,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Valley Garbage and Rubbish Company,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Vern’s Refuse Service,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North Dakota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Vickery Environmental,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Vista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Voyageur Disposal Processing,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Warner Company</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Away Group,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Alabama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Arizona Landfills,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Buckeye,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China Holdings,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Hong Kong</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Collection and Recycling,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Colorado,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Maine,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Maine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Maryland,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Oregon,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Virginia,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Inc. of Florida</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Indycoke,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International,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National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National Transportation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Alameda County,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bl>
    <w:p>
      <w:pPr>
        <w:sectPr>
          <w:pgSz w:w="11900" w:h="16838" w:orient="portrait"/>
          <w:cols w:equalWidth="0" w:num="1">
            <w:col w:w="10219"/>
          </w:cols>
          <w:pgMar w:left="240" w:top="270" w:right="1440"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0"/>
              </w:rPr>
              <w:t>Waste</w:t>
            </w:r>
          </w:p>
        </w:tc>
        <w:tc>
          <w:tcPr>
            <w:tcW w:w="7180" w:type="dxa"/>
            <w:vAlign w:val="bottom"/>
          </w:tcPr>
          <w:p>
            <w:pPr>
              <w:ind w:left="120"/>
              <w:spacing w:after="0" w:line="195" w:lineRule="exact"/>
              <w:rPr>
                <w:sz w:val="20"/>
                <w:szCs w:val="20"/>
                <w:color w:val="auto"/>
              </w:rPr>
            </w:pPr>
            <w:r>
              <w:rPr>
                <w:rFonts w:ascii="Arial" w:cs="Arial" w:eastAsia="Arial" w:hAnsi="Arial"/>
                <w:sz w:val="18"/>
                <w:szCs w:val="18"/>
                <w:color w:val="auto"/>
              </w:rPr>
              <w:t>Management of Alaska,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Arizona,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Arkansas,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California,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Canada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Nova Scotia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Carolinas,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North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Colorado,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Connecticut,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Delaware,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Fairless,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Five Oaks Recycling and Disposal Facility,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Georgia,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Hawaii,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Idaho,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Idaho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Illinois,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One,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Two,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Indiana,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Iowa,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Iowa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Kansas,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Kansas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Kentucky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Kentucky,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Leon County,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Londonderry,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Louisiana Holdings One,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Louisiana,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Maine,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Maine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Maryland,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Massachusetts,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Massachusetts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Metro Atlanta,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Michigan,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Minnesota,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Minnesota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Mississippi,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Mississippi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Missouri,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Montana,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Nebraska,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Nevada,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Nevada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New Hampshire,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Connecticut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New Jersey,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New Mexico,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New Mexico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New York,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North Dakota,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Ohio,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Ohio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Oklahoma,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Oklahoma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Oregon,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Oregon</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Pennsylvania Gas Recovery,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19"/>
          </w:cols>
          <w:pgMar w:left="240" w:top="269" w:right="1440"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0"/>
              </w:rPr>
              <w:t>Waste</w:t>
            </w:r>
          </w:p>
        </w:tc>
        <w:tc>
          <w:tcPr>
            <w:tcW w:w="7180" w:type="dxa"/>
            <w:vAlign w:val="bottom"/>
          </w:tcPr>
          <w:p>
            <w:pPr>
              <w:ind w:left="120"/>
              <w:spacing w:after="0" w:line="195" w:lineRule="exact"/>
              <w:rPr>
                <w:sz w:val="20"/>
                <w:szCs w:val="20"/>
                <w:color w:val="auto"/>
              </w:rPr>
            </w:pPr>
            <w:r>
              <w:rPr>
                <w:rFonts w:ascii="Arial" w:cs="Arial" w:eastAsia="Arial" w:hAnsi="Arial"/>
                <w:sz w:val="18"/>
                <w:szCs w:val="18"/>
                <w:color w:val="auto"/>
              </w:rPr>
              <w:t>Management of Pennsylvania, Inc.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Pennsylvania</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Rhode Island,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South Carolina,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South Carolina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South Dakota,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South Dakota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Texas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Texas,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Tunica Landfill, Inc.</w:t>
            </w:r>
          </w:p>
        </w:tc>
        <w:tc>
          <w:tcPr>
            <w:tcW w:w="2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Mississippi</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Utah,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Utah</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Virginia,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Virginia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Washington,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West Virginia,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Wisconsin,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Wisconsin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of Wyoming,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Partners,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Recycling and Disposal Services of California,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Recycling of New Jersey,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Service Center,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Waste Management, Inc. of Tennessee</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Tennessee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Western One Land Corporation</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Western Waste Industries</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Western Waste of Texas,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Wheelabrator Technologies International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White Lake Landfill,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Michigan</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Willow Oak Landfill,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Willows Power and Recycling Holdings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England and Wales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Willows Power and Recycling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England and Wales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Willows Power and Recycling Operations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England and Wales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Willows Power and Recycling Trading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England and Wales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Avon,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Bagco,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Billerica,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Boston CORE,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CCP Solutions,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Conversion Fund,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Corporate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Curbside,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DC 1,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Emergency Employee Support Fund,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Energy Resources,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Energy Solutions,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Green Squad,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GreenOps,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GTL JV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GTL,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GTL,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WM Healthcare Solutions,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19"/>
          </w:cols>
          <w:pgMar w:left="240" w:top="269" w:right="1440"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w:t>
            </w:r>
          </w:p>
        </w:tc>
        <w:tc>
          <w:tcPr>
            <w:tcW w:w="7180" w:type="dxa"/>
            <w:vAlign w:val="bottom"/>
          </w:tcPr>
          <w:p>
            <w:pPr>
              <w:ind w:left="20"/>
              <w:spacing w:after="0" w:line="195" w:lineRule="exact"/>
              <w:rPr>
                <w:sz w:val="20"/>
                <w:szCs w:val="20"/>
                <w:color w:val="auto"/>
              </w:rPr>
            </w:pPr>
            <w:r>
              <w:rPr>
                <w:rFonts w:ascii="Arial" w:cs="Arial" w:eastAsia="Arial" w:hAnsi="Arial"/>
                <w:sz w:val="18"/>
                <w:szCs w:val="18"/>
                <w:color w:val="auto"/>
              </w:rPr>
              <w:t>Illinois Renewable Energy, L.L.C.</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Intellectual Property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International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KS Energy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LampTracker,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Landfills of Ohio,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Landfills of Tennessee,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Leasing of Arizona,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Leasing of Texas, L.P.</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Leasing Services of Texas,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LNG,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Logistics India Private Limited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India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Logistics,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Mercury Waste,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Middle Tennessee Environmental Center,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Mobile Bay Environmental Center,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ND Energy Resources II,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ND Energy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Nevada Renewable Energy,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North Broward,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Organic Growth,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 Holdings,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California,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Illinois,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Kentucky,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Maryland,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Massachusetts,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Michigan,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Nevada,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Ohio,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of Rhode Island,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Pack-Rat,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Partnership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Phoenix Energy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PRG,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Quebec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Federally Chartered</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RA Canada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Ontario</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Recycle America,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Recycle Europe,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Recycling Latin America,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Refined Coal,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Renewable Energy,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Resource Recovery &amp; Recycling Center,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Resources,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Pennsylvania</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Safety Services,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WM Security Services,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19"/>
          </w:cols>
          <w:pgMar w:left="240" w:top="269" w:right="1440"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24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1"/>
              </w:rPr>
              <w:t>Jurisdiction of Formation/Incorporation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w:t>
            </w:r>
          </w:p>
        </w:tc>
        <w:tc>
          <w:tcPr>
            <w:tcW w:w="7180" w:type="dxa"/>
            <w:vAlign w:val="bottom"/>
          </w:tcPr>
          <w:p>
            <w:pPr>
              <w:ind w:left="20"/>
              <w:spacing w:after="0" w:line="195" w:lineRule="exact"/>
              <w:rPr>
                <w:sz w:val="20"/>
                <w:szCs w:val="20"/>
                <w:color w:val="auto"/>
              </w:rPr>
            </w:pPr>
            <w:r>
              <w:rPr>
                <w:rFonts w:ascii="Arial" w:cs="Arial" w:eastAsia="Arial" w:hAnsi="Arial"/>
                <w:sz w:val="18"/>
                <w:szCs w:val="18"/>
                <w:color w:val="auto"/>
              </w:rPr>
              <w:t>Services SA</w:t>
            </w: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Argentina</w:t>
            </w:r>
          </w:p>
        </w:tc>
        <w:tc>
          <w:tcPr>
            <w:tcW w:w="20" w:type="dxa"/>
            <w:vAlign w:val="bottom"/>
          </w:tcPr>
          <w:p>
            <w:pPr>
              <w:spacing w:after="0"/>
              <w:rPr>
                <w:sz w:val="16"/>
                <w:szCs w:val="16"/>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Storage II,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Storage,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Texas Pack Rat,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Trash Monitor Plus,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TX Energy Resources II,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TX Energy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WY Energy Resources II,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WY Energy Resources III,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 WY Energy Resources,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WMI Mexico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WMNA Container Recycling,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WMRE of Kentucky,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WMRE of Michigan,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WMRE of Ohio,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WMRE of Ohio-American, LLC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WMSALSA,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Texas</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WTI Air Pollution Control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WTI Rust Holdings Inc.</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WTI UK Fin Co Ltd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England and Wales</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WTI/Willows Construction Ltd</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England</w:t>
            </w:r>
          </w:p>
        </w:tc>
      </w:tr>
    </w:tbl>
    <w:p>
      <w:pPr>
        <w:sectPr>
          <w:pgSz w:w="11900" w:h="16838" w:orient="portrait"/>
          <w:cols w:equalWidth="0" w:num="1">
            <w:col w:w="10219"/>
          </w:cols>
          <w:pgMar w:left="240" w:top="27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460" w:right="20" w:firstLine="4"/>
        <w:spacing w:after="0" w:line="277" w:lineRule="auto"/>
        <w:tabs>
          <w:tab w:leader="none" w:pos="72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333-204319) of Waste Management, Inc. pertaining to the issuance of shares of common stock pursuant to the Waste Management, Inc. Employee Stock Purchase Plan,</w:t>
      </w:r>
    </w:p>
    <w:p>
      <w:pPr>
        <w:spacing w:after="0" w:line="62" w:lineRule="exact"/>
        <w:rPr>
          <w:rFonts w:ascii="Arial" w:cs="Arial" w:eastAsia="Arial" w:hAnsi="Arial"/>
          <w:sz w:val="18"/>
          <w:szCs w:val="18"/>
          <w:color w:val="auto"/>
        </w:rPr>
      </w:pPr>
    </w:p>
    <w:p>
      <w:pPr>
        <w:ind w:left="460" w:right="20" w:firstLine="4"/>
        <w:spacing w:after="0" w:line="277" w:lineRule="auto"/>
        <w:tabs>
          <w:tab w:leader="none" w:pos="72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62" w:lineRule="exact"/>
        <w:rPr>
          <w:rFonts w:ascii="Arial" w:cs="Arial" w:eastAsia="Arial" w:hAnsi="Arial"/>
          <w:sz w:val="18"/>
          <w:szCs w:val="18"/>
          <w:color w:val="auto"/>
        </w:rPr>
      </w:pPr>
    </w:p>
    <w:p>
      <w:pPr>
        <w:ind w:left="460" w:right="20" w:firstLine="4"/>
        <w:spacing w:after="0" w:line="342" w:lineRule="auto"/>
        <w:tabs>
          <w:tab w:leader="none" w:pos="72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Registration Statement (Form S-8 No. 333-184156) of Waste Management, Inc. pertaining to the issuance of shares of common stock pursuant to the Waste Management Retirement Savings Plan and the Waste Management Retirement Savings Plan for Bargaining Unit Employees,</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S-3 Automatic Shelf Registration No. 333-207628) of Waste Management, Inc.,</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 and</w:t>
      </w:r>
    </w:p>
    <w:p>
      <w:pPr>
        <w:spacing w:after="0" w:line="117" w:lineRule="exact"/>
        <w:rPr>
          <w:rFonts w:ascii="Arial" w:cs="Arial" w:eastAsia="Arial" w:hAnsi="Arial"/>
          <w:sz w:val="18"/>
          <w:szCs w:val="18"/>
          <w:color w:val="auto"/>
        </w:rPr>
      </w:pPr>
    </w:p>
    <w:p>
      <w:pPr>
        <w:ind w:left="460" w:right="20" w:firstLine="4"/>
        <w:spacing w:after="0" w:line="277" w:lineRule="auto"/>
        <w:tabs>
          <w:tab w:leader="none" w:pos="72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333-159476) of Waste Management, Inc. pertaining to the issuance of shares of common stock pursuant to the 2009 Stock Incentive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18, 2016,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2015.</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20" w:firstLine="464"/>
        <w:spacing w:after="0" w:line="342" w:lineRule="auto"/>
        <w:tabs>
          <w:tab w:leader="none" w:pos="65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64"/>
        <w:spacing w:after="0" w:line="277" w:lineRule="auto"/>
        <w:tabs>
          <w:tab w:leader="none" w:pos="7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2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3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3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2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277" w:lineRule="auto"/>
        <w:tabs>
          <w:tab w:leader="none" w:pos="6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P. STEINER</w:t>
            </w:r>
          </w:p>
        </w:tc>
      </w:tr>
      <w:tr>
        <w:trPr>
          <w:trHeight w:val="195"/>
        </w:trPr>
        <w:tc>
          <w:tcPr>
            <w:tcW w:w="400" w:type="dxa"/>
            <w:vAlign w:val="bottom"/>
          </w:tcPr>
          <w:p>
            <w:pPr>
              <w:spacing w:after="0"/>
              <w:rPr>
                <w:sz w:val="16"/>
                <w:szCs w:val="16"/>
                <w:color w:val="auto"/>
              </w:rPr>
            </w:pPr>
          </w:p>
        </w:tc>
        <w:tc>
          <w:tcPr>
            <w:tcW w:w="4160" w:type="dxa"/>
            <w:vAlign w:val="bottom"/>
          </w:tcPr>
          <w:p>
            <w:pPr>
              <w:jc w:val="center"/>
              <w:spacing w:after="0" w:line="195" w:lineRule="exact"/>
              <w:rPr>
                <w:sz w:val="20"/>
                <w:szCs w:val="20"/>
                <w:color w:val="auto"/>
              </w:rPr>
            </w:pPr>
            <w:r>
              <w:rPr>
                <w:rFonts w:ascii="Arial" w:cs="Arial" w:eastAsia="Arial" w:hAnsi="Arial"/>
                <w:sz w:val="18"/>
                <w:szCs w:val="18"/>
                <w:color w:val="auto"/>
                <w:w w:val="89"/>
              </w:rPr>
              <w:t>David P. Steiner</w:t>
            </w:r>
          </w:p>
        </w:tc>
      </w:tr>
      <w:tr>
        <w:trPr>
          <w:trHeight w:val="230"/>
        </w:trPr>
        <w:tc>
          <w:tcPr>
            <w:tcW w:w="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20" w:firstLine="464"/>
        <w:spacing w:after="0" w:line="342" w:lineRule="auto"/>
        <w:tabs>
          <w:tab w:leader="none" w:pos="65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64"/>
        <w:spacing w:after="0" w:line="277" w:lineRule="auto"/>
        <w:tabs>
          <w:tab w:leader="none" w:pos="7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2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3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2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277" w:lineRule="auto"/>
        <w:tabs>
          <w:tab w:leader="none" w:pos="6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400" w:type="dxa"/>
            <w:vAlign w:val="bottom"/>
          </w:tcPr>
          <w:p>
            <w:pPr>
              <w:spacing w:after="0"/>
              <w:rPr>
                <w:sz w:val="16"/>
                <w:szCs w:val="16"/>
                <w:color w:val="auto"/>
              </w:rPr>
            </w:pPr>
          </w:p>
        </w:tc>
        <w:tc>
          <w:tcPr>
            <w:tcW w:w="41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16"/>
        </w:trPr>
        <w:tc>
          <w:tcPr>
            <w:tcW w:w="4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firstLine="443"/>
        <w:spacing w:after="0" w:line="277" w:lineRule="auto"/>
        <w:tabs>
          <w:tab w:leader="none" w:pos="11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P. STEINER</w:t>
            </w:r>
          </w:p>
        </w:tc>
      </w:tr>
      <w:tr>
        <w:trPr>
          <w:trHeight w:val="195"/>
        </w:trPr>
        <w:tc>
          <w:tcPr>
            <w:tcW w:w="400" w:type="dxa"/>
            <w:vAlign w:val="bottom"/>
          </w:tcPr>
          <w:p>
            <w:pPr>
              <w:spacing w:after="0"/>
              <w:rPr>
                <w:sz w:val="16"/>
                <w:szCs w:val="16"/>
                <w:color w:val="auto"/>
              </w:rPr>
            </w:pPr>
          </w:p>
        </w:tc>
        <w:tc>
          <w:tcPr>
            <w:tcW w:w="4160" w:type="dxa"/>
            <w:vAlign w:val="bottom"/>
          </w:tcPr>
          <w:p>
            <w:pPr>
              <w:jc w:val="center"/>
              <w:spacing w:after="0" w:line="195" w:lineRule="exact"/>
              <w:rPr>
                <w:sz w:val="20"/>
                <w:szCs w:val="20"/>
                <w:color w:val="auto"/>
              </w:rPr>
            </w:pPr>
            <w:r>
              <w:rPr>
                <w:rFonts w:ascii="Arial" w:cs="Arial" w:eastAsia="Arial" w:hAnsi="Arial"/>
                <w:sz w:val="18"/>
                <w:szCs w:val="18"/>
                <w:color w:val="auto"/>
                <w:w w:val="89"/>
              </w:rPr>
              <w:t>David P. Steiner</w:t>
            </w:r>
          </w:p>
        </w:tc>
      </w:tr>
      <w:tr>
        <w:trPr>
          <w:trHeight w:val="230"/>
        </w:trPr>
        <w:tc>
          <w:tcPr>
            <w:tcW w:w="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2015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firstLine="443"/>
        <w:spacing w:after="0" w:line="277" w:lineRule="auto"/>
        <w:tabs>
          <w:tab w:leader="none" w:pos="11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400" w:type="dxa"/>
            <w:vAlign w:val="bottom"/>
          </w:tcPr>
          <w:p>
            <w:pPr>
              <w:spacing w:after="0"/>
              <w:rPr>
                <w:sz w:val="16"/>
                <w:szCs w:val="16"/>
                <w:color w:val="auto"/>
              </w:rPr>
            </w:pPr>
          </w:p>
        </w:tc>
        <w:tc>
          <w:tcPr>
            <w:tcW w:w="41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16"/>
        </w:trPr>
        <w:tc>
          <w:tcPr>
            <w:tcW w:w="4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During the year ended December 31, 2015,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or (d) or flagrant violation under section 110(b)(2) of the Mine Safety Act.</w:t>
      </w:r>
    </w:p>
    <w:p>
      <w:pPr>
        <w:spacing w:after="0" w:line="15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 addition, during the year ended December 31, 2015,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August 25, 2015, Deffenbaugh Industries, Inc., an indirect subsidiary of Waste Management, Inc. (“Deffenbaugh”), received an imminent danger order issued by the Mine Safety and Health Administration under section 107(a) of the Federal Mine Safety and Health Act of 1977 at its Olathe Lone Elm Quarry located at its Lone Elm Landfill in Johnson County, Kansas. The order stated that a mechanic was observed walking and working under a suspended load, consisting of a front end loader tire that was suspended in the air approximately ten feet. No one was injured in the cited incident. The mechanic was removed from the area and safely lowered the suspended load. This order has been terminated. Deffenbaugh was also assessed and paid penalties totaling $602 during 2015 in connection with this surface mine.</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Waste Management of North Dakota, Inc. was assessed and paid a proposed penalty of $100 during 2015 in connection with a construction sand and gravel surface mine in Roosevelt County, Montana.</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1)"/>
      <w:numFmt w:val="lowerLetter"/>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1)"/>
      <w:numFmt w:val="lowerRoman"/>
      <w:start w:val="2"/>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lowerRoman"/>
      <w:start w:val="1"/>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Roman"/>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lowerRoman"/>
      <w:start w:val="7"/>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1)"/>
      <w:numFmt w:val="lowerRoman"/>
      <w:start w:val="4"/>
    </w:lvl>
  </w:abstractNum>
  <w:abstractNum w:abstractNumId="35">
    <w:nsid w:val="11447B73"/>
    <w:multiLevelType w:val="hybridMultilevel"/>
    <w:lvl w:ilvl="0">
      <w:lvlJc w:val="left"/>
      <w:lvlText w:val="(%1)"/>
      <w:numFmt w:val="lowerRoman"/>
      <w:start w:val="3"/>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lowerRoman"/>
      <w:start w:val="3"/>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lowerRoman"/>
      <w:start w:val="6"/>
    </w:lvl>
    <w:lvl w:ilvl="1">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lowerLetter"/>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lvl w:ilvl="1">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6"/>
    </w:lvl>
  </w:abstractNum>
  <w:abstractNum w:abstractNumId="67">
    <w:nsid w:val="CC1016F"/>
    <w:multiLevelType w:val="hybridMultilevel"/>
    <w:lvl w:ilvl="0">
      <w:lvlJc w:val="left"/>
      <w:lvlText w:val="%1."/>
      <w:numFmt w:val="lowerRoman"/>
      <w:start w:val="1"/>
    </w:lvl>
  </w:abstractNum>
  <w:abstractNum w:abstractNumId="68">
    <w:nsid w:val="43F18422"/>
    <w:multiLevelType w:val="hybridMultilevel"/>
    <w:lvl w:ilvl="0">
      <w:lvlJc w:val="left"/>
      <w:lvlText w:val="%1."/>
      <w:numFmt w:val="decimal"/>
      <w:start w:val="2"/>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lvl w:ilvl="1">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1)"/>
      <w:numFmt w:val="lowerRoman"/>
      <w:start w:val="2"/>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1."/>
      <w:numFmt w:val="decimal"/>
      <w:start w:val="8"/>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5"/>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lowerRoman"/>
      <w:start w:val="2"/>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lowerLetter"/>
      <w:start w:val="8"/>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1."/>
      <w:numFmt w:val="decimal"/>
      <w:start w:val="22"/>
    </w:lvl>
    <w:lvl w:ilvl="1">
      <w:lvlJc w:val="left"/>
      <w:lvlText w:val="•"/>
      <w:numFmt w:val="bullet"/>
      <w:start w:val="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2"/>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emdash "/>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1."/>
      <w:numFmt w:val="decimal"/>
      <w:start w:val="1"/>
    </w:lvl>
    <w:lvl w:ilvl="1">
      <w:lvlJc w:val="left"/>
      <w:lvlText w:val="(%2)"/>
      <w:numFmt w:val="lowerLetter"/>
      <w:start w:val="1"/>
    </w:lvl>
  </w:abstractNum>
  <w:abstractNum w:abstractNumId="111">
    <w:nsid w:val="4BD8591A"/>
    <w:multiLevelType w:val="hybridMultilevel"/>
    <w:lvl w:ilvl="0">
      <w:lvlJc w:val="left"/>
      <w:lvlText w:val="%1."/>
      <w:numFmt w:val="decimal"/>
      <w:start w:val="9"/>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lowerRoman"/>
      <w:start w:val="2"/>
    </w:lvl>
    <w:lvl w:ilvl="1">
      <w:lvlJc w:val="left"/>
      <w:lvlText w:val="%2."/>
      <w:numFmt w:val="upperLetter"/>
      <w:start w:val="1"/>
    </w:lvl>
  </w:abstractNum>
  <w:abstractNum w:abstractNumId="115">
    <w:nsid w:val="6C80EC70"/>
    <w:multiLevelType w:val="hybridMultilevel"/>
    <w:lvl w:ilvl="0">
      <w:lvlJc w:val="left"/>
      <w:lvlText w:val="%1."/>
      <w:numFmt w:val="lowerRoman"/>
      <w:start w:val="2"/>
    </w:lvl>
    <w:lvl w:ilvl="1">
      <w:lvlJc w:val="left"/>
      <w:lvlText w:val="%2."/>
      <w:numFmt w:val="upp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2019-12-29T13:42:45Z</dcterms:created>
  <dcterms:modified xsi:type="dcterms:W3CDTF">2019-12-29T13:42:45Z</dcterms:modified>
</cp:coreProperties>
</file>