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346"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8-K</w:t>
      </w:r>
    </w:p>
    <w:p>
      <w:pPr>
        <w:spacing w:after="0" w:line="346"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CURRENT REPORT</w:t>
      </w:r>
    </w:p>
    <w:p>
      <w:pPr>
        <w:spacing w:after="0" w:line="346"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Pursuant to Section 13 or 15(d)</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4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(Date of Report) Date of earliest event reported: April 29, 2003</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5" w:right="1440" w:bottom="1440" w:gutter="0" w:footer="0" w:header="0"/>
        </w:sectPr>
      </w:pPr>
    </w:p>
    <w:p>
      <w:pPr>
        <w:spacing w:after="0" w:line="17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1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09" w:lineRule="exact"/>
        <w:rPr>
          <w:sz w:val="24"/>
          <w:szCs w:val="24"/>
          <w:color w:val="auto"/>
        </w:rPr>
      </w:pPr>
    </w:p>
    <w:p>
      <w:pPr>
        <w:sectPr>
          <w:pgSz w:w="11900" w:h="16838" w:orient="portrait"/>
          <w:cols w:equalWidth="0" w:num="3">
            <w:col w:w="2860" w:space="360"/>
            <w:col w:w="1420" w:space="360"/>
            <w:col w:w="5219"/>
          </w:cols>
          <w:pgMar w:left="240" w:top="405" w:right="1440" w:bottom="1440" w:gutter="0" w:footer="0" w:header="0"/>
          <w:type w:val="continuous"/>
        </w:sectPr>
      </w:pPr>
    </w:p>
    <w:p>
      <w:pPr>
        <w:spacing w:after="0" w:line="318"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1001 Fannin Street, Suite 4000</w:t>
      </w:r>
    </w:p>
    <w:p>
      <w:pPr>
        <w:spacing w:after="0" w:line="2" w:lineRule="exact"/>
        <w:rPr>
          <w:sz w:val="24"/>
          <w:szCs w:val="24"/>
          <w:color w:val="auto"/>
        </w:rPr>
      </w:pPr>
    </w:p>
    <w:p>
      <w:pPr>
        <w:ind w:left="1600"/>
        <w:spacing w:after="0"/>
        <w:rPr>
          <w:sz w:val="20"/>
          <w:szCs w:val="20"/>
          <w:color w:val="auto"/>
        </w:rPr>
      </w:pPr>
      <w:r>
        <w:rPr>
          <w:rFonts w:ascii="Courier New" w:cs="Courier New" w:eastAsia="Courier New" w:hAnsi="Courier New"/>
          <w:sz w:val="15"/>
          <w:szCs w:val="15"/>
          <w:color w:val="auto"/>
        </w:rPr>
        <w:t>Houston, Texas</w:t>
      </w:r>
    </w:p>
    <w:p>
      <w:pPr>
        <w:spacing w:after="0" w:line="4"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720" w:space="720"/>
            <w:col w:w="4779"/>
          </w:cols>
          <w:pgMar w:left="240" w:top="405" w:right="1440" w:bottom="1440" w:gutter="0" w:footer="0" w:header="0"/>
          <w:type w:val="continuous"/>
        </w:sectPr>
      </w:pPr>
    </w:p>
    <w:p>
      <w:pPr>
        <w:spacing w:after="0" w:line="15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(713) 512-6200</w:t>
      </w:r>
    </w:p>
    <w:p>
      <w:pPr>
        <w:sectPr>
          <w:pgSz w:w="11900" w:h="16838" w:orient="portrait"/>
          <w:cols w:equalWidth="0" w:num="1">
            <w:col w:w="10219"/>
          </w:cols>
          <w:pgMar w:left="240" w:top="405" w:right="1440" w:bottom="1440" w:gutter="0" w:footer="0" w:header="0"/>
          <w:type w:val="continuous"/>
        </w:sectPr>
      </w:pPr>
    </w:p>
    <w:p>
      <w:pPr>
        <w:spacing w:after="0" w:line="1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05" w:right="1440"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4" w:lineRule="exact"/>
        <w:rPr>
          <w:sz w:val="20"/>
          <w:szCs w:val="20"/>
          <w:color w:val="auto"/>
        </w:rPr>
      </w:pPr>
    </w:p>
    <w:p>
      <w:pPr>
        <w:ind w:left="1248" w:hanging="533"/>
        <w:spacing w:after="0"/>
        <w:tabs>
          <w:tab w:leader="none" w:pos="12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ind w:left="1248" w:hanging="533"/>
        <w:spacing w:after="0"/>
        <w:tabs>
          <w:tab w:leader="none" w:pos="12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of Waste Management, Inc. dated April 29, 2003.</w:t>
      </w:r>
    </w:p>
    <w:p>
      <w:pPr>
        <w:spacing w:after="0" w:line="34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9. REGULATION FD DISCLOSURE</w:t>
      </w:r>
    </w:p>
    <w:p>
      <w:pPr>
        <w:spacing w:after="0" w:line="348" w:lineRule="exact"/>
        <w:rPr>
          <w:sz w:val="20"/>
          <w:szCs w:val="20"/>
          <w:color w:val="auto"/>
        </w:rPr>
      </w:pPr>
    </w:p>
    <w:p>
      <w:pPr>
        <w:jc w:val="both"/>
        <w:ind w:left="8" w:right="3339" w:firstLine="805"/>
        <w:spacing w:after="0" w:line="242" w:lineRule="auto"/>
        <w:rPr>
          <w:sz w:val="20"/>
          <w:szCs w:val="20"/>
          <w:color w:val="auto"/>
        </w:rPr>
      </w:pPr>
      <w:r>
        <w:rPr>
          <w:rFonts w:ascii="Courier New" w:cs="Courier New" w:eastAsia="Courier New" w:hAnsi="Courier New"/>
          <w:sz w:val="15"/>
          <w:szCs w:val="15"/>
          <w:color w:val="auto"/>
        </w:rPr>
        <w:t>Waste Management, Inc., a Delaware corporation (the "Company"), is furnishing this Current Report on Form 8-K to report information pursuant to Item 12 - Disclosure of Results of Operations and Financial Condition of Form 8-K.</w:t>
      </w:r>
    </w:p>
    <w:p>
      <w:pPr>
        <w:spacing w:after="0" w:line="175" w:lineRule="exact"/>
        <w:rPr>
          <w:sz w:val="20"/>
          <w:szCs w:val="20"/>
          <w:color w:val="auto"/>
        </w:rPr>
      </w:pPr>
    </w:p>
    <w:p>
      <w:pPr>
        <w:ind w:left="8" w:right="3159" w:firstLine="805"/>
        <w:spacing w:after="0" w:line="241" w:lineRule="auto"/>
        <w:rPr>
          <w:sz w:val="20"/>
          <w:szCs w:val="20"/>
          <w:color w:val="auto"/>
        </w:rPr>
      </w:pPr>
      <w:r>
        <w:rPr>
          <w:rFonts w:ascii="Courier New" w:cs="Courier New" w:eastAsia="Courier New" w:hAnsi="Courier New"/>
          <w:sz w:val="15"/>
          <w:szCs w:val="15"/>
          <w:color w:val="auto"/>
        </w:rPr>
        <w:t>On April 29, 2003, the Company issued a press release announcing its results of operations for the three months ended March 31, 2003. A copy of that release is furnished herewith as Exhibit 99.</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Company has presented its free cash flow for the quarter in the earnings release, which is a "non-GAAP" financial measure under Regulation G. The components of free cash flow are computed by using amounts which are determined in accordance with GAAP. As part of our press release information we have provided a reconciliation of free cash flow to net cash provided by operating activities, which is its nearest comparable GAAP financial measure. However, because our measurement of free cash flow is not based on any standardized methodology prescribed by GAAP, it is not necessarily comparable to similar measures presented by other companies.</w:t>
      </w:r>
    </w:p>
    <w:p>
      <w:pPr>
        <w:spacing w:after="0" w:line="178"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Company included its free cash flow in the release because it believes that investors are interested in the cash produced by the Company from non-financing activities that is available for uses such as the Company's acquisition program, its share repurchase program, its scheduled debt reduction and the annual payment of dividends. Free cash flow is defined by the Company as:</w:t>
      </w:r>
    </w:p>
    <w:p>
      <w:pPr>
        <w:spacing w:after="0" w:line="174" w:lineRule="exact"/>
        <w:rPr>
          <w:sz w:val="20"/>
          <w:szCs w:val="20"/>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operating activities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capital expenditures</w:t>
      </w:r>
    </w:p>
    <w:p>
      <w:pPr>
        <w:spacing w:after="0" w:line="3"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proceeds from divestitures of businesses, net of cash divested, and other sales of assets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46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WASTE MANAGEMENT, INC.</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/s/David P. Steiner</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David P. Steiner</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Executive Vice President,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Chief Financial Officer and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Corporate Secretary</w:t>
      </w:r>
    </w:p>
    <w:p>
      <w:pPr>
        <w:spacing w:after="0" w:line="176" w:lineRule="exact"/>
        <w:rPr>
          <w:sz w:val="20"/>
          <w:szCs w:val="20"/>
          <w:color w:val="auto"/>
        </w:rPr>
      </w:pPr>
    </w:p>
    <w:p>
      <w:pPr>
        <w:sectPr>
          <w:pgSz w:w="11900" w:h="16838" w:orient="portrait"/>
          <w:cols w:equalWidth="0" w:num="3">
            <w:col w:w="440" w:space="260"/>
            <w:col w:w="1700" w:space="720"/>
            <w:col w:w="7099"/>
          </w:cols>
          <w:pgMar w:left="240" w:top="461"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461" w:right="1440" w:bottom="1440" w:gutter="0" w:footer="0" w:header="0"/>
          <w:type w:val="continuous"/>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9879"/>
          </w:cols>
          <w:pgMar w:left="580" w:top="463" w:right="1440" w:bottom="1440" w:gutter="0" w:footer="0" w:header="0"/>
        </w:sectPr>
      </w:pPr>
    </w:p>
    <w:p>
      <w:pPr>
        <w:spacing w:after="0" w:line="357" w:lineRule="exact"/>
        <w:rPr>
          <w:sz w:val="20"/>
          <w:szCs w:val="20"/>
          <w:color w:val="auto"/>
        </w:rPr>
      </w:pPr>
    </w:p>
    <w:p>
      <w:pPr>
        <w:spacing w:after="0" w:line="241" w:lineRule="auto"/>
        <w:rPr>
          <w:sz w:val="20"/>
          <w:szCs w:val="20"/>
          <w:color w:val="auto"/>
        </w:rPr>
      </w:pPr>
      <w:r>
        <w:rPr>
          <w:rFonts w:ascii="Courier New" w:cs="Courier New" w:eastAsia="Courier New" w:hAnsi="Courier New"/>
          <w:sz w:val="15"/>
          <w:szCs w:val="15"/>
          <w:color w:val="auto"/>
        </w:rPr>
        <w:t>EXHIBIT NUMBER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640" w:space="540"/>
            <w:col w:w="8699"/>
          </w:cols>
          <w:pgMar w:left="580" w:top="463" w:right="1440" w:bottom="1440" w:gutter="0" w:footer="0" w:header="0"/>
          <w:type w:val="continuous"/>
        </w:sectPr>
      </w:pPr>
    </w:p>
    <w:p>
      <w:pPr>
        <w:ind w:left="3060" w:right="3259" w:hanging="2603"/>
        <w:spacing w:after="0" w:line="483" w:lineRule="auto"/>
        <w:tabs>
          <w:tab w:leader="none" w:pos="11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of Waste Management, Inc. dated April 29, 2003. -4-</w:t>
      </w:r>
    </w:p>
    <w:p>
      <w:pPr>
        <w:sectPr>
          <w:pgSz w:w="11900" w:h="16838" w:orient="portrait"/>
          <w:cols w:equalWidth="0" w:num="1">
            <w:col w:w="9879"/>
          </w:cols>
          <w:pgMar w:left="580" w:top="463" w:right="1440" w:bottom="1440" w:gutter="0" w:footer="0" w:header="0"/>
          <w:type w:val="continuous"/>
        </w:sectPr>
      </w:pPr>
    </w:p>
    <w:bookmarkStart w:id="4" w:name="page5"/>
    <w:bookmarkEnd w:id="4"/>
    <w:p>
      <w:pPr>
        <w:ind w:left="2500"/>
        <w:spacing w:after="0"/>
        <w:rPr>
          <w:sz w:val="20"/>
          <w:szCs w:val="20"/>
          <w:color w:val="auto"/>
        </w:rPr>
      </w:pPr>
      <w:r>
        <w:rPr>
          <w:rFonts w:ascii="Courier New" w:cs="Courier New" w:eastAsia="Courier New" w:hAnsi="Courier New"/>
          <w:sz w:val="15"/>
          <w:szCs w:val="15"/>
          <w:color w:val="auto"/>
        </w:rPr>
        <w:t>[WASTE MANAGEMENT LOGO]</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FOR IMMEDIATE RELEASE</w:t>
      </w:r>
    </w:p>
    <w:p>
      <w:pPr>
        <w:spacing w:after="0" w:line="17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FOR FURTHER INFORMATION:</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ANALYSTS:</w:t>
      </w:r>
    </w:p>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CHERIE RICE</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713.512.6548</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MEDIA:</w:t>
      </w:r>
    </w:p>
    <w:p>
      <w:pPr>
        <w:spacing w:after="0" w:line="4" w:lineRule="exact"/>
        <w:rPr>
          <w:sz w:val="20"/>
          <w:szCs w:val="20"/>
          <w:color w:val="auto"/>
        </w:rPr>
      </w:pPr>
    </w:p>
    <w:p>
      <w:pPr>
        <w:ind w:left="652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BILL PLUNKETT</w:t>
      </w:r>
    </w:p>
    <w:p>
      <w:pPr>
        <w:spacing w:after="0" w:line="1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713.265.1678</w:t>
      </w:r>
    </w:p>
    <w:p>
      <w:pPr>
        <w:spacing w:after="0" w:line="17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WMI#03-10</w:t>
      </w:r>
    </w:p>
    <w:p>
      <w:pPr>
        <w:spacing w:after="0" w:line="34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WASTE MANAGEMENT ANNOUNCES FIRST QUARTER 2003 EARNINGS</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HOUSTON - APRIL 29, 2003 - Waste Management, Inc. (NYSE: WMI) today announced financial results for its first quarter ended March 31, 2003. Revenues for the quarter were $2.72 billion as compared to $2.61 billion in the year ago period. Net income before cumulative effect of changes in accounting principles for the quarter was $107 million, or $0.18 per share. Net income reported for the quarter after considering the unfavorable cumulative effect of changes in accounting principles of $46 million was $61 million, or $0.10 per diluted share. For the first quarter 2002, the Company reported net income of $138 million, or $0.22 per share, after a favorable cumulative effect of change in accounting principle of $2 million. The cumulative effect of changes in accounting principles in 2003 was primarily related to the implementation of Statement of Financial Accounting Standards No. 143, Accounting for Asset Retirement Obligations ("SFAS 143"), partially offset by accounting policy changes related to certain maintenance activities and loss contracts.</w:t>
      </w:r>
    </w:p>
    <w:p>
      <w:pPr>
        <w:spacing w:after="0" w:line="182"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"Other than the challenges related to several heavy winter storms in many of our largest and most populated markets and the rising cost of fuel, our performance in the quarter was on track with our expectations" commented A. Maurice Myers, Chairman, President and Chief Executive Officer of Waste Management. "Winter is finally over and oil prices are starting to come off their highs, so those challenges should be largely behind us for the second quarter. Additionally, late March and early April volumes are indicating the seasonal upturn that we look for each spring."</w:t>
      </w:r>
    </w:p>
    <w:p>
      <w:pPr>
        <w:spacing w:after="0" w:line="177"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Company noted certain items totaling $0.06 per diluted share negatively impacting the current quarter's results:</w:t>
      </w:r>
    </w:p>
    <w:p>
      <w:pPr>
        <w:spacing w:after="0" w:line="176" w:lineRule="exact"/>
        <w:rPr>
          <w:sz w:val="20"/>
          <w:szCs w:val="20"/>
          <w:color w:val="auto"/>
        </w:rPr>
      </w:pPr>
    </w:p>
    <w:p>
      <w:pPr>
        <w:ind w:left="880" w:right="31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pre-tax charge of $20 million, or $0.02 per diluted share, included in the restructuring line, related to the workforce reduction announced in February.</w:t>
      </w:r>
    </w:p>
    <w:p>
      <w:pPr>
        <w:sectPr>
          <w:pgSz w:w="11900" w:h="16838" w:orient="portrait"/>
          <w:cols w:equalWidth="0" w:num="1">
            <w:col w:w="10219"/>
          </w:cols>
          <w:pgMar w:left="240" w:top="484" w:right="1440" w:bottom="1440" w:gutter="0" w:footer="0" w:header="0"/>
        </w:sectPr>
      </w:pPr>
    </w:p>
    <w:bookmarkStart w:id="5" w:name="page6"/>
    <w:bookmarkEnd w:id="5"/>
    <w:p>
      <w:pPr>
        <w:jc w:val="both"/>
        <w:ind w:left="880" w:right="3339" w:hanging="441"/>
        <w:spacing w:after="0" w:line="241"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impact to pre-tax income related to severe winter weather, primarily in the East and the Midwest, estimated at $20 million, or $0.02 per diluted share.</w:t>
      </w:r>
    </w:p>
    <w:p>
      <w:pPr>
        <w:spacing w:after="0" w:line="4" w:lineRule="exact"/>
        <w:rPr>
          <w:rFonts w:ascii="Courier New" w:cs="Courier New" w:eastAsia="Courier New" w:hAnsi="Courier New"/>
          <w:sz w:val="15"/>
          <w:szCs w:val="15"/>
          <w:color w:val="auto"/>
        </w:rPr>
      </w:pPr>
    </w:p>
    <w:p>
      <w:pPr>
        <w:ind w:left="880" w:right="3599" w:hanging="441"/>
        <w:spacing w:after="0" w:line="241"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impact to pre-tax income versus prior year related to increased fuel costs, net of fuel surcharges, of $12 million, or $0.01 per diluted share.</w:t>
      </w:r>
    </w:p>
    <w:p>
      <w:pPr>
        <w:spacing w:after="0" w:line="4" w:lineRule="exact"/>
        <w:rPr>
          <w:rFonts w:ascii="Courier New" w:cs="Courier New" w:eastAsia="Courier New" w:hAnsi="Courier New"/>
          <w:sz w:val="15"/>
          <w:szCs w:val="15"/>
          <w:color w:val="auto"/>
        </w:rPr>
      </w:pPr>
    </w:p>
    <w:p>
      <w:pPr>
        <w:ind w:left="880" w:right="3259" w:hanging="441"/>
        <w:spacing w:after="0" w:line="242"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$7 million expense, or $0.01 per diluted share, resulting from the increase in inflation rate the Company uses for its estimates of remedial liability reserves; the increased rate is consistent with the rate used under SFAS 143 as adopted by the Company.</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the first quarter of 2002, a pre-tax charge of $37 million was included in the restructuring line, related to a workforce reduction announced in March 2002. Partially offsetting the restructuring charge were credits to asset impairments and unusual items totaling $6 million pre-tax. Combined, these items negatively impacted first quarter 2002 earnings by $31 million pre-tax, or $0.03 per diluted share.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the first quarter of 2003, Waste Management adopted SFAS 143. In accordance with SFAS 143 the Company has changed the methodology for accounting for the retirement of its long-lived assets, primarily its landfills. As a result, on a year-to-year comparative basis, operating costs were $6 million higher and depreciation and amortization costs were $7 million higher in the current quarter than they would have been if the accounting standards were the same as for the first quarter 2002 period. The increased costs related to SFAS 143 reduced earnings by $0.01 per diluted share.</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Myers added, "In the first quarter we saw the strongest internal revenue growth we have seen in over two years. Especially considering the harsh winter weather in the quarter, we find the internal growth very encouraging. We also continue to implement our cost reduction programs, such as our route optimization effort, and expect further progress during the year. Some other items of importance in the first quarter's results include: effecting the reclassification of expenses from SG&amp;A to cost of operations, better reflecting how we view these costs in terms of our current operations; and kicking off the 2003 share buyback program with the repurchase of $71 million of common stock, or nearly 3.6 million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also reported the following important highlights for the quarter:</w:t>
      </w:r>
    </w:p>
    <w:p>
      <w:pPr>
        <w:spacing w:after="0" w:line="2" w:lineRule="exact"/>
        <w:rPr>
          <w:sz w:val="20"/>
          <w:szCs w:val="20"/>
          <w:color w:val="auto"/>
        </w:rPr>
      </w:pPr>
    </w:p>
    <w:p>
      <w:pPr>
        <w:ind w:left="880" w:hanging="441"/>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cash flow of $429 million.</w:t>
      </w:r>
    </w:p>
    <w:p>
      <w:pPr>
        <w:spacing w:after="0" w:line="3" w:lineRule="exact"/>
        <w:rPr>
          <w:rFonts w:ascii="Courier New" w:cs="Courier New" w:eastAsia="Courier New" w:hAnsi="Courier New"/>
          <w:sz w:val="15"/>
          <w:szCs w:val="15"/>
          <w:color w:val="auto"/>
        </w:rPr>
      </w:pPr>
    </w:p>
    <w:p>
      <w:pPr>
        <w:ind w:left="880" w:right="3519" w:hanging="441"/>
        <w:spacing w:after="0" w:line="260"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 defined as operating cash flow less capital expenditures plus proceeds from sales of assets, of $233 million.</w:t>
      </w:r>
    </w:p>
    <w:p>
      <w:pPr>
        <w:ind w:left="880" w:right="3159" w:hanging="441"/>
        <w:spacing w:after="0" w:line="242"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revenue growth of 0.8%, split 0.3% price and 0.5% volume. The price component excludes combined positive impacts of 1.4% related to higher recycling commodity prices, higher fuel surcharges, and slightly lower electricity rates at Independent Power Production facilities.</w:t>
      </w:r>
    </w:p>
    <w:p>
      <w:pPr>
        <w:spacing w:after="0" w:line="1"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of $212 million.</w:t>
      </w:r>
    </w:p>
    <w:p>
      <w:pPr>
        <w:spacing w:after="0" w:line="3" w:lineRule="exact"/>
        <w:rPr>
          <w:rFonts w:ascii="Courier New" w:cs="Courier New" w:eastAsia="Courier New" w:hAnsi="Courier New"/>
          <w:sz w:val="15"/>
          <w:szCs w:val="15"/>
          <w:color w:val="auto"/>
        </w:rPr>
      </w:pPr>
    </w:p>
    <w:p>
      <w:pPr>
        <w:ind w:left="880" w:right="3519" w:hanging="441"/>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 million in savings in the quarter related to the 2003 workforce reduction.</w:t>
      </w:r>
    </w:p>
    <w:p>
      <w:pPr>
        <w:spacing w:after="0" w:line="4" w:lineRule="exact"/>
        <w:rPr>
          <w:rFonts w:ascii="Courier New" w:cs="Courier New" w:eastAsia="Courier New" w:hAnsi="Courier New"/>
          <w:sz w:val="15"/>
          <w:szCs w:val="15"/>
          <w:color w:val="auto"/>
        </w:rPr>
      </w:pPr>
    </w:p>
    <w:p>
      <w:pPr>
        <w:ind w:left="880" w:right="3519" w:hanging="441"/>
        <w:spacing w:after="0" w:line="241"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Businesses with annual revenues of approximately $256 million acquired during the quarter for approximately $83 million in cash consideration, including the</w:t>
      </w:r>
    </w:p>
    <w:p>
      <w:pPr>
        <w:sectPr>
          <w:pgSz w:w="11900" w:h="16838" w:orient="portrait"/>
          <w:cols w:equalWidth="0" w:num="1">
            <w:col w:w="10219"/>
          </w:cols>
          <w:pgMar w:left="240" w:top="463" w:right="1440" w:bottom="1440" w:gutter="0" w:footer="0" w:header="0"/>
        </w:sectPr>
      </w:pPr>
    </w:p>
    <w:bookmarkStart w:id="6" w:name="page7"/>
    <w:bookmarkEnd w:id="6"/>
    <w:p>
      <w:pPr>
        <w:ind w:left="880" w:right="3439"/>
        <w:spacing w:after="0"/>
        <w:rPr>
          <w:sz w:val="20"/>
          <w:szCs w:val="20"/>
          <w:color w:val="auto"/>
        </w:rPr>
      </w:pPr>
      <w:r>
        <w:rPr>
          <w:rFonts w:ascii="Courier New" w:cs="Courier New" w:eastAsia="Courier New" w:hAnsi="Courier New"/>
          <w:sz w:val="15"/>
          <w:szCs w:val="15"/>
          <w:color w:val="auto"/>
        </w:rPr>
        <w:t>previously announced acquisition of the Peltz Group in conjunction with the formation of the Recycle America Alliance.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"Live Webcast: First Quarter 2003 Earnings Report." You may also listen to the conference call by telephone by contacting the conference call operator at (913) 981-5532, 5-10 minutes prior to the scheduled start time, and asking for the "Waste Management Conference Call." For those unable to listen to the live call, a replay will be available 24 hours a day beginning at approximately 1:00 p.m. central time April 29th through 5:00 p.m. on May 13th. To hear a replay of the call over the Internet, access the Waste Management Website at http://www.wm.com. To hear a telephonic replay of the call, dial 719-457-0820 and enter reservation code 454873.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 is its industry's leading provider of comprehensive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services. Based in Houston, the Company serves municipal,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industrial, and residential customers throughout North America.</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Certain statements contained in this press release include statements that are "forward-looking statements." Outlined below are some of the risks that the Company faces and that could affect our financial statements for 2003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184" w:lineRule="exact"/>
        <w:rPr>
          <w:sz w:val="20"/>
          <w:szCs w:val="20"/>
          <w:color w:val="auto"/>
        </w:rPr>
      </w:pPr>
    </w:p>
    <w:p>
      <w:pPr>
        <w:ind w:left="880" w:right="3159" w:hanging="441"/>
        <w:spacing w:after="0" w:line="241"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changes in our estimates of site remediation requirements, final closure and post-closure obligations, compliance and regulatory developments;</w:t>
      </w:r>
    </w:p>
    <w:p>
      <w:pPr>
        <w:spacing w:after="0" w:line="176" w:lineRule="exact"/>
        <w:rPr>
          <w:rFonts w:ascii="Courier New" w:cs="Courier New" w:eastAsia="Courier New" w:hAnsi="Courier New"/>
          <w:sz w:val="15"/>
          <w:szCs w:val="15"/>
          <w:color w:val="auto"/>
        </w:rPr>
      </w:pPr>
    </w:p>
    <w:p>
      <w:pPr>
        <w:ind w:left="880" w:right="3519" w:hanging="441"/>
        <w:spacing w:after="0" w:line="242"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75"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limitations or bans on disposal or transportation of out-of-state waste or certain categories of waste;</w:t>
      </w:r>
    </w:p>
    <w:p>
      <w:pPr>
        <w:spacing w:after="0" w:line="176" w:lineRule="exact"/>
        <w:rPr>
          <w:rFonts w:ascii="Courier New" w:cs="Courier New" w:eastAsia="Courier New" w:hAnsi="Courier New"/>
          <w:sz w:val="15"/>
          <w:szCs w:val="15"/>
          <w:color w:val="auto"/>
        </w:rPr>
      </w:pPr>
    </w:p>
    <w:p>
      <w:pPr>
        <w:ind w:left="880" w:right="3779" w:hanging="441"/>
        <w:spacing w:after="0" w:line="241"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charges against earnings as a result of shut-down operations, uncompleted acquisitions, development or expansion projects or other events;</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4"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the weather has on our quarter to quarter results, as well as the effect of extremely harsh weather on our operations;</w:t>
      </w:r>
    </w:p>
    <w:p>
      <w:pPr>
        <w:sectPr>
          <w:pgSz w:w="11900" w:h="16838" w:orient="portrait"/>
          <w:cols w:equalWidth="0" w:num="1">
            <w:col w:w="10219"/>
          </w:cols>
          <w:pgMar w:left="240" w:top="463" w:right="1440" w:bottom="1440" w:gutter="0" w:footer="0" w:header="0"/>
        </w:sectPr>
      </w:pPr>
    </w:p>
    <w:bookmarkStart w:id="7" w:name="page8"/>
    <w:bookmarkEnd w:id="7"/>
    <w:p>
      <w:pPr>
        <w:ind w:left="880" w:right="3439" w:hanging="441"/>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that price fluctuations on commodity prices may have on our operating revenues;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outcome of litigation;</w:t>
      </w:r>
    </w:p>
    <w:p>
      <w:pPr>
        <w:spacing w:after="0" w:line="175" w:lineRule="exact"/>
        <w:rPr>
          <w:rFonts w:ascii="Courier New" w:cs="Courier New" w:eastAsia="Courier New" w:hAnsi="Courier New"/>
          <w:sz w:val="15"/>
          <w:szCs w:val="15"/>
          <w:color w:val="auto"/>
        </w:rPr>
      </w:pPr>
    </w:p>
    <w:p>
      <w:pPr>
        <w:ind w:left="880" w:right="4319" w:hanging="441"/>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competition in our industry could have on our profitability;</w:t>
      </w:r>
    </w:p>
    <w:p>
      <w:pPr>
        <w:spacing w:after="0" w:line="176" w:lineRule="exact"/>
        <w:rPr>
          <w:rFonts w:ascii="Courier New" w:cs="Courier New" w:eastAsia="Courier New" w:hAnsi="Courier New"/>
          <w:sz w:val="15"/>
          <w:szCs w:val="15"/>
          <w:color w:val="auto"/>
        </w:rPr>
      </w:pPr>
    </w:p>
    <w:p>
      <w:pPr>
        <w:ind w:left="880" w:right="3519" w:hanging="441"/>
        <w:spacing w:after="0" w:line="241"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diversions of management's attention and increases in operating expenses due to efforts by labor unions to organize our employees;</w:t>
      </w:r>
    </w:p>
    <w:p>
      <w:pPr>
        <w:spacing w:after="0" w:line="176"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increases in operating expenses due to fuel price increases or fuel supply shortages;</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general economic conditions, including the ability of insurers to fully or timely meet their contractual commitments and of surety companies to continue to issue surety bonds;</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additional capital if cash flows are less than we expect or capital expenditures are more than we expect, and the possibility that we cannot obtain additional capital on acceptable terms if needed;</w:t>
      </w:r>
    </w:p>
    <w:p>
      <w:pPr>
        <w:spacing w:after="0" w:line="174" w:lineRule="exact"/>
        <w:rPr>
          <w:rFonts w:ascii="Courier New" w:cs="Courier New" w:eastAsia="Courier New" w:hAnsi="Courier New"/>
          <w:sz w:val="15"/>
          <w:szCs w:val="15"/>
          <w:color w:val="auto"/>
        </w:rPr>
      </w:pPr>
    </w:p>
    <w:p>
      <w:pPr>
        <w:ind w:left="880" w:right="3259" w:hanging="441"/>
        <w:spacing w:after="0" w:line="242"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the implementation of Statement of Financial Accounting Standards No. 143, Accounting for Asset Retirement Obligations, on the Company's landfill accounting methods, which in turn may affect the Company's earnings, balance sheet and compliance with debt covenants; and</w:t>
      </w:r>
    </w:p>
    <w:p>
      <w:pPr>
        <w:spacing w:after="0" w:line="175"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errors or problems upon implementation of our new revenue management system.</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2002.</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63" w:right="1440" w:bottom="1440" w:gutter="0" w:footer="0" w:header="0"/>
        </w:sectPr>
      </w:pPr>
    </w:p>
    <w:bookmarkStart w:id="8" w:name="page9"/>
    <w:bookmarkEnd w:id="8"/>
    <w:p>
      <w:pPr>
        <w:jc w:val="center"/>
        <w:ind w:right="394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0" w:type="dxa"/>
            <w:vAlign w:val="bottom"/>
          </w:tcPr>
          <w:p>
            <w:pPr>
              <w:spacing w:after="0"/>
              <w:rPr>
                <w:sz w:val="14"/>
                <w:szCs w:val="14"/>
                <w:color w:val="auto"/>
              </w:rPr>
            </w:pPr>
          </w:p>
        </w:tc>
        <w:tc>
          <w:tcPr>
            <w:tcW w:w="37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Quarters Ended March 31,</w:t>
            </w:r>
          </w:p>
        </w:tc>
      </w:tr>
      <w:tr>
        <w:trPr>
          <w:trHeight w:val="172"/>
        </w:trPr>
        <w:tc>
          <w:tcPr>
            <w:tcW w:w="7200" w:type="dxa"/>
            <w:vAlign w:val="bottom"/>
          </w:tcPr>
          <w:p>
            <w:pPr>
              <w:spacing w:after="0"/>
              <w:rPr>
                <w:sz w:val="14"/>
                <w:szCs w:val="14"/>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$2,716</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$2,609</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Operating (exclusive of depreciation</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720"/>
              <w:spacing w:after="0"/>
              <w:rPr>
                <w:sz w:val="20"/>
                <w:szCs w:val="20"/>
                <w:color w:val="auto"/>
              </w:rPr>
            </w:pPr>
            <w:r>
              <w:rPr>
                <w:rFonts w:ascii="Courier New" w:cs="Courier New" w:eastAsia="Courier New" w:hAnsi="Courier New"/>
                <w:sz w:val="15"/>
                <w:szCs w:val="15"/>
                <w:color w:val="auto"/>
              </w:rPr>
              <w:t>and amortization shown below)</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1,793</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1,565</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323</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302</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Restructuring</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Asset impairments and unusual items</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2,437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2,277</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279</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Minority interest</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Interest income and other, net</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6</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(104)</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175</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68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net of income tax benefit of $31 in 2003 and $0 in 2002</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(46)</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$61</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(0.08)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(0.08)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Basic common shares outstanding</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593.7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625.9</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Diluted common shares outstanding</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595.8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630.3</w:t>
            </w:r>
          </w:p>
        </w:tc>
      </w:tr>
      <w:tr>
        <w:trPr>
          <w:trHeight w:val="172"/>
        </w:trPr>
        <w:tc>
          <w:tcPr>
            <w:tcW w:w="7200" w:type="dxa"/>
            <w:vAlign w:val="bottom"/>
          </w:tcPr>
          <w:p>
            <w:pPr>
              <w:spacing w:after="0"/>
              <w:rPr>
                <w:sz w:val="14"/>
                <w:szCs w:val="14"/>
                <w:color w:val="auto"/>
              </w:rPr>
            </w:pPr>
          </w:p>
        </w:tc>
        <w:tc>
          <w:tcPr>
            <w:tcW w:w="21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200" w:type="dxa"/>
            <w:vAlign w:val="bottom"/>
          </w:tcPr>
          <w:p>
            <w:pPr>
              <w:spacing w:after="0"/>
              <w:rPr>
                <w:sz w:val="20"/>
                <w:szCs w:val="20"/>
                <w:color w:val="auto"/>
              </w:rPr>
            </w:pPr>
            <w:r>
              <w:rPr>
                <w:rFonts w:ascii="Courier New" w:cs="Courier New" w:eastAsia="Courier New" w:hAnsi="Courier New"/>
                <w:sz w:val="15"/>
                <w:szCs w:val="15"/>
                <w:color w:val="auto"/>
              </w:rPr>
              <w:t>Pro forma income and earnings per common share assuming changes in</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7200" w:type="dxa"/>
            <w:vAlign w:val="bottom"/>
          </w:tcPr>
          <w:p>
            <w:pPr>
              <w:ind w:left="360"/>
              <w:spacing w:after="0"/>
              <w:rPr>
                <w:sz w:val="20"/>
                <w:szCs w:val="20"/>
                <w:color w:val="auto"/>
              </w:rPr>
            </w:pPr>
            <w:r>
              <w:rPr>
                <w:rFonts w:ascii="Courier New" w:cs="Courier New" w:eastAsia="Courier New" w:hAnsi="Courier New"/>
                <w:sz w:val="15"/>
                <w:szCs w:val="15"/>
                <w:color w:val="auto"/>
              </w:rPr>
              <w:t>accounting principles are applied retroactively:</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800"/>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w:t>
            </w:r>
          </w:p>
        </w:tc>
      </w:tr>
      <w:tr>
        <w:trPr>
          <w:trHeight w:val="172"/>
        </w:trPr>
        <w:tc>
          <w:tcPr>
            <w:tcW w:w="7200" w:type="dxa"/>
            <w:vAlign w:val="bottom"/>
          </w:tcPr>
          <w:p>
            <w:pPr>
              <w:ind w:left="800"/>
              <w:spacing w:after="0"/>
              <w:rPr>
                <w:sz w:val="20"/>
                <w:szCs w:val="20"/>
                <w:color w:val="auto"/>
              </w:rPr>
            </w:pPr>
            <w:r>
              <w:rPr>
                <w:rFonts w:ascii="Courier New" w:cs="Courier New" w:eastAsia="Courier New" w:hAnsi="Courier New"/>
                <w:sz w:val="15"/>
                <w:szCs w:val="15"/>
                <w:color w:val="auto"/>
              </w:rPr>
              <w:t>Basic earnings per common share before cumulative</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1260"/>
              <w:spacing w:after="0"/>
              <w:rPr>
                <w:sz w:val="20"/>
                <w:szCs w:val="20"/>
                <w:color w:val="auto"/>
              </w:rPr>
            </w:pPr>
            <w:r>
              <w:rPr>
                <w:rFonts w:ascii="Courier New" w:cs="Courier New" w:eastAsia="Courier New" w:hAnsi="Courier New"/>
                <w:sz w:val="15"/>
                <w:szCs w:val="15"/>
                <w:color w:val="auto"/>
              </w:rPr>
              <w:t>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7200" w:type="dxa"/>
            <w:vAlign w:val="bottom"/>
          </w:tcPr>
          <w:p>
            <w:pPr>
              <w:ind w:left="800"/>
              <w:spacing w:after="0"/>
              <w:rPr>
                <w:sz w:val="20"/>
                <w:szCs w:val="20"/>
                <w:color w:val="auto"/>
              </w:rPr>
            </w:pPr>
            <w:r>
              <w:rPr>
                <w:rFonts w:ascii="Courier New" w:cs="Courier New" w:eastAsia="Courier New" w:hAnsi="Courier New"/>
                <w:sz w:val="15"/>
                <w:szCs w:val="15"/>
                <w:color w:val="auto"/>
              </w:rPr>
              <w:t>Diluted earnings per common share before cumulative</w:t>
            </w: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200" w:type="dxa"/>
            <w:vAlign w:val="bottom"/>
          </w:tcPr>
          <w:p>
            <w:pPr>
              <w:ind w:left="1260"/>
              <w:spacing w:after="0"/>
              <w:rPr>
                <w:sz w:val="20"/>
                <w:szCs w:val="20"/>
                <w:color w:val="auto"/>
              </w:rPr>
            </w:pPr>
            <w:r>
              <w:rPr>
                <w:rFonts w:ascii="Courier New" w:cs="Courier New" w:eastAsia="Courier New" w:hAnsi="Courier New"/>
                <w:sz w:val="15"/>
                <w:szCs w:val="15"/>
                <w:color w:val="auto"/>
              </w:rPr>
              <w:t>effect of changes in accounting principles</w:t>
            </w:r>
          </w:p>
        </w:tc>
        <w:tc>
          <w:tcPr>
            <w:tcW w:w="2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$0.18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344"/>
        </w:trPr>
        <w:tc>
          <w:tcPr>
            <w:tcW w:w="7200" w:type="dxa"/>
            <w:vAlign w:val="bottom"/>
          </w:tcPr>
          <w:p>
            <w:pPr>
              <w:ind w:left="3320"/>
              <w:spacing w:after="0"/>
              <w:rPr>
                <w:sz w:val="20"/>
                <w:szCs w:val="20"/>
                <w:color w:val="auto"/>
              </w:rPr>
            </w:pPr>
            <w:r>
              <w:rPr>
                <w:rFonts w:ascii="Courier New" w:cs="Courier New" w:eastAsia="Courier New" w:hAnsi="Courier New"/>
                <w:sz w:val="15"/>
                <w:szCs w:val="15"/>
                <w:color w:val="auto"/>
              </w:rPr>
              <w:t>(1)</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920"/>
          </w:cols>
          <w:pgMar w:left="320" w:top="461" w:right="659" w:bottom="1440" w:gutter="0" w:footer="0" w:header="0"/>
        </w:sectPr>
      </w:pPr>
    </w:p>
    <w:bookmarkStart w:id="9" w:name="page10"/>
    <w:bookmarkEnd w:id="9"/>
    <w:p>
      <w:pPr>
        <w:jc w:val="center"/>
        <w:ind w:right="315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Earnings Per Share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23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Quarters Ended March 31,</w:t>
            </w:r>
          </w:p>
        </w:tc>
      </w:tr>
      <w:tr>
        <w:trPr>
          <w:trHeight w:val="172"/>
        </w:trPr>
        <w:tc>
          <w:tcPr>
            <w:tcW w:w="6940" w:type="dxa"/>
            <w:vAlign w:val="bottom"/>
          </w:tcPr>
          <w:p>
            <w:pPr>
              <w:spacing w:after="0"/>
              <w:rPr>
                <w:sz w:val="14"/>
                <w:szCs w:val="14"/>
                <w:color w:val="auto"/>
              </w:rPr>
            </w:pPr>
          </w:p>
        </w:tc>
        <w:tc>
          <w:tcPr>
            <w:tcW w:w="23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spacing w:after="0"/>
              <w:rPr>
                <w:sz w:val="14"/>
                <w:szCs w:val="14"/>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6940" w:type="dxa"/>
            <w:vAlign w:val="bottom"/>
          </w:tcPr>
          <w:p>
            <w:pPr>
              <w:spacing w:after="0"/>
              <w:rPr>
                <w:sz w:val="20"/>
                <w:szCs w:val="20"/>
                <w:color w:val="auto"/>
              </w:rPr>
            </w:pPr>
            <w:r>
              <w:rPr>
                <w:rFonts w:ascii="Courier New" w:cs="Courier New" w:eastAsia="Courier New" w:hAnsi="Courier New"/>
                <w:sz w:val="15"/>
                <w:szCs w:val="15"/>
                <w:color w:val="auto"/>
              </w:rPr>
              <w:t>EPS Calculation:</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9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Diluted net income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6940" w:type="dxa"/>
            <w:vAlign w:val="bottom"/>
          </w:tcPr>
          <w:p>
            <w:pPr>
              <w:spacing w:after="0"/>
              <w:rPr>
                <w:sz w:val="20"/>
                <w:szCs w:val="20"/>
                <w:color w:val="auto"/>
              </w:rPr>
            </w:pPr>
            <w:r>
              <w:rPr>
                <w:rFonts w:ascii="Courier New" w:cs="Courier New" w:eastAsia="Courier New" w:hAnsi="Courier New"/>
                <w:sz w:val="15"/>
                <w:szCs w:val="15"/>
                <w:color w:val="auto"/>
              </w:rPr>
              <w:t>Shares outstanding</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591.4</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617.8</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Effect of weighting</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Basic common shares outstanding</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593.7</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625.9</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Dilutive effect of common stock options and warrants</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Dilutive effect of contingently issuable shares</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spacing w:after="0"/>
              <w:rPr>
                <w:sz w:val="20"/>
                <w:szCs w:val="20"/>
                <w:color w:val="auto"/>
              </w:rPr>
            </w:pPr>
            <w:r>
              <w:rPr>
                <w:rFonts w:ascii="Courier New" w:cs="Courier New" w:eastAsia="Courier New" w:hAnsi="Courier New"/>
                <w:sz w:val="15"/>
                <w:szCs w:val="15"/>
                <w:color w:val="auto"/>
              </w:rPr>
              <w:t>Diluted common shares outstanding</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595.8</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630.3</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69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$0.18</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$0.22</w:t>
            </w: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$0.10</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$0.22</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69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Income before cumulative effect of changes in accounting principles</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$0.18</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$0.22</w:t>
            </w: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940" w:type="dxa"/>
            <w:vAlign w:val="bottom"/>
          </w:tcPr>
          <w:p>
            <w:pPr>
              <w:ind w:left="72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$0.10</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$0.22</w:t>
            </w:r>
          </w:p>
        </w:tc>
      </w:tr>
      <w:tr>
        <w:trPr>
          <w:trHeight w:val="172"/>
        </w:trPr>
        <w:tc>
          <w:tcPr>
            <w:tcW w:w="69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6940" w:type="dxa"/>
            <w:vAlign w:val="bottom"/>
          </w:tcPr>
          <w:p>
            <w:pPr>
              <w:ind w:left="3320"/>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39"/>
          </w:cols>
          <w:pgMar w:left="320" w:top="461" w:right="1440" w:bottom="1440" w:gutter="0" w:footer="0" w:header="0"/>
        </w:sectPr>
      </w:pPr>
    </w:p>
    <w:bookmarkStart w:id="10" w:name="page11"/>
    <w:bookmarkEnd w:id="10"/>
    <w:p>
      <w:pPr>
        <w:ind w:left="250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March 31,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780" w:type="dxa"/>
            <w:vAlign w:val="bottom"/>
          </w:tcPr>
          <w:p>
            <w:pPr>
              <w:spacing w:after="0"/>
              <w:rPr>
                <w:sz w:val="14"/>
                <w:szCs w:val="14"/>
                <w:color w:val="auto"/>
              </w:rPr>
            </w:pP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2003</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(Unaudited)</w:t>
            </w:r>
          </w:p>
        </w:tc>
        <w:tc>
          <w:tcPr>
            <w:tcW w:w="1540" w:type="dxa"/>
            <w:vAlign w:val="bottom"/>
          </w:tcPr>
          <w:p>
            <w:pPr>
              <w:spacing w:after="0"/>
              <w:rPr>
                <w:sz w:val="14"/>
                <w:szCs w:val="1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$381</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w:t>
            </w: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Receivables, net</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1,623</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1,644</w:t>
            </w: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827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assets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2,831</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2,700</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10,707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10,612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5,151</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1,112</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1,135</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Total assets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$19,916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$19,631</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accrued liabilities, and</w:t>
            </w: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deferred revenues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$2,940</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$2,942</w:t>
            </w: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long-term debt</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166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liabilities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3,106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3,173</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8,164</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8,062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3,256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3,069</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14,526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14,304</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subsidiaries</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5,344</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5,308</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$19,916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$19,631</w:t>
            </w:r>
          </w:p>
        </w:tc>
      </w:tr>
      <w:tr>
        <w:trPr>
          <w:trHeight w:val="172"/>
        </w:trPr>
        <w:tc>
          <w:tcPr>
            <w:tcW w:w="4780" w:type="dxa"/>
            <w:vAlign w:val="bottom"/>
          </w:tcPr>
          <w:p>
            <w:pPr>
              <w:spacing w:after="0"/>
              <w:rPr>
                <w:sz w:val="14"/>
                <w:szCs w:val="14"/>
                <w:color w:val="auto"/>
              </w:rPr>
            </w:pPr>
          </w:p>
        </w:tc>
        <w:tc>
          <w:tcPr>
            <w:tcW w:w="19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4780" w:type="dxa"/>
            <w:vAlign w:val="bottom"/>
          </w:tcPr>
          <w:p>
            <w:pPr>
              <w:ind w:left="3320"/>
              <w:spacing w:after="0"/>
              <w:rPr>
                <w:sz w:val="20"/>
                <w:szCs w:val="20"/>
                <w:color w:val="auto"/>
              </w:rPr>
            </w:pPr>
            <w:r>
              <w:rPr>
                <w:rFonts w:ascii="Courier New" w:cs="Courier New" w:eastAsia="Courier New" w:hAnsi="Courier New"/>
                <w:sz w:val="15"/>
                <w:szCs w:val="15"/>
                <w:color w:val="auto"/>
              </w:rPr>
              <w:t>(3)</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139"/>
          </w:cols>
          <w:pgMar w:left="320" w:top="461" w:right="1440" w:bottom="1440" w:gutter="0" w:footer="0" w:header="0"/>
        </w:sectPr>
      </w:pPr>
    </w:p>
    <w:bookmarkStart w:id="11" w:name="page12"/>
    <w:bookmarkEnd w:id="11"/>
    <w:p>
      <w:pPr>
        <w:jc w:val="center"/>
        <w:ind w:right="325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Millions)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25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Quarters Ended March 31,</w:t>
            </w:r>
          </w:p>
        </w:tc>
      </w:tr>
      <w:tr>
        <w:trPr>
          <w:trHeight w:val="172"/>
        </w:trPr>
        <w:tc>
          <w:tcPr>
            <w:tcW w:w="586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14"/>
                <w:szCs w:val="14"/>
                <w:color w:val="auto"/>
              </w:rPr>
            </w:pP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provided by operating activities: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302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 net of effects of</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acquisitions and divestitures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business divestitures, asset sales, and other</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New borrowings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Debt repayments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(729)</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264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$381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r>
      <w:tr>
        <w:trPr>
          <w:trHeight w:val="172"/>
        </w:trPr>
        <w:tc>
          <w:tcPr>
            <w:tcW w:w="586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860" w:type="dxa"/>
            <w:vAlign w:val="bottom"/>
          </w:tcPr>
          <w:p>
            <w:pPr>
              <w:ind w:left="3400"/>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2" w:name="page13"/>
    <w:bookmarkEnd w:id="12"/>
    <w:p>
      <w:pPr>
        <w:jc w:val="center"/>
        <w:ind w:right="4552"/>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Summary Data Sheet</w:t>
      </w:r>
    </w:p>
    <w:p>
      <w:pPr>
        <w:spacing w:after="0" w:line="2"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(In Millions, Except As Noted)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00" w:type="dxa"/>
            <w:vAlign w:val="bottom"/>
          </w:tcPr>
          <w:p>
            <w:pPr>
              <w:ind w:left="3040"/>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8"/>
        </w:trPr>
        <w:tc>
          <w:tcPr>
            <w:tcW w:w="6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Quarters Ended</w:t>
            </w:r>
          </w:p>
        </w:tc>
        <w:tc>
          <w:tcPr>
            <w:tcW w:w="1280" w:type="dxa"/>
            <w:vAlign w:val="bottom"/>
          </w:tcPr>
          <w:p>
            <w:pPr>
              <w:spacing w:after="0"/>
              <w:rPr>
                <w:sz w:val="24"/>
                <w:szCs w:val="24"/>
                <w:color w:val="auto"/>
              </w:rPr>
            </w:pPr>
          </w:p>
        </w:tc>
      </w:tr>
      <w:tr>
        <w:trPr>
          <w:trHeight w:val="172"/>
        </w:trPr>
        <w:tc>
          <w:tcPr>
            <w:tcW w:w="6300" w:type="dxa"/>
            <w:vAlign w:val="bottom"/>
          </w:tcPr>
          <w:p>
            <w:pPr>
              <w:spacing w:after="0"/>
              <w:rPr>
                <w:sz w:val="14"/>
                <w:szCs w:val="14"/>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14"/>
                <w:szCs w:val="14"/>
                <w:color w:val="auto"/>
              </w:rPr>
            </w:pP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March 31,</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2003</w:t>
            </w:r>
          </w:p>
        </w:tc>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00" w:type="dxa"/>
            <w:vAlign w:val="bottom"/>
          </w:tcPr>
          <w:p>
            <w:pPr>
              <w:spacing w:after="0"/>
              <w:rPr>
                <w:sz w:val="20"/>
                <w:szCs w:val="20"/>
                <w:color w:val="auto"/>
              </w:rPr>
            </w:pPr>
            <w:r>
              <w:rPr>
                <w:rFonts w:ascii="Courier New" w:cs="Courier New" w:eastAsia="Courier New" w:hAnsi="Courier New"/>
                <w:sz w:val="15"/>
                <w:szCs w:val="15"/>
                <w:color w:val="auto"/>
              </w:rPr>
              <w:t>Operating Revenues by Lines of Business</w:t>
            </w: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4"/>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NASW:</w:t>
            </w: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Collection</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$1,869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$1,909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$1,823</w:t>
            </w: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Landfill</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663</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595</w:t>
            </w: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Transfer</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372</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Wheelabrator</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213</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w:t>
            </w: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Recycling and other</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204</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Intercompany</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(484)</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Total NASW</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2,716</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2,812</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2,601</w:t>
            </w:r>
          </w:p>
        </w:tc>
      </w:tr>
      <w:tr>
        <w:trPr>
          <w:trHeight w:val="172"/>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revenues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$2,716</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$2,812</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$2,609</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Internal Growth of Operating Revenues to Comparable Prior Periods</w:t>
            </w:r>
          </w:p>
        </w:tc>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4"/>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Internal growth - NASW operations</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Acquisition Summary (a)</w:t>
            </w:r>
          </w:p>
        </w:tc>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4"/>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Gross annualized revenue acquired</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$256</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Total consideration</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Cash paid for acquisitions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$83</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00" w:type="dxa"/>
            <w:vAlign w:val="bottom"/>
          </w:tcPr>
          <w:p>
            <w:pPr>
              <w:spacing w:after="0"/>
              <w:rPr>
                <w:sz w:val="24"/>
                <w:szCs w:val="24"/>
                <w:color w:val="auto"/>
              </w:rPr>
            </w:pPr>
          </w:p>
        </w:tc>
        <w:tc>
          <w:tcPr>
            <w:tcW w:w="39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Quarters Ended March 31,</w:t>
            </w:r>
          </w:p>
        </w:tc>
        <w:tc>
          <w:tcPr>
            <w:tcW w:w="1280" w:type="dxa"/>
            <w:vAlign w:val="bottom"/>
          </w:tcPr>
          <w:p>
            <w:pPr>
              <w:spacing w:after="0"/>
              <w:rPr>
                <w:sz w:val="24"/>
                <w:szCs w:val="24"/>
                <w:color w:val="auto"/>
              </w:rPr>
            </w:pPr>
          </w:p>
        </w:tc>
      </w:tr>
      <w:tr>
        <w:trPr>
          <w:trHeight w:val="172"/>
        </w:trPr>
        <w:tc>
          <w:tcPr>
            <w:tcW w:w="6300" w:type="dxa"/>
            <w:vAlign w:val="bottom"/>
          </w:tcPr>
          <w:p>
            <w:pPr>
              <w:spacing w:after="0"/>
              <w:rPr>
                <w:sz w:val="14"/>
                <w:szCs w:val="14"/>
                <w:color w:val="auto"/>
              </w:rPr>
            </w:pPr>
          </w:p>
        </w:tc>
        <w:tc>
          <w:tcPr>
            <w:tcW w:w="39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14"/>
                <w:szCs w:val="14"/>
                <w:color w:val="auto"/>
              </w:rPr>
            </w:pPr>
          </w:p>
        </w:tc>
        <w:tc>
          <w:tcPr>
            <w:tcW w:w="1840" w:type="dxa"/>
            <w:vAlign w:val="bottom"/>
          </w:tcPr>
          <w:p>
            <w:pPr>
              <w:ind w:left="940"/>
              <w:spacing w:after="0"/>
              <w:rPr>
                <w:sz w:val="20"/>
                <w:szCs w:val="20"/>
                <w:color w:val="auto"/>
              </w:rPr>
            </w:pPr>
            <w:r>
              <w:rPr>
                <w:rFonts w:ascii="Courier New" w:cs="Courier New" w:eastAsia="Courier New" w:hAnsi="Courier New"/>
                <w:sz w:val="15"/>
                <w:szCs w:val="15"/>
                <w:color w:val="auto"/>
              </w:rPr>
              <w:t>2003</w:t>
            </w:r>
          </w:p>
        </w:tc>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Free Cash Flow Analysis (b)</w:t>
            </w:r>
          </w:p>
        </w:tc>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4"/>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$429</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$436</w:t>
            </w:r>
          </w:p>
        </w:tc>
        <w:tc>
          <w:tcPr>
            <w:tcW w:w="1280" w:type="dxa"/>
            <w:vAlign w:val="bottom"/>
          </w:tcPr>
          <w:p>
            <w:pPr>
              <w:spacing w:after="0"/>
              <w:rPr>
                <w:sz w:val="24"/>
                <w:szCs w:val="24"/>
                <w:color w:val="auto"/>
              </w:rPr>
            </w:pP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(180)</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Proceeds from divestitures of businesses, net of</w:t>
            </w:r>
          </w:p>
        </w:tc>
        <w:tc>
          <w:tcPr>
            <w:tcW w:w="1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cash divested, and other sales of assets</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Free cash flow</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$233</w:t>
            </w: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$293</w:t>
            </w:r>
          </w:p>
        </w:tc>
        <w:tc>
          <w:tcPr>
            <w:tcW w:w="1280" w:type="dxa"/>
            <w:vAlign w:val="bottom"/>
          </w:tcPr>
          <w:p>
            <w:pPr>
              <w:spacing w:after="0"/>
              <w:rPr>
                <w:sz w:val="14"/>
                <w:szCs w:val="14"/>
                <w:color w:val="auto"/>
              </w:rPr>
            </w:pPr>
          </w:p>
        </w:tc>
      </w:tr>
      <w:tr>
        <w:trPr>
          <w:trHeight w:val="172"/>
        </w:trPr>
        <w:tc>
          <w:tcPr>
            <w:tcW w:w="6300" w:type="dxa"/>
            <w:vAlign w:val="bottom"/>
          </w:tcPr>
          <w:p>
            <w:pPr>
              <w:spacing w:after="0"/>
              <w:rPr>
                <w:sz w:val="14"/>
                <w:szCs w:val="14"/>
                <w:color w:val="auto"/>
              </w:rPr>
            </w:pP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left="448" w:right="4900"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cash paid and total consideration associated with business acquisitions consummated during the indicated periods.</w:t>
      </w:r>
    </w:p>
    <w:p>
      <w:pPr>
        <w:spacing w:after="0" w:line="176" w:lineRule="exact"/>
        <w:rPr>
          <w:rFonts w:ascii="Courier New" w:cs="Courier New" w:eastAsia="Courier New" w:hAnsi="Courier New"/>
          <w:sz w:val="15"/>
          <w:szCs w:val="15"/>
          <w:color w:val="auto"/>
        </w:rPr>
      </w:pPr>
    </w:p>
    <w:p>
      <w:pPr>
        <w:ind w:left="448" w:right="4740" w:hanging="448"/>
        <w:spacing w:after="0" w:line="265" w:lineRule="auto"/>
        <w:tabs>
          <w:tab w:leader="none" w:pos="4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summary of free cash flows has been prepared to highlight and facilitate understanding of the principal cash flow elements. It is not intended to replace the consolidated statement of cash flows, which was prepared in accordance with generally accepted accounting principles.</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8"/>
          </w:cols>
          <w:pgMar w:left="232" w:top="461" w:right="139" w:bottom="1440" w:gutter="0" w:footer="0" w:header="0"/>
        </w:sectPr>
      </w:pPr>
    </w:p>
    <w:bookmarkStart w:id="13" w:name="page14"/>
    <w:bookmarkEnd w:id="13"/>
    <w:p>
      <w:pPr>
        <w:jc w:val="center"/>
        <w:ind w:right="325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Summary Data Sheet</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Millions, Except Landfill Count)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ind w:left="3040"/>
              <w:spacing w:after="0"/>
              <w:rPr>
                <w:sz w:val="20"/>
                <w:szCs w:val="20"/>
                <w:color w:val="auto"/>
              </w:rPr>
            </w:pPr>
            <w:r>
              <w:rPr>
                <w:rFonts w:ascii="Courier New" w:cs="Courier New" w:eastAsia="Courier New" w:hAnsi="Courier New"/>
                <w:sz w:val="15"/>
                <w:szCs w:val="15"/>
                <w:color w:val="auto"/>
              </w:rPr>
              <w:t>(Unaudited)</w:t>
            </w: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8"/>
        </w:trPr>
        <w:tc>
          <w:tcPr>
            <w:tcW w:w="5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rPr>
              <w:t>Quarters Ended</w:t>
            </w:r>
          </w:p>
        </w:tc>
        <w:tc>
          <w:tcPr>
            <w:tcW w:w="1340" w:type="dxa"/>
            <w:vAlign w:val="bottom"/>
          </w:tcPr>
          <w:p>
            <w:pPr>
              <w:spacing w:after="0"/>
              <w:rPr>
                <w:sz w:val="24"/>
                <w:szCs w:val="24"/>
                <w:color w:val="auto"/>
              </w:rPr>
            </w:pPr>
          </w:p>
        </w:tc>
      </w:tr>
      <w:tr>
        <w:trPr>
          <w:trHeight w:val="172"/>
        </w:trPr>
        <w:tc>
          <w:tcPr>
            <w:tcW w:w="5140" w:type="dxa"/>
            <w:vAlign w:val="bottom"/>
          </w:tcPr>
          <w:p>
            <w:pPr>
              <w:spacing w:after="0"/>
              <w:rPr>
                <w:sz w:val="14"/>
                <w:szCs w:val="14"/>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2003</w:t>
            </w:r>
          </w:p>
        </w:tc>
        <w:tc>
          <w:tcPr>
            <w:tcW w:w="20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$381</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$264</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$306</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Debt-to-total capital ratio:</w:t>
            </w: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Long-term indebtedness, including current</w:t>
            </w: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maturities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$8,330</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$8,293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$7,836</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Total equity</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5,344</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5,308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5,245</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Total capital</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$13,674</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$13,601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$13,081</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Debt-to-total capital</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60.9%</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61.0%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59.9%</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Operational Data</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Internalization of waste, based on disposal costs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65.1%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landfill disposal volumes (tons)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25.9</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Waste to Energy disposal volumes (tons)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disposal volumes (tons)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27.7</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30.9</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Active landfills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290</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Landfills reporting volume</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266</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w:t>
            </w: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Landfills Included in Operating Groups:</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Expense Under Current Method (SFAS No. 143) -</w:t>
            </w: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Non - SFAS No. 143 amortization expense</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$83.8</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Amortization expense related to SFAS No. 143 obligations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13.4</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Total amortization expense</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97.2</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Accretion expense</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11.9</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 amortization and final closure and post closure</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$109.1</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Expense Under Historical Method -</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 amortization expense</w:t>
            </w:r>
          </w:p>
        </w:tc>
        <w:tc>
          <w:tcPr>
            <w:tcW w:w="1520" w:type="dxa"/>
            <w:vAlign w:val="bottom"/>
          </w:tcPr>
          <w:p>
            <w:pPr>
              <w:spacing w:after="0"/>
              <w:rPr>
                <w:sz w:val="14"/>
                <w:szCs w:val="14"/>
                <w:color w:val="auto"/>
              </w:rPr>
            </w:pP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$103.0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$94.6</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 final closure and post closure expense</w:t>
            </w:r>
          </w:p>
        </w:tc>
        <w:tc>
          <w:tcPr>
            <w:tcW w:w="1520" w:type="dxa"/>
            <w:vAlign w:val="bottom"/>
          </w:tcPr>
          <w:p>
            <w:pPr>
              <w:spacing w:after="0"/>
              <w:rPr>
                <w:sz w:val="14"/>
                <w:szCs w:val="14"/>
                <w:color w:val="auto"/>
              </w:rPr>
            </w:pP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r>
      <w:tr>
        <w:trPr>
          <w:trHeight w:val="172"/>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Landfill amortization and final closure and post closure</w:t>
            </w:r>
          </w:p>
        </w:tc>
        <w:tc>
          <w:tcPr>
            <w:tcW w:w="1520" w:type="dxa"/>
            <w:vAlign w:val="bottom"/>
          </w:tcPr>
          <w:p>
            <w:pPr>
              <w:spacing w:after="0"/>
              <w:rPr>
                <w:sz w:val="14"/>
                <w:szCs w:val="14"/>
                <w:color w:val="auto"/>
              </w:rPr>
            </w:pP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$111.3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$103.2</w:t>
            </w:r>
          </w:p>
        </w:tc>
      </w:tr>
      <w:tr>
        <w:trPr>
          <w:trHeight w:val="172"/>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140" w:type="dxa"/>
            <w:vAlign w:val="bottom"/>
          </w:tcPr>
          <w:p>
            <w:pPr>
              <w:ind w:left="3400"/>
              <w:spacing w:after="0"/>
              <w:rPr>
                <w:sz w:val="20"/>
                <w:szCs w:val="20"/>
                <w:color w:val="auto"/>
              </w:rPr>
            </w:pPr>
            <w:r>
              <w:rPr>
                <w:rFonts w:ascii="Courier New" w:cs="Courier New" w:eastAsia="Courier New" w:hAnsi="Courier New"/>
                <w:sz w:val="15"/>
                <w:szCs w:val="15"/>
                <w:color w:val="auto"/>
              </w:rPr>
              <w:t>(6)</w:t>
            </w: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4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3"/>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1"/>
      <w:numFmt w:val="decimal"/>
      <w:start w:val="99"/>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o"/>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2019-12-20T03:59:51Z</dcterms:created>
  <dcterms:modified xsi:type="dcterms:W3CDTF">2019-12-20T03:59:51Z</dcterms:modified>
</cp:coreProperties>
</file>