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June 22,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06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420" w:type="dxa"/>
            <w:vAlign w:val="bottom"/>
          </w:tcPr>
          <w:p>
            <w:pPr>
              <w:jc w:val="center"/>
              <w:ind w:right="1106"/>
              <w:spacing w:after="0"/>
              <w:rPr>
                <w:sz w:val="20"/>
                <w:szCs w:val="20"/>
                <w:color w:val="auto"/>
              </w:rPr>
            </w:pPr>
            <w:r>
              <w:rPr>
                <w:rFonts w:ascii="Arial" w:cs="Arial" w:eastAsia="Arial" w:hAnsi="Arial"/>
                <w:sz w:val="18"/>
                <w:szCs w:val="18"/>
                <w:b w:val="1"/>
                <w:bCs w:val="1"/>
                <w:color w:val="auto"/>
                <w:w w:val="90"/>
              </w:rPr>
              <w:t>1-12154</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73-1309529</w:t>
            </w:r>
          </w:p>
        </w:tc>
      </w:tr>
      <w:tr>
        <w:trPr>
          <w:trHeight w:val="149"/>
        </w:trPr>
        <w:tc>
          <w:tcPr>
            <w:tcW w:w="4060" w:type="dxa"/>
            <w:vAlign w:val="bottom"/>
          </w:tcPr>
          <w:p>
            <w:pPr>
              <w:jc w:val="center"/>
              <w:ind w:right="238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42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60" w:type="dxa"/>
            <w:vAlign w:val="bottom"/>
          </w:tcPr>
          <w:p>
            <w:pPr>
              <w:jc w:val="center"/>
              <w:ind w:right="2382"/>
              <w:spacing w:after="0"/>
              <w:rPr>
                <w:sz w:val="20"/>
                <w:szCs w:val="20"/>
                <w:color w:val="auto"/>
              </w:rPr>
            </w:pPr>
            <w:r>
              <w:rPr>
                <w:rFonts w:ascii="Arial" w:cs="Arial" w:eastAsia="Arial" w:hAnsi="Arial"/>
                <w:sz w:val="14"/>
                <w:szCs w:val="14"/>
                <w:b w:val="1"/>
                <w:bCs w:val="1"/>
                <w:color w:val="auto"/>
                <w:w w:val="89"/>
              </w:rPr>
              <w:t>of Incorporation)</w:t>
            </w:r>
          </w:p>
        </w:tc>
        <w:tc>
          <w:tcPr>
            <w:tcW w:w="2420" w:type="dxa"/>
            <w:vAlign w:val="bottom"/>
          </w:tcPr>
          <w:p>
            <w:pPr>
              <w:jc w:val="center"/>
              <w:ind w:right="108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060" w:type="dxa"/>
            <w:vAlign w:val="bottom"/>
          </w:tcPr>
          <w:p>
            <w:pPr>
              <w:jc w:val="center"/>
              <w:ind w:left="1222"/>
              <w:spacing w:after="0"/>
              <w:rPr>
                <w:sz w:val="20"/>
                <w:szCs w:val="20"/>
                <w:color w:val="auto"/>
              </w:rPr>
            </w:pPr>
            <w:r>
              <w:rPr>
                <w:rFonts w:ascii="Arial" w:cs="Arial" w:eastAsia="Arial" w:hAnsi="Arial"/>
                <w:sz w:val="18"/>
                <w:szCs w:val="18"/>
                <w:b w:val="1"/>
                <w:bCs w:val="1"/>
                <w:color w:val="auto"/>
                <w:w w:val="88"/>
              </w:rPr>
              <w:t>1001 Fannin, Suite 4000</w:t>
            </w: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60" w:type="dxa"/>
            <w:vAlign w:val="bottom"/>
          </w:tcPr>
          <w:p>
            <w:pPr>
              <w:jc w:val="center"/>
              <w:ind w:left="1202"/>
              <w:spacing w:after="0"/>
              <w:rPr>
                <w:sz w:val="20"/>
                <w:szCs w:val="20"/>
                <w:color w:val="auto"/>
              </w:rPr>
            </w:pPr>
            <w:r>
              <w:rPr>
                <w:rFonts w:ascii="Arial" w:cs="Arial" w:eastAsia="Arial" w:hAnsi="Arial"/>
                <w:sz w:val="18"/>
                <w:szCs w:val="18"/>
                <w:b w:val="1"/>
                <w:bCs w:val="1"/>
                <w:color w:val="auto"/>
                <w:w w:val="85"/>
              </w:rPr>
              <w:t>Houston, Texas</w:t>
            </w:r>
          </w:p>
        </w:tc>
        <w:tc>
          <w:tcPr>
            <w:tcW w:w="2420" w:type="dxa"/>
            <w:vAlign w:val="bottom"/>
          </w:tcPr>
          <w:p>
            <w:pPr>
              <w:spacing w:after="0"/>
              <w:rPr>
                <w:sz w:val="20"/>
                <w:szCs w:val="20"/>
                <w:color w:val="auto"/>
              </w:rPr>
            </w:pPr>
          </w:p>
        </w:tc>
        <w:tc>
          <w:tcPr>
            <w:tcW w:w="2480" w:type="dxa"/>
            <w:vAlign w:val="bottom"/>
          </w:tcPr>
          <w:p>
            <w:pPr>
              <w:jc w:val="right"/>
              <w:ind w:right="164"/>
              <w:spacing w:after="0"/>
              <w:rPr>
                <w:sz w:val="20"/>
                <w:szCs w:val="20"/>
                <w:color w:val="auto"/>
              </w:rPr>
            </w:pPr>
            <w:r>
              <w:rPr>
                <w:rFonts w:ascii="Arial" w:cs="Arial" w:eastAsia="Arial" w:hAnsi="Arial"/>
                <w:sz w:val="18"/>
                <w:szCs w:val="18"/>
                <w:b w:val="1"/>
                <w:bCs w:val="1"/>
                <w:color w:val="auto"/>
              </w:rPr>
              <w:t>77002</w:t>
            </w:r>
          </w:p>
        </w:tc>
      </w:tr>
      <w:tr>
        <w:trPr>
          <w:trHeight w:val="174"/>
        </w:trPr>
        <w:tc>
          <w:tcPr>
            <w:tcW w:w="4060" w:type="dxa"/>
            <w:vAlign w:val="bottom"/>
          </w:tcPr>
          <w:p>
            <w:pPr>
              <w:jc w:val="center"/>
              <w:ind w:left="122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420" w:type="dxa"/>
            <w:vAlign w:val="bottom"/>
          </w:tcPr>
          <w:p>
            <w:pPr>
              <w:spacing w:after="0"/>
              <w:rPr>
                <w:sz w:val="15"/>
                <w:szCs w:val="15"/>
                <w:color w:val="auto"/>
              </w:rPr>
            </w:pPr>
          </w:p>
        </w:tc>
        <w:tc>
          <w:tcPr>
            <w:tcW w:w="2480" w:type="dxa"/>
            <w:vAlign w:val="bottom"/>
          </w:tcPr>
          <w:p>
            <w:pPr>
              <w:jc w:val="center"/>
              <w:ind w:left="1484"/>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17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ind w:right="3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firstLine="464"/>
        <w:spacing w:after="0" w:line="318" w:lineRule="auto"/>
        <w:tabs>
          <w:tab w:leader="none" w:pos="705" w:val="left"/>
        </w:tabs>
        <w:numPr>
          <w:ilvl w:val="0"/>
          <w:numId w:val="2"/>
        </w:numPr>
        <w:rPr>
          <w:rFonts w:ascii="Arial" w:cs="Arial" w:eastAsia="Arial" w:hAnsi="Arial"/>
          <w:sz w:val="15"/>
          <w:szCs w:val="15"/>
          <w:color w:val="auto"/>
        </w:rPr>
      </w:pPr>
      <w:r>
        <w:rPr>
          <w:rFonts w:ascii="Arial" w:cs="Arial" w:eastAsia="Arial" w:hAnsi="Arial"/>
          <w:sz w:val="15"/>
          <w:szCs w:val="15"/>
          <w:color w:val="auto"/>
        </w:rPr>
        <w:t>On June 22, 2012, Steven G. Rothmeier, a director of Waste Management, Inc. (the “Company”) and a member of the Audit Committee and the Management Development and Compensation Committee of the board of directors of the Company, notified the Company of his resignation from the board of directors and all committees. Mr. Rothmeier advised the board that his resignation was due to personal health considerations and was not due to any disagreement on any matter relating to the Company’s operations, policies or practices. Mr. Rothmeier is one of the longest serving directors of the Company and has served the Company with great distinction and integrity. The Company is deeply indebted to Mr. Rothmeier for his commitment and guidance during his tenure.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19"/>
                <w:szCs w:val="19"/>
                <w:color w:val="auto"/>
              </w:rPr>
            </w:pPr>
          </w:p>
        </w:tc>
        <w:tc>
          <w:tcPr>
            <w:tcW w:w="7880" w:type="dxa"/>
            <w:vAlign w:val="bottom"/>
            <w:gridSpan w:val="2"/>
          </w:tcPr>
          <w:p>
            <w:pPr>
              <w:ind w:left="2380"/>
              <w:spacing w:after="0"/>
              <w:rPr>
                <w:sz w:val="20"/>
                <w:szCs w:val="20"/>
                <w:color w:val="auto"/>
              </w:rPr>
            </w:pPr>
            <w:r>
              <w:rPr>
                <w:rFonts w:ascii="Arial" w:cs="Arial" w:eastAsia="Arial" w:hAnsi="Arial"/>
                <w:sz w:val="18"/>
                <w:szCs w:val="18"/>
                <w:color w:val="auto"/>
              </w:rPr>
              <w:t>WASTE MANAGEMENT, INC.</w:t>
            </w:r>
          </w:p>
        </w:tc>
      </w:tr>
      <w:tr>
        <w:trPr>
          <w:trHeight w:val="433"/>
        </w:trPr>
        <w:tc>
          <w:tcPr>
            <w:tcW w:w="3540" w:type="dxa"/>
            <w:vAlign w:val="bottom"/>
          </w:tcPr>
          <w:p>
            <w:pPr>
              <w:spacing w:after="0"/>
              <w:rPr>
                <w:sz w:val="20"/>
                <w:szCs w:val="20"/>
                <w:color w:val="auto"/>
              </w:rPr>
            </w:pPr>
            <w:r>
              <w:rPr>
                <w:rFonts w:ascii="Arial" w:cs="Arial" w:eastAsia="Arial" w:hAnsi="Arial"/>
                <w:sz w:val="18"/>
                <w:szCs w:val="18"/>
                <w:color w:val="auto"/>
              </w:rPr>
              <w:t>Date: June 22, 2012</w:t>
            </w:r>
          </w:p>
        </w:tc>
        <w:tc>
          <w:tcPr>
            <w:tcW w:w="7880" w:type="dxa"/>
            <w:vAlign w:val="bottom"/>
            <w:gridSpan w:val="2"/>
          </w:tcPr>
          <w:p>
            <w:pPr>
              <w:ind w:left="2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r>
      <w:tr>
        <w:trPr>
          <w:trHeight w:val="202"/>
        </w:trPr>
        <w:tc>
          <w:tcPr>
            <w:tcW w:w="35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Rick L Wittenbraker</w:t>
            </w:r>
          </w:p>
        </w:tc>
      </w:tr>
      <w:tr>
        <w:trPr>
          <w:trHeight w:val="222"/>
        </w:trPr>
        <w:tc>
          <w:tcPr>
            <w:tcW w:w="3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365"/>
        </w:trPr>
        <w:tc>
          <w:tcPr>
            <w:tcW w:w="3540" w:type="dxa"/>
            <w:vAlign w:val="bottom"/>
          </w:tcPr>
          <w:p>
            <w:pPr>
              <w:spacing w:after="0"/>
              <w:rPr>
                <w:sz w:val="24"/>
                <w:szCs w:val="24"/>
                <w:color w:val="auto"/>
              </w:rPr>
            </w:pPr>
          </w:p>
        </w:tc>
        <w:tc>
          <w:tcPr>
            <w:tcW w:w="2640" w:type="dxa"/>
            <w:vAlign w:val="bottom"/>
          </w:tcPr>
          <w:p>
            <w:pPr>
              <w:jc w:val="right"/>
              <w:ind w:right="332"/>
              <w:spacing w:after="0"/>
              <w:rPr>
                <w:sz w:val="20"/>
                <w:szCs w:val="20"/>
                <w:color w:val="auto"/>
              </w:rPr>
            </w:pPr>
            <w:r>
              <w:rPr>
                <w:rFonts w:ascii="Arial" w:cs="Arial" w:eastAsia="Arial" w:hAnsi="Arial"/>
                <w:sz w:val="18"/>
                <w:szCs w:val="18"/>
                <w:color w:val="auto"/>
              </w:rPr>
              <w:t>2</w:t>
            </w:r>
          </w:p>
        </w:tc>
        <w:tc>
          <w:tcPr>
            <w:tcW w:w="52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2019-12-09T09:32:36Z</dcterms:created>
  <dcterms:modified xsi:type="dcterms:W3CDTF">2019-12-09T09:32:36Z</dcterms:modified>
</cp:coreProperties>
</file>