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41"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41" w:right="359" w:bottom="1440" w:gutter="0" w:footer="0" w:header="0"/>
          <w:type w:val="continuous"/>
        </w:sectPr>
      </w:pPr>
    </w:p>
    <w:p>
      <w:pPr>
        <w:spacing w:after="0" w:line="3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41"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41"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third quarter of 2015,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32546520. To access a replay telephonically, please dial (855) 859-2056 and use the replay conference ID number 32546520.</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such non-GAAP measures and reconciliations of such measures to their most comparable GAAP measures in footnote (b) and the tables to the press release issued this morning.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October 27, 2015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October 27,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Legal Officer</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27, 2015</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ectPr>
          <w:pgSz w:w="11900" w:h="16838" w:orient="portrait"/>
          <w:cols w:equalWidth="0" w:num="1">
            <w:col w:w="11420"/>
          </w:cols>
          <w:pgMar w:left="240" w:top="125" w:right="239" w:bottom="1440" w:gutter="0" w:footer="0" w:header="0"/>
        </w:sectPr>
      </w:pPr>
    </w:p>
    <w:p>
      <w:pPr>
        <w:spacing w:after="0" w:line="232" w:lineRule="exact"/>
        <w:rPr>
          <w:sz w:val="20"/>
          <w:szCs w:val="20"/>
          <w:color w:val="auto"/>
        </w:rPr>
      </w:pPr>
    </w:p>
    <w:p>
      <w:pPr>
        <w:jc w:val="center"/>
        <w:spacing w:after="0" w:line="262" w:lineRule="auto"/>
        <w:rPr>
          <w:sz w:val="20"/>
          <w:szCs w:val="20"/>
          <w:color w:val="auto"/>
        </w:rPr>
      </w:pPr>
      <w:r>
        <w:rPr>
          <w:rFonts w:ascii="Arial" w:cs="Arial" w:eastAsia="Arial" w:hAnsi="Arial"/>
          <w:sz w:val="40"/>
          <w:szCs w:val="40"/>
          <w:b w:val="1"/>
          <w:bCs w:val="1"/>
          <w:color w:val="auto"/>
        </w:rPr>
        <w:t>Waste Management Announces Third Quarter Earnings</w:t>
      </w:r>
    </w:p>
    <w:p>
      <w:pPr>
        <w:spacing w:after="0" w:line="173"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Company Sees More Than 27% Growth in Diluted Earnings Per Share;</w:t>
      </w:r>
    </w:p>
    <w:p>
      <w:pPr>
        <w:spacing w:after="0" w:line="2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Expects to Exceed the Upper End of its Guidance</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HOUSTON — October 27, 2015</w:t>
      </w:r>
      <w:r>
        <w:rPr>
          <w:rFonts w:ascii="Arial" w:cs="Arial" w:eastAsia="Arial" w:hAnsi="Arial"/>
          <w:sz w:val="18"/>
          <w:szCs w:val="18"/>
          <w:color w:val="auto"/>
        </w:rPr>
        <w:t>— Waste Management, Inc. (NYSE: WM) today announced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its quarter ended September 30, 2015. Revenues for the third quarter of 2015 were $3.36 billion compared with $3.60 billion for the same 2014 period. Net income for the quarter was $335 million, or $0.74 per diluted share, compared with net income of $270 million, or $0.58 per diluted share, for the third quarter of 2014. On an as-adjusted basis, excluding certain items, net income in the third quarter of 2014 was $311 million, or $0.67 per diluted share.</w:t>
      </w:r>
      <w:r>
        <w:rPr>
          <w:rFonts w:ascii="Arial" w:cs="Arial" w:eastAsia="Arial" w:hAnsi="Arial"/>
          <w:sz w:val="15"/>
          <w:szCs w:val="15"/>
          <w:color w:val="auto"/>
        </w:rPr>
        <w:t>(b)</w:t>
      </w:r>
    </w:p>
    <w:p>
      <w:pPr>
        <w:spacing w:after="0" w:line="21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Company’s third quarter 2014 results have been adjusted to exclude approximately $0.14 per diluted share of after-tax net charges primarily related to the restructuring of several corporate functions and legal reserves, and the earnings from businesses and assets divested in 2014, which contributed $0.05 per diluted share to earnings in the third quarter of 2014.</w:t>
      </w:r>
      <w:r>
        <w:rPr>
          <w:rFonts w:ascii="Arial" w:cs="Arial" w:eastAsia="Arial" w:hAnsi="Arial"/>
          <w:sz w:val="15"/>
          <w:szCs w:val="15"/>
          <w:color w:val="auto"/>
        </w:rPr>
        <w:t>(b)</w:t>
      </w: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David P. Steiner, President and Chief Executive Officer of Waste Management, commented, “Our third quarter results reflect the impact of our continued commitment to core price, disciplined growth, and cost controls, all of which are driving improvement in our key operating metrics. Each of our net income, operating income and margin, operating EBITDA and margin, and earnings per diluted share improved when compared to the third quarter of 2014.</w:t>
      </w:r>
    </w:p>
    <w:p>
      <w:pPr>
        <w:spacing w:after="0"/>
        <w:rPr>
          <w:sz w:val="20"/>
          <w:szCs w:val="20"/>
          <w:color w:val="auto"/>
        </w:rPr>
      </w:pPr>
      <w:r>
        <w:rPr>
          <w:rFonts w:ascii="Arial" w:cs="Arial" w:eastAsia="Arial" w:hAnsi="Arial"/>
          <w:sz w:val="15"/>
          <w:szCs w:val="15"/>
          <w:color w:val="auto"/>
        </w:rPr>
        <w:t>(c)</w:t>
      </w:r>
    </w:p>
    <w:p>
      <w:pPr>
        <w:spacing w:after="0" w:line="22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made good progress on improving volumes in the third quarter, as internal revenue growth from our traditional solid waste volumes improved 180 basis points compared to the third quarter of 2014, and we saw positive volume growth in our very profitable industrial line of business. Internal revenue growth from volumes has improved each quarter since the first quarter of 2015, and we expect them to continue to strengthen into 2016 with our continued focus on adding higher margin volumes, and avoiding volume growth at below market rates. In addition, we generated strong free cash flow in the third quarter, allowing us to return $472 million to our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2015</w:t>
      </w:r>
    </w:p>
    <w:p>
      <w:pPr>
        <w:spacing w:after="0" w:line="135" w:lineRule="exact"/>
        <w:rPr>
          <w:sz w:val="20"/>
          <w:szCs w:val="20"/>
          <w:color w:val="auto"/>
        </w:rPr>
      </w:pPr>
    </w:p>
    <w:p>
      <w:pPr>
        <w:ind w:left="720" w:right="140" w:hanging="262"/>
        <w:spacing w:after="0" w:line="276" w:lineRule="auto"/>
        <w:tabs>
          <w:tab w:leader="none" w:pos="69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saw a $48 million increase in internal revenue growth from its traditional solid waste business and a $53 million increase in revenues from acquisitions. However, overall revenue declined by 6.7%, or $242 million, compared to the third quarter of 2014. That revenue decline stemmed from a $186 million decline from divestitures, $49 million in lower recycling revenues, $47 million in lower fuel surcharge revenues and $41 million in foreign currency fluctuations.</w:t>
      </w:r>
    </w:p>
    <w:p>
      <w:pPr>
        <w:spacing w:after="0" w:line="77" w:lineRule="exact"/>
        <w:rPr>
          <w:rFonts w:ascii="Arial" w:cs="Arial" w:eastAsia="Arial" w:hAnsi="Arial"/>
          <w:sz w:val="17"/>
          <w:szCs w:val="17"/>
          <w:color w:val="auto"/>
        </w:rPr>
      </w:pPr>
    </w:p>
    <w:p>
      <w:pPr>
        <w:ind w:left="720" w:right="200" w:hanging="262"/>
        <w:spacing w:after="0" w:line="279" w:lineRule="auto"/>
        <w:tabs>
          <w:tab w:leader="none" w:pos="693" w:val="left"/>
        </w:tabs>
        <w:numPr>
          <w:ilvl w:val="0"/>
          <w:numId w:val="2"/>
        </w:numPr>
        <w:rPr>
          <w:rFonts w:ascii="Arial" w:cs="Arial" w:eastAsia="Arial" w:hAnsi="Arial"/>
          <w:sz w:val="17"/>
          <w:szCs w:val="17"/>
          <w:color w:val="auto"/>
        </w:rPr>
      </w:pPr>
      <w:r>
        <w:rPr>
          <w:rFonts w:ascii="Arial" w:cs="Arial" w:eastAsia="Arial" w:hAnsi="Arial"/>
          <w:sz w:val="17"/>
          <w:szCs w:val="17"/>
          <w:color w:val="auto"/>
        </w:rPr>
        <w:t>Core price, which consists of price increases and fees, other than the Company’s fuel surcharge, net of rollbacks, was 4.0%.</w:t>
      </w:r>
      <w:r>
        <w:rPr>
          <w:rFonts w:ascii="Arial" w:cs="Arial" w:eastAsia="Arial" w:hAnsi="Arial"/>
          <w:sz w:val="14"/>
          <w:szCs w:val="14"/>
          <w:color w:val="auto"/>
        </w:rPr>
        <w:t>(d)</w:t>
      </w:r>
      <w:r>
        <w:rPr>
          <w:rFonts w:ascii="Arial" w:cs="Arial" w:eastAsia="Arial" w:hAnsi="Arial"/>
          <w:sz w:val="17"/>
          <w:szCs w:val="17"/>
          <w:color w:val="auto"/>
        </w:rPr>
        <w:t xml:space="preserve"> The Company’s continued focus on generating price improvement in traditional solid waste operations was the primary contributor to revenue growth during the current quarter. Internal revenue growth from yield for collection and disposal operations was 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460" w:space="240"/>
            <w:col w:w="2720"/>
          </w:cols>
          <w:pgMar w:left="240" w:top="125" w:right="239" w:bottom="1440" w:gutter="0" w:footer="0" w:header="0"/>
          <w:type w:val="continuous"/>
        </w:sectPr>
      </w:pPr>
    </w:p>
    <w:bookmarkStart w:id="5" w:name="page6"/>
    <w:bookmarkEnd w:id="5"/>
    <w:p>
      <w:pPr>
        <w:ind w:left="720" w:right="1859" w:hanging="262"/>
        <w:spacing w:after="0" w:line="302" w:lineRule="auto"/>
        <w:tabs>
          <w:tab w:leader="none" w:pos="693"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revenue growth from volume in the Company’s traditional solid waste business declined 0.1% in the third quarter of 2015, an improvement of 180 basis points versus a decline of 1.9% in the third quarter of 2014. Sequentially, this was a 50 basis point improvement from the 0.6% decline in the second quarter of 2015. Overall internal revenue growth from volume declined 1.4% in the third quarter.</w:t>
      </w:r>
    </w:p>
    <w:p>
      <w:pPr>
        <w:spacing w:after="0" w:line="59" w:lineRule="exact"/>
        <w:rPr>
          <w:rFonts w:ascii="Arial" w:cs="Arial" w:eastAsia="Arial" w:hAnsi="Arial"/>
          <w:sz w:val="16"/>
          <w:szCs w:val="16"/>
          <w:color w:val="auto"/>
        </w:rPr>
      </w:pPr>
    </w:p>
    <w:p>
      <w:pPr>
        <w:ind w:left="720" w:right="1859" w:hanging="262"/>
        <w:spacing w:after="0" w:line="279" w:lineRule="auto"/>
        <w:tabs>
          <w:tab w:leader="none" w:pos="683" w:val="left"/>
        </w:tabs>
        <w:numPr>
          <w:ilvl w:val="0"/>
          <w:numId w:val="3"/>
        </w:numPr>
        <w:rPr>
          <w:rFonts w:ascii="Arial" w:cs="Arial" w:eastAsia="Arial" w:hAnsi="Arial"/>
          <w:sz w:val="17"/>
          <w:szCs w:val="17"/>
          <w:color w:val="auto"/>
        </w:rPr>
      </w:pPr>
      <w:r>
        <w:rPr>
          <w:rFonts w:ascii="Arial" w:cs="Arial" w:eastAsia="Arial" w:hAnsi="Arial"/>
          <w:sz w:val="17"/>
          <w:szCs w:val="17"/>
          <w:color w:val="auto"/>
        </w:rPr>
        <w:t>Average recycling commodity prices were approximately 15.0% lower in the third quarter of 2015 compared with the prior year period. Recycling volumes declined 6.4% in the third quarter. Despite these declines, earnings per diluted share from the Company’s recycling operations were flat when compared to the prior year period as a result of operational improvements in our recycling business.</w:t>
      </w:r>
    </w:p>
    <w:p>
      <w:pPr>
        <w:spacing w:after="0" w:line="76" w:lineRule="exact"/>
        <w:rPr>
          <w:rFonts w:ascii="Arial" w:cs="Arial" w:eastAsia="Arial" w:hAnsi="Arial"/>
          <w:sz w:val="17"/>
          <w:szCs w:val="17"/>
          <w:color w:val="auto"/>
        </w:rPr>
      </w:pPr>
    </w:p>
    <w:p>
      <w:pPr>
        <w:ind w:left="720" w:right="1919" w:hanging="262"/>
        <w:spacing w:after="0" w:line="297" w:lineRule="auto"/>
        <w:tabs>
          <w:tab w:leader="none" w:pos="693"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expenses improved by $204 million compared to the prior year period. Excluding divestitures, operating expenses improved $91 million.</w:t>
      </w:r>
      <w:r>
        <w:rPr>
          <w:rFonts w:ascii="Arial" w:cs="Arial" w:eastAsia="Arial" w:hAnsi="Arial"/>
          <w:sz w:val="13"/>
          <w:szCs w:val="13"/>
          <w:color w:val="auto"/>
        </w:rPr>
        <w:t>(b)</w:t>
      </w:r>
      <w:r>
        <w:rPr>
          <w:rFonts w:ascii="Arial" w:cs="Arial" w:eastAsia="Arial" w:hAnsi="Arial"/>
          <w:sz w:val="16"/>
          <w:szCs w:val="16"/>
          <w:color w:val="auto"/>
        </w:rPr>
        <w:t xml:space="preserve"> Lower fuel and subcontractor costs, lower commodity rebates, continued route optimization, and foreign currency fluctuations drove the improvement. As a percent of revenue, operating expenses were 62.4% in the third quarter of 2015, as compared to 63.8% in the third quarter of 2014 after excluding divestitures, an improvement of 140 basis points. </w:t>
      </w:r>
      <w:r>
        <w:rPr>
          <w:rFonts w:ascii="Arial" w:cs="Arial" w:eastAsia="Arial" w:hAnsi="Arial"/>
          <w:sz w:val="13"/>
          <w:szCs w:val="13"/>
          <w:color w:val="auto"/>
        </w:rPr>
        <w:t>(b)</w:t>
      </w:r>
    </w:p>
    <w:p>
      <w:pPr>
        <w:spacing w:after="0" w:line="63" w:lineRule="exact"/>
        <w:rPr>
          <w:rFonts w:ascii="Arial" w:cs="Arial" w:eastAsia="Arial" w:hAnsi="Arial"/>
          <w:sz w:val="16"/>
          <w:szCs w:val="16"/>
          <w:color w:val="auto"/>
        </w:rPr>
      </w:pPr>
    </w:p>
    <w:p>
      <w:pPr>
        <w:ind w:left="720" w:right="1779" w:hanging="262"/>
        <w:spacing w:after="0" w:line="259"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SG&amp;A expenses were 9.8% of revenue and improved by $47 million, or 70 basis points, compared with the third quarter of 2014. Excluding divestitures and expenses related to legal reserve adjustments from the third quarter of 2014, SG&amp;A expenses improved by $8 million and 10 basis points as a percent of revenue compared with the third quarter of 2014.</w:t>
      </w:r>
      <w:r>
        <w:rPr>
          <w:rFonts w:ascii="Arial" w:cs="Arial" w:eastAsia="Arial" w:hAnsi="Arial"/>
          <w:sz w:val="15"/>
          <w:szCs w:val="15"/>
          <w:color w:val="auto"/>
        </w:rPr>
        <w:t>(b)</w:t>
      </w:r>
    </w:p>
    <w:p>
      <w:pPr>
        <w:spacing w:after="0" w:line="92" w:lineRule="exact"/>
        <w:rPr>
          <w:rFonts w:ascii="Arial" w:cs="Arial" w:eastAsia="Arial" w:hAnsi="Arial"/>
          <w:sz w:val="18"/>
          <w:szCs w:val="18"/>
          <w:color w:val="auto"/>
        </w:rPr>
      </w:pPr>
    </w:p>
    <w:p>
      <w:pPr>
        <w:ind w:left="720" w:right="1939" w:hanging="262"/>
        <w:spacing w:after="0" w:line="259"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$657 million in the third quarter. Results were benefited by operating EBITDA improvement and a $60 million reduction in cash taxes paid, and partially offset by a $40 million payment to complete our withdrawal from the Central States Pension Plan. Capital expenditures were $335 million.</w:t>
      </w:r>
    </w:p>
    <w:p>
      <w:pPr>
        <w:spacing w:after="0" w:line="92" w:lineRule="exact"/>
        <w:rPr>
          <w:rFonts w:ascii="Arial" w:cs="Arial" w:eastAsia="Arial" w:hAnsi="Arial"/>
          <w:sz w:val="18"/>
          <w:szCs w:val="18"/>
          <w:color w:val="auto"/>
        </w:rPr>
      </w:pPr>
    </w:p>
    <w:p>
      <w:pPr>
        <w:ind w:left="720" w:right="1759" w:hanging="262"/>
        <w:spacing w:after="0" w:line="264"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was $358 million in the third quarter of 2015 despite higher capital expenditures and the loss of $41 million of free cash flow from businesses divested in 2014.</w:t>
      </w:r>
      <w:r>
        <w:rPr>
          <w:rFonts w:ascii="Arial" w:cs="Arial" w:eastAsia="Arial" w:hAnsi="Arial"/>
          <w:sz w:val="15"/>
          <w:szCs w:val="15"/>
          <w:color w:val="auto"/>
        </w:rPr>
        <w:t>(b)</w:t>
      </w:r>
      <w:r>
        <w:rPr>
          <w:rFonts w:ascii="Arial" w:cs="Arial" w:eastAsia="Arial" w:hAnsi="Arial"/>
          <w:sz w:val="18"/>
          <w:szCs w:val="18"/>
          <w:color w:val="auto"/>
        </w:rPr>
        <w:t xml:space="preserve"> The Company had $36 million of divestiture proceeds in the quarter.</w:t>
      </w:r>
    </w:p>
    <w:p>
      <w:pPr>
        <w:spacing w:after="0" w:line="86" w:lineRule="exact"/>
        <w:rPr>
          <w:rFonts w:ascii="Arial" w:cs="Arial" w:eastAsia="Arial" w:hAnsi="Arial"/>
          <w:sz w:val="18"/>
          <w:szCs w:val="18"/>
          <w:color w:val="auto"/>
        </w:rPr>
      </w:pPr>
    </w:p>
    <w:p>
      <w:pPr>
        <w:ind w:left="720" w:right="1779" w:hanging="262"/>
        <w:spacing w:after="0" w:line="277" w:lineRule="auto"/>
        <w:tabs>
          <w:tab w:leader="none" w:pos="69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returned $472 million to shareholders, including $300 million in share repurchases and $172 million in dividends.</w:t>
      </w:r>
    </w:p>
    <w:p>
      <w:pPr>
        <w:spacing w:after="0" w:line="75" w:lineRule="exact"/>
        <w:rPr>
          <w:rFonts w:ascii="Arial" w:cs="Arial" w:eastAsia="Arial" w:hAnsi="Arial"/>
          <w:sz w:val="18"/>
          <w:szCs w:val="18"/>
          <w:color w:val="auto"/>
        </w:rPr>
      </w:pPr>
    </w:p>
    <w:p>
      <w:pPr>
        <w:ind w:left="720" w:right="1979" w:hanging="262"/>
        <w:spacing w:after="0" w:line="277" w:lineRule="auto"/>
        <w:tabs>
          <w:tab w:leader="none" w:pos="69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tax rate was approximately 32.3% in the third quarter of 2015, compared to the as-adjusted rate of 30.6% in the third quarter of 2014.</w:t>
      </w:r>
      <w:r>
        <w:rPr>
          <w:rFonts w:ascii="Arial" w:cs="Arial" w:eastAsia="Arial" w:hAnsi="Arial"/>
          <w:sz w:val="15"/>
          <w:szCs w:val="15"/>
          <w:color w:val="auto"/>
        </w:rPr>
        <w:t>(b)</w:t>
      </w:r>
    </w:p>
    <w:p>
      <w:pPr>
        <w:spacing w:after="0" w:line="197" w:lineRule="exact"/>
        <w:rPr>
          <w:sz w:val="20"/>
          <w:szCs w:val="20"/>
          <w:color w:val="auto"/>
        </w:rPr>
      </w:pPr>
    </w:p>
    <w:p>
      <w:pPr>
        <w:ind w:right="1859"/>
        <w:spacing w:after="0" w:line="273" w:lineRule="auto"/>
        <w:rPr>
          <w:sz w:val="20"/>
          <w:szCs w:val="20"/>
          <w:color w:val="auto"/>
        </w:rPr>
      </w:pPr>
      <w:r>
        <w:rPr>
          <w:rFonts w:ascii="Arial" w:cs="Arial" w:eastAsia="Arial" w:hAnsi="Arial"/>
          <w:sz w:val="17"/>
          <w:szCs w:val="17"/>
          <w:color w:val="auto"/>
        </w:rPr>
        <w:t xml:space="preserve">Steiner concluded, “We have now produced three consecutive quarters of strong results, and we expect that to continue as we conclude the year and look forward to 2016. Our employees continue to execute well on our pricing, disciplined growth, and cost control strategies. Based upon our results through September, we are confident that we can meet the analysts’ fourth quarter consensus of $0.67 of adjusted earnings per diluted share, which would allow us to exceed the upper end of our 2015 adjusted earnings per diluted share guidance of $2.55. We also expect to exceed the upper end of our full year free cash flow guidance of $1.5 billion.” </w:t>
      </w:r>
      <w:r>
        <w:rPr>
          <w:rFonts w:ascii="Arial" w:cs="Arial" w:eastAsia="Arial" w:hAnsi="Arial"/>
          <w:sz w:val="14"/>
          <w:szCs w:val="14"/>
          <w:color w:val="auto"/>
        </w:rPr>
        <w:t>(b)</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360" w:right="1819" w:hanging="352"/>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loss” and “Net income” refer to the financial statement line items “Net income (loss) attributable to Waste Management, Inc.” and “Net income attributable to Waste Management, Inc.,” respectively.</w:t>
      </w:r>
    </w:p>
    <w:p>
      <w:pPr>
        <w:spacing w:after="0" w:line="1" w:lineRule="exact"/>
        <w:rPr>
          <w:rFonts w:ascii="Arial" w:cs="Arial" w:eastAsia="Arial" w:hAnsi="Arial"/>
          <w:sz w:val="18"/>
          <w:szCs w:val="18"/>
          <w:color w:val="auto"/>
        </w:rPr>
      </w:pPr>
    </w:p>
    <w:p>
      <w:pPr>
        <w:ind w:left="360" w:right="1779" w:hanging="352"/>
        <w:spacing w:after="0" w:line="287" w:lineRule="auto"/>
        <w:tabs>
          <w:tab w:leader="none" w:pos="38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2014 net income, earnings per diluted share and effective tax rate, and comparisons to 2014 operating expenses and SG&amp;A expenses, have been presented in certain instances excluding items identified in the reconciliations provided.</w:t>
      </w:r>
    </w:p>
    <w:p>
      <w:pPr>
        <w:sectPr>
          <w:pgSz w:w="11900" w:h="16838" w:orient="portrait"/>
          <w:cols w:equalWidth="0" w:num="1">
            <w:col w:w="10219"/>
          </w:cols>
          <w:pgMar w:left="240" w:top="395" w:right="1440" w:bottom="1440" w:gutter="0" w:footer="0" w:header="0"/>
        </w:sectPr>
      </w:pPr>
    </w:p>
    <w:bookmarkStart w:id="6" w:name="page7"/>
    <w:bookmarkEnd w:id="6"/>
    <w:p>
      <w:pPr>
        <w:ind w:left="360" w:right="1759"/>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projected full year 2015 earnings per diluted share is not based on GAAP net earnings per diluted share and are anticipated to be adjusted to exclude the effects of events or circumstances in 2015 that are not representative or indicative of the Company’s results of operations including the items excluded from our as-adjusted first and third quarter results.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or projected earnings growth to a GAAP earnings per diluted share projection.</w:t>
      </w:r>
    </w:p>
    <w:p>
      <w:pPr>
        <w:spacing w:after="0" w:line="83" w:lineRule="exact"/>
        <w:rPr>
          <w:sz w:val="20"/>
          <w:szCs w:val="20"/>
          <w:color w:val="auto"/>
        </w:rPr>
      </w:pPr>
    </w:p>
    <w:p>
      <w:pPr>
        <w:ind w:left="360" w:right="1799"/>
        <w:spacing w:after="0" w:line="289" w:lineRule="auto"/>
        <w:rPr>
          <w:sz w:val="20"/>
          <w:szCs w:val="20"/>
          <w:color w:val="auto"/>
        </w:rPr>
      </w:pPr>
      <w:r>
        <w:rPr>
          <w:rFonts w:ascii="Arial" w:cs="Arial" w:eastAsia="Arial" w:hAnsi="Arial"/>
          <w:sz w:val="16"/>
          <w:szCs w:val="16"/>
          <w:color w:val="auto"/>
        </w:rPr>
        <w:t>The Company also discusses free cash flow and provides projections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72" w:lineRule="exact"/>
        <w:rPr>
          <w:sz w:val="20"/>
          <w:szCs w:val="20"/>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131" w:lineRule="exact"/>
        <w:rPr>
          <w:sz w:val="20"/>
          <w:szCs w:val="20"/>
          <w:color w:val="auto"/>
        </w:rPr>
      </w:pPr>
    </w:p>
    <w:p>
      <w:pPr>
        <w:ind w:left="360" w:right="2019"/>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76" w:lineRule="exact"/>
        <w:rPr>
          <w:sz w:val="20"/>
          <w:szCs w:val="20"/>
          <w:color w:val="auto"/>
        </w:rPr>
      </w:pPr>
    </w:p>
    <w:p>
      <w:pPr>
        <w:ind w:left="360" w:right="1939"/>
        <w:spacing w:after="0" w:line="257" w:lineRule="auto"/>
        <w:rPr>
          <w:sz w:val="20"/>
          <w:szCs w:val="20"/>
          <w:color w:val="auto"/>
        </w:rPr>
      </w:pPr>
      <w:r>
        <w:rPr>
          <w:rFonts w:ascii="Arial" w:cs="Arial" w:eastAsia="Arial" w:hAnsi="Arial"/>
          <w:sz w:val="18"/>
          <w:szCs w:val="18"/>
          <w:color w:val="auto"/>
        </w:rPr>
        <w:t>The quantitative reconciliations of non-GAAP measures used herein to the most comparable GAAP measures are included in the accompanying schedules, with the exception of projected earnings per diluted share. Non-GAAP measures should not be considered a substitute for financial measures presented in accordance with GAAP, and investors are urged to take into account GAAP measures as well as non-GAAP measures in evaluating the Company.</w:t>
      </w:r>
    </w:p>
    <w:p>
      <w:pPr>
        <w:spacing w:after="0" w:line="94" w:lineRule="exact"/>
        <w:rPr>
          <w:sz w:val="20"/>
          <w:szCs w:val="20"/>
          <w:color w:val="auto"/>
        </w:rPr>
      </w:pPr>
    </w:p>
    <w:p>
      <w:pPr>
        <w:ind w:left="360" w:right="1799" w:hanging="352"/>
        <w:spacing w:after="0" w:line="308" w:lineRule="auto"/>
        <w:tabs>
          <w:tab w:leader="none" w:pos="37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defines operating EBITDA as income from operations before depreciation and amortization; this measure may not be comparable to similarly titled measures reported by other companies.</w:t>
      </w:r>
    </w:p>
    <w:p>
      <w:pPr>
        <w:spacing w:after="0" w:line="51" w:lineRule="exact"/>
        <w:rPr>
          <w:rFonts w:ascii="Arial" w:cs="Arial" w:eastAsia="Arial" w:hAnsi="Arial"/>
          <w:sz w:val="17"/>
          <w:szCs w:val="17"/>
          <w:color w:val="auto"/>
        </w:rPr>
      </w:pPr>
    </w:p>
    <w:p>
      <w:pPr>
        <w:ind w:left="360" w:right="1819" w:hanging="352"/>
        <w:spacing w:after="0" w:line="302" w:lineRule="auto"/>
        <w:tabs>
          <w:tab w:leader="none" w:pos="39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81" w:lineRule="exact"/>
        <w:rPr>
          <w:sz w:val="20"/>
          <w:szCs w:val="20"/>
          <w:color w:val="auto"/>
        </w:rPr>
      </w:pPr>
    </w:p>
    <w:p>
      <w:pPr>
        <w:ind w:right="1919"/>
        <w:spacing w:after="0" w:line="264" w:lineRule="auto"/>
        <w:rPr>
          <w:sz w:val="20"/>
          <w:szCs w:val="20"/>
          <w:color w:val="auto"/>
        </w:rPr>
      </w:pPr>
      <w:r>
        <w:rPr>
          <w:rFonts w:ascii="Arial" w:cs="Arial" w:eastAsia="Arial" w:hAnsi="Arial"/>
          <w:sz w:val="18"/>
          <w:szCs w:val="18"/>
          <w:color w:val="auto"/>
        </w:rPr>
        <w:t>The Company will host a conference call at 10:00 AM (Eastern) today to discuss the third quarter 2015 results. Information contained within this press release will be referenced and should be considered in conjunction with the call.</w:t>
      </w:r>
    </w:p>
    <w:p>
      <w:pPr>
        <w:spacing w:after="0" w:line="208" w:lineRule="exact"/>
        <w:rPr>
          <w:sz w:val="20"/>
          <w:szCs w:val="20"/>
          <w:color w:val="auto"/>
        </w:rPr>
      </w:pPr>
    </w:p>
    <w:p>
      <w:pPr>
        <w:ind w:right="2059"/>
        <w:spacing w:after="0" w:line="302" w:lineRule="auto"/>
        <w:rPr>
          <w:sz w:val="20"/>
          <w:szCs w:val="20"/>
          <w:color w:val="auto"/>
        </w:rPr>
      </w:pPr>
      <w:r>
        <w:rPr>
          <w:rFonts w:ascii="Arial" w:cs="Arial" w:eastAsia="Arial" w:hAnsi="Arial"/>
          <w:sz w:val="16"/>
          <w:szCs w:val="16"/>
          <w:color w:val="auto"/>
        </w:rPr>
        <w:t xml:space="preserve">The conference call will be webcast live from the Investor Relations section of Waste Management’s website </w:t>
      </w:r>
      <w:r>
        <w:rPr>
          <w:rFonts w:ascii="Arial" w:cs="Arial" w:eastAsia="Arial" w:hAnsi="Arial"/>
          <w:sz w:val="16"/>
          <w:szCs w:val="16"/>
          <w:u w:val="single" w:color="auto"/>
          <w:color w:val="auto"/>
        </w:rPr>
        <w:t>www.wm.com</w:t>
      </w:r>
      <w:r>
        <w:rPr>
          <w:rFonts w:ascii="Arial" w:cs="Arial" w:eastAsia="Arial" w:hAnsi="Arial"/>
          <w:sz w:val="16"/>
          <w:szCs w:val="16"/>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32546520 when prompted by the conference call operator.</w:t>
      </w:r>
    </w:p>
    <w:p>
      <w:pPr>
        <w:spacing w:after="0" w:line="181" w:lineRule="exact"/>
        <w:rPr>
          <w:sz w:val="20"/>
          <w:szCs w:val="20"/>
          <w:color w:val="auto"/>
        </w:rPr>
      </w:pPr>
    </w:p>
    <w:p>
      <w:pPr>
        <w:ind w:right="1779"/>
        <w:spacing w:after="0" w:line="279" w:lineRule="auto"/>
        <w:rPr>
          <w:sz w:val="20"/>
          <w:szCs w:val="20"/>
          <w:color w:val="auto"/>
        </w:rPr>
      </w:pPr>
      <w:r>
        <w:rPr>
          <w:rFonts w:ascii="Arial" w:cs="Arial" w:eastAsia="Arial" w:hAnsi="Arial"/>
          <w:sz w:val="17"/>
          <w:szCs w:val="17"/>
          <w:color w:val="auto"/>
        </w:rPr>
        <w:t xml:space="preserve">A replay of the conference call will be available on the Company’s website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and by telephone from approximately 1:00 PM (Eastern) Tuesday, October 27, 2015 through 5:00 PM (Eastern) on Tuesday, November 10, 2015. To access the replay telephonically, please dial (855) 859-2056, or from outside of the United States or Canada dial (404) 537-3406, and use the replay conference ID number 32546520.</w:t>
      </w:r>
    </w:p>
    <w:p>
      <w:pPr>
        <w:sectPr>
          <w:pgSz w:w="11900" w:h="16838" w:orient="portrait"/>
          <w:cols w:equalWidth="0" w:num="1">
            <w:col w:w="10219"/>
          </w:cols>
          <w:pgMar w:left="240" w:top="395" w:right="1440" w:bottom="1440" w:gutter="0" w:footer="0" w:header="0"/>
        </w:sectPr>
      </w:pPr>
    </w:p>
    <w:bookmarkStart w:id="7" w:name="page8"/>
    <w:bookmarkEnd w:id="7"/>
    <w:p>
      <w:pPr>
        <w:ind w:right="1779"/>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2015 fourth quarter and full year earnings per diluted share; 2015 free cash flow; future results from pricing, growth, and cost control strategies; and volume trends, strategies, and improvement.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1859"/>
        <w:spacing w:after="0" w:line="253"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517"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335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1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right"/>
              <w:ind w:right="2090"/>
              <w:spacing w:after="0"/>
              <w:rPr>
                <w:sz w:val="20"/>
                <w:szCs w:val="20"/>
                <w:color w:val="auto"/>
              </w:rPr>
            </w:pPr>
            <w:r>
              <w:rPr>
                <w:rFonts w:ascii="Arial" w:cs="Arial" w:eastAsia="Arial" w:hAnsi="Arial"/>
                <w:sz w:val="18"/>
                <w:szCs w:val="18"/>
                <w:b w:val="1"/>
                <w:bCs w:val="1"/>
                <w:color w:val="auto"/>
              </w:rPr>
              <w:t>(2)</w:t>
            </w: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1.155</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480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446.5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454.5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457.5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jc w:val="right"/>
              <w:ind w:right="1930"/>
              <w:spacing w:after="0"/>
              <w:rPr>
                <w:sz w:val="20"/>
                <w:szCs w:val="20"/>
                <w:color w:val="auto"/>
              </w:rPr>
            </w:pPr>
            <w:r>
              <w:rPr>
                <w:rFonts w:ascii="Arial" w:cs="Arial" w:eastAsia="Arial" w:hAnsi="Arial"/>
                <w:sz w:val="18"/>
                <w:szCs w:val="18"/>
                <w:b w:val="1"/>
                <w:bCs w:val="1"/>
                <w:color w:val="auto"/>
              </w:rPr>
              <w:t>(4)</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10,659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5,886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assets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963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20,402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4020" w:type="dxa"/>
            <w:vAlign w:val="bottom"/>
            <w:gridSpan w:val="2"/>
          </w:tcPr>
          <w:p>
            <w:pPr>
              <w:ind w:left="38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2,227</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3,868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15,145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3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3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820" w:type="dxa"/>
            <w:vAlign w:val="bottom"/>
            <w:vMerge w:val="restart"/>
          </w:tcPr>
          <w:p>
            <w:pPr>
              <w:jc w:val="right"/>
              <w:ind w:right="3070"/>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479</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extinguishment of debt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borrowings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Debt repayments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(2,421)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Common stock repurchases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(6)</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Quarters Ended</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837</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tcPr>
          <w:p>
            <w:pPr>
              <w:ind w:left="36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2,141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Recycling</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0" w:type="dxa"/>
            <w:vAlign w:val="bottom"/>
            <w:gridSpan w:val="4"/>
          </w:tcPr>
          <w:p>
            <w:pPr>
              <w:ind w:left="360"/>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3,315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1"/>
          </w:tcPr>
          <w:p>
            <w:pPr>
              <w:ind w:left="340"/>
              <w:spacing w:after="0"/>
              <w:rPr>
                <w:sz w:val="20"/>
                <w:szCs w:val="20"/>
                <w:color w:val="auto"/>
              </w:rPr>
            </w:pPr>
            <w:r>
              <w:rPr>
                <w:rFonts w:ascii="Arial" w:cs="Arial" w:eastAsia="Arial" w:hAnsi="Arial"/>
                <w:sz w:val="14"/>
                <w:szCs w:val="14"/>
                <w:b w:val="1"/>
                <w:bCs w:val="1"/>
                <w:color w:val="auto"/>
              </w:rPr>
              <w:t>Quarters Ended</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9"/>
              </w:rPr>
              <w:t>September 30, 2015</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8"/>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September 30, 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8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Analysis of Change in Year Over Year Revenues</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420" w:type="dxa"/>
            <w:vAlign w:val="bottom"/>
            <w:gridSpan w:val="3"/>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3"/>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860" w:type="dxa"/>
            <w:vAlign w:val="bottom"/>
            <w:gridSpan w:val="6"/>
            <w:vMerge w:val="continue"/>
          </w:tcPr>
          <w:p>
            <w:pPr>
              <w:spacing w:after="0"/>
              <w:rPr>
                <w:sz w:val="13"/>
                <w:szCs w:val="13"/>
                <w:color w:val="auto"/>
              </w:rPr>
            </w:pPr>
          </w:p>
        </w:tc>
        <w:tc>
          <w:tcPr>
            <w:tcW w:w="860" w:type="dxa"/>
            <w:vAlign w:val="bottom"/>
            <w:gridSpan w:val="4"/>
          </w:tcPr>
          <w:p>
            <w:pPr>
              <w:jc w:val="center"/>
              <w:ind w:right="268"/>
              <w:spacing w:after="0" w:line="154" w:lineRule="exact"/>
              <w:rPr>
                <w:sz w:val="20"/>
                <w:szCs w:val="20"/>
                <w:color w:val="auto"/>
              </w:rPr>
            </w:pPr>
            <w:r>
              <w:rPr>
                <w:rFonts w:ascii="Arial" w:cs="Arial" w:eastAsia="Arial" w:hAnsi="Arial"/>
                <w:sz w:val="14"/>
                <w:szCs w:val="14"/>
                <w:color w:val="auto"/>
                <w:w w:val="99"/>
              </w:rPr>
              <w:t>Amount</w:t>
            </w:r>
          </w:p>
        </w:tc>
        <w:tc>
          <w:tcPr>
            <w:tcW w:w="280" w:type="dxa"/>
            <w:vAlign w:val="bottom"/>
          </w:tcPr>
          <w:p>
            <w:pPr>
              <w:spacing w:after="0"/>
              <w:rPr>
                <w:sz w:val="13"/>
                <w:szCs w:val="13"/>
                <w:color w:val="auto"/>
              </w:rPr>
            </w:pPr>
          </w:p>
        </w:tc>
        <w:tc>
          <w:tcPr>
            <w:tcW w:w="1560" w:type="dxa"/>
            <w:vAlign w:val="bottom"/>
            <w:gridSpan w:val="6"/>
          </w:tcPr>
          <w:p>
            <w:pPr>
              <w:jc w:val="center"/>
              <w:ind w:right="440"/>
              <w:spacing w:after="0" w:line="154" w:lineRule="exact"/>
              <w:rPr>
                <w:sz w:val="20"/>
                <w:szCs w:val="20"/>
                <w:color w:val="auto"/>
              </w:rPr>
            </w:pPr>
            <w:r>
              <w:rPr>
                <w:rFonts w:ascii="Arial" w:cs="Arial" w:eastAsia="Arial" w:hAnsi="Arial"/>
                <w:sz w:val="14"/>
                <w:szCs w:val="14"/>
                <w:color w:val="auto"/>
                <w:w w:val="92"/>
              </w:rPr>
              <w:t>Total Company</w:t>
            </w:r>
          </w:p>
        </w:tc>
        <w:tc>
          <w:tcPr>
            <w:tcW w:w="220" w:type="dxa"/>
            <w:vAlign w:val="bottom"/>
          </w:tcPr>
          <w:p>
            <w:pPr>
              <w:spacing w:after="0"/>
              <w:rPr>
                <w:sz w:val="13"/>
                <w:szCs w:val="13"/>
                <w:color w:val="auto"/>
              </w:rPr>
            </w:pPr>
          </w:p>
        </w:tc>
        <w:tc>
          <w:tcPr>
            <w:tcW w:w="1060" w:type="dxa"/>
            <w:vAlign w:val="bottom"/>
            <w:gridSpan w:val="6"/>
          </w:tcPr>
          <w:p>
            <w:pPr>
              <w:jc w:val="right"/>
              <w:ind w:right="520"/>
              <w:spacing w:after="0" w:line="154"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380"/>
              <w:spacing w:after="0" w:line="154" w:lineRule="exact"/>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auto"/>
            </w:tcBorders>
            <w:gridSpan w:val="3"/>
            <w:vMerge w:val="restart"/>
            <w:shd w:val="clear" w:color="auto" w:fill="CCEEFF"/>
          </w:tcPr>
          <w:p>
            <w:pPr>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86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3"/>
            <w:vMerge w:val="continue"/>
            <w:shd w:val="clear" w:color="auto" w:fill="CCEEFF"/>
          </w:tcPr>
          <w:p>
            <w:pPr>
              <w:spacing w:after="0"/>
              <w:rPr>
                <w:sz w:val="17"/>
                <w:szCs w:val="17"/>
                <w:color w:val="auto"/>
              </w:rPr>
            </w:pPr>
          </w:p>
        </w:tc>
        <w:tc>
          <w:tcPr>
            <w:tcW w:w="1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3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18"/>
                <w:szCs w:val="18"/>
                <w:color w:val="auto"/>
              </w:rPr>
            </w:pPr>
          </w:p>
        </w:tc>
        <w:tc>
          <w:tcPr>
            <w:tcW w:w="760" w:type="dxa"/>
            <w:vAlign w:val="bottom"/>
            <w:gridSpan w:val="3"/>
          </w:tcPr>
          <w:p>
            <w:pPr>
              <w:jc w:val="right"/>
              <w:ind w:right="188"/>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auto"/>
              </w:rPr>
              <w:t>Acquisition</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Divestitures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760" w:type="dxa"/>
            <w:vAlign w:val="bottom"/>
            <w:gridSpan w:val="3"/>
          </w:tcPr>
          <w:p>
            <w:pPr>
              <w:jc w:val="right"/>
              <w:ind w:right="188"/>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6"/>
          </w:tcPr>
          <w:p>
            <w:pPr>
              <w:jc w:val="center"/>
              <w:ind w:right="440"/>
              <w:spacing w:after="0"/>
              <w:rPr>
                <w:sz w:val="20"/>
                <w:szCs w:val="20"/>
                <w:color w:val="auto"/>
              </w:rPr>
            </w:pPr>
            <w:r>
              <w:rPr>
                <w:rFonts w:ascii="Arial" w:cs="Arial" w:eastAsia="Arial" w:hAnsi="Arial"/>
                <w:sz w:val="14"/>
                <w:szCs w:val="14"/>
                <w:color w:val="auto"/>
                <w:w w:val="93"/>
              </w:rPr>
              <w:t>As a % of</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color w:val="auto"/>
                <w:w w:val="92"/>
              </w:rPr>
              <w:t>As a % of 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gridSpan w:val="4"/>
          </w:tcPr>
          <w:p>
            <w:pPr>
              <w:jc w:val="center"/>
              <w:ind w:right="268"/>
              <w:spacing w:after="0"/>
              <w:rPr>
                <w:sz w:val="20"/>
                <w:szCs w:val="20"/>
                <w:color w:val="auto"/>
              </w:rPr>
            </w:pPr>
            <w:r>
              <w:rPr>
                <w:rFonts w:ascii="Arial" w:cs="Arial" w:eastAsia="Arial" w:hAnsi="Arial"/>
                <w:sz w:val="14"/>
                <w:szCs w:val="14"/>
                <w:color w:val="auto"/>
                <w:w w:val="99"/>
              </w:rPr>
              <w:t>Amount</w:t>
            </w:r>
          </w:p>
        </w:tc>
        <w:tc>
          <w:tcPr>
            <w:tcW w:w="280" w:type="dxa"/>
            <w:vAlign w:val="bottom"/>
          </w:tcPr>
          <w:p>
            <w:pPr>
              <w:spacing w:after="0"/>
              <w:rPr>
                <w:sz w:val="14"/>
                <w:szCs w:val="14"/>
                <w:color w:val="auto"/>
              </w:rPr>
            </w:pPr>
          </w:p>
        </w:tc>
        <w:tc>
          <w:tcPr>
            <w:tcW w:w="1560" w:type="dxa"/>
            <w:vAlign w:val="bottom"/>
            <w:gridSpan w:val="6"/>
          </w:tcPr>
          <w:p>
            <w:pPr>
              <w:jc w:val="center"/>
              <w:ind w:right="420"/>
              <w:spacing w:after="0"/>
              <w:rPr>
                <w:sz w:val="20"/>
                <w:szCs w:val="20"/>
                <w:color w:val="auto"/>
              </w:rPr>
            </w:pPr>
            <w:r>
              <w:rPr>
                <w:rFonts w:ascii="Arial" w:cs="Arial" w:eastAsia="Arial" w:hAnsi="Arial"/>
                <w:sz w:val="14"/>
                <w:szCs w:val="14"/>
                <w:color w:val="auto"/>
                <w:w w:val="89"/>
              </w:rPr>
              <w:t>Related Business</w:t>
            </w:r>
          </w:p>
        </w:tc>
        <w:tc>
          <w:tcPr>
            <w:tcW w:w="220" w:type="dxa"/>
            <w:vAlign w:val="bottom"/>
          </w:tcPr>
          <w:p>
            <w:pPr>
              <w:spacing w:after="0"/>
              <w:rPr>
                <w:sz w:val="14"/>
                <w:szCs w:val="14"/>
                <w:color w:val="auto"/>
              </w:rPr>
            </w:pPr>
          </w:p>
        </w:tc>
        <w:tc>
          <w:tcPr>
            <w:tcW w:w="1060" w:type="dxa"/>
            <w:vAlign w:val="bottom"/>
            <w:gridSpan w:val="6"/>
          </w:tcPr>
          <w:p>
            <w:pPr>
              <w:jc w:val="right"/>
              <w:ind w:right="5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(i) Average yield</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tcPr>
          <w:p>
            <w:pPr>
              <w:ind w:left="340"/>
              <w:spacing w:after="0"/>
              <w:rPr>
                <w:sz w:val="20"/>
                <w:szCs w:val="20"/>
                <w:color w:val="auto"/>
              </w:rPr>
            </w:pPr>
            <w:r>
              <w:rPr>
                <w:rFonts w:ascii="Arial" w:cs="Arial" w:eastAsia="Arial" w:hAnsi="Arial"/>
                <w:sz w:val="18"/>
                <w:szCs w:val="18"/>
                <w:color w:val="auto"/>
              </w:rPr>
              <w:t>Collection and disposal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tcPr>
          <w:p>
            <w:pPr>
              <w:ind w:left="340"/>
              <w:spacing w:after="0"/>
              <w:rPr>
                <w:sz w:val="20"/>
                <w:szCs w:val="20"/>
                <w:color w:val="auto"/>
              </w:rPr>
            </w:pPr>
            <w:r>
              <w:rPr>
                <w:rFonts w:ascii="Arial" w:cs="Arial" w:eastAsia="Arial" w:hAnsi="Arial"/>
                <w:sz w:val="18"/>
                <w:szCs w:val="18"/>
                <w:color w:val="auto"/>
              </w:rPr>
              <w:t>Electricity</w:t>
            </w:r>
          </w:p>
        </w:tc>
        <w:tc>
          <w:tcPr>
            <w:tcW w:w="100" w:type="dxa"/>
            <w:vAlign w:val="bottom"/>
          </w:tcPr>
          <w:p>
            <w:pPr>
              <w:spacing w:after="0"/>
              <w:rPr>
                <w:sz w:val="18"/>
                <w:szCs w:val="18"/>
                <w:color w:val="auto"/>
              </w:rPr>
            </w:pPr>
          </w:p>
        </w:tc>
        <w:tc>
          <w:tcPr>
            <w:tcW w:w="76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5"/>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96"/>
              </w:rPr>
              <w:t>Quarters Ended September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11"/>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ind w:left="574"/>
              <w:spacing w:after="0" w:line="142"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left="93"/>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26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248"/>
              <w:spacing w:after="0"/>
              <w:rPr>
                <w:sz w:val="20"/>
                <w:szCs w:val="20"/>
                <w:color w:val="auto"/>
              </w:rPr>
            </w:pPr>
            <w:r>
              <w:rPr>
                <w:rFonts w:ascii="Arial" w:cs="Arial" w:eastAsia="Arial" w:hAnsi="Arial"/>
                <w:sz w:val="18"/>
                <w:szCs w:val="18"/>
                <w:color w:val="auto"/>
              </w:rPr>
              <w:t>657</w:t>
            </w:r>
          </w:p>
        </w:tc>
        <w:tc>
          <w:tcPr>
            <w:tcW w:w="7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8"/>
              <w:spacing w:after="0"/>
              <w:rPr>
                <w:sz w:val="20"/>
                <w:szCs w:val="20"/>
                <w:color w:val="auto"/>
              </w:rPr>
            </w:pPr>
            <w:r>
              <w:rPr>
                <w:rFonts w:ascii="Arial" w:cs="Arial" w:eastAsia="Arial" w:hAnsi="Arial"/>
                <w:sz w:val="18"/>
                <w:szCs w:val="18"/>
                <w:color w:val="auto"/>
              </w:rPr>
              <w:t>1,972</w:t>
            </w:r>
          </w:p>
        </w:tc>
        <w:tc>
          <w:tcPr>
            <w:tcW w:w="380" w:type="dxa"/>
            <w:vAlign w:val="bottom"/>
          </w:tcPr>
          <w:p>
            <w:pPr>
              <w:spacing w:after="0"/>
              <w:rPr>
                <w:sz w:val="18"/>
                <w:szCs w:val="18"/>
                <w:color w:val="auto"/>
              </w:rPr>
            </w:pPr>
          </w:p>
        </w:tc>
        <w:tc>
          <w:tcPr>
            <w:tcW w:w="32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gridSpan w:val="4"/>
          </w:tcPr>
          <w:p>
            <w:pPr>
              <w:jc w:val="right"/>
              <w:ind w:right="2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(864)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5"/>
          </w:tcPr>
          <w:p>
            <w:pPr>
              <w:spacing w:after="0" w:line="201" w:lineRule="exact"/>
              <w:rPr>
                <w:sz w:val="20"/>
                <w:szCs w:val="20"/>
                <w:color w:val="auto"/>
              </w:rPr>
            </w:pPr>
            <w:r>
              <w:rPr>
                <w:rFonts w:ascii="Arial" w:cs="Arial" w:eastAsia="Arial" w:hAnsi="Arial"/>
                <w:sz w:val="18"/>
                <w:szCs w:val="18"/>
                <w:color w:val="auto"/>
              </w:rPr>
              <w:t>Proceeds from divestitures of businesses and other assets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5"/>
          </w:tcPr>
          <w:p>
            <w:pPr>
              <w:ind w:left="160"/>
              <w:spacing w:after="0"/>
              <w:rPr>
                <w:sz w:val="20"/>
                <w:szCs w:val="20"/>
                <w:color w:val="auto"/>
              </w:rPr>
            </w:pPr>
            <w:r>
              <w:rPr>
                <w:rFonts w:ascii="Arial" w:cs="Arial" w:eastAsia="Arial" w:hAnsi="Arial"/>
                <w:sz w:val="18"/>
                <w:szCs w:val="18"/>
                <w:color w:val="auto"/>
              </w:rPr>
              <w:t>(net of cash divested)</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2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1,222</w:t>
            </w:r>
          </w:p>
        </w:tc>
        <w:tc>
          <w:tcPr>
            <w:tcW w:w="3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23"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20" w:lineRule="exact"/>
        <w:rPr>
          <w:rFonts w:ascii="Arial" w:cs="Arial" w:eastAsia="Arial" w:hAnsi="Arial"/>
          <w:sz w:val="17"/>
          <w:szCs w:val="17"/>
          <w:color w:val="auto"/>
        </w:rPr>
      </w:pPr>
    </w:p>
    <w:p>
      <w:pPr>
        <w:ind w:left="452" w:hanging="452"/>
        <w:spacing w:after="0" w:line="255"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332"/>
          </w:cols>
          <w:pgMar w:left="248" w:top="270"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80" w:type="dxa"/>
            <w:vAlign w:val="bottom"/>
          </w:tcPr>
          <w:p>
            <w:pPr>
              <w:spacing w:after="0"/>
              <w:rPr>
                <w:sz w:val="10"/>
                <w:szCs w:val="10"/>
                <w:color w:val="auto"/>
              </w:rPr>
            </w:pPr>
          </w:p>
        </w:tc>
        <w:tc>
          <w:tcPr>
            <w:tcW w:w="126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6020" w:type="dxa"/>
            <w:vAlign w:val="bottom"/>
            <w:tcBorders>
              <w:bottom w:val="single" w:sz="8" w:color="CCEEFF"/>
            </w:tcBorders>
            <w:gridSpan w:val="4"/>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9,050</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9,106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7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14,513</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6"/>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50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gridSpan w:val="5"/>
            <w:vMerge w:val="restart"/>
          </w:tcPr>
          <w:p>
            <w:pPr>
              <w:ind w:left="340"/>
              <w:spacing w:after="0"/>
              <w:rPr>
                <w:sz w:val="20"/>
                <w:szCs w:val="20"/>
                <w:color w:val="auto"/>
              </w:rPr>
            </w:pPr>
            <w:r>
              <w:rPr>
                <w:rFonts w:ascii="Arial" w:cs="Arial" w:eastAsia="Arial" w:hAnsi="Arial"/>
                <w:sz w:val="18"/>
                <w:szCs w:val="18"/>
                <w:color w:val="auto"/>
              </w:rPr>
              <w:t>Cash paid for acquisitions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566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65.7%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 (b)</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6"/>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9"/>
              </w:rPr>
              <w:t>Amortization, Accretion and Other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2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94.0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700"/>
              <w:spacing w:after="0"/>
              <w:rPr>
                <w:sz w:val="20"/>
                <w:szCs w:val="20"/>
                <w:color w:val="auto"/>
              </w:rPr>
            </w:pPr>
            <w:r>
              <w:rPr>
                <w:rFonts w:ascii="Arial" w:cs="Arial" w:eastAsia="Arial" w:hAnsi="Arial"/>
                <w:sz w:val="18"/>
                <w:szCs w:val="18"/>
                <w:color w:val="auto"/>
              </w:rPr>
              <w:t>Total landfill amortization expense (c) (d)</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WTI included for comparison purposes only, WTI was divested in Q4 2014.</w:t>
      </w:r>
    </w:p>
    <w:p>
      <w:pPr>
        <w:spacing w:after="0" w:line="9"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quarter ended September 30, 2015 as compared to the quarter ended June 30, 2015 reflects an increase in amortization expense of approximately $7.8 million, primarily due to changes in landfill estimates identified in both quarters and by an increase in volumes primarily due to seasonality.</w:t>
      </w:r>
    </w:p>
    <w:p>
      <w:pPr>
        <w:spacing w:after="0" w:line="1" w:lineRule="exact"/>
        <w:rPr>
          <w:rFonts w:ascii="Arial" w:cs="Arial" w:eastAsia="Arial" w:hAnsi="Arial"/>
          <w:sz w:val="16"/>
          <w:szCs w:val="16"/>
          <w:color w:val="auto"/>
        </w:rPr>
      </w:pPr>
    </w:p>
    <w:p>
      <w:pPr>
        <w:ind w:left="460" w:right="8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 ended September 30, 2015 as compared to the quarter ended September 30, 2014 reflects an increase in amortization expense of approximately $15.6 million primarily due to changes in landfill estimates identified in both quarters.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0" w:right="239" w:bottom="1440" w:gutter="0" w:footer="0" w:header="0"/>
        </w:sectPr>
      </w:pPr>
    </w:p>
    <w:bookmarkStart w:id="16" w:name="page17"/>
    <w:bookmarkEnd w:id="16"/>
    <w:p>
      <w:pPr>
        <w:jc w:val="center"/>
        <w:ind w:right="-1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3"/>
              </w:rPr>
              <w:t>September 30, 2014</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After-tax</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Tax</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Per</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center"/>
              <w:ind w:left="115"/>
              <w:spacing w:after="0" w:line="149" w:lineRule="exact"/>
              <w:rPr>
                <w:sz w:val="20"/>
                <w:szCs w:val="20"/>
                <w:color w:val="auto"/>
              </w:rPr>
            </w:pPr>
            <w:r>
              <w:rPr>
                <w:rFonts w:ascii="Arial" w:cs="Arial" w:eastAsia="Arial" w:hAnsi="Arial"/>
                <w:sz w:val="14"/>
                <w:szCs w:val="14"/>
                <w:b w:val="1"/>
                <w:bCs w:val="1"/>
                <w:color w:val="auto"/>
                <w:w w:val="89"/>
              </w:rPr>
              <w:t>(Expense)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 Benefit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and Diluted EPS, as reported</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0.58</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b w:val="1"/>
                <w:bCs w:val="1"/>
                <w:color w:val="auto"/>
              </w:rPr>
              <w:t>Adjustments to Net Income and Diluted EPS: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260"/>
              <w:spacing w:after="0"/>
              <w:rPr>
                <w:sz w:val="20"/>
                <w:szCs w:val="20"/>
                <w:color w:val="auto"/>
              </w:rPr>
            </w:pPr>
            <w:r>
              <w:rPr>
                <w:rFonts w:ascii="Arial" w:cs="Arial" w:eastAsia="Arial" w:hAnsi="Arial"/>
                <w:sz w:val="18"/>
                <w:szCs w:val="18"/>
                <w:color w:val="auto"/>
              </w:rPr>
              <w:t>Legal reserves</w:t>
            </w:r>
          </w:p>
        </w:tc>
        <w:tc>
          <w:tcPr>
            <w:tcW w:w="2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from divestitures, asset impairments and unusual items</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0.14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and Diluted EPS, as adjusted</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0.72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260"/>
              <w:spacing w:after="0"/>
              <w:rPr>
                <w:sz w:val="20"/>
                <w:szCs w:val="20"/>
                <w:color w:val="auto"/>
              </w:rPr>
            </w:pPr>
            <w:r>
              <w:rPr>
                <w:rFonts w:ascii="Arial" w:cs="Arial" w:eastAsia="Arial" w:hAnsi="Arial"/>
                <w:sz w:val="18"/>
                <w:szCs w:val="18"/>
                <w:color w:val="auto"/>
              </w:rPr>
              <w:t xml:space="preserve">Earnings from businesses and assets divested in 2014 </w:t>
            </w:r>
            <w:r>
              <w:rPr>
                <w:rFonts w:ascii="Arial" w:cs="Arial" w:eastAsia="Arial" w:hAnsi="Arial"/>
                <w:sz w:val="18"/>
                <w:szCs w:val="18"/>
                <w:b w:val="1"/>
                <w:bCs w:val="1"/>
                <w:color w:val="auto"/>
              </w:rPr>
              <w:t>(a)</w:t>
            </w:r>
          </w:p>
        </w:tc>
        <w:tc>
          <w:tcPr>
            <w:tcW w:w="2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6"/>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Further Adjusted Net Income and Diluted EPS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0.67(b)</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rPr>
              <w:t>Quarters Ended</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ind w:left="460"/>
              <w:spacing w:after="0"/>
              <w:rPr>
                <w:sz w:val="20"/>
                <w:szCs w:val="20"/>
                <w:color w:val="auto"/>
              </w:rPr>
            </w:pPr>
            <w:r>
              <w:rPr>
                <w:rFonts w:ascii="Arial" w:cs="Arial" w:eastAsia="Arial" w:hAnsi="Arial"/>
                <w:sz w:val="18"/>
                <w:szCs w:val="18"/>
                <w:b w:val="1"/>
                <w:bCs w:val="1"/>
                <w:i w:val="1"/>
                <w:iCs w:val="1"/>
                <w:color w:val="auto"/>
                <w:w w:val="98"/>
              </w:rPr>
              <w:t>Adjusted SG&amp;A Expenses and Adjusted SG&amp;A as a Percent of Revenues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89"/>
              </w:rPr>
              <w:t>2015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As reported:</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Operating revenues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3,360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$3,602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SG&amp;A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revenues—Businesses and assets divested in 2014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 (176)</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SG&amp;A expenses—Legal reserves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SG&amp;A expenses—Businesses and assets divested in 2014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As adjusted:</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3,360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$3,426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 xml:space="preserve">SG&amp;A expenses </w:t>
            </w:r>
            <w:r>
              <w:rPr>
                <w:rFonts w:ascii="Arial" w:cs="Arial" w:eastAsia="Arial" w:hAnsi="Arial"/>
                <w:sz w:val="18"/>
                <w:szCs w:val="18"/>
                <w:b w:val="1"/>
                <w:bCs w:val="1"/>
                <w:color w:val="auto"/>
              </w:rPr>
              <w:t>(c)</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338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SG&amp;A Expenses as a Percent of Revenues (c)</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Primarily includes the divestiture of our waste-to-energy business and other solid waste assets.</w:t>
      </w:r>
    </w:p>
    <w:p>
      <w:pPr>
        <w:spacing w:after="0" w:line="23" w:lineRule="exact"/>
        <w:rPr>
          <w:rFonts w:ascii="Arial" w:cs="Arial" w:eastAsia="Arial" w:hAnsi="Arial"/>
          <w:sz w:val="18"/>
          <w:szCs w:val="18"/>
          <w:b w:val="1"/>
          <w:bCs w:val="1"/>
          <w:color w:val="auto"/>
        </w:rPr>
      </w:pPr>
    </w:p>
    <w:p>
      <w:pPr>
        <w:ind w:left="452" w:right="240" w:hanging="452"/>
        <w:spacing w:after="0" w:line="250"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Earnings per diluted share for the third quarter of 2015 were $0.74, an improvement of $0.07, or over 10%, as compared with the prior year period adjusted results, as further adjusted to exclude amounts attributed to businesses and assets divested in 2014.</w:t>
      </w:r>
    </w:p>
    <w:p>
      <w:pPr>
        <w:ind w:left="452" w:hanging="452"/>
        <w:spacing w:after="0" w:line="261"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After excluding divestitures and legal reserve adjustments from the third quarter of 2014, SG&amp;A expenses improved by $8 million, or 10 basis points, to 9.8% of revenues, as compared with the prior year period.</w:t>
      </w:r>
    </w:p>
    <w:p>
      <w:pPr>
        <w:spacing w:after="0" w:line="112"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252"/>
          </w:cols>
          <w:pgMar w:left="248" w:top="270" w:right="399" w:bottom="1440" w:gutter="0" w:footer="0" w:header="0"/>
        </w:sectPr>
      </w:pPr>
    </w:p>
    <w:bookmarkStart w:id="17" w:name="page18"/>
    <w:bookmarkEnd w:id="17"/>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Quarter Ended September, 2014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Pre-</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Expense /</w:t>
            </w: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Effective Tax</w:t>
            </w:r>
          </w:p>
        </w:tc>
        <w:tc>
          <w:tcPr>
            <w:tcW w:w="0" w:type="dxa"/>
            <w:vAlign w:val="bottom"/>
          </w:tcPr>
          <w:p>
            <w:pPr>
              <w:spacing w:after="0"/>
              <w:rPr>
                <w:sz w:val="1"/>
                <w:szCs w:val="1"/>
                <w:color w:val="auto"/>
              </w:rPr>
            </w:pPr>
          </w:p>
        </w:tc>
      </w:tr>
      <w:tr>
        <w:trPr>
          <w:trHeight w:val="149"/>
        </w:trPr>
        <w:tc>
          <w:tcPr>
            <w:tcW w:w="5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Tax Expense Reconciliation and Effective Tax Rate</w:t>
            </w:r>
          </w:p>
        </w:tc>
        <w:tc>
          <w:tcPr>
            <w:tcW w:w="2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tax Income</w:t>
            </w:r>
          </w:p>
        </w:tc>
        <w:tc>
          <w:tcPr>
            <w:tcW w:w="1320" w:type="dxa"/>
            <w:vAlign w:val="bottom"/>
            <w:gridSpan w:val="3"/>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(Loss)</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(Benefits)</w:t>
            </w:r>
          </w:p>
        </w:tc>
        <w:tc>
          <w:tcPr>
            <w:tcW w:w="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Rate (a)</w:t>
            </w:r>
          </w:p>
        </w:tc>
        <w:tc>
          <w:tcPr>
            <w:tcW w:w="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Adjustments to Tax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Legal reserves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divestitures, asset impairments and unusual items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460" w:type="dxa"/>
            <w:vAlign w:val="bottom"/>
          </w:tcPr>
          <w:p>
            <w:pPr>
              <w:spacing w:after="0"/>
              <w:rPr>
                <w:sz w:val="19"/>
                <w:szCs w:val="19"/>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Net Cash Provided by Operating Activities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2015</w:t>
            </w:r>
          </w:p>
        </w:tc>
        <w:tc>
          <w:tcPr>
            <w:tcW w:w="4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 as reported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Adjustment: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Businesses and assets divested in 2014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 as adjusted</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1,972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1,693</w:t>
            </w:r>
          </w:p>
        </w:tc>
        <w:tc>
          <w:tcPr>
            <w:tcW w:w="1260" w:type="dxa"/>
            <w:vAlign w:val="bottom"/>
            <w:gridSpan w:val="2"/>
          </w:tcPr>
          <w:p>
            <w:pPr>
              <w:ind w:left="500"/>
              <w:spacing w:after="0"/>
              <w:rPr>
                <w:sz w:val="20"/>
                <w:szCs w:val="20"/>
                <w:color w:val="auto"/>
              </w:rPr>
            </w:pPr>
            <w:r>
              <w:rPr>
                <w:rFonts w:ascii="Arial" w:cs="Arial" w:eastAsia="Arial" w:hAnsi="Arial"/>
                <w:sz w:val="18"/>
                <w:szCs w:val="18"/>
                <w:b w:val="1"/>
                <w:bCs w:val="1"/>
                <w:color w:val="auto"/>
                <w:w w:val="99"/>
              </w:rPr>
              <w:t>16.5%(b)</w:t>
            </w:r>
          </w:p>
        </w:tc>
        <w:tc>
          <w:tcPr>
            <w:tcW w:w="0" w:type="dxa"/>
            <w:vAlign w:val="bottom"/>
          </w:tcPr>
          <w:p>
            <w:pPr>
              <w:spacing w:after="0"/>
              <w:rPr>
                <w:sz w:val="1"/>
                <w:szCs w:val="1"/>
                <w:color w:val="auto"/>
              </w:rPr>
            </w:pPr>
          </w:p>
        </w:tc>
      </w:tr>
      <w:tr>
        <w:trPr>
          <w:trHeight w:val="346"/>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Scenario 1</w:t>
            </w:r>
          </w:p>
        </w:tc>
        <w:tc>
          <w:tcPr>
            <w:tcW w:w="100" w:type="dxa"/>
            <w:vAlign w:val="bottom"/>
          </w:tcPr>
          <w:p>
            <w:pPr>
              <w:spacing w:after="0"/>
              <w:rPr>
                <w:sz w:val="24"/>
                <w:szCs w:val="2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Scenario 2</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 xml:space="preserve">Full Year 2015 Free Cash Flow Reconciliation </w:t>
            </w:r>
            <w:r>
              <w:rPr>
                <w:rFonts w:ascii="Arial" w:cs="Arial" w:eastAsia="Arial" w:hAnsi="Arial"/>
                <w:sz w:val="18"/>
                <w:szCs w:val="18"/>
                <w:b w:val="1"/>
                <w:bCs w:val="1"/>
                <w:color w:val="auto"/>
              </w:rPr>
              <w:t>(c)</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2,600</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2,800</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(1,300)</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360"/>
              <w:spacing w:after="0" w:line="201" w:lineRule="exact"/>
              <w:rPr>
                <w:sz w:val="20"/>
                <w:szCs w:val="20"/>
                <w:color w:val="auto"/>
              </w:rPr>
            </w:pPr>
            <w:r>
              <w:rPr>
                <w:rFonts w:ascii="Arial" w:cs="Arial" w:eastAsia="Arial" w:hAnsi="Arial"/>
                <w:sz w:val="18"/>
                <w:szCs w:val="18"/>
                <w:color w:val="auto"/>
                <w:w w:val="92"/>
              </w:rPr>
              <w:t>Proceeds from divestitures of businesses and other assets (net of cash</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divested)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Free Cash Flow</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1,600</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52" w:right="200" w:hanging="452"/>
        <w:spacing w:after="0" w:line="258"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1" w:lineRule="exact"/>
        <w:rPr>
          <w:rFonts w:ascii="Arial" w:cs="Arial" w:eastAsia="Arial" w:hAnsi="Arial"/>
          <w:sz w:val="18"/>
          <w:szCs w:val="18"/>
          <w:b w:val="1"/>
          <w:bCs w:val="1"/>
          <w:color w:val="auto"/>
        </w:rPr>
      </w:pPr>
    </w:p>
    <w:p>
      <w:pPr>
        <w:ind w:left="452" w:hanging="452"/>
        <w:spacing w:after="0" w:line="250"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for the first nine months of 2015 was 1,972 million, an improvement of $279 million and a 16.5% increase, as compared with the prior year period, as adjusted to exclude amounts attributed to businesses and assets divested in 2014.</w:t>
      </w:r>
    </w:p>
    <w:p>
      <w:pPr>
        <w:ind w:left="452" w:right="80" w:hanging="452"/>
        <w:spacing w:after="0" w:line="290" w:lineRule="auto"/>
        <w:tabs>
          <w:tab w:leader="none" w:pos="452"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2015. The amounts used in the reconciliation are subject to many variables, some of which are not under our control and, therefore, are not necessarily indicative of actual results.</w:t>
      </w:r>
    </w:p>
    <w:p>
      <w:pPr>
        <w:spacing w:after="0" w:line="9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372"/>
          </w:cols>
          <w:pgMar w:left="248" w:top="270" w:right="279" w:bottom="1440" w:gutter="0" w:footer="0" w:header="0"/>
        </w:sectPr>
      </w:pPr>
    </w:p>
    <w:bookmarkStart w:id="18" w:name="page19"/>
    <w:bookmarkEnd w:id="18"/>
    <w:p>
      <w:pPr>
        <w:jc w:val="center"/>
        <w:ind w:right="-3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31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311"/>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311"/>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0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Income from Operations, Operating EBITDA and each as a percent of Revenues</w:t>
            </w:r>
          </w:p>
        </w:tc>
        <w:tc>
          <w:tcPr>
            <w:tcW w:w="20" w:type="dxa"/>
            <w:vAlign w:val="bottom"/>
          </w:tcPr>
          <w:p>
            <w:pPr>
              <w:spacing w:after="0"/>
              <w:rPr>
                <w:sz w:val="10"/>
                <w:szCs w:val="10"/>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line="119" w:lineRule="exact"/>
              <w:rPr>
                <w:sz w:val="20"/>
                <w:szCs w:val="20"/>
                <w:color w:val="auto"/>
              </w:rPr>
            </w:pPr>
            <w:r>
              <w:rPr>
                <w:rFonts w:ascii="Arial" w:cs="Arial" w:eastAsia="Arial" w:hAnsi="Arial"/>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Revenues, as reported</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$3,360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Income from Operations, as reported</w:t>
            </w:r>
          </w:p>
        </w:tc>
        <w:tc>
          <w:tcPr>
            <w:tcW w:w="1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601(a)</w:t>
            </w:r>
          </w:p>
        </w:tc>
        <w:tc>
          <w:tcPr>
            <w:tcW w:w="1060" w:type="dxa"/>
            <w:vAlign w:val="bottom"/>
            <w:gridSpan w:val="2"/>
          </w:tcPr>
          <w:p>
            <w:pPr>
              <w:ind w:left="300"/>
              <w:spacing w:after="0"/>
              <w:rPr>
                <w:sz w:val="20"/>
                <w:szCs w:val="20"/>
                <w:color w:val="auto"/>
              </w:rPr>
            </w:pPr>
            <w:r>
              <w:rPr>
                <w:rFonts w:ascii="Arial" w:cs="Arial" w:eastAsia="Arial" w:hAnsi="Arial"/>
                <w:sz w:val="18"/>
                <w:szCs w:val="18"/>
                <w:b w:val="1"/>
                <w:bCs w:val="1"/>
                <w:color w:val="auto"/>
              </w:rPr>
              <w:t>17.9%(a)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Operating EBITDA, as reported</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(b)</w:t>
            </w:r>
          </w:p>
        </w:tc>
        <w:tc>
          <w:tcPr>
            <w:tcW w:w="106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27.7%(b)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87"/>
              </w:rPr>
              <w:t>Adjusted Income from Operations, Adjusted Operating EBITDA and each as a percent of Adjusted</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6"/>
              </w:rPr>
              <w:t>2014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a % of</w:t>
            </w:r>
          </w:p>
        </w:tc>
        <w:tc>
          <w:tcPr>
            <w:tcW w:w="0" w:type="dxa"/>
            <w:vAlign w:val="bottom"/>
          </w:tcPr>
          <w:p>
            <w:pPr>
              <w:spacing w:after="0"/>
              <w:rPr>
                <w:sz w:val="1"/>
                <w:szCs w:val="1"/>
                <w:color w:val="auto"/>
              </w:rPr>
            </w:pPr>
          </w:p>
        </w:tc>
      </w:tr>
      <w:tr>
        <w:trPr>
          <w:trHeight w:val="59"/>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0" w:type="dxa"/>
            <w:vAlign w:val="bottom"/>
          </w:tcPr>
          <w:p>
            <w:pPr>
              <w:spacing w:after="0"/>
              <w:rPr>
                <w:sz w:val="5"/>
                <w:szCs w:val="5"/>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7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$3,602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Adjustments to Operating Revenues: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Businesses and assets divested in 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9"/>
              </w:rPr>
              <w:t>(176)</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Revenues</w:t>
            </w:r>
          </w:p>
        </w:tc>
        <w:tc>
          <w:tcPr>
            <w:tcW w:w="2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$3,426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546</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Legal reserves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divestitures, asset impairments and unusual items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Businesses and assets divested in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577(a)</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16.8%(a)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8"/>
                <w:szCs w:val="18"/>
                <w:b w:val="1"/>
                <w:bCs w:val="1"/>
                <w:color w:val="auto"/>
              </w:rPr>
              <w:t>(c)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8"/>
                <w:szCs w:val="18"/>
                <w:color w:val="auto"/>
              </w:rPr>
              <w:t>325</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902(b)</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26.3%(b)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line="258"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Income from operations improved by $24 million, or 110 basis points, as compared with the prior year period adjusted results, as further adjusted to exclude amounts attributed to businesses and assets divested in 2014.</w:t>
      </w:r>
    </w:p>
    <w:p>
      <w:pPr>
        <w:spacing w:after="0" w:line="1" w:lineRule="exact"/>
        <w:rPr>
          <w:rFonts w:ascii="Arial" w:cs="Arial" w:eastAsia="Arial" w:hAnsi="Arial"/>
          <w:sz w:val="18"/>
          <w:szCs w:val="18"/>
          <w:b w:val="1"/>
          <w:bCs w:val="1"/>
          <w:color w:val="auto"/>
        </w:rPr>
      </w:pPr>
    </w:p>
    <w:p>
      <w:pPr>
        <w:ind w:left="452" w:right="40" w:hanging="452"/>
        <w:spacing w:after="0" w:line="250"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Operating EBITDA improved by $29 million, or 140 basis points, to 27.7% of revenues, as compared with the prior year period adjusted results, as further adjusted to exclude amounts attributed to businesses and assets divested in 2014.</w:t>
      </w:r>
    </w:p>
    <w:p>
      <w:pPr>
        <w:ind w:left="452" w:right="620" w:hanging="452"/>
        <w:spacing w:after="0" w:line="261"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Depreciation and amortization has been adjusted to exclude amounts attributed to businesses and assets divested in 2014. See page 12 for a reconciliation.</w:t>
      </w:r>
    </w:p>
    <w:p>
      <w:pPr>
        <w:spacing w:after="0" w:line="200" w:lineRule="exact"/>
        <w:rPr>
          <w:sz w:val="20"/>
          <w:szCs w:val="20"/>
          <w:color w:val="auto"/>
        </w:rPr>
      </w:pPr>
    </w:p>
    <w:p>
      <w:pPr>
        <w:spacing w:after="0" w:line="277" w:lineRule="exact"/>
        <w:rPr>
          <w:sz w:val="20"/>
          <w:szCs w:val="20"/>
          <w:color w:val="auto"/>
        </w:rPr>
      </w:pPr>
    </w:p>
    <w:p>
      <w:pPr>
        <w:jc w:val="center"/>
        <w:ind w:right="-311"/>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092"/>
          </w:cols>
          <w:pgMar w:left="248" w:top="270" w:right="55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Supplemental Data - Q3 2014 Impact of Divestitures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following table presents certain financial measures that have been adjusted to exclude amounts attributed to divestitures during 2014, primarily our waste-to-energy business and other solid waste assets. These pro-forma 2014 financial measures are non-GAAP measures and should not be considered a substitute for the as-reported amounts. We have included this information because the Company had significant divestitures in 2014; accordingly, management believes that presenting certain financial measures as adjusted to exclude amounts attributed to divested operations and assets will provide investors with a more meaningful comparison to 2015 results.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Quarter ended September 30, 2014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LESS: Amounts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Pro-</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Selected Financial Information</w:t>
            </w:r>
          </w:p>
        </w:tc>
        <w:tc>
          <w:tcPr>
            <w:tcW w:w="92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Results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7"/>
              </w:rPr>
              <w:t>Attributed 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Divestitures</w:t>
            </w:r>
          </w:p>
        </w:tc>
        <w:tc>
          <w:tcPr>
            <w:tcW w:w="40" w:type="dxa"/>
            <w:vAlign w:val="bottom"/>
          </w:tcPr>
          <w:p>
            <w:pPr>
              <w:spacing w:after="0"/>
              <w:rPr>
                <w:sz w:val="14"/>
                <w:szCs w:val="1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3,602</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3,426</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2,299</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6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2,186(b)</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Operating EBITDA (a)</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957</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6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902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Earnings Per Diluted Share (a)</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0.72</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6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0.67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from Divestitures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6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338(c)</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line="256"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These amounts have been adjusted for items excluded from the Company’s as-adjusted results in the third quarter of 2014. For a reconciliation of these adjusted amounts to the most comparable GAAP measure, please see: SG&amp;A expenses on page 9; income from operations and operating EBITDA on page 11, and net income and earnings per diluted share on page 9.</w:t>
      </w:r>
    </w:p>
    <w:p>
      <w:pPr>
        <w:ind w:left="460" w:right="340" w:hanging="452"/>
        <w:spacing w:after="0" w:line="281" w:lineRule="auto"/>
        <w:tabs>
          <w:tab w:leader="none" w:pos="4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As-reported operating expenses for the third quarter of 2015 were $2,095 million. As a result, after excluding divestitures from the third quarter of 2014, operating expenses improved by $91 million, or 140 basis points, to 62.4% of revenues, as compared with the prior year period.</w:t>
      </w:r>
    </w:p>
    <w:p>
      <w:pPr>
        <w:spacing w:after="0" w:line="1" w:lineRule="exact"/>
        <w:rPr>
          <w:rFonts w:ascii="Arial" w:cs="Arial" w:eastAsia="Arial" w:hAnsi="Arial"/>
          <w:sz w:val="16"/>
          <w:szCs w:val="16"/>
          <w:b w:val="1"/>
          <w:bCs w:val="1"/>
          <w:color w:val="auto"/>
        </w:rPr>
      </w:pPr>
    </w:p>
    <w:p>
      <w:pPr>
        <w:ind w:left="460" w:right="340" w:hanging="452"/>
        <w:spacing w:after="0" w:line="255"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Free cash flow was $358 million in the third quarter of 2015. Excluding free cash flow from businesses and assets divested in 2014, free cash flow improved $20 million when compared with the prior year period. Please see note (b) to the earnings press release for a definition and additional information regarding our use of this non-GAAP measure.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(12)</w:t>
      </w:r>
    </w:p>
    <w:p>
      <w:pPr>
        <w:sectPr>
          <w:pgSz w:w="11900" w:h="16838" w:orient="portrait"/>
          <w:cols w:equalWidth="0" w:num="1">
            <w:col w:w="11340"/>
          </w:cols>
          <w:pgMar w:left="240" w:top="270"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- 2014 Impact of Divestitures by Quarter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table presents certain financial results attributed to divestitures during 2014, primarily our waste-to-energy business and other solid waste assets. We have included this information because the Company had significant divestitures in 2014; accordingly, management believes that providing this additional detail regarding prior financial results attributed to divested operations and assets will help investors understand the Company’s 2015 financial projections and provide investors with more meaningful comparisons to 2015 results.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Q1 2014</w:t>
            </w:r>
          </w:p>
        </w:tc>
        <w:tc>
          <w:tcPr>
            <w:tcW w:w="1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Q2 2014</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Q3 2014</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Q4 2014</w:t>
            </w:r>
          </w:p>
        </w:tc>
        <w:tc>
          <w:tcPr>
            <w:tcW w:w="1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Year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Operating Revenues</w:t>
            </w:r>
          </w:p>
        </w:tc>
        <w:tc>
          <w:tcPr>
            <w:tcW w:w="1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Intercompany Operating Revenues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Revenues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734</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8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Operating EBITDA (a)</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Earnings per Diluted Share</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0.04</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0.02</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0.05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0.07</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from Divestitures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1,921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Free Cash Flow (b)</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1,942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2,310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Management refers to GAAP income from operations, before depreciation and amortization, as operating EBITDA.</w:t>
      </w:r>
    </w:p>
    <w:p>
      <w:pPr>
        <w:spacing w:after="0" w:line="23"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Please see note (b) to the earnings press release for a definition and additional information regarding our use of this non-GAAP measure.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3"/>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2019-12-06T01:41:15Z</dcterms:created>
  <dcterms:modified xsi:type="dcterms:W3CDTF">2019-12-06T01:41:15Z</dcterms:modified>
</cp:coreProperties>
</file>