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201930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229870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July 13, 2007</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927"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27" w:right="359" w:bottom="1440" w:gutter="0" w:footer="0" w:header="0"/>
          <w:type w:val="continuous"/>
        </w:sect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-127635</wp:posOffset>
            </wp:positionV>
            <wp:extent cx="4347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ind w:left="840" w:right="420" w:hanging="836"/>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color w:val="auto"/>
        </w:rPr>
        <w:t>On July 13, 2007, Waste Management, Inc. (the “Company”) entered into an employment agreement with Brett W. Frazier, Senior Vice President — Eastern Group. The agreement is for a term of two years, and automatically renews for successive one-year periods thereafter. During the employment period, Mr. Frazier will be paid a minimum base salary of $425,000 per year and is entitled to a bonus in accordance with the Company’s incentive compensation plan. Mr. Frazier’s target annual bonus will be 85% of his base salary, although his actual bonus may range from 0 — 170% of his base salary, depending on the achievement of certain performance goals. Mr. Frazier is entitled to certain perquisites, including an annual automobile allowance, financial planning services, social organization initiation fees and dues and an annual physical examination, and is entitled to participate in or receive benefits under any and all plans and programs made available to executive employees of the Company generally. Mr. Frazier also will receive transitional living allowance, as described in the agreement, to compensate Mr. Frazier for his relocation to the Company’s Eastern Group location.</w:t>
      </w:r>
    </w:p>
    <w:p>
      <w:pPr>
        <w:spacing w:after="0" w:line="58"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In the event of the termination of Mr. Frazier’ employment by the Company, he will be entitled to certain severance payments. Specifically, if Mr. Frazier is terminated without cause, in addition to the benefits all employees receive, Mr. Frazier may receive cash payments equal to two times his base salary and target bonus; continuation of all health and welfare plan benefits for him and his family; and a pro-rated bonus payment for the year in which he is terminated. In the event Mr. Frazier is terminated without cause or leaves the Company for good reason in connection with a change in control, he generally is entitled to the same benefits that he would receive as described for a termination without cause, except that his cash payment will be three times his base salary and target bonus, benefits will continue for a period of three years and he will receive 100% of the maximum bonus available, pro rated to the date of termination. In accordance with the Company’s Executive Severance Policy, Mr. Frazier’ agreement provides that if the present value of severance benefits payable under his agreement would exceed 2.99 times the sum of his then current base salary and bonus (the “maximum severance amount”), the payments to Mr. Frazier will be reduced to an amount not to exceed the maximum severance amount. In the event Mr. Frazier’ employment is terminated by reason of death or total disability, he generally will receive all amounts accrued but unpaid at the date of termination, a pro rated bonus payment and any benefits to which he is entitled pursuant to the plans, policies and arrangements of the Company in accordance with their terms. Mr. Frazier’ agreement also states that if the Company, within one year of termination of Mr. Frazier’ employment for any reason other than cause, determines that he could have been terminated for cause, the Company shall have the right to stop any payments otherwise payable and Mr. Frazier shall be obligated to repay to the Company any of the severance benefits he received.</w:t>
      </w:r>
    </w:p>
    <w:p>
      <w:pPr>
        <w:spacing w:after="0" w:line="7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Mr. Frazier’ agreement also contains certain restrictive covenants, including covenants not to compete or solicit Company customers or employees for a period of two years after the termination of his employment, and a covenant not to disparage the Company.</w:t>
      </w:r>
    </w:p>
    <w:p>
      <w:pPr>
        <w:spacing w:after="0" w:line="62"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Certain terms in this description, which is qualified in its entirety by the terms of the employment agreement attached as an exhibit hereto, are defined in the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6"/>
          <w:szCs w:val="16"/>
          <w:color w:val="auto"/>
        </w:rPr>
        <w:t>Employment Agreement between Waste Management, Inc. and Brett Frazier dated July 13,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July 18, 2007</w:t>
            </w: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By: /s/ Don P. Carpenter</w:t>
            </w:r>
          </w:p>
        </w:tc>
        <w:tc>
          <w:tcPr>
            <w:tcW w:w="1680" w:type="dxa"/>
            <w:vAlign w:val="bottom"/>
          </w:tcPr>
          <w:p>
            <w:pPr>
              <w:spacing w:after="0"/>
              <w:rPr>
                <w:sz w:val="24"/>
                <w:szCs w:val="24"/>
                <w:color w:val="auto"/>
              </w:rPr>
            </w:pPr>
          </w:p>
        </w:tc>
      </w:tr>
      <w:tr>
        <w:trPr>
          <w:trHeight w:val="195"/>
        </w:trPr>
        <w:tc>
          <w:tcPr>
            <w:tcW w:w="3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Don P. Carpenter</w:t>
            </w:r>
          </w:p>
        </w:tc>
        <w:tc>
          <w:tcPr>
            <w:tcW w:w="1680" w:type="dxa"/>
            <w:vAlign w:val="bottom"/>
          </w:tcPr>
          <w:p>
            <w:pPr>
              <w:spacing w:after="0"/>
              <w:rPr>
                <w:sz w:val="16"/>
                <w:szCs w:val="16"/>
                <w:color w:val="auto"/>
              </w:rPr>
            </w:pPr>
          </w:p>
        </w:tc>
      </w:tr>
      <w:tr>
        <w:trPr>
          <w:trHeight w:val="230"/>
        </w:trPr>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w:t>
            </w:r>
          </w:p>
        </w:tc>
        <w:tc>
          <w:tcPr>
            <w:tcW w:w="1680" w:type="dxa"/>
            <w:vAlign w:val="bottom"/>
          </w:tcPr>
          <w:p>
            <w:pPr>
              <w:spacing w:after="0"/>
              <w:rPr>
                <w:sz w:val="20"/>
                <w:szCs w:val="20"/>
                <w:color w:val="auto"/>
              </w:rPr>
            </w:pPr>
          </w:p>
        </w:tc>
      </w:tr>
      <w:tr>
        <w:trPr>
          <w:trHeight w:val="632"/>
        </w:trPr>
        <w:tc>
          <w:tcPr>
            <w:tcW w:w="338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385"/>
        </w:trPr>
        <w:tc>
          <w:tcPr>
            <w:tcW w:w="11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96"/>
              </w:rPr>
              <w:t>Exhibit Number</w:t>
            </w:r>
          </w:p>
        </w:tc>
        <w:tc>
          <w:tcPr>
            <w:tcW w:w="4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240" w:type="dxa"/>
            <w:vAlign w:val="bottom"/>
            <w:gridSpan w:val="2"/>
          </w:tcPr>
          <w:p>
            <w:pPr>
              <w:ind w:left="98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19"/>
                <w:szCs w:val="19"/>
                <w:color w:val="auto"/>
              </w:rPr>
            </w:pPr>
          </w:p>
        </w:tc>
        <w:tc>
          <w:tcPr>
            <w:tcW w:w="98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Employment Agreement between Waste Management, Inc. and Brett Frazier dated July 13, 2007.</w:t>
            </w:r>
          </w:p>
        </w:tc>
      </w:tr>
    </w:tbl>
    <w:p>
      <w:pPr>
        <w:sectPr>
          <w:pgSz w:w="11900" w:h="16838" w:orient="portrait"/>
          <w:cols w:equalWidth="0" w:num="1">
            <w:col w:w="11420"/>
          </w:cols>
          <w:pgMar w:left="240" w:top="144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21"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This EMPLOYMENT AGREEMENT (the “Agreement”) is made and entered into on this 13th day of July 2007, but as effective as of the date set forth herein, by and between Waste Management, Inc. (the “Company”), and Brett Frazier (the “Executive”).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 Employment.</w:t>
      </w:r>
    </w:p>
    <w:p>
      <w:pPr>
        <w:spacing w:after="0" w:line="121"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Company shall employ Executive, and Executive shall be employed by the Company upon the terms and subject to the conditions set forth in this Agreement.</w:t>
      </w:r>
    </w:p>
    <w:p>
      <w:pPr>
        <w:spacing w:after="0" w:line="62"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Executive acknowledges and represents that any and all prior employment agreements are terminated, and that any and all obligations of the Company created thereunder, whether express or implied, are null and void and of no further force or effect, and that the only rights, obligations and duties between the Company and Executive are those expressly set forth in this Agreement.</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 Term of Employment.</w:t>
      </w:r>
    </w:p>
    <w:p>
      <w:pPr>
        <w:spacing w:after="0" w:line="121"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period of Executive’s employment under this Agreement shall commence on June 15, 2007 (“Employment Date”), and shall continue for a period of two (2) years, and shall automatically be renewed for successive one (1) year periods on each anniversary of the Employment Date thereafter, unless Executive’s employment is terminated in accordance with Section 5 below. The period during which Executive is employed hereunder shall be referred to as the “Employment Period.”</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 Duties and Responsibilities.</w:t>
      </w:r>
    </w:p>
    <w:p>
      <w:pPr>
        <w:spacing w:after="0" w:line="121" w:lineRule="exact"/>
        <w:rPr>
          <w:sz w:val="20"/>
          <w:szCs w:val="20"/>
          <w:color w:val="auto"/>
        </w:rPr>
      </w:pPr>
    </w:p>
    <w:p>
      <w:pPr>
        <w:ind w:right="320" w:firstLine="233"/>
        <w:spacing w:after="0" w:line="259" w:lineRule="auto"/>
        <w:tabs>
          <w:tab w:leader="none" w:pos="4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Executive shall serve as the Senior Vice President — Eastern Group. In such capacity, Executive shall perform such duties and have the power, authority, and functions commensurate with such position in similarly-sized public companies, and have and possess such other authority and functions consistent with such position as may be assigned to Executive from time to time by the Chief Executive Officer, President, Chief Operating Officer, or the Board of Directors (the “Board”) of the Company.</w:t>
      </w:r>
    </w:p>
    <w:p>
      <w:pPr>
        <w:spacing w:after="0" w:line="78" w:lineRule="exact"/>
        <w:rPr>
          <w:rFonts w:ascii="Arial" w:cs="Arial" w:eastAsia="Arial" w:hAnsi="Arial"/>
          <w:sz w:val="18"/>
          <w:szCs w:val="18"/>
          <w:b w:val="1"/>
          <w:bCs w:val="1"/>
          <w:color w:val="auto"/>
        </w:rPr>
      </w:pPr>
    </w:p>
    <w:p>
      <w:pPr>
        <w:ind w:right="60" w:firstLine="233"/>
        <w:spacing w:after="0" w:line="257" w:lineRule="auto"/>
        <w:tabs>
          <w:tab w:leader="none" w:pos="49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the provisions of Section 10 of this Agreement), be involved in charitable and professional activities, and, with the prior written consent of the Board, serve on boards of other for profit entities, provided such activities do not materially interfere with the performance of his duties hereunder (however, the Board does not typically allow officers to serve on more than one public company board at a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ind w:left="240"/>
        <w:spacing w:after="0"/>
        <w:rPr>
          <w:sz w:val="20"/>
          <w:szCs w:val="20"/>
          <w:color w:val="auto"/>
        </w:rPr>
      </w:pPr>
      <w:r>
        <w:rPr>
          <w:rFonts w:ascii="Arial" w:cs="Arial" w:eastAsia="Arial" w:hAnsi="Arial"/>
          <w:sz w:val="18"/>
          <w:szCs w:val="18"/>
          <w:b w:val="1"/>
          <w:bCs w:val="1"/>
          <w:color w:val="auto"/>
        </w:rPr>
        <w:t>4. Compensation and Benefits.</w:t>
      </w:r>
    </w:p>
    <w:p>
      <w:pPr>
        <w:spacing w:after="0" w:line="117" w:lineRule="exact"/>
        <w:rPr>
          <w:sz w:val="20"/>
          <w:szCs w:val="20"/>
          <w:color w:val="auto"/>
        </w:rPr>
      </w:pPr>
    </w:p>
    <w:p>
      <w:pPr>
        <w:ind w:right="340" w:firstLine="233"/>
        <w:spacing w:after="0" w:line="314" w:lineRule="auto"/>
        <w:tabs>
          <w:tab w:leader="none" w:pos="4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During the Employment Period, the Company shall pay Executive a base salary at the annual rate of Four Hundred Twenty Five</w:t>
      </w:r>
      <w:r>
        <w:rPr>
          <w:rFonts w:ascii="Arial" w:cs="Arial" w:eastAsia="Arial" w:hAnsi="Arial"/>
          <w:sz w:val="16"/>
          <w:szCs w:val="16"/>
          <w:b w:val="1"/>
          <w:bCs w:val="1"/>
          <w:color w:val="auto"/>
        </w:rPr>
        <w:t xml:space="preserve"> </w:t>
      </w:r>
      <w:r>
        <w:rPr>
          <w:rFonts w:ascii="Arial" w:cs="Arial" w:eastAsia="Arial" w:hAnsi="Arial"/>
          <w:sz w:val="16"/>
          <w:szCs w:val="16"/>
          <w:color w:val="auto"/>
        </w:rPr>
        <w:t>Thousand Dollars ($425,000.00), or such higher rate as may be determined from time to time by the Company (“Base Salary”). Such Base Salary shall be paid in accordance with the Company’s standard payroll practice for its executive officers. Once increased, Base Salary shall not be reduced.</w:t>
      </w:r>
    </w:p>
    <w:p>
      <w:pPr>
        <w:spacing w:after="0" w:line="34" w:lineRule="exact"/>
        <w:rPr>
          <w:rFonts w:ascii="Arial" w:cs="Arial" w:eastAsia="Arial" w:hAnsi="Arial"/>
          <w:sz w:val="16"/>
          <w:szCs w:val="16"/>
          <w:b w:val="1"/>
          <w:bCs w:val="1"/>
          <w:color w:val="auto"/>
        </w:rPr>
      </w:pPr>
    </w:p>
    <w:p>
      <w:pPr>
        <w:ind w:right="40" w:firstLine="233"/>
        <w:spacing w:after="0" w:line="295" w:lineRule="auto"/>
        <w:tabs>
          <w:tab w:leader="none" w:pos="4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Annual Bonus. </w:t>
      </w:r>
      <w:r>
        <w:rPr>
          <w:rFonts w:ascii="Arial" w:cs="Arial" w:eastAsia="Arial" w:hAnsi="Arial"/>
          <w:sz w:val="16"/>
          <w:szCs w:val="16"/>
          <w:color w:val="auto"/>
        </w:rPr>
        <w:t>Executive will continue to participate in the Company’s annual incentive compensation plan, as established by the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Compensation Committee of the Board (the “Compensation Committee”) from time to time. Beginning on July 1, 2007 and for the remainder of the Employment Period, Executive’s target annual bonus will be eighty-five percent (85%) of his Base Salary in effect for such year (the “Target Bonus”), and his actual annual bonus may range from 0% to 170% of Base Salary (</w:t>
      </w:r>
      <w:r>
        <w:rPr>
          <w:rFonts w:ascii="Arial" w:cs="Arial" w:eastAsia="Arial" w:hAnsi="Arial"/>
          <w:sz w:val="16"/>
          <w:szCs w:val="16"/>
          <w:i w:val="1"/>
          <w:iCs w:val="1"/>
          <w:color w:val="auto"/>
        </w:rPr>
        <w:t>i.e</w:t>
      </w:r>
      <w:r>
        <w:rPr>
          <w:rFonts w:ascii="Arial" w:cs="Arial" w:eastAsia="Arial" w:hAnsi="Arial"/>
          <w:sz w:val="16"/>
          <w:szCs w:val="16"/>
          <w:color w:val="auto"/>
        </w:rPr>
        <w:t>., a maximum possible bonus of two times the Target Bonus), and will be determined based upon (i) the achievement of certain financial performance goals, as may be established and approved by from time to time by the Compensation Committee, and (ii) the achievement of personal performance goals as may be established by Executive’s immediate supervisor.</w:t>
      </w:r>
    </w:p>
    <w:p>
      <w:pPr>
        <w:spacing w:after="0" w:line="47" w:lineRule="exact"/>
        <w:rPr>
          <w:rFonts w:ascii="Arial" w:cs="Arial" w:eastAsia="Arial" w:hAnsi="Arial"/>
          <w:sz w:val="16"/>
          <w:szCs w:val="16"/>
          <w:b w:val="1"/>
          <w:bCs w:val="1"/>
          <w:color w:val="auto"/>
        </w:rPr>
      </w:pPr>
    </w:p>
    <w:p>
      <w:pPr>
        <w:ind w:right="40" w:firstLine="233"/>
        <w:spacing w:after="0" w:line="258" w:lineRule="auto"/>
        <w:tabs>
          <w:tab w:leader="none" w:pos="47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Benefit Plans and Vacation. </w:t>
      </w:r>
      <w:r>
        <w:rPr>
          <w:rFonts w:ascii="Arial" w:cs="Arial" w:eastAsia="Arial" w:hAnsi="Arial"/>
          <w:sz w:val="18"/>
          <w:szCs w:val="18"/>
          <w:color w:val="auto"/>
        </w:rPr>
        <w:t>Subject to the terms of such plans, Executive shall be eligible to participate in or receive benefits under any pension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profit sharing plan, salary deferral plan, medical and dental benefits plan, life insurance plan, short-term and long-term disability plans, or any other health, welfare or fringe benefit plan, generally made available by the Company to similarly-situated executive employees. The Company shall not be obligated to institute, maintain, or refrain from changing, amending, or discontinuing any benefit plan, or perquisite, so long as such changes are generally applicable to similarly situated employees.</w:t>
      </w:r>
    </w:p>
    <w:p>
      <w:pPr>
        <w:spacing w:after="0" w:line="8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During the Employment Period, Executive shall be entitled to vacation each year in accordance with the Company’s policies in effect from time to time, but in no event less than four (4) weeks paid vacation per calendar year. Pursuant to Company policy, vacation days may not be carried over from year to year, and vacation not used by the end of each calendar year is forfeited.</w:t>
      </w:r>
    </w:p>
    <w:p>
      <w:pPr>
        <w:spacing w:after="0" w:line="69" w:lineRule="exact"/>
        <w:rPr>
          <w:sz w:val="20"/>
          <w:szCs w:val="20"/>
          <w:color w:val="auto"/>
        </w:rPr>
      </w:pPr>
    </w:p>
    <w:p>
      <w:pPr>
        <w:ind w:right="60" w:firstLine="233"/>
        <w:spacing w:after="0" w:line="313" w:lineRule="auto"/>
        <w:tabs>
          <w:tab w:leader="none" w:pos="49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Expense Reimbursement. </w:t>
      </w:r>
      <w:r>
        <w:rPr>
          <w:rFonts w:ascii="Arial" w:cs="Arial" w:eastAsia="Arial" w:hAnsi="Arial"/>
          <w:sz w:val="17"/>
          <w:szCs w:val="17"/>
          <w:color w:val="auto"/>
        </w:rPr>
        <w:t>The Company shall promptly reimburse Executive for the ordinary and necessary business expenses incurred by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performance of the duties hereunder in accordance with the Company’s customary practices applicable to its executive officers.</w:t>
      </w:r>
    </w:p>
    <w:p>
      <w:pPr>
        <w:spacing w:after="0" w:line="30" w:lineRule="exact"/>
        <w:rPr>
          <w:rFonts w:ascii="Arial" w:cs="Arial" w:eastAsia="Arial" w:hAnsi="Arial"/>
          <w:sz w:val="17"/>
          <w:szCs w:val="17"/>
          <w:b w:val="1"/>
          <w:bCs w:val="1"/>
          <w:color w:val="auto"/>
        </w:rPr>
      </w:pPr>
    </w:p>
    <w:p>
      <w:pPr>
        <w:ind w:right="120" w:firstLine="233"/>
        <w:spacing w:after="0" w:line="282" w:lineRule="auto"/>
        <w:tabs>
          <w:tab w:leader="none" w:pos="47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Perquisites. </w:t>
      </w:r>
      <w:r>
        <w:rPr>
          <w:rFonts w:ascii="Arial" w:cs="Arial" w:eastAsia="Arial" w:hAnsi="Arial"/>
          <w:sz w:val="18"/>
          <w:szCs w:val="18"/>
          <w:color w:val="auto"/>
        </w:rPr>
        <w:t>Executive shall be entitled to all perquisites provided to Senior Vice Presidents of the Company as approved by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and as they may exist from time to time, including the following:</w:t>
      </w:r>
    </w:p>
    <w:p>
      <w:pPr>
        <w:spacing w:after="0" w:line="57" w:lineRule="exact"/>
        <w:rPr>
          <w:rFonts w:ascii="Arial" w:cs="Arial" w:eastAsia="Arial" w:hAnsi="Arial"/>
          <w:sz w:val="18"/>
          <w:szCs w:val="18"/>
          <w:b w:val="1"/>
          <w:bCs w:val="1"/>
          <w:color w:val="auto"/>
        </w:rPr>
      </w:pPr>
    </w:p>
    <w:p>
      <w:pPr>
        <w:ind w:left="660" w:right="380" w:hanging="436"/>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Automobile allowance at the annual rate of Twelve Thousand Dollars ($12,000.00), payable in accordance with the Company’s standard payroll practice for its executive officers and prorated in any year that Executive does not work a full calendar year;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planning services at actual cost, and not to exceed Fifteen Thousand Dollars ($15,000.00) annually;</w:t>
      </w:r>
    </w:p>
    <w:p>
      <w:pPr>
        <w:spacing w:after="0" w:line="130" w:lineRule="exact"/>
        <w:rPr>
          <w:rFonts w:ascii="Arial" w:cs="Arial" w:eastAsia="Arial" w:hAnsi="Arial"/>
          <w:sz w:val="18"/>
          <w:szCs w:val="18"/>
          <w:color w:val="auto"/>
        </w:rPr>
      </w:pPr>
    </w:p>
    <w:p>
      <w:pPr>
        <w:ind w:left="660" w:right="60" w:hanging="436"/>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Social organization initiation fees and dues, with a benefit of a one-time initiation fee at actual cost (not to exceed ten percent (10%) of Executive’s Base Salary), and monthly dues at actual cost (not to exceed $500 per month); and</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annual physical examination on a program designated by the Company.</w:t>
      </w:r>
    </w:p>
    <w:p>
      <w:pPr>
        <w:spacing w:after="0" w:line="113" w:lineRule="exact"/>
        <w:rPr>
          <w:rFonts w:ascii="Arial" w:cs="Arial" w:eastAsia="Arial" w:hAnsi="Arial"/>
          <w:sz w:val="18"/>
          <w:szCs w:val="18"/>
          <w:color w:val="auto"/>
        </w:rPr>
      </w:pPr>
    </w:p>
    <w:p>
      <w:pPr>
        <w:ind w:right="20" w:firstLine="233"/>
        <w:spacing w:after="0" w:line="255" w:lineRule="auto"/>
        <w:tabs>
          <w:tab w:leader="none" w:pos="45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Office Location and Residence Relocation</w:t>
      </w:r>
      <w:r>
        <w:rPr>
          <w:rFonts w:ascii="Arial" w:cs="Arial" w:eastAsia="Arial" w:hAnsi="Arial"/>
          <w:sz w:val="18"/>
          <w:szCs w:val="18"/>
          <w:color w:val="auto"/>
        </w:rPr>
        <w:t>. Executive will maintain his business office at the Company’s Eastern Group offices, presently in Fairless</w:t>
      </w:r>
      <w:r>
        <w:rPr>
          <w:rFonts w:ascii="Arial" w:cs="Arial" w:eastAsia="Arial" w:hAnsi="Arial"/>
          <w:sz w:val="18"/>
          <w:szCs w:val="18"/>
          <w:b w:val="1"/>
          <w:bCs w:val="1"/>
          <w:color w:val="auto"/>
        </w:rPr>
        <w:t xml:space="preserve"> </w:t>
      </w:r>
      <w:r>
        <w:rPr>
          <w:rFonts w:ascii="Arial" w:cs="Arial" w:eastAsia="Arial" w:hAnsi="Arial"/>
          <w:sz w:val="18"/>
          <w:szCs w:val="18"/>
          <w:color w:val="auto"/>
        </w:rPr>
        <w:t>Hills, Pennsylvania. Executive will also relocate his residence to the greater Philadelphia, Pennsylvania area no later than September 30, 2008. Executive’s relocation of his residence from Houston, Texas to the greater Philadelphia, Pennsylvania area will be eligible for coverage under the Company’s relocation program. In connection with this relocation, the Company will provide Executive with a transitional living allowance, in the following annual amounts: (i) $50,000 during the twelve-month period immediately following the Employment Date; (ii) $35,000 during the twelve-month period immediately following the first anniversary of the Employment Date; and (iii) $15,000 during the twelve-month period immediately following second anniversary of the Employment Date. The proportionate amount of such transitional living allowance will be paid at the same time and in the same manner as Executive’s Base Salary.</w:t>
      </w:r>
    </w:p>
    <w:p>
      <w:pPr>
        <w:spacing w:after="0" w:line="81"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The parties agree that such transitional living allowance amounts shall be reduced by the actual cost of any temporary housing in the greater Philadelphia, Pennsylvania area provided to Executive by the Company during the corresponding twelve-month time period. The parties further agree that notwithstanding anything herein to the contrary, such transitional living allowance shall be deemed to be not due and no additional amounts payable to Executive upon his becoming a Named Executive Officer for purposes of any proxy materials of the Company.</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 Termination of Employment.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Executive’s employment hereunder may be terminated during the Employment Period under the following circumstances:</w:t>
      </w:r>
    </w:p>
    <w:p>
      <w:pPr>
        <w:spacing w:after="0" w:line="113" w:lineRule="exact"/>
        <w:rPr>
          <w:sz w:val="20"/>
          <w:szCs w:val="20"/>
          <w:color w:val="auto"/>
        </w:rPr>
      </w:pPr>
    </w:p>
    <w:p>
      <w:pPr>
        <w:ind w:left="480" w:hanging="247"/>
        <w:spacing w:after="0"/>
        <w:tabs>
          <w:tab w:leader="none" w:pos="4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Executive’s employment hereunder shall terminate upon Executive’s death.</w:t>
      </w:r>
    </w:p>
    <w:p>
      <w:pPr>
        <w:spacing w:after="0" w:line="117" w:lineRule="exact"/>
        <w:rPr>
          <w:rFonts w:ascii="Arial" w:cs="Arial" w:eastAsia="Arial" w:hAnsi="Arial"/>
          <w:sz w:val="18"/>
          <w:szCs w:val="18"/>
          <w:b w:val="1"/>
          <w:bCs w:val="1"/>
          <w:color w:val="auto"/>
        </w:rPr>
      </w:pPr>
    </w:p>
    <w:p>
      <w:pPr>
        <w:jc w:val="both"/>
        <w:ind w:right="40" w:firstLine="233"/>
        <w:spacing w:after="0" w:line="258" w:lineRule="auto"/>
        <w:tabs>
          <w:tab w:leader="none" w:pos="48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Total Disability. </w:t>
      </w:r>
      <w:r>
        <w:rPr>
          <w:rFonts w:ascii="Arial" w:cs="Arial" w:eastAsia="Arial" w:hAnsi="Arial"/>
          <w:sz w:val="18"/>
          <w:szCs w:val="18"/>
          <w:color w:val="auto"/>
        </w:rPr>
        <w:t>The Company may terminate Executive’s employment hereunder upon Executive becoming “Totally Disabled.” For purposes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Executive shall be considered “Totally Disabled” if Executive has been physically or mentally incapacitated so as to render Executive incapable of performing the essential functions of Executive’s position with or without reasonable accommodation. Executive’s receipt of disability benefits under the Company’s long-term disability plan or receipt of Social Security disability benefits shall be deemed conclusive evidence of Total Disability for purpose of this Agreement.</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044" w:right="319" w:bottom="1440" w:gutter="0" w:footer="0" w:header="0"/>
        </w:sectPr>
      </w:pPr>
    </w:p>
    <w:bookmarkStart w:id="9" w:name="page10"/>
    <w:bookmarkEnd w:id="9"/>
    <w:p>
      <w:pPr>
        <w:ind w:left="-40" w:right="80" w:firstLine="233"/>
        <w:spacing w:after="0" w:line="282" w:lineRule="auto"/>
        <w:tabs>
          <w:tab w:leader="none" w:pos="427"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for Cause. </w:t>
      </w:r>
      <w:r>
        <w:rPr>
          <w:rFonts w:ascii="Arial" w:cs="Arial" w:eastAsia="Arial" w:hAnsi="Arial"/>
          <w:sz w:val="18"/>
          <w:szCs w:val="18"/>
          <w:color w:val="auto"/>
        </w:rPr>
        <w:t>The Company may terminate Executive’s employment hereunder for “Cause” at any time after providing a</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Termination for Cause to Executive.</w:t>
      </w:r>
    </w:p>
    <w:p>
      <w:pPr>
        <w:spacing w:after="0" w:line="57" w:lineRule="exact"/>
        <w:rPr>
          <w:rFonts w:ascii="Arial" w:cs="Arial" w:eastAsia="Arial" w:hAnsi="Arial"/>
          <w:sz w:val="18"/>
          <w:szCs w:val="18"/>
          <w:b w:val="1"/>
          <w:bCs w:val="1"/>
          <w:color w:val="auto"/>
        </w:rPr>
      </w:pPr>
    </w:p>
    <w:p>
      <w:pPr>
        <w:ind w:left="620" w:hanging="436"/>
        <w:spacing w:after="0" w:line="271" w:lineRule="auto"/>
        <w:tabs>
          <w:tab w:leader="none" w:pos="620" w:val="left"/>
        </w:tabs>
        <w:numPr>
          <w:ilvl w:val="1"/>
          <w:numId w:val="9"/>
        </w:numPr>
        <w:rPr>
          <w:rFonts w:ascii="Arial" w:cs="Arial" w:eastAsia="Arial" w:hAnsi="Arial"/>
          <w:sz w:val="17"/>
          <w:szCs w:val="17"/>
          <w:color w:val="auto"/>
        </w:rPr>
      </w:pPr>
      <w:r>
        <w:rPr>
          <w:rFonts w:ascii="Arial" w:cs="Arial" w:eastAsia="Arial" w:hAnsi="Arial"/>
          <w:sz w:val="17"/>
          <w:szCs w:val="17"/>
          <w:color w:val="auto"/>
        </w:rPr>
        <w:t xml:space="preserve">For purposes of this Agreement, the term “Cause” means any of the following: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 fails to cure such nonperformance within ten (10) days of receipt of said written notice; (B) breach of any statutory or common law duty of loyalty to the Company; (C) has been convicted of, or pleaded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contendre </w:t>
      </w:r>
      <w:r>
        <w:rPr>
          <w:rFonts w:ascii="Arial" w:cs="Arial" w:eastAsia="Arial" w:hAnsi="Arial"/>
          <w:sz w:val="17"/>
          <w:szCs w:val="17"/>
          <w:color w:val="auto"/>
        </w:rPr>
        <w:t>to, any felony; (D) willfully or intentionally caused material injury to the Company, its property, or its assets; (E) disclosed to</w:t>
      </w:r>
      <w:r>
        <w:rPr>
          <w:rFonts w:ascii="Arial" w:cs="Arial" w:eastAsia="Arial" w:hAnsi="Arial"/>
          <w:sz w:val="17"/>
          <w:szCs w:val="17"/>
          <w:i w:val="1"/>
          <w:iCs w:val="1"/>
          <w:color w:val="auto"/>
        </w:rPr>
        <w:t xml:space="preserve"> </w:t>
      </w:r>
      <w:r>
        <w:rPr>
          <w:rFonts w:ascii="Arial" w:cs="Arial" w:eastAsia="Arial" w:hAnsi="Arial"/>
          <w:sz w:val="17"/>
          <w:szCs w:val="17"/>
          <w:color w:val="auto"/>
        </w:rPr>
        <w:t>unauthorized person(s) proprietary or confidential information of the Company; (F) any material violation or a repeated and willful violation of Company policies or procedures, including but not limited to, the Company’s Code of Business Conduct and Ethics (or any successor policy) then in effect; or (G) breach of any of the covenants set forth in Section 10 hereof.</w:t>
      </w:r>
    </w:p>
    <w:p>
      <w:pPr>
        <w:spacing w:after="0" w:line="84" w:lineRule="exact"/>
        <w:rPr>
          <w:rFonts w:ascii="Arial" w:cs="Arial" w:eastAsia="Arial" w:hAnsi="Arial"/>
          <w:sz w:val="17"/>
          <w:szCs w:val="17"/>
          <w:color w:val="auto"/>
        </w:rPr>
      </w:pPr>
    </w:p>
    <w:p>
      <w:pPr>
        <w:ind w:left="620" w:right="40" w:hanging="436"/>
        <w:spacing w:after="0" w:line="264" w:lineRule="auto"/>
        <w:tabs>
          <w:tab w:leader="none" w:pos="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For purposes of this Agreement, the phrase “Notice of Termination for Cause” shall mean a written notice that shall indicate the specific termination provision in Section 5(c)(i) relied upon, and shall set forth in reasonable detail the facts and circumstances which provide the basis for termination for Cause.</w:t>
      </w:r>
    </w:p>
    <w:p>
      <w:pPr>
        <w:spacing w:after="0" w:line="69" w:lineRule="exact"/>
        <w:rPr>
          <w:rFonts w:ascii="Arial" w:cs="Arial" w:eastAsia="Arial" w:hAnsi="Arial"/>
          <w:sz w:val="18"/>
          <w:szCs w:val="18"/>
          <w:color w:val="auto"/>
        </w:rPr>
      </w:pPr>
    </w:p>
    <w:p>
      <w:pPr>
        <w:ind w:left="-40" w:right="280" w:firstLine="233"/>
        <w:spacing w:after="0" w:line="282" w:lineRule="auto"/>
        <w:tabs>
          <w:tab w:leader="none" w:pos="447"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Executive may terminate his employment hereunder with or without Good Reason at any time upon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Company.</w:t>
      </w:r>
    </w:p>
    <w:p>
      <w:pPr>
        <w:spacing w:after="0" w:line="58" w:lineRule="exact"/>
        <w:rPr>
          <w:sz w:val="20"/>
          <w:szCs w:val="20"/>
          <w:color w:val="auto"/>
        </w:rPr>
      </w:pPr>
    </w:p>
    <w:p>
      <w:pPr>
        <w:ind w:left="620" w:right="80" w:hanging="436"/>
        <w:spacing w:after="0" w:line="289" w:lineRule="auto"/>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termination for “Good Reason” means a resignation of employment by Executive by written notice (“Notice of Termination for Good Reason”) given to the Company’s Chief Executive Officer or President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substantially changes Executive’s core duties or removes Executive’s responsibility for those core duties, so as to effectively cause Executive to no longer be performing the duties of his position (except in each case in connection with the termination of Executive’s employment for Death, Total Disability, or Cause, or temporarily as a result of Executive’s illness or other absence); provided that if the Company becomes a fifty percent or more subsidiary of any other entity, Executive shall be deemed to have a substantial change in the core duties of his position unless he is also the equivalent of a</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1" w:right="259" w:bottom="1440" w:gutter="0" w:footer="0" w:header="0"/>
        </w:sectPr>
      </w:pPr>
    </w:p>
    <w:bookmarkStart w:id="10" w:name="page11"/>
    <w:bookmarkEnd w:id="10"/>
    <w:p>
      <w:pPr>
        <w:ind w:left="660" w:right="60"/>
        <w:spacing w:after="0" w:line="257" w:lineRule="auto"/>
        <w:rPr>
          <w:sz w:val="20"/>
          <w:szCs w:val="20"/>
          <w:color w:val="auto"/>
        </w:rPr>
      </w:pPr>
      <w:r>
        <w:rPr>
          <w:rFonts w:ascii="Arial" w:cs="Arial" w:eastAsia="Arial" w:hAnsi="Arial"/>
          <w:sz w:val="18"/>
          <w:szCs w:val="18"/>
          <w:color w:val="auto"/>
        </w:rPr>
        <w:t>Senior Vice-President of the Company or such other successor entity of the ultimate parent entity; (B) removal or the non-reelection of Executive from the officer position with the Company specified herein, or removal of Executive from any of his then officer positions; (C) any material breach by the Company of any provision of this Agreement, including without limitation Section 10 hereof; or (D) failure of any successor to the Company (whether direct or indirect and whether by merger, acquisition, consolidation or otherwise) to assume in a writing delivered to Executive upon the assignee becoming such, the obligations of the Company hereunder.</w:t>
      </w:r>
    </w:p>
    <w:p>
      <w:pPr>
        <w:spacing w:after="0" w:line="80" w:lineRule="exact"/>
        <w:rPr>
          <w:sz w:val="20"/>
          <w:szCs w:val="20"/>
          <w:color w:val="auto"/>
        </w:rPr>
      </w:pPr>
    </w:p>
    <w:p>
      <w:pPr>
        <w:ind w:left="660" w:right="20" w:hanging="436"/>
        <w:spacing w:after="0" w:line="284"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all facts and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days nor more than sixty (60) days after the date such Notice of Termination for Good Reason is given, provided that in the case of the events set forth in Sections 5(d)(i)(A) or (B), the date may be five</w:t>
      </w:r>
    </w:p>
    <w:p>
      <w:pPr>
        <w:spacing w:after="0" w:line="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(5) business days after the giving of such notice. The Company, at its sole discretion, may waive this requirement.</w:t>
      </w:r>
    </w:p>
    <w:p>
      <w:pPr>
        <w:spacing w:after="0" w:line="99" w:lineRule="exact"/>
        <w:rPr>
          <w:sz w:val="20"/>
          <w:szCs w:val="20"/>
          <w:color w:val="auto"/>
        </w:rPr>
      </w:pPr>
    </w:p>
    <w:p>
      <w:pPr>
        <w:ind w:right="380" w:firstLine="233"/>
        <w:spacing w:after="0" w:line="282" w:lineRule="auto"/>
        <w:tabs>
          <w:tab w:leader="none" w:pos="467"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The Company may terminate Executive’s employment hereunder without Cause at any time upon</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Executive.</w:t>
      </w:r>
    </w:p>
    <w:p>
      <w:pPr>
        <w:spacing w:after="0" w:line="53" w:lineRule="exact"/>
        <w:rPr>
          <w:rFonts w:ascii="Arial" w:cs="Arial" w:eastAsia="Arial" w:hAnsi="Arial"/>
          <w:sz w:val="18"/>
          <w:szCs w:val="18"/>
          <w:b w:val="1"/>
          <w:bCs w:val="1"/>
          <w:color w:val="auto"/>
        </w:rPr>
      </w:pPr>
    </w:p>
    <w:p>
      <w:pPr>
        <w:ind w:right="360" w:firstLine="233"/>
        <w:spacing w:after="0" w:line="282" w:lineRule="auto"/>
        <w:tabs>
          <w:tab w:leader="none" w:pos="45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Termination. </w:t>
      </w:r>
      <w:r>
        <w:rPr>
          <w:rFonts w:ascii="Arial" w:cs="Arial" w:eastAsia="Arial" w:hAnsi="Arial"/>
          <w:sz w:val="18"/>
          <w:szCs w:val="18"/>
          <w:color w:val="auto"/>
        </w:rPr>
        <w:t>Upon any termination of employment for any reason, Executive shall immediately resign from all Board memberships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positions with the Company or any of its subsidiaries held by him at such time.</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 Compensation Following Termination of Employment.</w:t>
      </w:r>
    </w:p>
    <w:p>
      <w:pPr>
        <w:spacing w:after="0" w:line="121"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In the event that Executive’s employment hereunder is terminated in a manner as set forth in Section 5 above, Executive shall be entitled to the compensation and benefits provided under this Section 6, in each case subject to potential reduction as may be required by Section 23, as applicable to the form of termination:</w:t>
      </w:r>
    </w:p>
    <w:p>
      <w:pPr>
        <w:spacing w:after="0" w:line="69" w:lineRule="exact"/>
        <w:rPr>
          <w:sz w:val="20"/>
          <w:szCs w:val="20"/>
          <w:color w:val="auto"/>
        </w:rPr>
      </w:pPr>
    </w:p>
    <w:p>
      <w:pPr>
        <w:ind w:right="100" w:firstLine="233"/>
        <w:spacing w:after="0" w:line="282" w:lineRule="auto"/>
        <w:tabs>
          <w:tab w:leader="none" w:pos="477"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Death. </w:t>
      </w:r>
      <w:r>
        <w:rPr>
          <w:rFonts w:ascii="Arial" w:cs="Arial" w:eastAsia="Arial" w:hAnsi="Arial"/>
          <w:sz w:val="18"/>
          <w:szCs w:val="18"/>
          <w:color w:val="auto"/>
        </w:rPr>
        <w:t>In the event that Executive’s employment is terminated by reason of Executive’s death, the Company shall pay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amounts to Executive’s beneficiary or estate:</w:t>
      </w:r>
    </w:p>
    <w:p>
      <w:pPr>
        <w:spacing w:after="0" w:line="57" w:lineRule="exact"/>
        <w:rPr>
          <w:rFonts w:ascii="Arial" w:cs="Arial" w:eastAsia="Arial" w:hAnsi="Arial"/>
          <w:sz w:val="18"/>
          <w:szCs w:val="18"/>
          <w:b w:val="1"/>
          <w:bCs w:val="1"/>
          <w:color w:val="auto"/>
        </w:rPr>
      </w:pPr>
    </w:p>
    <w:p>
      <w:pPr>
        <w:ind w:left="660" w:hanging="436"/>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death, any accrued but unpaid expenses required to be reimbursed under this Agreement, any vacation accrued to the date of termination, any earned but unpaid bonuses for any prior calendar year, and, to the extent not otherwise paid, a prorated bonus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ind w:left="640" w:right="20"/>
        <w:spacing w:after="0" w:line="277" w:lineRule="auto"/>
        <w:rPr>
          <w:sz w:val="20"/>
          <w:szCs w:val="20"/>
          <w:color w:val="auto"/>
        </w:rPr>
      </w:pPr>
      <w:r>
        <w:rPr>
          <w:rFonts w:ascii="Arial" w:cs="Arial" w:eastAsia="Arial" w:hAnsi="Arial"/>
          <w:sz w:val="18"/>
          <w:szCs w:val="18"/>
          <w:color w:val="auto"/>
        </w:rPr>
        <w:t>or incentive compensation payment for the current calendar year to the extent payments are awarded to similarly-situated executive employees of the Company and paid at the same time as such executive employees are paid.</w:t>
      </w:r>
    </w:p>
    <w:p>
      <w:pPr>
        <w:spacing w:after="0" w:line="62" w:lineRule="exact"/>
        <w:rPr>
          <w:sz w:val="20"/>
          <w:szCs w:val="20"/>
          <w:color w:val="auto"/>
        </w:rPr>
      </w:pPr>
    </w:p>
    <w:p>
      <w:pPr>
        <w:ind w:left="640" w:hanging="436"/>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(including those referred to in Section 4(c) hereof), as determined and paid in accordance with the terms of such plans, policies and arrangements.</w:t>
      </w:r>
    </w:p>
    <w:p>
      <w:pPr>
        <w:spacing w:after="0" w:line="58" w:lineRule="exact"/>
        <w:rPr>
          <w:rFonts w:ascii="Arial" w:cs="Arial" w:eastAsia="Arial" w:hAnsi="Arial"/>
          <w:sz w:val="18"/>
          <w:szCs w:val="18"/>
          <w:color w:val="auto"/>
        </w:rPr>
      </w:pPr>
    </w:p>
    <w:p>
      <w:pPr>
        <w:ind w:left="-20" w:right="200" w:firstLine="233"/>
        <w:spacing w:after="0" w:line="282" w:lineRule="auto"/>
        <w:tabs>
          <w:tab w:leader="none" w:pos="467"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Total Disability. </w:t>
      </w:r>
      <w:r>
        <w:rPr>
          <w:rFonts w:ascii="Arial" w:cs="Arial" w:eastAsia="Arial" w:hAnsi="Arial"/>
          <w:sz w:val="18"/>
          <w:szCs w:val="18"/>
          <w:color w:val="auto"/>
        </w:rPr>
        <w:t>In the event that Executive’s employment is terminated by the Company by reason of Executive’s Total</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(as determined in accordance with Section 5(b)), the Company shall pay the following amounts to Executive:</w:t>
      </w:r>
    </w:p>
    <w:p>
      <w:pPr>
        <w:spacing w:after="0" w:line="58" w:lineRule="exact"/>
        <w:rPr>
          <w:sz w:val="20"/>
          <w:szCs w:val="20"/>
          <w:color w:val="auto"/>
        </w:rPr>
      </w:pPr>
    </w:p>
    <w:p>
      <w:pPr>
        <w:jc w:val="both"/>
        <w:ind w:left="640" w:right="280" w:hanging="436"/>
        <w:spacing w:after="0" w:line="302"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 Executive shall also be eligible for a prorated bonus or incentive compensation payment for the calendar year in which Executive is terminated to the extent such awards are made to similarly-situated executive employees of the Company, and paid at the same time such executive employees are paid.</w:t>
      </w:r>
    </w:p>
    <w:p>
      <w:pPr>
        <w:spacing w:after="0" w:line="59" w:lineRule="exact"/>
        <w:rPr>
          <w:rFonts w:ascii="Arial" w:cs="Arial" w:eastAsia="Arial" w:hAnsi="Arial"/>
          <w:sz w:val="16"/>
          <w:szCs w:val="16"/>
          <w:color w:val="auto"/>
        </w:rPr>
      </w:pPr>
    </w:p>
    <w:p>
      <w:pPr>
        <w:ind w:left="640" w:right="40" w:hanging="436"/>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(including those referred to in Section 4(c) hereof) shall be determined and paid in accordance with the terms of such plans, policies and arrangements.</w:t>
      </w:r>
    </w:p>
    <w:p>
      <w:pPr>
        <w:spacing w:after="0" w:line="58" w:lineRule="exact"/>
        <w:rPr>
          <w:sz w:val="20"/>
          <w:szCs w:val="20"/>
          <w:color w:val="auto"/>
        </w:rPr>
      </w:pPr>
    </w:p>
    <w:p>
      <w:pPr>
        <w:ind w:left="-20" w:right="400" w:firstLine="233"/>
        <w:spacing w:after="0" w:line="282" w:lineRule="auto"/>
        <w:tabs>
          <w:tab w:leader="none" w:pos="447"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In the event that Executive’s employment is terminated by the Company for Cause, the Company shall pay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to Executive:</w:t>
      </w:r>
    </w:p>
    <w:p>
      <w:pPr>
        <w:spacing w:after="0" w:line="57" w:lineRule="exact"/>
        <w:rPr>
          <w:rFonts w:ascii="Arial" w:cs="Arial" w:eastAsia="Arial" w:hAnsi="Arial"/>
          <w:sz w:val="18"/>
          <w:szCs w:val="18"/>
          <w:b w:val="1"/>
          <w:bCs w:val="1"/>
          <w:color w:val="auto"/>
        </w:rPr>
      </w:pPr>
    </w:p>
    <w:p>
      <w:pPr>
        <w:ind w:left="640" w:right="340" w:hanging="436"/>
        <w:spacing w:after="0" w:line="342" w:lineRule="auto"/>
        <w:tabs>
          <w:tab w:leader="none" w:pos="6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29" w:lineRule="exact"/>
        <w:rPr>
          <w:rFonts w:ascii="Arial" w:cs="Arial" w:eastAsia="Arial" w:hAnsi="Arial"/>
          <w:sz w:val="16"/>
          <w:szCs w:val="16"/>
          <w:color w:val="auto"/>
        </w:rPr>
      </w:pPr>
    </w:p>
    <w:p>
      <w:pPr>
        <w:ind w:left="640" w:right="100" w:hanging="436"/>
        <w:spacing w:after="0" w:line="308" w:lineRule="auto"/>
        <w:tabs>
          <w:tab w:leader="none" w:pos="6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Any benefits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34" w:lineRule="exact"/>
        <w:rPr>
          <w:rFonts w:ascii="Arial" w:cs="Arial" w:eastAsia="Arial" w:hAnsi="Arial"/>
          <w:sz w:val="17"/>
          <w:szCs w:val="17"/>
          <w:color w:val="auto"/>
        </w:rPr>
      </w:pPr>
    </w:p>
    <w:p>
      <w:pPr>
        <w:ind w:left="-20" w:right="40" w:firstLine="233"/>
        <w:spacing w:after="0" w:line="282" w:lineRule="auto"/>
        <w:tabs>
          <w:tab w:leader="none" w:pos="467"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In the event that Executive voluntarily terminates employment other than for Good Reason,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pay the following amounts to Executive: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2" w:name="page13"/>
    <w:bookmarkEnd w:id="12"/>
    <w:p>
      <w:pPr>
        <w:ind w:left="640" w:right="320" w:hanging="436"/>
        <w:spacing w:after="0" w:line="342"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29" w:lineRule="exact"/>
        <w:rPr>
          <w:rFonts w:ascii="Arial" w:cs="Arial" w:eastAsia="Arial" w:hAnsi="Arial"/>
          <w:sz w:val="16"/>
          <w:szCs w:val="16"/>
          <w:color w:val="auto"/>
        </w:rPr>
      </w:pPr>
    </w:p>
    <w:p>
      <w:pPr>
        <w:ind w:left="640" w:right="80" w:hanging="436"/>
        <w:spacing w:after="0" w:line="308"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benefits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34" w:lineRule="exact"/>
        <w:rPr>
          <w:rFonts w:ascii="Arial" w:cs="Arial" w:eastAsia="Arial" w:hAnsi="Arial"/>
          <w:sz w:val="17"/>
          <w:szCs w:val="17"/>
          <w:color w:val="auto"/>
        </w:rPr>
      </w:pPr>
    </w:p>
    <w:p>
      <w:pPr>
        <w:ind w:left="-20" w:right="180" w:firstLine="233"/>
        <w:spacing w:after="0" w:line="261" w:lineRule="auto"/>
        <w:tabs>
          <w:tab w:leader="none" w:pos="447" w:val="left"/>
        </w:tabs>
        <w:numPr>
          <w:ilvl w:val="1"/>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Outside a Change in Control Period; Termination by Executive for Good Reason Outside a Change in Control Period. </w:t>
      </w:r>
      <w:r>
        <w:rPr>
          <w:rFonts w:ascii="Arial" w:cs="Arial" w:eastAsia="Arial" w:hAnsi="Arial"/>
          <w:sz w:val="18"/>
          <w:szCs w:val="18"/>
          <w:color w:val="auto"/>
        </w:rPr>
        <w:t>In the event that Executive’s employment is terminated by the Company outside a Change in Control Period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 for reasons other than death, Total Disability or Cause, or Executive terminates his employment for Good Reason outside of a Change in Control Period, the Company shall pay the following amounts to Executive:</w:t>
      </w:r>
    </w:p>
    <w:p>
      <w:pPr>
        <w:spacing w:after="0" w:line="76" w:lineRule="exact"/>
        <w:rPr>
          <w:sz w:val="20"/>
          <w:szCs w:val="20"/>
          <w:color w:val="auto"/>
        </w:rPr>
      </w:pPr>
    </w:p>
    <w:p>
      <w:pPr>
        <w:ind w:left="640" w:right="320" w:hanging="436"/>
        <w:spacing w:after="0" w:line="342"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29" w:lineRule="exact"/>
        <w:rPr>
          <w:rFonts w:ascii="Arial" w:cs="Arial" w:eastAsia="Arial" w:hAnsi="Arial"/>
          <w:sz w:val="16"/>
          <w:szCs w:val="16"/>
          <w:color w:val="auto"/>
        </w:rPr>
      </w:pPr>
    </w:p>
    <w:p>
      <w:pPr>
        <w:ind w:left="640" w:right="700" w:hanging="436"/>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5" w:lineRule="exact"/>
        <w:rPr>
          <w:rFonts w:ascii="Arial" w:cs="Arial" w:eastAsia="Arial" w:hAnsi="Arial"/>
          <w:sz w:val="18"/>
          <w:szCs w:val="18"/>
          <w:color w:val="auto"/>
        </w:rPr>
      </w:pPr>
    </w:p>
    <w:p>
      <w:pPr>
        <w:jc w:val="both"/>
        <w:ind w:left="640" w:right="100" w:hanging="436"/>
        <w:spacing w:after="0" w:line="302"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Subject to Executive’s execution of the Release (as defined in Section 7), an amount equal to two times the sum of Executive’s Base Salary plus his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59" w:lineRule="exact"/>
        <w:rPr>
          <w:rFonts w:ascii="Arial" w:cs="Arial" w:eastAsia="Arial" w:hAnsi="Arial"/>
          <w:sz w:val="16"/>
          <w:szCs w:val="16"/>
          <w:color w:val="auto"/>
        </w:rPr>
      </w:pPr>
    </w:p>
    <w:p>
      <w:pPr>
        <w:ind w:left="640" w:hanging="436"/>
        <w:spacing w:after="0" w:line="293"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Subject to Executive’s execution of the Release (as defined in Section 7), the Company at its expense will continue for Executive and Executive’s spouse and dependents, all health benefit plans, programs or arrangements, whether group or individual, disability, and other benefit plans, in which Executive was entitled to participate at any time during the twelve-month period prior to the date of termination, until the earliest to occur of (A) two years after the date of termination; (B) Executive’s death (provided that benefits provided to Executive’s spouse and dependents shall not terminate upon Executive’s death); or (C) with respect to any particular plan, program or arrangement, the date Executive becomes eligible to participate in a comparable benefit provided by a subsequent employer. In the event that Executive’s continued participation in any such</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3" w:name="page14"/>
    <w:bookmarkEnd w:id="13"/>
    <w:p>
      <w:pPr>
        <w:ind w:left="640" w:right="20"/>
        <w:spacing w:after="0" w:line="264" w:lineRule="auto"/>
        <w:rPr>
          <w:sz w:val="20"/>
          <w:szCs w:val="20"/>
          <w:color w:val="auto"/>
        </w:rPr>
      </w:pPr>
      <w:r>
        <w:rPr>
          <w:rFonts w:ascii="Arial" w:cs="Arial" w:eastAsia="Arial" w:hAnsi="Arial"/>
          <w:sz w:val="18"/>
          <w:szCs w:val="18"/>
          <w:color w:val="auto"/>
        </w:rPr>
        <w:t>Company plan, program, or arrangement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73" w:lineRule="exact"/>
        <w:rPr>
          <w:sz w:val="20"/>
          <w:szCs w:val="20"/>
          <w:color w:val="auto"/>
        </w:rPr>
      </w:pPr>
    </w:p>
    <w:p>
      <w:pPr>
        <w:ind w:left="640" w:right="20" w:hanging="436"/>
        <w:spacing w:after="0" w:line="26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Executive’s execution of the Release (as defined in Section 7), Executive shall be eligible for a bonus or incentive compensation payment, at the same time, on the same basis, and to the same extent payments are made to other similarly-situated executive employees of the Company, prorated for the year in which Executive is terminated.</w:t>
      </w:r>
    </w:p>
    <w:p>
      <w:pPr>
        <w:spacing w:after="0" w:line="69" w:lineRule="exact"/>
        <w:rPr>
          <w:sz w:val="20"/>
          <w:szCs w:val="20"/>
          <w:color w:val="auto"/>
        </w:rPr>
      </w:pPr>
    </w:p>
    <w:p>
      <w:pPr>
        <w:ind w:left="-20" w:right="40" w:firstLine="233"/>
        <w:spacing w:after="0" w:line="266" w:lineRule="auto"/>
        <w:tabs>
          <w:tab w:leader="none" w:pos="430"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Suspension and Refund of Termination Benefits for Subsequently Discovered Cause. </w:t>
      </w:r>
      <w:r>
        <w:rPr>
          <w:rFonts w:ascii="Arial" w:cs="Arial" w:eastAsia="Arial" w:hAnsi="Arial"/>
          <w:sz w:val="18"/>
          <w:szCs w:val="18"/>
          <w:color w:val="auto"/>
        </w:rPr>
        <w:t>Notwithstanding any provision of this Agreement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contrary, if within one (1) year of termination of employment of Executive by the Company for any reason other than for Cause, it is determined by Company that Executive could have been terminated for Cause then, to the extent permitted by law:</w:t>
      </w:r>
    </w:p>
    <w:p>
      <w:pPr>
        <w:spacing w:after="0" w:line="72" w:lineRule="exact"/>
        <w:rPr>
          <w:rFonts w:ascii="Arial" w:cs="Arial" w:eastAsia="Arial" w:hAnsi="Arial"/>
          <w:sz w:val="18"/>
          <w:szCs w:val="18"/>
          <w:b w:val="1"/>
          <w:bCs w:val="1"/>
          <w:color w:val="auto"/>
        </w:rPr>
      </w:pPr>
    </w:p>
    <w:p>
      <w:pPr>
        <w:ind w:left="640" w:hanging="436"/>
        <w:spacing w:after="0" w:line="277" w:lineRule="auto"/>
        <w:tabs>
          <w:tab w:leader="none" w:pos="6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may elect to cancel any and all payments of any benefits otherwise due Executive, but not yet paid, under this Agreement or otherwise; and</w:t>
      </w:r>
    </w:p>
    <w:p>
      <w:pPr>
        <w:spacing w:after="0" w:line="75" w:lineRule="exact"/>
        <w:rPr>
          <w:rFonts w:ascii="Arial" w:cs="Arial" w:eastAsia="Arial" w:hAnsi="Arial"/>
          <w:sz w:val="18"/>
          <w:szCs w:val="18"/>
          <w:color w:val="auto"/>
        </w:rPr>
      </w:pPr>
    </w:p>
    <w:p>
      <w:pPr>
        <w:ind w:left="640" w:right="540" w:hanging="436"/>
        <w:spacing w:after="0" w:line="277" w:lineRule="auto"/>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Executive will refund to the Company any amounts, plus interest, previously paid by Company to Executive pursuant to Subsections 6(e)(iii), 6(e)(iv) or 6(e)(v).</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7. Resignation by Executive for Good Reason or Termination by Company Without Cause During a Change in Control Period.</w:t>
      </w:r>
    </w:p>
    <w:p>
      <w:pPr>
        <w:spacing w:after="0" w:line="117" w:lineRule="exact"/>
        <w:rPr>
          <w:sz w:val="20"/>
          <w:szCs w:val="20"/>
          <w:color w:val="auto"/>
        </w:rPr>
      </w:pPr>
    </w:p>
    <w:p>
      <w:pPr>
        <w:ind w:left="-20" w:right="20" w:firstLine="233"/>
        <w:spacing w:after="0" w:line="281" w:lineRule="auto"/>
        <w:tabs>
          <w:tab w:leader="none" w:pos="460" w:val="left"/>
        </w:tabs>
        <w:numPr>
          <w:ilvl w:val="1"/>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Certain Terminations During a Change in Control Period. </w:t>
      </w:r>
      <w:r>
        <w:rPr>
          <w:rFonts w:ascii="Arial" w:cs="Arial" w:eastAsia="Arial" w:hAnsi="Arial"/>
          <w:sz w:val="17"/>
          <w:szCs w:val="17"/>
          <w:color w:val="auto"/>
        </w:rPr>
        <w:t>Subject to potential reduction as may be required by Section 23, in the event a Change in</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occurs and (x) Executive terminates his employment for Good Reason during a Change in Control Period , or (y) the Company terminates Executive’s employment without Cause (and for reason other than Death of Total Disability) during a Change in Control Period, the Company shall, subject to Executive’s execution of the Release (as defined in this Section 7), pay the following amounts to Executive:</w:t>
      </w:r>
    </w:p>
    <w:p>
      <w:pPr>
        <w:spacing w:after="0" w:line="60" w:lineRule="exact"/>
        <w:rPr>
          <w:rFonts w:ascii="Arial" w:cs="Arial" w:eastAsia="Arial" w:hAnsi="Arial"/>
          <w:sz w:val="17"/>
          <w:szCs w:val="17"/>
          <w:b w:val="1"/>
          <w:bCs w:val="1"/>
          <w:color w:val="auto"/>
        </w:rPr>
      </w:pPr>
    </w:p>
    <w:p>
      <w:pPr>
        <w:ind w:left="640" w:right="660" w:hanging="436"/>
        <w:spacing w:after="0" w:line="264" w:lineRule="auto"/>
        <w:tabs>
          <w:tab w:leader="none" w:pos="6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payments and benefits provided for in Section 6(e), except that (A) the amount and period with respect to which severance is calculated pursuant to Section 6(e)(iii) will be three (3) years and the amount shall be paid in a lump-sum and (B) the benefit continuation period in Section 6(e)(iv) shall be for three (3) years.</w:t>
      </w:r>
    </w:p>
    <w:p>
      <w:pPr>
        <w:spacing w:after="0" w:line="86" w:lineRule="exact"/>
        <w:rPr>
          <w:rFonts w:ascii="Arial" w:cs="Arial" w:eastAsia="Arial" w:hAnsi="Arial"/>
          <w:sz w:val="18"/>
          <w:szCs w:val="18"/>
          <w:color w:val="auto"/>
        </w:rPr>
      </w:pPr>
    </w:p>
    <w:p>
      <w:pPr>
        <w:ind w:left="640" w:right="140" w:hanging="436"/>
        <w:spacing w:after="0" w:line="291" w:lineRule="auto"/>
        <w:tabs>
          <w:tab w:leader="none" w:pos="6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Executive shall also receive a bonus or incentive compensation payment for the calendar year of the termination, payable at 100% of the maximum bonus available to Executive, pro-rated as of the effective date of the employment termination. Such bonus payment shall be payable within five</w:t>
      </w:r>
    </w:p>
    <w:p>
      <w:pPr>
        <w:ind w:left="640" w:right="240"/>
        <w:spacing w:after="0" w:line="261" w:lineRule="auto"/>
        <w:rPr>
          <w:rFonts w:ascii="Arial" w:cs="Arial" w:eastAsia="Arial" w:hAnsi="Arial"/>
          <w:sz w:val="16"/>
          <w:szCs w:val="16"/>
          <w:color w:val="auto"/>
        </w:rPr>
      </w:pPr>
      <w:r>
        <w:rPr>
          <w:rFonts w:ascii="Arial" w:cs="Arial" w:eastAsia="Arial" w:hAnsi="Arial"/>
          <w:sz w:val="18"/>
          <w:szCs w:val="18"/>
          <w:color w:val="auto"/>
        </w:rPr>
        <w:t>(5) days after the effective date of Executive’s employment termination. Except as may be provided under this Section 7 or under the terms of any incentive compensation,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4" w:name="page15"/>
    <w:bookmarkEnd w:id="14"/>
    <w:p>
      <w:pPr>
        <w:jc w:val="both"/>
        <w:ind w:left="652" w:right="40"/>
        <w:spacing w:after="0" w:line="264" w:lineRule="auto"/>
        <w:rPr>
          <w:sz w:val="20"/>
          <w:szCs w:val="20"/>
          <w:color w:val="auto"/>
        </w:rPr>
      </w:pPr>
      <w:r>
        <w:rPr>
          <w:rFonts w:ascii="Arial" w:cs="Arial" w:eastAsia="Arial" w:hAnsi="Arial"/>
          <w:sz w:val="18"/>
          <w:szCs w:val="18"/>
          <w:color w:val="auto"/>
        </w:rPr>
        <w:t>employee benefit, or fringe benefit plan applicable to Executive at the time of Executive’s termination of employment, Executive shall have no right to receive any other compensation, or to participate in any other plan, arrangement or benefit, with respect to future periods after such resignation or termination.</w:t>
      </w:r>
    </w:p>
    <w:p>
      <w:pPr>
        <w:spacing w:after="0" w:line="177" w:lineRule="exact"/>
        <w:rPr>
          <w:sz w:val="20"/>
          <w:szCs w:val="20"/>
          <w:color w:val="auto"/>
        </w:rPr>
      </w:pPr>
    </w:p>
    <w:p>
      <w:pPr>
        <w:ind w:left="272" w:hanging="272"/>
        <w:spacing w:after="0"/>
        <w:tabs>
          <w:tab w:leader="none" w:pos="27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121" w:lineRule="exact"/>
        <w:rPr>
          <w:rFonts w:ascii="Arial" w:cs="Arial" w:eastAsia="Arial" w:hAnsi="Arial"/>
          <w:sz w:val="18"/>
          <w:szCs w:val="18"/>
          <w:b w:val="1"/>
          <w:bCs w:val="1"/>
          <w:color w:val="auto"/>
        </w:rPr>
      </w:pPr>
    </w:p>
    <w:p>
      <w:pPr>
        <w:ind w:left="652" w:right="540" w:hanging="436"/>
        <w:spacing w:after="0" w:line="277" w:lineRule="auto"/>
        <w:tabs>
          <w:tab w:leader="none" w:pos="652" w:val="left"/>
        </w:tabs>
        <w:numPr>
          <w:ilvl w:val="1"/>
          <w:numId w:val="33"/>
        </w:numPr>
        <w:rPr>
          <w:rFonts w:ascii="Arial" w:cs="Arial" w:eastAsia="Arial" w:hAnsi="Arial"/>
          <w:sz w:val="18"/>
          <w:szCs w:val="18"/>
          <w:color w:val="auto"/>
        </w:rPr>
      </w:pPr>
      <w:r>
        <w:rPr>
          <w:rFonts w:ascii="Arial" w:cs="Arial" w:eastAsia="Arial" w:hAnsi="Arial"/>
          <w:sz w:val="18"/>
          <w:szCs w:val="18"/>
          <w:color w:val="auto"/>
        </w:rPr>
        <w:t>For purposes of this Agreement, “Change in Control” means the first to occur on or after the date on which this Agreement is first signed, the occurrence of any of the following events:</w:t>
      </w:r>
    </w:p>
    <w:p>
      <w:pPr>
        <w:spacing w:after="0" w:line="62" w:lineRule="exact"/>
        <w:rPr>
          <w:rFonts w:ascii="Arial" w:cs="Arial" w:eastAsia="Arial" w:hAnsi="Arial"/>
          <w:sz w:val="18"/>
          <w:szCs w:val="18"/>
          <w:color w:val="auto"/>
        </w:rPr>
      </w:pPr>
    </w:p>
    <w:p>
      <w:pPr>
        <w:ind w:left="1112" w:right="60" w:hanging="437"/>
        <w:spacing w:after="0" w:line="277" w:lineRule="auto"/>
        <w:tabs>
          <w:tab w:leader="none" w:pos="1112"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representing twenty-five percent (25%) or more of the combined voting power of the Company’s then outstanding voting securities;</w:t>
      </w:r>
    </w:p>
    <w:p>
      <w:pPr>
        <w:spacing w:after="0" w:line="75" w:lineRule="exact"/>
        <w:rPr>
          <w:rFonts w:ascii="Arial" w:cs="Arial" w:eastAsia="Arial" w:hAnsi="Arial"/>
          <w:sz w:val="18"/>
          <w:szCs w:val="18"/>
          <w:color w:val="auto"/>
        </w:rPr>
      </w:pPr>
    </w:p>
    <w:p>
      <w:pPr>
        <w:ind w:left="1112" w:hanging="437"/>
        <w:spacing w:after="0" w:line="273" w:lineRule="auto"/>
        <w:tabs>
          <w:tab w:leader="none" w:pos="1112" w:val="left"/>
        </w:tabs>
        <w:numPr>
          <w:ilvl w:val="2"/>
          <w:numId w:val="33"/>
        </w:numPr>
        <w:rPr>
          <w:rFonts w:ascii="Arial" w:cs="Arial" w:eastAsia="Arial" w:hAnsi="Arial"/>
          <w:sz w:val="17"/>
          <w:szCs w:val="17"/>
          <w:color w:val="auto"/>
        </w:rPr>
      </w:pPr>
      <w:r>
        <w:rPr>
          <w:rFonts w:ascii="Arial" w:cs="Arial" w:eastAsia="Arial" w:hAnsi="Arial"/>
          <w:sz w:val="17"/>
          <w:szCs w:val="17"/>
          <w:color w:val="auto"/>
        </w:rPr>
        <w:t>the following individuals cease for any reason to constitute a majority of the number of directors then serving: individuals who, on the Commencement Date,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two-thirds (2/3rds) of the directors then still in office who either were directors on the Commencement Date or whose appointment, election or nomination for election was previously so approved or recommended (the “Incumbent Board”);</w:t>
      </w:r>
    </w:p>
    <w:p>
      <w:pPr>
        <w:spacing w:after="0" w:line="83" w:lineRule="exact"/>
        <w:rPr>
          <w:rFonts w:ascii="Arial" w:cs="Arial" w:eastAsia="Arial" w:hAnsi="Arial"/>
          <w:sz w:val="17"/>
          <w:szCs w:val="17"/>
          <w:color w:val="auto"/>
        </w:rPr>
      </w:pPr>
    </w:p>
    <w:p>
      <w:pPr>
        <w:ind w:left="1112" w:right="180" w:hanging="437"/>
        <w:spacing w:after="0" w:line="255" w:lineRule="auto"/>
        <w:tabs>
          <w:tab w:leader="none" w:pos="1112"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there is a consummated merger or consolidation of the Company with any other corporation, other than (1)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entity outstanding immediately after such merger or consolidation or (2) a merger or consolidation effected to implement a recapitalization of the Company (or similar transaction) in which no Person, directly or indirectly, acquired twenty-five percent (25%) or more of the combined voting power of the Company’s then outstanding securities; or</w:t>
      </w:r>
    </w:p>
    <w:p>
      <w:pPr>
        <w:spacing w:after="0" w:line="94" w:lineRule="exact"/>
        <w:rPr>
          <w:rFonts w:ascii="Arial" w:cs="Arial" w:eastAsia="Arial" w:hAnsi="Arial"/>
          <w:sz w:val="18"/>
          <w:szCs w:val="18"/>
          <w:color w:val="auto"/>
        </w:rPr>
      </w:pPr>
    </w:p>
    <w:p>
      <w:pPr>
        <w:ind w:left="1112" w:hanging="437"/>
        <w:spacing w:after="0" w:line="257" w:lineRule="auto"/>
        <w:tabs>
          <w:tab w:leader="none" w:pos="1112"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16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5" w:name="page16"/>
    <w:bookmarkEnd w:id="15"/>
    <w:p>
      <w:pPr>
        <w:ind w:left="560" w:hanging="436"/>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purposes of this Section 7, “Beneficial Owner” shall have the meaning set forth in Rule 13d-3 under the Exchange Act;</w:t>
      </w:r>
    </w:p>
    <w:p>
      <w:pPr>
        <w:spacing w:after="0" w:line="130" w:lineRule="exact"/>
        <w:rPr>
          <w:rFonts w:ascii="Arial" w:cs="Arial" w:eastAsia="Arial" w:hAnsi="Arial"/>
          <w:sz w:val="18"/>
          <w:szCs w:val="18"/>
          <w:color w:val="auto"/>
        </w:rPr>
      </w:pPr>
    </w:p>
    <w:p>
      <w:pPr>
        <w:ind w:left="560" w:right="100" w:hanging="436"/>
        <w:spacing w:after="0" w:line="342" w:lineRule="auto"/>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purposes of this Agreement, “Change in Control Period” means the period commencing on the date occurring six months immediately prior to the date on which a Change in Control occurs and ending on the second anniversary of the date on which a Change in Control occurs.</w:t>
      </w:r>
    </w:p>
    <w:p>
      <w:pPr>
        <w:spacing w:after="0" w:line="29" w:lineRule="exact"/>
        <w:rPr>
          <w:rFonts w:ascii="Arial" w:cs="Arial" w:eastAsia="Arial" w:hAnsi="Arial"/>
          <w:sz w:val="16"/>
          <w:szCs w:val="16"/>
          <w:color w:val="auto"/>
        </w:rPr>
      </w:pPr>
    </w:p>
    <w:p>
      <w:pPr>
        <w:ind w:left="560" w:hanging="436"/>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purposes of this Agreement, “Exchange Act’ means the Securities and Exchange Act of 1934, as amended from time to time;</w:t>
      </w:r>
    </w:p>
    <w:p>
      <w:pPr>
        <w:spacing w:after="0" w:line="130" w:lineRule="exact"/>
        <w:rPr>
          <w:rFonts w:ascii="Arial" w:cs="Arial" w:eastAsia="Arial" w:hAnsi="Arial"/>
          <w:sz w:val="18"/>
          <w:szCs w:val="18"/>
          <w:color w:val="auto"/>
        </w:rPr>
      </w:pPr>
    </w:p>
    <w:p>
      <w:pPr>
        <w:ind w:left="560" w:right="60" w:hanging="436"/>
        <w:spacing w:after="0" w:line="257"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purposes of this Section 7, “Person”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 of the Company.</w:t>
      </w:r>
    </w:p>
    <w:p>
      <w:pPr>
        <w:spacing w:after="0" w:line="93" w:lineRule="exact"/>
        <w:rPr>
          <w:rFonts w:ascii="Arial" w:cs="Arial" w:eastAsia="Arial" w:hAnsi="Arial"/>
          <w:sz w:val="18"/>
          <w:szCs w:val="18"/>
          <w:color w:val="auto"/>
        </w:rPr>
      </w:pPr>
    </w:p>
    <w:p>
      <w:pPr>
        <w:ind w:left="560" w:right="140" w:hanging="436"/>
        <w:spacing w:after="0" w:line="276" w:lineRule="auto"/>
        <w:tabs>
          <w:tab w:leader="none" w:pos="5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For purposes of this Agreement, “Release” means that specific document which the Company shall present to Executive for consideration and execution after any termination of employment pursuant to Section 5(e) and Section 6(e), wherein if he agrees to such, he will irrevocably and unconditionally release and forever discharge the Company, it subsidiaries, affiliates and related parties from any and all causes of action which Executive at that time had or may have had against the Company (excluding any claim for indemnity under this Agreement, any claim under state workers’ compensation or unemployment laws, or any claim under COBRA).</w:t>
      </w:r>
    </w:p>
    <w:p>
      <w:pPr>
        <w:spacing w:after="0" w:line="60" w:lineRule="exact"/>
        <w:rPr>
          <w:rFonts w:ascii="Arial" w:cs="Arial" w:eastAsia="Arial" w:hAnsi="Arial"/>
          <w:sz w:val="17"/>
          <w:szCs w:val="17"/>
          <w:color w:val="auto"/>
        </w:rPr>
      </w:pPr>
    </w:p>
    <w:p>
      <w:pPr>
        <w:jc w:val="both"/>
        <w:ind w:left="-100" w:firstLine="233"/>
        <w:spacing w:after="0" w:line="314" w:lineRule="auto"/>
        <w:tabs>
          <w:tab w:leader="none" w:pos="305" w:val="left"/>
        </w:tabs>
        <w:numPr>
          <w:ilvl w:val="1"/>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Other Benefits or Compensation. </w:t>
      </w:r>
      <w:r>
        <w:rPr>
          <w:rFonts w:ascii="Arial" w:cs="Arial" w:eastAsia="Arial" w:hAnsi="Arial"/>
          <w:sz w:val="16"/>
          <w:szCs w:val="16"/>
          <w:color w:val="auto"/>
        </w:rPr>
        <w:t>Except as may be provided under this Agreement, or under the terms of any incentive compensation,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or fringe benefit plan applicable to Executive at the time of Executive’s termination or resignation, Executive shall have no right to receive any other compensation, or to participate in any other plan, arrangement or benefit, with respect to future periods after such termination or resignation.</w:t>
      </w:r>
    </w:p>
    <w:p>
      <w:pPr>
        <w:spacing w:after="0" w:line="34" w:lineRule="exact"/>
        <w:rPr>
          <w:rFonts w:ascii="Arial" w:cs="Arial" w:eastAsia="Arial" w:hAnsi="Arial"/>
          <w:sz w:val="16"/>
          <w:szCs w:val="16"/>
          <w:b w:val="1"/>
          <w:bCs w:val="1"/>
          <w:color w:val="auto"/>
        </w:rPr>
      </w:pPr>
    </w:p>
    <w:p>
      <w:pPr>
        <w:ind w:left="-100" w:firstLine="233"/>
        <w:spacing w:after="0" w:line="258" w:lineRule="auto"/>
        <w:tabs>
          <w:tab w:leader="none" w:pos="305" w:val="left"/>
        </w:tabs>
        <w:numPr>
          <w:ilvl w:val="1"/>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Mitigation; No Set-Off. </w:t>
      </w:r>
      <w:r>
        <w:rPr>
          <w:rFonts w:ascii="Arial" w:cs="Arial" w:eastAsia="Arial" w:hAnsi="Arial"/>
          <w:sz w:val="18"/>
          <w:szCs w:val="18"/>
          <w:color w:val="auto"/>
        </w:rPr>
        <w:t>In the event of any termination of employment hereunder, Executive shall be under no obligation to seek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and, except as otherwise provided in Section 6(e)(iv),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that the Company may have against Executive or others, except upon obtaining by the Company of a final non-appealable judgment against Executive.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340" w:top="935" w:right="339" w:bottom="1440" w:gutter="0" w:footer="0" w:header="0"/>
        </w:sectPr>
      </w:pPr>
    </w:p>
    <w:bookmarkStart w:id="16" w:name="page17"/>
    <w:bookmarkEnd w:id="16"/>
    <w:p>
      <w:pPr>
        <w:ind w:left="240"/>
        <w:spacing w:after="0"/>
        <w:rPr>
          <w:sz w:val="20"/>
          <w:szCs w:val="20"/>
          <w:color w:val="auto"/>
        </w:rPr>
      </w:pPr>
      <w:r>
        <w:rPr>
          <w:rFonts w:ascii="Arial" w:cs="Arial" w:eastAsia="Arial" w:hAnsi="Arial"/>
          <w:sz w:val="18"/>
          <w:szCs w:val="18"/>
          <w:b w:val="1"/>
          <w:bCs w:val="1"/>
          <w:color w:val="auto"/>
        </w:rPr>
        <w:t>10. Covenants</w:t>
      </w:r>
    </w:p>
    <w:p>
      <w:pPr>
        <w:spacing w:after="0" w:line="117" w:lineRule="exact"/>
        <w:rPr>
          <w:sz w:val="20"/>
          <w:szCs w:val="20"/>
          <w:color w:val="auto"/>
        </w:rPr>
      </w:pPr>
    </w:p>
    <w:p>
      <w:pPr>
        <w:ind w:right="120" w:firstLine="233"/>
        <w:spacing w:after="0" w:line="255" w:lineRule="auto"/>
        <w:tabs>
          <w:tab w:leader="none" w:pos="4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Company Property</w:t>
      </w:r>
      <w:r>
        <w:rPr>
          <w:rFonts w:ascii="Arial" w:cs="Arial" w:eastAsia="Arial" w:hAnsi="Arial"/>
          <w:sz w:val="18"/>
          <w:szCs w:val="18"/>
          <w:color w:val="auto"/>
        </w:rPr>
        <w:t>. All written materials, records, data, and other documents prepared or possessed by Executive during Executive’s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are the Company’s property. All information, ideas, concepts, improvements, discoveries, and inventions that are conceived, made, developed, or acquired by Executive individually or in conjunction with others during Executive’s employment (whether during business hours and whether on the Company’s premises or otherwise) which relate to the Company’s business, products, or services are the Company’s sole and exclusive property.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w:t>
      </w:r>
    </w:p>
    <w:p>
      <w:pPr>
        <w:spacing w:after="0" w:line="77" w:lineRule="exact"/>
        <w:rPr>
          <w:rFonts w:ascii="Arial" w:cs="Arial" w:eastAsia="Arial" w:hAnsi="Arial"/>
          <w:sz w:val="18"/>
          <w:szCs w:val="18"/>
          <w:b w:val="1"/>
          <w:bCs w:val="1"/>
          <w:color w:val="auto"/>
        </w:rPr>
      </w:pPr>
    </w:p>
    <w:p>
      <w:pPr>
        <w:ind w:right="140" w:firstLine="233"/>
        <w:spacing w:after="0" w:line="347" w:lineRule="auto"/>
        <w:tabs>
          <w:tab w:leader="none" w:pos="49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Information; Non-Disclosure</w:t>
      </w:r>
      <w:r>
        <w:rPr>
          <w:rFonts w:ascii="Arial" w:cs="Arial" w:eastAsia="Arial" w:hAnsi="Arial"/>
          <w:sz w:val="16"/>
          <w:szCs w:val="16"/>
          <w:color w:val="auto"/>
        </w:rPr>
        <w:t>. Executive acknowledges that the business of the Company is highly competitive and that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has provided and will continue to provide Executive with access to “Confidential Information” relating to the business of the Company and its affiliates.</w:t>
      </w:r>
    </w:p>
    <w:p>
      <w:pPr>
        <w:spacing w:after="0" w:line="12"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For purposes of this Agreement, “Confidential Information” means and includes the Company’s confidential and/or proprietary information and/or trade secrets that have been developed or used and/or will be developed and that cannot be obtained readily by third parties from outside sources. Confidential Information includes, by way of example and without limitation, the following information regarding customers, employees, contractors, and the industry not generally known to the public; strategies, methods, books, records, and documents; technical information concerning products, equipment, services, and processes; procurement procedures and pricing techniques; the names of and other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positions, plans, and strategies for expansion or acquisitions; budgets; customer lists; research; weather data; financial and sales data; trading methodologies and terms; evaluations, opinions, and interpretations of information and data; marketing and merchandising techniques; prospective customers’ names and marks; grids and maps; electronic databases; models; specifications; computer programs; internal business records; contracts benefiting or obligating the Company; bids or proposals submitted to any third party; technologies and methods; training methods and training processes; organizational structure; personnel information, including salaries of personnel; payment amounts or rates paid to consultants or other service providers; and other such confidential or proprietary information. Information need not qualify as a trade secret to be protected as Confidential Information under this Agreement, and the authorized and controlled disclosure of Confidential Information to authorized parties by Company in the pursuit of its business will not cause the information to lose its protected status under this Agreement. Executive acknowledges that this Confidential Information constitutes a valuable, special, and unique asset used by the Company or its affiliates in their businesses to obtain a competitive advantage over their competitors. Executive further acknowledges that protection of</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7" w:name="page18"/>
    <w:bookmarkEnd w:id="17"/>
    <w:p>
      <w:pPr>
        <w:ind w:right="700"/>
        <w:spacing w:after="0" w:line="277" w:lineRule="auto"/>
        <w:rPr>
          <w:sz w:val="20"/>
          <w:szCs w:val="20"/>
          <w:color w:val="auto"/>
        </w:rPr>
      </w:pPr>
      <w:r>
        <w:rPr>
          <w:rFonts w:ascii="Arial" w:cs="Arial" w:eastAsia="Arial" w:hAnsi="Arial"/>
          <w:sz w:val="18"/>
          <w:szCs w:val="18"/>
          <w:color w:val="auto"/>
        </w:rPr>
        <w:t>such Confidential Information against unauthorized disclosure and use is of critical importance to the Company and its affiliates in maintaining their competitive position.</w:t>
      </w:r>
    </w:p>
    <w:p>
      <w:pPr>
        <w:spacing w:after="0" w:line="62"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Executive has and will continue to have access to, or knowledge of, Confidential Information of third parties, such as actual and potential customers, suppliers, partners, joint venturers, investors, financing sources, and the like, of the Company and its affiliates.</w:t>
      </w:r>
    </w:p>
    <w:p>
      <w:pPr>
        <w:spacing w:after="0" w:line="62" w:lineRule="exact"/>
        <w:rPr>
          <w:sz w:val="20"/>
          <w:szCs w:val="20"/>
          <w:color w:val="auto"/>
        </w:rPr>
      </w:pPr>
    </w:p>
    <w:p>
      <w:pPr>
        <w:ind w:right="180" w:firstLine="222"/>
        <w:spacing w:after="0" w:line="276" w:lineRule="auto"/>
        <w:rPr>
          <w:sz w:val="20"/>
          <w:szCs w:val="20"/>
          <w:color w:val="auto"/>
        </w:rPr>
      </w:pPr>
      <w:r>
        <w:rPr>
          <w:rFonts w:ascii="Arial" w:cs="Arial" w:eastAsia="Arial" w:hAnsi="Arial"/>
          <w:sz w:val="17"/>
          <w:szCs w:val="17"/>
          <w:color w:val="auto"/>
        </w:rPr>
        <w:t>The Company also agrees to provide Executive with one or more of the following: access to Confidential Information; specialized training regarding the Company’s methodologies and business strategies, and/or support in the development of goodwill such as introductions, information and reimbursement of customer development expenses consistent with Company policy. The foregoing is not contingent on continued employment, but is contingent upon Executive’s use of the Confidential Information access, specialized training, and goodwill support provided by Company for the exclusive benefit of the Company and upon Executive’s full compliance with the restrictions on Executive’s conduct provided for in this Agreement.</w:t>
      </w:r>
    </w:p>
    <w:p>
      <w:pPr>
        <w:spacing w:after="0" w:line="64"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addition to the requirements set forth in Section 5(c)(i), Executive agrees that Executive will not after Executive’s employment with the Company, make any unauthorized disclosure of any then Confidential Information or specialized training of the Company or its affiliates, or make any use thereof, except in the carrying out of his employment responsibilities hereunder. Executive also agrees to preserve and protect the confidentiality of third party Confidential Information to the same extent, and on the same basis, as the Company’s Confidential Information.</w:t>
      </w:r>
    </w:p>
    <w:p>
      <w:pPr>
        <w:spacing w:after="0" w:line="75" w:lineRule="exact"/>
        <w:rPr>
          <w:sz w:val="20"/>
          <w:szCs w:val="20"/>
          <w:color w:val="auto"/>
        </w:rPr>
      </w:pPr>
    </w:p>
    <w:p>
      <w:pPr>
        <w:ind w:firstLine="233"/>
        <w:spacing w:after="0" w:line="292" w:lineRule="auto"/>
        <w:tabs>
          <w:tab w:leader="none" w:pos="47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Unfair Competition Restrictions</w:t>
      </w:r>
      <w:r>
        <w:rPr>
          <w:rFonts w:ascii="Arial" w:cs="Arial" w:eastAsia="Arial" w:hAnsi="Arial"/>
          <w:sz w:val="16"/>
          <w:szCs w:val="16"/>
          <w:color w:val="auto"/>
        </w:rPr>
        <w:t>. The Company agrees to and shall provide Executive with immediate access to Confidential Information. Ancillary</w:t>
      </w:r>
      <w:r>
        <w:rPr>
          <w:rFonts w:ascii="Arial" w:cs="Arial" w:eastAsia="Arial" w:hAnsi="Arial"/>
          <w:sz w:val="16"/>
          <w:szCs w:val="16"/>
          <w:b w:val="1"/>
          <w:bCs w:val="1"/>
          <w:color w:val="auto"/>
        </w:rPr>
        <w:t xml:space="preserve"> </w:t>
      </w:r>
      <w:r>
        <w:rPr>
          <w:rFonts w:ascii="Arial" w:cs="Arial" w:eastAsia="Arial" w:hAnsi="Arial"/>
          <w:sz w:val="16"/>
          <w:szCs w:val="16"/>
          <w:color w:val="auto"/>
        </w:rPr>
        <w:t>to the rights provided to Executive following employment termination, the Company’s provision of Confidential Information, specialized training, and/or goodwill support to Executive, and Executive’s agreements, regarding the use of same, and in order to protect the value of the above-referenced equity based incentive awards,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or Canada (the “Restricted Area”) do the following, unless expressly authorized to do so in writing by the Chief Executive Officer of the Company:</w:t>
      </w:r>
    </w:p>
    <w:p>
      <w:pPr>
        <w:spacing w:after="0" w:line="58" w:lineRule="exact"/>
        <w:rPr>
          <w:sz w:val="20"/>
          <w:szCs w:val="20"/>
          <w:color w:val="auto"/>
        </w:rPr>
      </w:pPr>
    </w:p>
    <w:p>
      <w:pPr>
        <w:ind w:left="700" w:right="720"/>
        <w:spacing w:after="0" w:line="257" w:lineRule="auto"/>
        <w:rPr>
          <w:sz w:val="20"/>
          <w:szCs w:val="20"/>
          <w:color w:val="auto"/>
        </w:rPr>
      </w:pPr>
      <w:r>
        <w:rPr>
          <w:rFonts w:ascii="Arial" w:cs="Arial" w:eastAsia="Arial" w:hAnsi="Arial"/>
          <w:sz w:val="18"/>
          <w:szCs w:val="18"/>
          <w:color w:val="auto"/>
        </w:rPr>
        <w:t>Engage in, or assist any person, entity, or business engaged in, the selling or providing of products or services that would displace the products or services that (i) the Company is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8" w:name="page19"/>
    <w:bookmarkEnd w:id="18"/>
    <w:p>
      <w:pPr>
        <w:jc w:val="center"/>
        <w:ind w:right="80"/>
        <w:spacing w:after="0"/>
        <w:rPr>
          <w:sz w:val="20"/>
          <w:szCs w:val="20"/>
          <w:color w:val="auto"/>
        </w:rPr>
      </w:pPr>
      <w:r>
        <w:rPr>
          <w:rFonts w:ascii="Arial" w:cs="Arial" w:eastAsia="Arial" w:hAnsi="Arial"/>
          <w:sz w:val="18"/>
          <w:szCs w:val="18"/>
          <w:color w:val="auto"/>
        </w:rPr>
        <w:t>recycling and resource recovery, or disposal of solid waste, hazardous or other waste, including the operation of waste-to-energy facilities.</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It is further agreed that 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has provided to Executive.</w:t>
      </w:r>
    </w:p>
    <w:p>
      <w:pPr>
        <w:spacing w:after="0" w:line="79" w:lineRule="exact"/>
        <w:rPr>
          <w:sz w:val="20"/>
          <w:szCs w:val="20"/>
          <w:color w:val="auto"/>
        </w:rPr>
      </w:pPr>
    </w:p>
    <w:p>
      <w:pPr>
        <w:ind w:right="120" w:firstLine="215"/>
        <w:spacing w:after="0" w:line="293" w:lineRule="auto"/>
        <w:rPr>
          <w:sz w:val="20"/>
          <w:szCs w:val="20"/>
          <w:color w:val="auto"/>
        </w:rPr>
      </w:pPr>
      <w:r>
        <w:rPr>
          <w:rFonts w:ascii="Arial" w:cs="Arial" w:eastAsia="Arial" w:hAnsi="Arial"/>
          <w:sz w:val="16"/>
          <w:szCs w:val="16"/>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the Company in writing to be no material threat to the legitimate business interests of the Company.</w:t>
      </w:r>
    </w:p>
    <w:p>
      <w:pPr>
        <w:spacing w:after="0" w:line="53" w:lineRule="exact"/>
        <w:rPr>
          <w:sz w:val="20"/>
          <w:szCs w:val="20"/>
          <w:color w:val="auto"/>
        </w:rPr>
      </w:pPr>
    </w:p>
    <w:p>
      <w:pPr>
        <w:jc w:val="both"/>
        <w:ind w:right="320" w:firstLine="233"/>
        <w:spacing w:after="0" w:line="261" w:lineRule="auto"/>
        <w:tabs>
          <w:tab w:leader="none" w:pos="49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 of Customers</w:t>
      </w:r>
      <w:r>
        <w:rPr>
          <w:rFonts w:ascii="Arial" w:cs="Arial" w:eastAsia="Arial" w:hAnsi="Arial"/>
          <w:sz w:val="18"/>
          <w:szCs w:val="18"/>
          <w:color w:val="auto"/>
        </w:rPr>
        <w:t>. For a period of two (2) years following the termination of employment for any reason, Executive will not call on,</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or solicit competing business from customers of the Company or its affiliates whom Executive, within the previous twelve (12) months, (i) had or made contact with, or (ii) had access to information and files about, or induce or encourage any such customer or other source of ongoing business to stop doing business with Company.</w:t>
      </w:r>
    </w:p>
    <w:p>
      <w:pPr>
        <w:spacing w:after="0" w:line="71" w:lineRule="exact"/>
        <w:rPr>
          <w:rFonts w:ascii="Arial" w:cs="Arial" w:eastAsia="Arial" w:hAnsi="Arial"/>
          <w:sz w:val="18"/>
          <w:szCs w:val="18"/>
          <w:b w:val="1"/>
          <w:bCs w:val="1"/>
          <w:color w:val="auto"/>
        </w:rPr>
      </w:pPr>
    </w:p>
    <w:p>
      <w:pPr>
        <w:ind w:right="180" w:firstLine="233"/>
        <w:spacing w:after="0" w:line="261" w:lineRule="auto"/>
        <w:tabs>
          <w:tab w:leader="none" w:pos="47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 of Employees</w:t>
      </w:r>
      <w:r>
        <w:rPr>
          <w:rFonts w:ascii="Arial" w:cs="Arial" w:eastAsia="Arial" w:hAnsi="Arial"/>
          <w:sz w:val="18"/>
          <w:szCs w:val="18"/>
          <w:color w:val="auto"/>
        </w:rPr>
        <w:t>. During Executive’s employment, and for a period of two (2) years following the termination of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Executive will not, either directly or indirectly, call on, solicit, encourage, or induce any other employee or officer of the Company or its affiliates whom Executive had contact with, knowledge of, or association within the course of employment with the Company to terminate his employment, and will not assist any other person or entity in such a solicitation.</w:t>
      </w:r>
    </w:p>
    <w:p>
      <w:pPr>
        <w:spacing w:after="0" w:line="71" w:lineRule="exact"/>
        <w:rPr>
          <w:rFonts w:ascii="Arial" w:cs="Arial" w:eastAsia="Arial" w:hAnsi="Arial"/>
          <w:sz w:val="18"/>
          <w:szCs w:val="18"/>
          <w:b w:val="1"/>
          <w:bCs w:val="1"/>
          <w:color w:val="auto"/>
        </w:rPr>
      </w:pPr>
    </w:p>
    <w:p>
      <w:pPr>
        <w:ind w:right="80" w:firstLine="233"/>
        <w:spacing w:after="0" w:line="261" w:lineRule="auto"/>
        <w:tabs>
          <w:tab w:leader="none" w:pos="45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Executive covenants and agrees that Executive shall not engage in any pattern of conduct that involves the making or publishing</w:t>
      </w:r>
      <w:r>
        <w:rPr>
          <w:rFonts w:ascii="Arial" w:cs="Arial" w:eastAsia="Arial" w:hAnsi="Arial"/>
          <w:sz w:val="18"/>
          <w:szCs w:val="18"/>
          <w:b w:val="1"/>
          <w:bCs w:val="1"/>
          <w:color w:val="auto"/>
        </w:rPr>
        <w:t xml:space="preserve"> </w:t>
      </w:r>
      <w:r>
        <w:rPr>
          <w:rFonts w:ascii="Arial" w:cs="Arial" w:eastAsia="Arial" w:hAnsi="Arial"/>
          <w:sz w:val="18"/>
          <w:szCs w:val="18"/>
          <w:color w:val="auto"/>
        </w:rPr>
        <w:t>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ind w:left="240"/>
        <w:spacing w:after="0"/>
        <w:rPr>
          <w:sz w:val="20"/>
          <w:szCs w:val="20"/>
          <w:color w:val="auto"/>
        </w:rPr>
      </w:pPr>
      <w:r>
        <w:rPr>
          <w:rFonts w:ascii="Arial" w:cs="Arial" w:eastAsia="Arial" w:hAnsi="Arial"/>
          <w:sz w:val="18"/>
          <w:szCs w:val="18"/>
          <w:b w:val="1"/>
          <w:bCs w:val="1"/>
          <w:color w:val="auto"/>
        </w:rPr>
        <w:t>11. Enforcement of Covenants.</w:t>
      </w:r>
    </w:p>
    <w:p>
      <w:pPr>
        <w:spacing w:after="0" w:line="117" w:lineRule="exact"/>
        <w:rPr>
          <w:sz w:val="20"/>
          <w:szCs w:val="20"/>
          <w:color w:val="auto"/>
        </w:rPr>
      </w:pPr>
    </w:p>
    <w:p>
      <w:pPr>
        <w:ind w:right="220" w:firstLine="233"/>
        <w:spacing w:after="0" w:line="289" w:lineRule="auto"/>
        <w:tabs>
          <w:tab w:leader="none" w:pos="477" w:val="left"/>
        </w:tabs>
        <w:numPr>
          <w:ilvl w:val="1"/>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Employment and Forfeiture of Compensation. </w:t>
      </w:r>
      <w:r>
        <w:rPr>
          <w:rFonts w:ascii="Arial" w:cs="Arial" w:eastAsia="Arial" w:hAnsi="Arial"/>
          <w:sz w:val="16"/>
          <w:szCs w:val="16"/>
          <w:color w:val="auto"/>
        </w:rPr>
        <w:t>Executive agrees that any breach by Executive of any of the covenants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10 hereof (i) during Executive’s employment by the Company, shall be grounds for immediate dismissal of Executive for Cause pursuant to Section 5(c)(i), which shall be in addition to and not exclusive of any and all other rights and remedies the Company may have against Executive, and</w:t>
      </w:r>
    </w:p>
    <w:p>
      <w:pPr>
        <w:spacing w:after="0" w:line="1" w:lineRule="exact"/>
        <w:rPr>
          <w:rFonts w:ascii="Arial" w:cs="Arial" w:eastAsia="Arial" w:hAnsi="Arial"/>
          <w:sz w:val="16"/>
          <w:szCs w:val="16"/>
          <w:b w:val="1"/>
          <w:bCs w:val="1"/>
          <w:color w:val="auto"/>
        </w:rPr>
      </w:pPr>
    </w:p>
    <w:p>
      <w:pPr>
        <w:ind w:firstLine="8"/>
        <w:spacing w:after="0" w:line="261" w:lineRule="auto"/>
        <w:tabs>
          <w:tab w:leader="none" w:pos="2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after Executive’s employment terminated without Cause or for Good Reason and during the Restricted Term, shall result in the forfeiture of any remaining amounts under Section 6(e) or 7 of this Agreement.</w:t>
      </w:r>
    </w:p>
    <w:p>
      <w:pPr>
        <w:spacing w:after="0" w:line="71" w:lineRule="exact"/>
        <w:rPr>
          <w:rFonts w:ascii="Arial" w:cs="Arial" w:eastAsia="Arial" w:hAnsi="Arial"/>
          <w:sz w:val="18"/>
          <w:szCs w:val="18"/>
          <w:color w:val="auto"/>
        </w:rPr>
      </w:pPr>
    </w:p>
    <w:p>
      <w:pPr>
        <w:ind w:left="500" w:hanging="267"/>
        <w:spacing w:after="0"/>
        <w:tabs>
          <w:tab w:leader="none" w:pos="500" w:val="left"/>
        </w:tabs>
        <w:numPr>
          <w:ilvl w:val="1"/>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Right to Injunction</w:t>
      </w:r>
      <w:r>
        <w:rPr>
          <w:rFonts w:ascii="Arial" w:cs="Arial" w:eastAsia="Arial" w:hAnsi="Arial"/>
          <w:sz w:val="17"/>
          <w:szCs w:val="17"/>
          <w:color w:val="auto"/>
        </w:rPr>
        <w:t>. Executive acknowledges that a breach of the covenants set forth in Section 10 hereof will cause irreparable damage to the</w:t>
      </w:r>
    </w:p>
    <w:p>
      <w:pPr>
        <w:spacing w:after="0" w:line="38" w:lineRule="exact"/>
        <w:rPr>
          <w:rFonts w:ascii="Arial" w:cs="Arial" w:eastAsia="Arial" w:hAnsi="Arial"/>
          <w:sz w:val="17"/>
          <w:szCs w:val="17"/>
          <w:b w:val="1"/>
          <w:bCs w:val="1"/>
          <w:color w:val="auto"/>
        </w:rPr>
      </w:pPr>
    </w:p>
    <w:p>
      <w:pPr>
        <w:ind w:right="80"/>
        <w:spacing w:after="0" w:line="281" w:lineRule="auto"/>
        <w:rPr>
          <w:rFonts w:ascii="Arial" w:cs="Arial" w:eastAsia="Arial" w:hAnsi="Arial"/>
          <w:sz w:val="17"/>
          <w:szCs w:val="17"/>
          <w:b w:val="1"/>
          <w:bCs w:val="1"/>
          <w:color w:val="auto"/>
        </w:rPr>
      </w:pPr>
      <w:r>
        <w:rPr>
          <w:rFonts w:ascii="Arial" w:cs="Arial" w:eastAsia="Arial" w:hAnsi="Arial"/>
          <w:sz w:val="16"/>
          <w:szCs w:val="16"/>
          <w:color w:val="auto"/>
        </w:rPr>
        <w:t>Company with respect to which the Company’s remedy at law for damages will be inadequate. Therefore, in the event of breach or anticipatory breach of the covenants set forth in this section by Executive, Executive and the Company agree that the Company shall be entitled to seek the following particular forms of relief, in addition to remedies otherwise available to it at law or equity: (A) injunctions, both preliminary and permanent, enjoining or restraining such breach or anticipatory breach and Executive hereby consents to the issuance thereof forthwith and without bond by any court of competent jurisdiction; and</w:t>
      </w:r>
    </w:p>
    <w:p>
      <w:pPr>
        <w:spacing w:after="0" w:line="2" w:lineRule="exact"/>
        <w:rPr>
          <w:rFonts w:ascii="Arial" w:cs="Arial" w:eastAsia="Arial" w:hAnsi="Arial"/>
          <w:sz w:val="17"/>
          <w:szCs w:val="17"/>
          <w:b w:val="1"/>
          <w:bCs w:val="1"/>
          <w:color w:val="auto"/>
        </w:rPr>
      </w:pPr>
    </w:p>
    <w:p>
      <w:pPr>
        <w:ind w:right="120"/>
        <w:spacing w:after="0" w:line="261" w:lineRule="auto"/>
        <w:rPr>
          <w:rFonts w:ascii="Arial" w:cs="Arial" w:eastAsia="Arial" w:hAnsi="Arial"/>
          <w:sz w:val="17"/>
          <w:szCs w:val="17"/>
          <w:b w:val="1"/>
          <w:bCs w:val="1"/>
          <w:color w:val="auto"/>
        </w:rPr>
      </w:pPr>
      <w:r>
        <w:rPr>
          <w:rFonts w:ascii="Arial" w:cs="Arial" w:eastAsia="Arial" w:hAnsi="Arial"/>
          <w:sz w:val="18"/>
          <w:szCs w:val="18"/>
          <w:color w:val="auto"/>
        </w:rPr>
        <w:t>(B) recovery of all reasonable sums as determined by a court of competent jurisdiction expended and costs, including reasonable attorney’s fees, incurred by the Company to enforce the covenants set forth in this section.</w:t>
      </w:r>
    </w:p>
    <w:p>
      <w:pPr>
        <w:spacing w:after="0" w:line="71" w:lineRule="exact"/>
        <w:rPr>
          <w:rFonts w:ascii="Arial" w:cs="Arial" w:eastAsia="Arial" w:hAnsi="Arial"/>
          <w:sz w:val="17"/>
          <w:szCs w:val="17"/>
          <w:b w:val="1"/>
          <w:bCs w:val="1"/>
          <w:color w:val="auto"/>
        </w:rPr>
      </w:pPr>
    </w:p>
    <w:p>
      <w:pPr>
        <w:ind w:firstLine="233"/>
        <w:spacing w:after="0" w:line="290" w:lineRule="auto"/>
        <w:tabs>
          <w:tab w:leader="none" w:pos="470" w:val="left"/>
        </w:tabs>
        <w:numPr>
          <w:ilvl w:val="1"/>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Separability of Covenants. </w:t>
      </w:r>
      <w:r>
        <w:rPr>
          <w:rFonts w:ascii="Arial" w:cs="Arial" w:eastAsia="Arial" w:hAnsi="Arial"/>
          <w:sz w:val="16"/>
          <w:szCs w:val="16"/>
          <w:color w:val="auto"/>
        </w:rPr>
        <w:t>The covenants contained in Section 10 hereof constitute a series of separate but ancillary covenants, one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State in the United States and the District of Columbia, and one for each applicable foreign country. If in any judicial proceeding, a court shall hold that any of the covenants set forth in Section 10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10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10.</w:t>
      </w:r>
    </w:p>
    <w:p>
      <w:pPr>
        <w:spacing w:after="0" w:line="5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 Indemnification.</w:t>
      </w:r>
    </w:p>
    <w:p>
      <w:pPr>
        <w:spacing w:after="0" w:line="121"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0" w:name="page21"/>
    <w:bookmarkEnd w:id="20"/>
    <w:p>
      <w:pPr>
        <w:ind w:right="20"/>
        <w:spacing w:after="0" w:line="259" w:lineRule="auto"/>
        <w:rPr>
          <w:sz w:val="20"/>
          <w:szCs w:val="20"/>
          <w:color w:val="auto"/>
        </w:rPr>
      </w:pPr>
      <w:r>
        <w:rPr>
          <w:rFonts w:ascii="Arial" w:cs="Arial" w:eastAsia="Arial" w:hAnsi="Arial"/>
          <w:sz w:val="18"/>
          <w:szCs w:val="18"/>
          <w:color w:val="auto"/>
        </w:rPr>
        <w:t>Executive to reimburse the Company for any fees advanced by the Company on behalf of Executive should it later be determined that Executive was not entitled to have such fees advanced by the Company under Delaware law. The Company shall cover Executive under directors and officers liability insurance both during and, while potential liability exists, after the Employment Period in the same amount and to the same extent as the Company covers its other officers and directors.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13. Arbitration.</w:t>
      </w:r>
    </w:p>
    <w:p>
      <w:pPr>
        <w:spacing w:after="0" w:line="121" w:lineRule="exact"/>
        <w:rPr>
          <w:sz w:val="20"/>
          <w:szCs w:val="20"/>
          <w:color w:val="auto"/>
        </w:rPr>
      </w:pPr>
    </w:p>
    <w:p>
      <w:pPr>
        <w:ind w:right="60" w:firstLine="225"/>
        <w:spacing w:after="0" w:line="288" w:lineRule="auto"/>
        <w:rPr>
          <w:sz w:val="20"/>
          <w:szCs w:val="20"/>
          <w:color w:val="auto"/>
        </w:rPr>
      </w:pPr>
      <w:r>
        <w:rPr>
          <w:rFonts w:ascii="Arial" w:cs="Arial" w:eastAsia="Arial" w:hAnsi="Arial"/>
          <w:sz w:val="16"/>
          <w:szCs w:val="16"/>
          <w:color w:val="auto"/>
        </w:rPr>
        <w:t>Except with respect to enforcement of the covenants contained in Section 11 herein, the parties agree that any dispute relating to this Agreement, or to the breach of this Agreement, arising between Executive and the Company shall be settled by arbitration in accordance with the Federal Arbitration Act and the commercial arbitration rules of the American Arbitration Association (“AAA”), or any other mutually agreed upon arbitration service. The arbitration proceeding, including the rendering of an award, shall take place in Houston, Texas, and shall be administered by the AAA (or any other mutually agreed upon arbitration service). The arbitrator shall be jointly selected by the Company and Executive within thirty (30) days of the notice of dispute, or if the parties cannot agree, in accordance with the commercial arbitration rules of the AAA (or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award of the arbitrator shall be final and binding upon the parties without appeal or review, except as permitted by the arbitration laws of the State of Texas. The award shall be enforceable through a court of law upon motion of either party.</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14. Requirement of Timely Payments.</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If any amounts which are required, or determined to be paid or payable, or reimbursed or reimbursable, to Executive under this Agreement are not so paid promptly at the times provided 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15. Withholding of Taxes.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may withhold from any compensation and benefits payable under this Agreement all applicable federal, state, local, or other taxes.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16. Source of Payments.</w:t>
      </w:r>
    </w:p>
    <w:p>
      <w:pPr>
        <w:spacing w:after="0" w:line="121"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All payments provided under this Agreement, other than payments made pursuant to a plan which provides otherwise, shall be paid from the general funds of the Company, and no</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1" w:name="page22"/>
    <w:bookmarkEnd w:id="21"/>
    <w:p>
      <w:pPr>
        <w:ind w:right="420"/>
        <w:spacing w:after="0" w:line="312" w:lineRule="auto"/>
        <w:rPr>
          <w:sz w:val="20"/>
          <w:szCs w:val="20"/>
          <w:color w:val="auto"/>
        </w:rPr>
      </w:pPr>
      <w:r>
        <w:rPr>
          <w:rFonts w:ascii="Arial" w:cs="Arial" w:eastAsia="Arial" w:hAnsi="Arial"/>
          <w:sz w:val="16"/>
          <w:szCs w:val="16"/>
          <w:color w:val="auto"/>
        </w:rPr>
        <w:t>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17. Assignment.</w:t>
      </w:r>
    </w:p>
    <w:p>
      <w:pPr>
        <w:spacing w:after="0" w:line="12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18. Entire Agreement; Amendment.</w:t>
      </w:r>
    </w:p>
    <w:p>
      <w:pPr>
        <w:spacing w:after="0" w:line="121"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19. Governing Law.</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State of Texas applicable to agreements made and to be performed in that State, without regard to its conflict of laws provisions.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20. Notices.</w:t>
      </w:r>
    </w:p>
    <w:p>
      <w:pPr>
        <w:spacing w:after="0" w:line="121"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ind w:left="1480"/>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Waste Management ,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Secretary</w:t>
      </w:r>
    </w:p>
    <w:p>
      <w:pPr>
        <w:spacing w:after="0" w:line="200" w:lineRule="exact"/>
        <w:rPr>
          <w:sz w:val="20"/>
          <w:szCs w:val="20"/>
          <w:color w:val="auto"/>
        </w:rPr>
      </w:pPr>
    </w:p>
    <w:p>
      <w:pPr>
        <w:sectPr>
          <w:pgSz w:w="11900" w:h="16838" w:orient="portrait"/>
          <w:cols w:equalWidth="0" w:num="2">
            <w:col w:w="2720" w:space="520"/>
            <w:col w:w="8100"/>
          </w:cols>
          <w:pgMar w:left="280" w:top="1152" w:right="279" w:bottom="1440" w:gutter="0" w:footer="0" w:header="0"/>
        </w:sectPr>
      </w:pPr>
    </w:p>
    <w:p>
      <w:pPr>
        <w:spacing w:after="0" w:line="34"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To Executive: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At the address for Executive set forth below.</w:t>
      </w:r>
    </w:p>
    <w:p>
      <w:pPr>
        <w:spacing w:after="0" w:line="136" w:lineRule="exact"/>
        <w:rPr>
          <w:sz w:val="20"/>
          <w:szCs w:val="20"/>
          <w:color w:val="auto"/>
        </w:rPr>
      </w:pPr>
    </w:p>
    <w:p>
      <w:pPr>
        <w:sectPr>
          <w:pgSz w:w="11900" w:h="16838" w:orient="portrait"/>
          <w:cols w:equalWidth="0" w:num="2">
            <w:col w:w="2520" w:space="720"/>
            <w:col w:w="8100"/>
          </w:cols>
          <w:pgMar w:left="280" w:top="1152" w:right="279" w:bottom="1440" w:gutter="0" w:footer="0" w:header="0"/>
          <w:type w:val="continuous"/>
        </w:sectPr>
      </w:pPr>
    </w:p>
    <w:p>
      <w:pPr>
        <w:ind w:left="200"/>
        <w:spacing w:after="0"/>
        <w:rPr>
          <w:sz w:val="20"/>
          <w:szCs w:val="20"/>
          <w:color w:val="auto"/>
        </w:rPr>
      </w:pPr>
      <w:r>
        <w:rPr>
          <w:rFonts w:ascii="Arial" w:cs="Arial" w:eastAsia="Arial" w:hAnsi="Arial"/>
          <w:sz w:val="18"/>
          <w:szCs w:val="18"/>
          <w:b w:val="1"/>
          <w:bCs w:val="1"/>
          <w:color w:val="auto"/>
        </w:rPr>
        <w:t>21. Miscellaneous.</w:t>
      </w:r>
    </w:p>
    <w:p>
      <w:pPr>
        <w:spacing w:after="0" w:line="117" w:lineRule="exact"/>
        <w:rPr>
          <w:sz w:val="20"/>
          <w:szCs w:val="20"/>
          <w:color w:val="auto"/>
        </w:rPr>
      </w:pPr>
    </w:p>
    <w:p>
      <w:pPr>
        <w:ind w:left="-40" w:right="20" w:firstLine="233"/>
        <w:spacing w:after="0" w:line="282" w:lineRule="auto"/>
        <w:tabs>
          <w:tab w:leader="none" w:pos="437"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The failure of a party to insist upon strict adherence to any term of this Agreement on any occasion shall not be considered a waiver thereof or</w:t>
      </w:r>
      <w:r>
        <w:rPr>
          <w:rFonts w:ascii="Arial" w:cs="Arial" w:eastAsia="Arial" w:hAnsi="Arial"/>
          <w:sz w:val="18"/>
          <w:szCs w:val="18"/>
          <w:b w:val="1"/>
          <w:bCs w:val="1"/>
          <w:color w:val="auto"/>
        </w:rPr>
        <w:t xml:space="preserve"> </w:t>
      </w:r>
      <w:r>
        <w:rPr>
          <w:rFonts w:ascii="Arial" w:cs="Arial" w:eastAsia="Arial" w:hAnsi="Arial"/>
          <w:sz w:val="18"/>
          <w:szCs w:val="18"/>
          <w:color w:val="auto"/>
        </w:rPr>
        <w:t>deprive that party of the right thereafter to insist upon strict adherence to that term or any other term of this Agreement.</w:t>
      </w:r>
    </w:p>
    <w:p>
      <w:pPr>
        <w:spacing w:after="0" w:line="53" w:lineRule="exact"/>
        <w:rPr>
          <w:rFonts w:ascii="Arial" w:cs="Arial" w:eastAsia="Arial" w:hAnsi="Arial"/>
          <w:sz w:val="18"/>
          <w:szCs w:val="18"/>
          <w:b w:val="1"/>
          <w:bCs w:val="1"/>
          <w:color w:val="auto"/>
        </w:rPr>
      </w:pPr>
    </w:p>
    <w:p>
      <w:pPr>
        <w:ind w:left="-40" w:right="180" w:firstLine="233"/>
        <w:spacing w:after="0" w:line="266" w:lineRule="auto"/>
        <w:tabs>
          <w:tab w:leader="none" w:pos="45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Separability. </w:t>
      </w:r>
      <w:r>
        <w:rPr>
          <w:rFonts w:ascii="Arial" w:cs="Arial" w:eastAsia="Arial" w:hAnsi="Arial"/>
          <w:sz w:val="18"/>
          <w:szCs w:val="18"/>
          <w:color w:val="auto"/>
        </w:rPr>
        <w:t>Subject to Section 11 hereof, if any term or provision of this Agreement is declared illegal or unenforceable by any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and cannot be modified to be enforceable, such term or provision shall immediately become null and void, leaving the remainder of this Agreement in full force and effect.</w:t>
      </w:r>
    </w:p>
    <w:p>
      <w:pPr>
        <w:spacing w:after="0" w:line="68" w:lineRule="exact"/>
        <w:rPr>
          <w:rFonts w:ascii="Arial" w:cs="Arial" w:eastAsia="Arial" w:hAnsi="Arial"/>
          <w:sz w:val="18"/>
          <w:szCs w:val="18"/>
          <w:b w:val="1"/>
          <w:bCs w:val="1"/>
          <w:color w:val="auto"/>
        </w:rPr>
      </w:pPr>
    </w:p>
    <w:p>
      <w:pPr>
        <w:ind w:left="440" w:hanging="247"/>
        <w:spacing w:after="0"/>
        <w:tabs>
          <w:tab w:leader="none" w:pos="44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Headings. </w:t>
      </w:r>
      <w:r>
        <w:rPr>
          <w:rFonts w:ascii="Arial" w:cs="Arial" w:eastAsia="Arial" w:hAnsi="Arial"/>
          <w:sz w:val="16"/>
          <w:szCs w:val="16"/>
          <w:color w:val="auto"/>
        </w:rPr>
        <w:t>Section headings are used herein for convenience of reference only and shall not affect the meaning of any provision of this Agreement.</w:t>
      </w:r>
    </w:p>
    <w:p>
      <w:pPr>
        <w:spacing w:after="0" w:line="140" w:lineRule="exact"/>
        <w:rPr>
          <w:rFonts w:ascii="Arial" w:cs="Arial" w:eastAsia="Arial" w:hAnsi="Arial"/>
          <w:sz w:val="16"/>
          <w:szCs w:val="16"/>
          <w:b w:val="1"/>
          <w:bCs w:val="1"/>
          <w:color w:val="auto"/>
        </w:rPr>
      </w:pPr>
    </w:p>
    <w:p>
      <w:pPr>
        <w:ind w:left="460" w:hanging="267"/>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Rules of Construction. </w:t>
      </w:r>
      <w:r>
        <w:rPr>
          <w:rFonts w:ascii="Arial" w:cs="Arial" w:eastAsia="Arial" w:hAnsi="Arial"/>
          <w:sz w:val="18"/>
          <w:szCs w:val="18"/>
          <w:color w:val="auto"/>
        </w:rPr>
        <w:t>Whenever the context so requires, the use of the singular shall be deemed to include the plural and vice versa.</w:t>
      </w:r>
    </w:p>
    <w:p>
      <w:pPr>
        <w:spacing w:after="0" w:line="117" w:lineRule="exact"/>
        <w:rPr>
          <w:rFonts w:ascii="Arial" w:cs="Arial" w:eastAsia="Arial" w:hAnsi="Arial"/>
          <w:sz w:val="18"/>
          <w:szCs w:val="18"/>
          <w:b w:val="1"/>
          <w:bCs w:val="1"/>
          <w:color w:val="auto"/>
        </w:rPr>
      </w:pPr>
    </w:p>
    <w:p>
      <w:pPr>
        <w:ind w:left="-40" w:firstLine="233"/>
        <w:spacing w:after="0" w:line="282" w:lineRule="auto"/>
        <w:tabs>
          <w:tab w:leader="none" w:pos="43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so executed shall be deemed to be an original,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will together constitute but one Agreement.</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22. Potential Limitation on Severance Benefits.</w:t>
      </w:r>
    </w:p>
    <w:p>
      <w:pPr>
        <w:spacing w:after="0" w:line="117" w:lineRule="exact"/>
        <w:rPr>
          <w:sz w:val="20"/>
          <w:szCs w:val="20"/>
          <w:color w:val="auto"/>
        </w:rPr>
      </w:pPr>
    </w:p>
    <w:p>
      <w:pPr>
        <w:ind w:left="-40" w:right="40" w:firstLine="233"/>
        <w:spacing w:after="0" w:line="270" w:lineRule="auto"/>
        <w:tabs>
          <w:tab w:leader="none" w:pos="44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Potential Reduction Due to Application of Maximum Severance Amount Policy. </w:t>
      </w:r>
      <w:r>
        <w:rPr>
          <w:rFonts w:ascii="Arial" w:cs="Arial" w:eastAsia="Arial" w:hAnsi="Arial"/>
          <w:sz w:val="17"/>
          <w:szCs w:val="17"/>
          <w:color w:val="auto"/>
        </w:rPr>
        <w:t>Notwithstanding any provision in this Agreement to the contrary,</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a termination of Executive’s employment it is determined by the Company that the Severance Benefits (as defined below) owed to executive would exceed 2.99 times the sum of Executive’s then current base salary and target bonus (the “Maximum Severance Amount”), then the Severance Benefits provided to Executive shall be reduced to the Maximum Severance Amount. For purposes of this Section 23(a) , the term “Severance Benefits” means the aggregate present value of payments or distributions payable to Executive by the Company, its subsidiaries or affiliated entities as a result of the termination of employment (whether paid or provided pursuant to the terms of this Agreement or otherwise), including: (i) cash amounts payable by the Company in the event of termination of Executive’s employment; and (ii) the value of benefits or perquisites provided for periods after termination of employment (but excluding benefits or perquisites provided to employees generally). For purposes of this Section 23, however, the following will not be considered Severance Benefits: (i) payments of salary, bonus or performance award amounts that had accrued through the date of termination; (ii) payments based on accrued qualified and non-qualified deferred compensation plans, including retirement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1152" w:right="279" w:bottom="1440" w:gutter="0" w:footer="0" w:header="0"/>
          <w:type w:val="continuous"/>
        </w:sectPr>
      </w:pPr>
    </w:p>
    <w:bookmarkStart w:id="23" w:name="page24"/>
    <w:bookmarkEnd w:id="23"/>
    <w:p>
      <w:pPr>
        <w:ind w:right="40"/>
        <w:spacing w:after="0" w:line="257" w:lineRule="auto"/>
        <w:rPr>
          <w:sz w:val="20"/>
          <w:szCs w:val="20"/>
          <w:color w:val="auto"/>
        </w:rPr>
      </w:pPr>
      <w:r>
        <w:rPr>
          <w:rFonts w:ascii="Arial" w:cs="Arial" w:eastAsia="Arial" w:hAnsi="Arial"/>
          <w:sz w:val="18"/>
          <w:szCs w:val="18"/>
          <w:color w:val="auto"/>
        </w:rPr>
        <w:t>and savings benefits; (iii) any benefits or perquisites provided under plans or programs applicable to employees generally; (iv) amounts paid as part of any agreement intended to “make-whole” any forfeiture of benefits from a prior employer; (v) amounts paid for services following termination of employment for a reasonable consulting agreement for a period not to exceed one year; (vi) amounts paid for post-termination covenants; (vii) the value of accelerated vesting or payment of any outstanding equity-based award; and (viii) any payment that the Board or any committee thereof determines in good faith to be a reasonable settlement of any claim made against the Company.</w:t>
      </w:r>
    </w:p>
    <w:p>
      <w:pPr>
        <w:spacing w:after="0" w:line="76" w:lineRule="exact"/>
        <w:rPr>
          <w:sz w:val="20"/>
          <w:szCs w:val="20"/>
          <w:color w:val="auto"/>
        </w:rPr>
      </w:pPr>
    </w:p>
    <w:p>
      <w:pPr>
        <w:ind w:right="40" w:firstLine="233"/>
        <w:spacing w:after="0" w:line="287" w:lineRule="auto"/>
        <w:tabs>
          <w:tab w:leader="none" w:pos="49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Potential Reduction Due to Excise Taxation. </w:t>
      </w:r>
      <w:r>
        <w:rPr>
          <w:rFonts w:ascii="Arial" w:cs="Arial" w:eastAsia="Arial" w:hAnsi="Arial"/>
          <w:sz w:val="16"/>
          <w:szCs w:val="16"/>
          <w:color w:val="auto"/>
        </w:rPr>
        <w:t>Following application of Section 23(a), including any resulting reduction in benefits, in the event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any payments from the Company to Executive (including any payment or benefit received in connection with a Change in Control or the termination of Executive’s employment) would be subject (in whole or part) to any excise tax imposed under section 4999 of the Code (the “Excise Tax”), then the cash portion of the severance payments shall first be further reduced, and the non-cash severance payments shall thereafter be further reduced, to the extent necessary so that no portion of any payments from the Company to Executive is subject to the Excise Tax, but only if (i) the net amount of the severance payments to be received by Executive, as so reduced by this Section 23(b) (and after subtracting the net amount of federal, state and local income taxes on such additionally reduced severance payments and after taking into account the phase out of itemized deductions and personal exemptions attributable to such additionally reduced severance payments) is greater than or equal to (ii) the net amount of the severance payments to be received by Executive without such additional reduction (but after subtracting the net amount of federal, state and local income taxes on such severance payments and the amount of Excise Tax to which Executive would be subject in respect of such unreduced severance payments and after taking into account the phase out of itemized deductions and personal exemptions attributable to such unreduced severance payments); provided, however, that Executive may elect to have the non-cash portion of the severance payments reduced (or eliminated) prior to any reduction of the cash portion of the severance payments.</w:t>
      </w:r>
    </w:p>
    <w:p>
      <w:pPr>
        <w:spacing w:after="0" w:line="60" w:lineRule="exact"/>
        <w:rPr>
          <w:rFonts w:ascii="Arial" w:cs="Arial" w:eastAsia="Arial" w:hAnsi="Arial"/>
          <w:sz w:val="16"/>
          <w:szCs w:val="16"/>
          <w:b w:val="1"/>
          <w:bCs w:val="1"/>
          <w:color w:val="auto"/>
        </w:rPr>
      </w:pPr>
    </w:p>
    <w:p>
      <w:pPr>
        <w:ind w:firstLine="233"/>
        <w:spacing w:after="0" w:line="290" w:lineRule="auto"/>
        <w:tabs>
          <w:tab w:leader="none" w:pos="47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Calculation of Excise Tax. </w:t>
      </w:r>
      <w:r>
        <w:rPr>
          <w:rFonts w:ascii="Arial" w:cs="Arial" w:eastAsia="Arial" w:hAnsi="Arial"/>
          <w:sz w:val="16"/>
          <w:szCs w:val="16"/>
          <w:color w:val="auto"/>
        </w:rPr>
        <w:t>For purposes of determining whether and the extent to which portions of the payments owed to Executive will be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Excise Tax, (i) no portion of the severance payments the receipt or enjoyment of which Executive shall have waived at such time and in such manner as not to constitute a “payment” within the meaning of section 280G(b) of the Code shall be taken into account, (ii) no portion of the severance payments shall be taken into account which, in the opinion of tax counsel (“Tax Counsel”) who is reasonably acceptable to Executive and selected by the accounting firm (the “Auditor”) which was, immediately prior to the Change in Control, the Company’s independent auditor, does not constitute a “parachute payment” within the meaning of section 280G(b)(2) of the Code (including by reason of section 280G(b)(4)(A) of the Code) and, in calculating the Excise Tax, no portion of such severance payments shall be taken into account which, in the opinion of Tax Counsel,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severance payments shall be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determined by the Auditor in accordance with the principles of sections 280G(d)(3) and (4) of the Code.</w:t>
      </w:r>
    </w:p>
    <w:p>
      <w:pPr>
        <w:spacing w:after="0" w:line="113" w:lineRule="exact"/>
        <w:rPr>
          <w:sz w:val="20"/>
          <w:szCs w:val="20"/>
          <w:color w:val="auto"/>
        </w:rPr>
      </w:pPr>
    </w:p>
    <w:p>
      <w:pPr>
        <w:ind w:left="500" w:hanging="267"/>
        <w:spacing w:after="0"/>
        <w:tabs>
          <w:tab w:leader="none" w:pos="50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Determination of Present Value. </w:t>
      </w:r>
      <w:r>
        <w:rPr>
          <w:rFonts w:ascii="Arial" w:cs="Arial" w:eastAsia="Arial" w:hAnsi="Arial"/>
          <w:sz w:val="16"/>
          <w:szCs w:val="16"/>
          <w:color w:val="auto"/>
        </w:rPr>
        <w:t>For purposes of this Section 23, the present value shall be determined in accordance with section 280G(d)(4) of the</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Code.</w:t>
      </w:r>
    </w:p>
    <w:p>
      <w:pPr>
        <w:spacing w:after="0" w:line="99" w:lineRule="exact"/>
        <w:rPr>
          <w:sz w:val="20"/>
          <w:szCs w:val="20"/>
          <w:color w:val="auto"/>
        </w:rPr>
      </w:pPr>
    </w:p>
    <w:p>
      <w:pPr>
        <w:ind w:firstLine="233"/>
        <w:spacing w:after="0" w:line="288" w:lineRule="auto"/>
        <w:tabs>
          <w:tab w:leader="none" w:pos="495"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Code Section 409A. </w:t>
      </w:r>
      <w:r>
        <w:rPr>
          <w:rFonts w:ascii="Arial" w:cs="Arial" w:eastAsia="Arial" w:hAnsi="Arial"/>
          <w:sz w:val="16"/>
          <w:szCs w:val="16"/>
          <w:color w:val="auto"/>
        </w:rPr>
        <w:t>It is the intention of the Company and Executive that this Agreement not result in an unfavorable tax consequences to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under Section 409A of the Code (“Section 409A”). Executive hereby consents to any amendment of this Agreement as the Company may reasonably make in furtherance of such intention, and the Company shall promptly provide, or make available to, Executive a copy of such amendment. Moreover, notwithstanding anything in this Agreement to the contrary, if Executive is deemed to be a “specified employee” for purposes of Section 409A, no severance payment or other payments pursuant to, or contemplated by, this Agreement or otherwise that would reasonably be expected to result in excise taxes under Section 409A shall be distributable to Executive from the Company until the amount of time has elapsed that is necessary to avoid Executive incurring any excise taxes under Section 409A. Should application of the preceding sentence result in a delay of payments to Executive, on the first day any such payments may be made without Executive incurring a excise tax pursuant to Section 409A (the “409A Payment Date”), the Company shall begin to make such payments as described in this Agreement, provided that any amounts that would have been payable earlier but for the application of this Section 24, shall be paid in a lump-sum on the 409A Payment Date. If any severance or post-employment payment made to Executive is subject to any such excise or other tax, then payment of such tax is solely the responsibility of Executive, and not the Company.</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this Agreement is EXECUTED as of the date first set forth above and effective as set forth therein.</w:t>
      </w:r>
    </w:p>
    <w:p>
      <w:pPr>
        <w:spacing w:after="0" w:line="2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BRETT FRAZIER</w:t>
      </w:r>
    </w:p>
    <w:p>
      <w:pPr>
        <w:spacing w:after="0" w:line="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(“Executive”)</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Brett W. Frazier</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Brett Frazier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-130810</wp:posOffset>
            </wp:positionV>
            <wp:extent cx="27870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“Company”)</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Jay Romans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Jay Romans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Senior Vice President &amp; Chief People Officer</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sectPr>
      <w:pgSz w:w="11900" w:h="16838" w:orient="portrait"/>
      <w:cols w:equalWidth="0" w:num="1">
        <w:col w:w="11380"/>
      </w:cols>
      <w:pgMar w:left="240" w:top="93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o"/>
      <w:numFmt w:val="bullet"/>
      <w:start w:val="1"/>
    </w:lvl>
  </w:abstractNum>
  <w:abstractNum w:abstractNumId="1">
    <w:nsid w:val="2D1D5AE9"/>
    <w:multiLevelType w:val="hybridMultilevel"/>
    <w:lvl w:ilvl="0">
      <w:lvlJc w:val="left"/>
      <w:lvlText w:val="(%1)"/>
      <w:numFmt w:val="lowerLetter"/>
      <w:start w:val="1"/>
    </w:lvl>
  </w:abstractNum>
  <w:abstractNum w:abstractNumId="2">
    <w:nsid w:val="6763845E"/>
    <w:multiLevelType w:val="hybridMultilevel"/>
    <w:lvl w:ilvl="0">
      <w:lvlJc w:val="left"/>
      <w:lvlText w:val="(%1)"/>
      <w:numFmt w:val="lowerLetter"/>
      <w:start w:val="1"/>
    </w:lvl>
  </w:abstractNum>
  <w:abstractNum w:abstractNumId="3">
    <w:nsid w:val="75A2A8D4"/>
    <w:multiLevelType w:val="hybridMultilevel"/>
    <w:lvl w:ilvl="0">
      <w:lvlJc w:val="left"/>
      <w:lvlText w:val="(%1)"/>
      <w:numFmt w:val="lowerLetter"/>
      <w:start w:val="4"/>
    </w:lvl>
    <w:lvl w:ilvl="1">
      <w:lvlJc w:val="left"/>
      <w:lvlText w:val="%2"/>
      <w:numFmt w:val="lowerLetter"/>
      <w:start w:val="1"/>
    </w:lvl>
  </w:abstractNum>
  <w:abstractNum w:abstractNumId="4">
    <w:nsid w:val="8EDBDAB"/>
    <w:multiLevelType w:val="hybridMultilevel"/>
    <w:lvl w:ilvl="0">
      <w:lvlJc w:val="left"/>
      <w:lvlText w:val="(%1)"/>
      <w:numFmt w:val="lowerLetter"/>
      <w:start w:val="9"/>
    </w:lvl>
    <w:lvl w:ilvl="1">
      <w:lvlJc w:val="left"/>
      <w:lvlText w:val="%2"/>
      <w:numFmt w:val="lowerLetter"/>
      <w:start w:val="1"/>
    </w:lvl>
  </w:abstractNum>
  <w:abstractNum w:abstractNumId="5">
    <w:nsid w:val="79838CB2"/>
    <w:multiLevelType w:val="hybridMultilevel"/>
    <w:lvl w:ilvl="0">
      <w:lvlJc w:val="left"/>
      <w:lvlText w:val="(%1)"/>
      <w:numFmt w:val="lowerRoman"/>
      <w:start w:val="2"/>
    </w:lvl>
    <w:lvl w:ilvl="1">
      <w:lvlJc w:val="left"/>
      <w:lvlText w:val="(%2)"/>
      <w:numFmt w:val="lowerLetter"/>
      <w:start w:val="6"/>
    </w:lvl>
  </w:abstractNum>
  <w:abstractNum w:abstractNumId="6">
    <w:nsid w:val="4353D0CD"/>
    <w:multiLevelType w:val="hybridMultilevel"/>
    <w:lvl w:ilvl="0">
      <w:lvlJc w:val="left"/>
      <w:lvlText w:val="(%1)"/>
      <w:numFmt w:val="lowerLetter"/>
      <w:start w:val="1"/>
    </w:lvl>
  </w:abstractNum>
  <w:abstractNum w:abstractNumId="7">
    <w:nsid w:val="B03E0C6"/>
    <w:multiLevelType w:val="hybridMultilevel"/>
    <w:lvl w:ilvl="0">
      <w:lvlJc w:val="left"/>
      <w:lvlText w:val="%1"/>
      <w:numFmt w:val="lowerRoman"/>
      <w:start w:val="1"/>
    </w:lvl>
    <w:lvl w:ilvl="1">
      <w:lvlJc w:val="left"/>
      <w:lvlText w:val="(%2)"/>
      <w:numFmt w:val="lowerLetter"/>
      <w:start w:val="3"/>
    </w:lvl>
  </w:abstractNum>
  <w:abstractNum w:abstractNumId="8">
    <w:nsid w:val="189A769B"/>
    <w:multiLevelType w:val="hybridMultilevel"/>
    <w:lvl w:ilvl="0">
      <w:lvlJc w:val="left"/>
      <w:lvlText w:val="%1"/>
      <w:numFmt w:val="lowerRoman"/>
      <w:start w:val="1"/>
    </w:lvl>
    <w:lvl w:ilvl="1">
      <w:lvlJc w:val="left"/>
      <w:lvlText w:val="(%2)"/>
      <w:numFmt w:val="lowerLetter"/>
      <w:start w:val="9"/>
    </w:lvl>
  </w:abstractNum>
  <w:abstractNum w:abstractNumId="9">
    <w:nsid w:val="54E49EB4"/>
    <w:multiLevelType w:val="hybridMultilevel"/>
    <w:lvl w:ilvl="0">
      <w:lvlJc w:val="left"/>
      <w:lvlText w:val="%1"/>
      <w:numFmt w:val="lowerRoman"/>
      <w:start w:val="1"/>
    </w:lvl>
    <w:lvl w:ilvl="1">
      <w:lvlJc w:val="left"/>
      <w:lvlText w:val="(%2)"/>
      <w:numFmt w:val="lowerLetter"/>
      <w:start w:val="35"/>
    </w:lvl>
  </w:abstractNum>
  <w:abstractNum w:abstractNumId="10">
    <w:nsid w:val="71F32454"/>
    <w:multiLevelType w:val="hybridMultilevel"/>
    <w:lvl w:ilvl="0">
      <w:lvlJc w:val="left"/>
      <w:lvlText w:val="%1"/>
      <w:numFmt w:val="lowerRoman"/>
      <w:start w:val="1"/>
    </w:lvl>
    <w:lvl w:ilvl="1">
      <w:lvlJc w:val="left"/>
      <w:lvlText w:val="(%2)"/>
      <w:numFmt w:val="lowerLetter"/>
      <w:start w:val="4"/>
    </w:lvl>
  </w:abstractNum>
  <w:abstractNum w:abstractNumId="11">
    <w:nsid w:val="2CA88611"/>
    <w:multiLevelType w:val="hybridMultilevel"/>
    <w:lvl w:ilvl="0">
      <w:lvlJc w:val="left"/>
      <w:lvlText w:val="(%1)"/>
      <w:numFmt w:val="lowerRoman"/>
      <w:start w:val="1"/>
    </w:lvl>
  </w:abstractNum>
  <w:abstractNum w:abstractNumId="12">
    <w:nsid w:val="836C40E"/>
    <w:multiLevelType w:val="hybridMultilevel"/>
    <w:lvl w:ilvl="0">
      <w:lvlJc w:val="left"/>
      <w:lvlText w:val="(%1)"/>
      <w:numFmt w:val="lowerRoman"/>
      <w:start w:val="2"/>
    </w:lvl>
  </w:abstractNum>
  <w:abstractNum w:abstractNumId="13">
    <w:nsid w:val="2901D82"/>
    <w:multiLevelType w:val="hybridMultilevel"/>
    <w:lvl w:ilvl="0">
      <w:lvlJc w:val="left"/>
      <w:lvlText w:val="(%1)"/>
      <w:numFmt w:val="lowerLetter"/>
      <w:start w:val="5"/>
    </w:lvl>
  </w:abstractNum>
  <w:abstractNum w:abstractNumId="14">
    <w:nsid w:val="3A95F874"/>
    <w:multiLevelType w:val="hybridMultilevel"/>
    <w:lvl w:ilvl="0">
      <w:lvlJc w:val="left"/>
      <w:lvlText w:val="(%1)"/>
      <w:numFmt w:val="lowerLetter"/>
      <w:start w:val="1"/>
    </w:lvl>
    <w:lvl w:ilvl="1">
      <w:lvlJc w:val="left"/>
      <w:lvlText w:val="%2"/>
      <w:numFmt w:val="lowerLetter"/>
      <w:start w:val="1"/>
    </w:lvl>
  </w:abstractNum>
  <w:abstractNum w:abstractNumId="15">
    <w:nsid w:val="8138641"/>
    <w:multiLevelType w:val="hybridMultilevel"/>
    <w:lvl w:ilvl="0">
      <w:lvlJc w:val="left"/>
      <w:lvlText w:val="(%1)"/>
      <w:numFmt w:val="lowerLetter"/>
      <w:start w:val="9"/>
    </w:lvl>
    <w:lvl w:ilvl="1">
      <w:lvlJc w:val="left"/>
      <w:lvlText w:val="%2"/>
      <w:numFmt w:val="lowerLetter"/>
      <w:start w:val="1"/>
    </w:lvl>
  </w:abstractNum>
  <w:abstractNum w:abstractNumId="16">
    <w:nsid w:val="1E7FF521"/>
    <w:multiLevelType w:val="hybridMultilevel"/>
    <w:lvl w:ilvl="0">
      <w:lvlJc w:val="left"/>
      <w:lvlText w:val="(%1)"/>
      <w:numFmt w:val="lowerLetter"/>
      <w:start w:val="35"/>
    </w:lvl>
    <w:lvl w:ilvl="1">
      <w:lvlJc w:val="left"/>
      <w:lvlText w:val="%2"/>
      <w:numFmt w:val="lowerLetter"/>
      <w:start w:val="1"/>
    </w:lvl>
  </w:abstractNum>
  <w:abstractNum w:abstractNumId="17">
    <w:nsid w:val="7C3DBD3D"/>
    <w:multiLevelType w:val="hybridMultilevel"/>
    <w:lvl w:ilvl="0">
      <w:lvlJc w:val="left"/>
      <w:lvlText w:val="(%1)"/>
      <w:numFmt w:val="lowerLetter"/>
      <w:start w:val="2"/>
    </w:lvl>
    <w:lvl w:ilvl="1">
      <w:lvlJc w:val="left"/>
      <w:lvlText w:val="%2"/>
      <w:numFmt w:val="lowerLetter"/>
      <w:start w:val="1"/>
    </w:lvl>
  </w:abstractNum>
  <w:abstractNum w:abstractNumId="18">
    <w:nsid w:val="737B8DDC"/>
    <w:multiLevelType w:val="hybridMultilevel"/>
    <w:lvl w:ilvl="0">
      <w:lvlJc w:val="left"/>
      <w:lvlText w:val="(%1)"/>
      <w:numFmt w:val="lowerRoman"/>
      <w:start w:val="1"/>
    </w:lvl>
  </w:abstractNum>
  <w:abstractNum w:abstractNumId="19">
    <w:nsid w:val="6CEAF087"/>
    <w:multiLevelType w:val="hybridMultilevel"/>
    <w:lvl w:ilvl="0">
      <w:lvlJc w:val="left"/>
      <w:lvlText w:val="%1"/>
      <w:numFmt w:val="lowerRoman"/>
      <w:start w:val="1"/>
    </w:lvl>
    <w:lvl w:ilvl="1">
      <w:lvlJc w:val="left"/>
      <w:lvlText w:val="(%2)"/>
      <w:numFmt w:val="lowerLetter"/>
      <w:start w:val="3"/>
    </w:lvl>
  </w:abstractNum>
  <w:abstractNum w:abstractNumId="20">
    <w:nsid w:val="22221A70"/>
    <w:multiLevelType w:val="hybridMultilevel"/>
    <w:lvl w:ilvl="0">
      <w:lvlJc w:val="left"/>
      <w:lvlText w:val="%1"/>
      <w:numFmt w:val="lowerRoman"/>
      <w:start w:val="1"/>
    </w:lvl>
    <w:lvl w:ilvl="1">
      <w:lvlJc w:val="left"/>
      <w:lvlText w:val="(%2)"/>
      <w:numFmt w:val="lowerLetter"/>
      <w:start w:val="9"/>
    </w:lvl>
  </w:abstractNum>
  <w:abstractNum w:abstractNumId="21">
    <w:nsid w:val="4516DDE9"/>
    <w:multiLevelType w:val="hybridMultilevel"/>
    <w:lvl w:ilvl="0">
      <w:lvlJc w:val="left"/>
      <w:lvlText w:val="%1"/>
      <w:numFmt w:val="lowerRoman"/>
      <w:start w:val="1"/>
    </w:lvl>
    <w:lvl w:ilvl="1">
      <w:lvlJc w:val="left"/>
      <w:lvlText w:val="(%2)"/>
      <w:numFmt w:val="lowerLetter"/>
      <w:start w:val="35"/>
    </w:lvl>
  </w:abstractNum>
  <w:abstractNum w:abstractNumId="22">
    <w:nsid w:val="3006C83E"/>
    <w:multiLevelType w:val="hybridMultilevel"/>
    <w:lvl w:ilvl="0">
      <w:lvlJc w:val="left"/>
      <w:lvlText w:val="%1"/>
      <w:numFmt w:val="lowerRoman"/>
      <w:start w:val="1"/>
    </w:lvl>
    <w:lvl w:ilvl="1">
      <w:lvlJc w:val="left"/>
      <w:lvlText w:val="(%2)"/>
      <w:numFmt w:val="lowerLetter"/>
      <w:start w:val="4"/>
    </w:lvl>
  </w:abstractNum>
  <w:abstractNum w:abstractNumId="23">
    <w:nsid w:val="614FD4A1"/>
    <w:multiLevelType w:val="hybridMultilevel"/>
    <w:lvl w:ilvl="0">
      <w:lvlJc w:val="left"/>
      <w:lvlText w:val="(%1)"/>
      <w:numFmt w:val="lowerRoman"/>
      <w:start w:val="1"/>
    </w:lvl>
    <w:lvl w:ilvl="1">
      <w:lvlJc w:val="left"/>
      <w:lvlText w:val="(%2)"/>
      <w:numFmt w:val="lowerLetter"/>
      <w:start w:val="5"/>
    </w:lvl>
  </w:abstractNum>
  <w:abstractNum w:abstractNumId="24">
    <w:nsid w:val="419AC241"/>
    <w:multiLevelType w:val="hybridMultilevel"/>
    <w:lvl w:ilvl="0">
      <w:lvlJc w:val="left"/>
      <w:lvlText w:val="(%1)"/>
      <w:numFmt w:val="lowerRoman"/>
      <w:start w:val="1"/>
    </w:lvl>
  </w:abstractNum>
  <w:abstractNum w:abstractNumId="25">
    <w:nsid w:val="5577F8E1"/>
    <w:multiLevelType w:val="hybridMultilevel"/>
    <w:lvl w:ilvl="0">
      <w:lvlJc w:val="left"/>
      <w:lvlText w:val="(%1)"/>
      <w:numFmt w:val="lowerRoman"/>
      <w:start w:val="5"/>
    </w:lvl>
  </w:abstractNum>
  <w:abstractNum w:abstractNumId="26">
    <w:nsid w:val="440BADFC"/>
    <w:multiLevelType w:val="hybridMultilevel"/>
    <w:lvl w:ilvl="0">
      <w:lvlJc w:val="left"/>
      <w:lvlText w:val="%1"/>
      <w:numFmt w:val="lowerRoman"/>
      <w:start w:val="1"/>
    </w:lvl>
    <w:lvl w:ilvl="1">
      <w:lvlJc w:val="left"/>
      <w:lvlText w:val="(%2)"/>
      <w:numFmt w:val="lowerLetter"/>
      <w:start w:val="6"/>
    </w:lvl>
  </w:abstractNum>
  <w:abstractNum w:abstractNumId="27">
    <w:nsid w:val="5072367"/>
    <w:multiLevelType w:val="hybridMultilevel"/>
    <w:lvl w:ilvl="0">
      <w:lvlJc w:val="left"/>
      <w:lvlText w:val="%1"/>
      <w:numFmt w:val="lowerRoman"/>
      <w:start w:val="1"/>
    </w:lvl>
    <w:lvl w:ilvl="1">
      <w:lvlJc w:val="left"/>
      <w:lvlText w:val="(%2)"/>
      <w:numFmt w:val="lowerLetter"/>
      <w:start w:val="9"/>
    </w:lvl>
  </w:abstractNum>
  <w:abstractNum w:abstractNumId="28">
    <w:nsid w:val="3804823E"/>
    <w:multiLevelType w:val="hybridMultilevel"/>
    <w:lvl w:ilvl="0">
      <w:lvlJc w:val="left"/>
      <w:lvlText w:val="%1"/>
      <w:numFmt w:val="lowerRoman"/>
      <w:start w:val="1"/>
    </w:lvl>
    <w:lvl w:ilvl="1">
      <w:lvlJc w:val="left"/>
      <w:lvlText w:val="(%2)"/>
      <w:numFmt w:val="lowerLetter"/>
      <w:start w:val="35"/>
    </w:lvl>
  </w:abstractNum>
  <w:abstractNum w:abstractNumId="29">
    <w:nsid w:val="77465F01"/>
    <w:multiLevelType w:val="hybridMultilevel"/>
    <w:lvl w:ilvl="0">
      <w:lvlJc w:val="left"/>
      <w:lvlText w:val="%1"/>
      <w:numFmt w:val="lowerRoman"/>
      <w:start w:val="1"/>
    </w:lvl>
    <w:lvl w:ilvl="1">
      <w:lvlJc w:val="left"/>
      <w:lvlText w:val="(%2)"/>
      <w:numFmt w:val="lowerLetter"/>
      <w:start w:val="1"/>
    </w:lvl>
  </w:abstractNum>
  <w:abstractNum w:abstractNumId="30">
    <w:nsid w:val="7724C67E"/>
    <w:multiLevelType w:val="hybridMultilevel"/>
    <w:lvl w:ilvl="0">
      <w:lvlJc w:val="left"/>
      <w:lvlText w:val="%1"/>
      <w:numFmt w:val="lowerRoman"/>
      <w:start w:val="1"/>
    </w:lvl>
    <w:lvl w:ilvl="1">
      <w:lvlJc w:val="left"/>
      <w:lvlText w:val="(%2)"/>
      <w:numFmt w:val="lowerLetter"/>
      <w:start w:val="9"/>
    </w:lvl>
  </w:abstractNum>
  <w:abstractNum w:abstractNumId="31">
    <w:nsid w:val="5C482A97"/>
    <w:multiLevelType w:val="hybridMultilevel"/>
    <w:lvl w:ilvl="0">
      <w:lvlJc w:val="left"/>
      <w:lvlText w:val="%1"/>
      <w:numFmt w:val="lowerRoman"/>
      <w:start w:val="1"/>
    </w:lvl>
    <w:lvl w:ilvl="1">
      <w:lvlJc w:val="left"/>
      <w:lvlText w:val="(%2)"/>
      <w:numFmt w:val="lowerLetter"/>
      <w:start w:val="35"/>
    </w:lvl>
  </w:abstractNum>
  <w:abstractNum w:abstractNumId="32">
    <w:nsid w:val="2463B9E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3">
    <w:nsid w:val="5E884ADC"/>
    <w:multiLevelType w:val="hybridMultilevel"/>
    <w:lvl w:ilvl="0">
      <w:lvlJc w:val="left"/>
      <w:lvlText w:val="(%1)"/>
      <w:numFmt w:val="lowerRoman"/>
      <w:start w:val="2"/>
    </w:lvl>
    <w:lvl w:ilvl="1">
      <w:lvlJc w:val="left"/>
      <w:lvlText w:val="%2."/>
      <w:numFmt w:val="decimal"/>
      <w:start w:val="8"/>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lowerLetter"/>
      <w:start w:val="3"/>
    </w:lvl>
  </w:abstractNum>
  <w:abstractNum w:abstractNumId="36">
    <w:nsid w:val="580BD78F"/>
    <w:multiLevelType w:val="hybridMultilevel"/>
    <w:lvl w:ilvl="0">
      <w:lvlJc w:val="left"/>
      <w:lvlText w:val="(%1)"/>
      <w:numFmt w:val="lowerLetter"/>
      <w:start w:val="4"/>
    </w:lvl>
  </w:abstractNum>
  <w:abstractNum w:abstractNumId="37">
    <w:nsid w:val="153EA438"/>
    <w:multiLevelType w:val="hybridMultilevel"/>
    <w:lvl w:ilvl="0">
      <w:lvlJc w:val="left"/>
      <w:lvlText w:val="%1"/>
      <w:numFmt w:val="lowerLetter"/>
      <w:start w:val="1"/>
    </w:lvl>
    <w:lvl w:ilvl="1">
      <w:lvlJc w:val="left"/>
      <w:lvlText w:val="(%2)"/>
      <w:numFmt w:val="lowerLetter"/>
      <w:start w:val="1"/>
    </w:lvl>
  </w:abstractNum>
  <w:abstractNum w:abstractNumId="38">
    <w:nsid w:val="3855585C"/>
    <w:multiLevelType w:val="hybridMultilevel"/>
    <w:lvl w:ilvl="0">
      <w:lvlJc w:val="left"/>
      <w:lvlText w:val="(%1)"/>
      <w:numFmt w:val="lowerLetter"/>
      <w:start w:val="35"/>
    </w:lvl>
    <w:lvl w:ilvl="1">
      <w:lvlJc w:val="left"/>
      <w:lvlText w:val="(%2)"/>
      <w:numFmt w:val="lowerLetter"/>
      <w:start w:val="2"/>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lowerLetter"/>
      <w:start w:val="1"/>
    </w:lvl>
  </w:abstractNum>
  <w:abstractNum w:abstractNumId="41">
    <w:nsid w:val="2A487CB0"/>
    <w:multiLevelType w:val="hybridMultilevel"/>
    <w:lvl w:ilvl="0">
      <w:lvlJc w:val="left"/>
      <w:lvlText w:val="(%1)"/>
      <w:numFmt w:val="lowerLetter"/>
      <w:start w:val="2"/>
    </w:lvl>
  </w:abstractNum>
  <w:abstractNum w:abstractNumId="42">
    <w:nsid w:val="1D4ED43B"/>
    <w:multiLevelType w:val="hybridMultilevel"/>
    <w:lvl w:ilvl="0">
      <w:lvlJc w:val="left"/>
      <w:lvlText w:val="(%1)"/>
      <w:numFmt w:val="lowerLetter"/>
      <w:start w:val="4"/>
    </w:lvl>
  </w:abstractNum>
  <w:abstractNum w:abstractNumId="43">
    <w:nsid w:val="725A06FB"/>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2019-12-20T04:12:59Z</dcterms:created>
  <dcterms:modified xsi:type="dcterms:W3CDTF">2019-12-20T04:12:59Z</dcterms:modified>
</cp:coreProperties>
</file>