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267" w:hanging="903"/>
        <w:spacing w:after="0"/>
        <w:tabs>
          <w:tab w:leader="none" w:pos="12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w:t>
      </w:r>
    </w:p>
    <w:p>
      <w:pPr>
        <w:spacing w:after="0" w:line="4" w:lineRule="exact"/>
        <w:rPr>
          <w:rFonts w:ascii="Courier New" w:cs="Courier New" w:eastAsia="Courier New" w:hAnsi="Courier New"/>
          <w:sz w:val="15"/>
          <w:szCs w:val="15"/>
          <w:color w:val="auto"/>
        </w:rPr>
      </w:pPr>
    </w:p>
    <w:p>
      <w:pPr>
        <w:ind w:left="2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EXCHANGE ACT OF 1934</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FOR THE QUARTERLY PERIOD ENDED JUNE 30, 2000</w:t>
      </w:r>
    </w:p>
    <w:p>
      <w:pPr>
        <w:spacing w:after="0" w:line="180"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1267" w:right="4219" w:hanging="903"/>
        <w:spacing w:after="0" w:line="247" w:lineRule="auto"/>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26"/>
          </w:cols>
          <w:pgMar w:left="233" w:top="235" w:right="1440" w:bottom="1440" w:gutter="0" w:footer="0" w:header="0"/>
        </w:sectPr>
      </w:pPr>
    </w:p>
    <w:p>
      <w:pPr>
        <w:spacing w:after="0" w:line="175"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80" w:lineRule="exact"/>
        <w:rPr>
          <w:sz w:val="24"/>
          <w:szCs w:val="24"/>
          <w:color w:val="auto"/>
        </w:rPr>
      </w:pPr>
    </w:p>
    <w:p>
      <w:pPr>
        <w:sectPr>
          <w:pgSz w:w="11900" w:h="16838" w:orient="portrait"/>
          <w:cols w:equalWidth="0" w:num="2">
            <w:col w:w="4187" w:space="720"/>
            <w:col w:w="5319"/>
          </w:cols>
          <w:pgMar w:left="233" w:top="235" w:right="1440" w:bottom="1440" w:gutter="0" w:footer="0" w:header="0"/>
          <w:type w:val="continuous"/>
        </w:sectPr>
      </w:pPr>
    </w:p>
    <w:p>
      <w:pPr>
        <w:jc w:val="center"/>
        <w:ind w:right="2952"/>
        <w:spacing w:after="0"/>
        <w:rPr>
          <w:sz w:val="20"/>
          <w:szCs w:val="20"/>
          <w:color w:val="auto"/>
        </w:rPr>
      </w:pPr>
      <w:r>
        <w:rPr>
          <w:rFonts w:ascii="Courier New" w:cs="Courier New" w:eastAsia="Courier New" w:hAnsi="Courier New"/>
          <w:sz w:val="15"/>
          <w:szCs w:val="15"/>
          <w:color w:val="auto"/>
        </w:rPr>
        <w:t>COMMISSION FILE NUMBER 1-12154</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235" w:right="1440"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727" w:space="720"/>
            <w:col w:w="4779"/>
          </w:cols>
          <w:pgMar w:left="233" w:top="235" w:right="1440" w:bottom="1440" w:gutter="0" w:footer="0" w:header="0"/>
          <w:type w:val="continuous"/>
        </w:sectPr>
      </w:pPr>
    </w:p>
    <w:p>
      <w:pPr>
        <w:spacing w:after="0" w:line="154"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1001 FANNIN</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4000</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HOUSTON, TEXAS 77002</w:t>
      </w:r>
    </w:p>
    <w:p>
      <w:pPr>
        <w:spacing w:after="0" w:line="5" w:lineRule="exact"/>
        <w:rPr>
          <w:sz w:val="24"/>
          <w:szCs w:val="24"/>
          <w:color w:val="auto"/>
        </w:rPr>
      </w:pPr>
    </w:p>
    <w:p>
      <w:pPr>
        <w:ind w:left="1827"/>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(713) 512-6200</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0"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7" w:right="3319" w:firstLine="454"/>
        <w:spacing w:after="0" w:line="247"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August 4, 2000 was 621,594,978 (excluding treasury shares of 8,014,471).</w:t>
      </w:r>
    </w:p>
    <w:p>
      <w:pPr>
        <w:spacing w:after="0" w:line="174" w:lineRule="exact"/>
        <w:rPr>
          <w:sz w:val="24"/>
          <w:szCs w:val="24"/>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gridSpan w:val="3"/>
          </w:tcPr>
          <w:p>
            <w:pPr>
              <w:jc w:val="right"/>
              <w:ind w:right="824"/>
              <w:spacing w:after="0"/>
              <w:rPr>
                <w:sz w:val="20"/>
                <w:szCs w:val="20"/>
                <w:color w:val="auto"/>
              </w:rPr>
            </w:pPr>
            <w:r>
              <w:rPr>
                <w:rFonts w:ascii="Courier New" w:cs="Courier New" w:eastAsia="Courier New" w:hAnsi="Courier New"/>
                <w:sz w:val="15"/>
                <w:szCs w:val="15"/>
                <w:color w:val="auto"/>
              </w:rPr>
              <w:t>(IN THOUSANDS, EXCEPT SHARE AND PAR VALUE AMOUNTS)</w:t>
            </w:r>
          </w:p>
        </w:tc>
        <w:tc>
          <w:tcPr>
            <w:tcW w:w="1200" w:type="dxa"/>
            <w:vAlign w:val="bottom"/>
          </w:tcPr>
          <w:p>
            <w:pPr>
              <w:spacing w:after="0"/>
              <w:rPr>
                <w:sz w:val="14"/>
                <w:szCs w:val="14"/>
                <w:color w:val="auto"/>
              </w:rPr>
            </w:pPr>
          </w:p>
        </w:tc>
      </w:tr>
      <w:tr>
        <w:trPr>
          <w:trHeight w:val="699"/>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JUNE 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5"/>
                <w:szCs w:val="15"/>
                <w:color w:val="auto"/>
              </w:rPr>
            </w:pPr>
          </w:p>
        </w:tc>
      </w:tr>
      <w:tr>
        <w:trPr>
          <w:trHeight w:val="350"/>
        </w:trPr>
        <w:tc>
          <w:tcPr>
            <w:tcW w:w="56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ASSETS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103,545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181,357</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1,658,558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1,907,287</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Parts and supplies........................................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116,468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107,222</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293,726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298,433</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148,190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190,744</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Operations held for sale..................................</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2,055,674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3,535,502</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assets...............................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4,376,161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6,220,545</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Property and equipment, net.................................</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10,123,759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10,303,803</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5,203,523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5,185,909</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intangible assets, net................................</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163,708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170,768</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assets................................................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789,415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800,399</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$20,656,566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$22,681,424</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Accounts payable..........................................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940,591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$ 1,062,536</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Accrued liabilities.......................................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1,375,905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1,512,873</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revenues.........................................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387,987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407,084</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 maturities of long-term debt......................</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2,063,106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3,098,742</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Operations held for sale..................................</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596,158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1,408,220</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liabilities..........................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5,363,747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7,489,455</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Long-term debt, less current maturities.....................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8,054,610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8,399,346</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income taxes.......................................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848,190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729,902</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Environmental liabilities...................................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842,232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837,407</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liabilities...........................................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808,516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815,028</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15,917,295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18,271,138</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Minority interest in subsidiaries...........................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9,302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7,674</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authorized; none issued.................................</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authorized; 629,108,090 and 627,283,618 shares issued,</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respectively............................................</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6,273</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Additional paid-in capital................................</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4,486,061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4,440,159</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Retained earnings.........................................</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718,064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662,746</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(323,405)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(563,086)</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Restricted stock unearned compensation....................</w:t>
            </w:r>
          </w:p>
        </w:tc>
        <w:tc>
          <w:tcPr>
            <w:tcW w:w="1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(3,936)</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 121,859 and 73,709 shares,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respectively............................................</w:t>
            </w:r>
          </w:p>
        </w:tc>
        <w:tc>
          <w:tcPr>
            <w:tcW w:w="1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(3,208)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(3,890)</w:t>
            </w:r>
          </w:p>
        </w:tc>
      </w:tr>
      <w:tr>
        <w:trPr>
          <w:trHeight w:val="175"/>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benefit trust at market, 7,892,612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(149,960)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(135,654)</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stockholders' equity.........................</w:t>
            </w:r>
          </w:p>
        </w:tc>
        <w:tc>
          <w:tcPr>
            <w:tcW w:w="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4,729,969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4,402,612</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$20,656,566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$22,681,424</w:t>
            </w:r>
          </w:p>
        </w:tc>
      </w:tr>
      <w:tr>
        <w:trPr>
          <w:trHeight w:val="175"/>
        </w:trPr>
        <w:tc>
          <w:tcPr>
            <w:tcW w:w="562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THREE MONTHS ENDED</w:t>
            </w:r>
          </w:p>
        </w:tc>
        <w:tc>
          <w:tcPr>
            <w:tcW w:w="200" w:type="dxa"/>
            <w:vAlign w:val="bottom"/>
          </w:tcPr>
          <w:p>
            <w:pPr>
              <w:spacing w:after="0"/>
              <w:rPr>
                <w:sz w:val="14"/>
                <w:szCs w:val="14"/>
                <w:color w:val="auto"/>
              </w:rPr>
            </w:pPr>
          </w:p>
        </w:tc>
        <w:tc>
          <w:tcPr>
            <w:tcW w:w="20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3"/>
          </w:tcPr>
          <w:p>
            <w:pPr>
              <w:jc w:val="right"/>
              <w:ind w:right="824"/>
              <w:spacing w:after="0"/>
              <w:rPr>
                <w:sz w:val="20"/>
                <w:szCs w:val="20"/>
                <w:color w:val="auto"/>
              </w:rPr>
            </w:pPr>
            <w:r>
              <w:rPr>
                <w:rFonts w:ascii="Courier New" w:cs="Courier New" w:eastAsia="Courier New" w:hAnsi="Courier New"/>
                <w:sz w:val="15"/>
                <w:szCs w:val="15"/>
                <w:color w:val="auto"/>
              </w:rPr>
              <w:t>JUNE 30,</w:t>
            </w:r>
          </w:p>
        </w:tc>
        <w:tc>
          <w:tcPr>
            <w:tcW w:w="200" w:type="dxa"/>
            <w:vAlign w:val="bottom"/>
          </w:tcPr>
          <w:p>
            <w:pPr>
              <w:spacing w:after="0"/>
              <w:rPr>
                <w:sz w:val="15"/>
                <w:szCs w:val="15"/>
                <w:color w:val="auto"/>
              </w:rPr>
            </w:pPr>
          </w:p>
        </w:tc>
        <w:tc>
          <w:tcPr>
            <w:tcW w:w="20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40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6"/>
              </w:rPr>
              <w: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$3,265,711</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$3,324,775</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$6,483,020</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$6,395,410</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Operating (exclusive of depreciation and</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amortization shown below).................</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1,949,143</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1,836,193</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3,904,859</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3,496,976</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General and administrative...................</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444,830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297,704</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938,841</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573,642</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362,308</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393,433</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712,717</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749,765</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Merger and acquisition related costs.........</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62,211</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79,695</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Asset impairments and unusual items..........</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216,444</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19,750</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308,682</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19,750</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2,972,725</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2,609,291</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5,865,099</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4,919,828</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292,986</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715,484</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617,921</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1,475,582</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(199,598)</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(184,911)</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(409,807)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(361,068)</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6,041</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5,663</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14,889</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8,481</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(6,597)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(6,547)</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(12,569)</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(13,009)</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income.................................</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12,312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16,215</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14,563</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30,578</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(187,842)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(169,580)</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(392,924)</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(335,018)</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105,144</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545,904</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224,997</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1,140,564</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104,829</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227,642</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169,679</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475,614</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318,262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55,318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664,950</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 earnings per common share................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 earnings per common share..............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621,065</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610,904</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620,807</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606,677</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potential common shares outstanding..........</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622,860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646,716</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621,998</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644,719</w:t>
            </w:r>
          </w:p>
        </w:tc>
      </w:tr>
      <w:tr>
        <w:trPr>
          <w:trHeight w:val="175"/>
        </w:trPr>
        <w:tc>
          <w:tcPr>
            <w:tcW w:w="44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354" w:lineRule="exact"/>
        <w:rPr>
          <w:sz w:val="20"/>
          <w:szCs w:val="20"/>
          <w:color w:val="auto"/>
        </w:rPr>
      </w:pPr>
    </w:p>
    <w:p>
      <w:pPr>
        <w:jc w:val="center"/>
        <w:ind w:left="5020"/>
        <w:spacing w:after="0"/>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jc w:val="center"/>
        <w:ind w:left="5020"/>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5440"/>
        <w:spacing w:after="0"/>
        <w:tabs>
          <w:tab w:leader="none" w:pos="7600" w:val="left"/>
          <w:tab w:leader="none" w:pos="9060" w:val="left"/>
        </w:tabs>
        <w:rPr>
          <w:sz w:val="20"/>
          <w:szCs w:val="20"/>
          <w:color w:val="auto"/>
        </w:rPr>
      </w:pPr>
      <w:r>
        <w:rPr>
          <w:rFonts w:ascii="Courier New" w:cs="Courier New" w:eastAsia="Courier New" w:hAnsi="Courier New"/>
          <w:sz w:val="15"/>
          <w:szCs w:val="15"/>
          <w:color w:val="auto"/>
        </w:rPr>
        <w:t>ADDITIONAL</w:t>
      </w:r>
      <w:r>
        <w:rPr>
          <w:sz w:val="20"/>
          <w:szCs w:val="20"/>
          <w:color w:val="auto"/>
        </w:rPr>
        <w:tab/>
      </w:r>
      <w:r>
        <w:rPr>
          <w:rFonts w:ascii="Courier New" w:cs="Courier New" w:eastAsia="Courier New" w:hAnsi="Courier New"/>
          <w:sz w:val="15"/>
          <w:szCs w:val="15"/>
          <w:color w:val="auto"/>
        </w:rPr>
        <w:t>COMPREHENSIVE</w:t>
      </w:r>
      <w:r>
        <w:rPr>
          <w:sz w:val="20"/>
          <w:szCs w:val="20"/>
          <w:color w:val="auto"/>
        </w:rPr>
        <w:tab/>
      </w:r>
      <w:r>
        <w:rPr>
          <w:rFonts w:ascii="Courier New" w:cs="Courier New" w:eastAsia="Courier New" w:hAnsi="Courier New"/>
          <w:sz w:val="15"/>
          <w:szCs w:val="15"/>
          <w:color w:val="auto"/>
        </w:rPr>
        <w:t>RESTRICTED STOCK</w:t>
      </w:r>
    </w:p>
    <w:p>
      <w:pPr>
        <w:spacing w:after="0" w:line="5" w:lineRule="exact"/>
        <w:rPr>
          <w:sz w:val="20"/>
          <w:szCs w:val="20"/>
          <w:color w:val="auto"/>
        </w:rPr>
      </w:pPr>
    </w:p>
    <w:p>
      <w:pPr>
        <w:jc w:val="both"/>
        <w:ind w:left="3540"/>
        <w:spacing w:after="0"/>
        <w:tabs>
          <w:tab w:leader="none" w:pos="4600" w:val="left"/>
          <w:tab w:leader="none" w:pos="5520" w:val="left"/>
          <w:tab w:leader="none" w:pos="6600" w:val="left"/>
          <w:tab w:leader="none" w:pos="7880" w:val="left"/>
          <w:tab w:leader="none" w:pos="9420" w:val="left"/>
          <w:tab w:leader="none" w:pos="10780" w:val="left"/>
        </w:tabs>
        <w:rPr>
          <w:sz w:val="20"/>
          <w:szCs w:val="20"/>
          <w:color w:val="auto"/>
        </w:rPr>
      </w:pPr>
      <w:r>
        <w:rPr>
          <w:rFonts w:ascii="Courier New" w:cs="Courier New" w:eastAsia="Courier New" w:hAnsi="Courier New"/>
          <w:sz w:val="15"/>
          <w:szCs w:val="15"/>
          <w:color w:val="auto"/>
        </w:rPr>
        <w:t>PREFERRED</w:t>
        <w:tab/>
        <w:t>COMMON</w:t>
      </w:r>
      <w:r>
        <w:rPr>
          <w:sz w:val="20"/>
          <w:szCs w:val="20"/>
          <w:color w:val="auto"/>
        </w:rPr>
        <w:tab/>
      </w: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RETAINED</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UNEARNED</w:t>
      </w:r>
      <w:r>
        <w:rPr>
          <w:sz w:val="20"/>
          <w:szCs w:val="20"/>
          <w:color w:val="auto"/>
        </w:rPr>
        <w:tab/>
      </w:r>
      <w:r>
        <w:rPr>
          <w:rFonts w:ascii="Courier New" w:cs="Courier New" w:eastAsia="Courier New" w:hAnsi="Courier New"/>
          <w:sz w:val="15"/>
          <w:szCs w:val="15"/>
          <w:color w:val="auto"/>
        </w:rPr>
        <w:t>TREASURY</w:t>
      </w:r>
    </w:p>
    <w:p>
      <w:pPr>
        <w:spacing w:after="0" w:line="5" w:lineRule="exact"/>
        <w:rPr>
          <w:sz w:val="20"/>
          <w:szCs w:val="20"/>
          <w:color w:val="auto"/>
        </w:rPr>
      </w:pPr>
    </w:p>
    <w:p>
      <w:pPr>
        <w:ind w:left="3720"/>
        <w:spacing w:after="0"/>
        <w:tabs>
          <w:tab w:leader="none" w:pos="4600" w:val="left"/>
          <w:tab w:leader="none" w:pos="5520" w:val="left"/>
          <w:tab w:leader="none" w:pos="6600" w:val="left"/>
          <w:tab w:leader="none" w:pos="7880" w:val="left"/>
          <w:tab w:leader="none" w:pos="9240" w:val="left"/>
          <w:tab w:leader="none" w:pos="1088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STOCK</w:t>
      </w:r>
    </w:p>
    <w:p>
      <w:pPr>
        <w:spacing w:after="0" w:line="5" w:lineRule="exact"/>
        <w:rPr>
          <w:sz w:val="20"/>
          <w:szCs w:val="20"/>
          <w:color w:val="auto"/>
        </w:rPr>
      </w:pPr>
    </w:p>
    <w:p>
      <w:pPr>
        <w:ind w:left="3540"/>
        <w:spacing w:after="0"/>
        <w:tabs>
          <w:tab w:leader="none" w:pos="4600" w:val="left"/>
          <w:tab w:leader="none" w:pos="5420" w:val="left"/>
          <w:tab w:leader="none" w:pos="6600" w:val="left"/>
          <w:tab w:leader="none" w:pos="7600" w:val="left"/>
          <w:tab w:leader="none" w:pos="9060" w:val="left"/>
          <w:tab w:leader="none" w:pos="10780" w:val="left"/>
        </w:tabs>
        <w:rPr>
          <w:sz w:val="20"/>
          <w:szCs w:val="20"/>
          <w:color w:val="auto"/>
        </w:rPr>
      </w:pPr>
      <w:r>
        <w:rPr>
          <w:rFonts w:ascii="Courier New" w:cs="Courier New" w:eastAsia="Courier New" w:hAnsi="Courier New"/>
          <w:sz w:val="15"/>
          <w:szCs w:val="15"/>
          <w:color w:val="auto"/>
        </w:rPr>
        <w:t>---------</w:t>
        <w:tab/>
        <w:t>------</w:t>
        <w:tab/>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pacing w:after="0"/>
        <w:tabs>
          <w:tab w:leader="none" w:pos="3600" w:val="left"/>
          <w:tab w:leader="none" w:pos="4060" w:val="left"/>
          <w:tab w:leader="none" w:pos="4600" w:val="left"/>
          <w:tab w:leader="none" w:pos="5420" w:val="left"/>
          <w:tab w:leader="none" w:pos="6600" w:val="left"/>
          <w:tab w:leader="none" w:pos="7780" w:val="left"/>
          <w:tab w:leader="none" w:pos="9420" w:val="left"/>
          <w:tab w:leader="none" w:pos="10780" w:val="left"/>
        </w:tabs>
        <w:rPr>
          <w:sz w:val="20"/>
          <w:szCs w:val="20"/>
          <w:color w:val="auto"/>
        </w:rPr>
      </w:pPr>
      <w:r>
        <w:rPr>
          <w:rFonts w:ascii="Courier New" w:cs="Courier New" w:eastAsia="Courier New" w:hAnsi="Courier New"/>
          <w:sz w:val="15"/>
          <w:szCs w:val="15"/>
          <w:color w:val="auto"/>
        </w:rPr>
        <w:t>Balance, December 31, 1999...........</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$6,273</w:t>
        <w:tab/>
        <w:t>$4,440,159</w:t>
        <w:tab/>
        <w:t>$662,746</w:t>
      </w:r>
      <w:r>
        <w:rPr>
          <w:sz w:val="20"/>
          <w:szCs w:val="20"/>
          <w:color w:val="auto"/>
        </w:rPr>
        <w:tab/>
      </w:r>
      <w:r>
        <w:rPr>
          <w:rFonts w:ascii="Courier New" w:cs="Courier New" w:eastAsia="Courier New" w:hAnsi="Courier New"/>
          <w:sz w:val="15"/>
          <w:szCs w:val="15"/>
          <w:color w:val="auto"/>
        </w:rPr>
        <w:t>$(563,086)</w:t>
      </w:r>
      <w:r>
        <w:rPr>
          <w:sz w:val="20"/>
          <w:szCs w:val="20"/>
          <w:color w:val="auto"/>
        </w:rPr>
        <w:tab/>
      </w:r>
      <w:r>
        <w:rPr>
          <w:rFonts w:ascii="Courier New" w:cs="Courier New" w:eastAsia="Courier New" w:hAnsi="Courier New"/>
          <w:sz w:val="15"/>
          <w:szCs w:val="15"/>
          <w:color w:val="auto"/>
        </w:rPr>
        <w:t>$(3,936)</w:t>
      </w:r>
      <w:r>
        <w:rPr>
          <w:sz w:val="20"/>
          <w:szCs w:val="20"/>
          <w:color w:val="auto"/>
        </w:rPr>
        <w:tab/>
      </w:r>
      <w:r>
        <w:rPr>
          <w:rFonts w:ascii="Courier New" w:cs="Courier New" w:eastAsia="Courier New" w:hAnsi="Courier New"/>
          <w:sz w:val="15"/>
          <w:szCs w:val="15"/>
          <w:color w:val="auto"/>
        </w:rPr>
        <w:t>$(3,890)</w:t>
      </w:r>
    </w:p>
    <w:p>
      <w:pPr>
        <w:spacing w:after="0" w:line="5" w:lineRule="exact"/>
        <w:rPr>
          <w:sz w:val="20"/>
          <w:szCs w:val="20"/>
          <w:color w:val="auto"/>
        </w:rPr>
      </w:pPr>
    </w:p>
    <w:p>
      <w:pPr>
        <w:ind w:left="80"/>
        <w:spacing w:after="0"/>
        <w:tabs>
          <w:tab w:leader="none" w:pos="4060" w:val="left"/>
          <w:tab w:leader="none" w:pos="4880" w:val="left"/>
          <w:tab w:leader="none" w:pos="6160" w:val="left"/>
          <w:tab w:leader="none" w:pos="6700" w:val="left"/>
          <w:tab w:leader="none" w:pos="8420" w:val="left"/>
          <w:tab w:leader="none" w:pos="9880" w:val="left"/>
          <w:tab w:leader="none" w:pos="1124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55,318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upon exercise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stock options and warrants and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grants of restricted stock</w:t>
      </w:r>
    </w:p>
    <w:p>
      <w:pPr>
        <w:spacing w:after="0" w:line="5" w:lineRule="exact"/>
        <w:rPr>
          <w:sz w:val="20"/>
          <w:szCs w:val="20"/>
          <w:color w:val="auto"/>
        </w:rPr>
      </w:pPr>
    </w:p>
    <w:p>
      <w:pPr>
        <w:ind w:left="260"/>
        <w:spacing w:after="0"/>
        <w:tabs>
          <w:tab w:leader="none" w:pos="4060" w:val="left"/>
          <w:tab w:leader="none" w:pos="4980" w:val="left"/>
          <w:tab w:leader="none" w:pos="6060" w:val="left"/>
          <w:tab w:leader="none" w:pos="7060" w:val="left"/>
          <w:tab w:leader="none" w:pos="8420" w:val="left"/>
          <w:tab w:leader="none" w:pos="9700" w:val="left"/>
          <w:tab w:leader="none" w:pos="10960" w:val="left"/>
        </w:tabs>
        <w:rPr>
          <w:sz w:val="20"/>
          <w:szCs w:val="20"/>
          <w:color w:val="auto"/>
        </w:rPr>
      </w:pPr>
      <w:r>
        <w:rPr>
          <w:rFonts w:ascii="Courier New" w:cs="Courier New" w:eastAsia="Courier New" w:hAnsi="Courier New"/>
          <w:sz w:val="15"/>
          <w:szCs w:val="15"/>
          <w:color w:val="auto"/>
        </w:rPr>
        <w:t>(including tax benefit)...........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782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(685)</w:t>
      </w:r>
      <w:r>
        <w:rPr>
          <w:sz w:val="20"/>
          <w:szCs w:val="20"/>
          <w:color w:val="auto"/>
        </w:rPr>
        <w:tab/>
      </w:r>
      <w:r>
        <w:rPr>
          <w:rFonts w:ascii="Courier New" w:cs="Courier New" w:eastAsia="Courier New" w:hAnsi="Courier New"/>
          <w:sz w:val="15"/>
          <w:szCs w:val="15"/>
          <w:color w:val="auto"/>
        </w:rPr>
        <w:t>1,847</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Earned compensation related to</w:t>
      </w:r>
    </w:p>
    <w:p>
      <w:pPr>
        <w:spacing w:after="0" w:line="5" w:lineRule="exact"/>
        <w:rPr>
          <w:sz w:val="20"/>
          <w:szCs w:val="20"/>
          <w:color w:val="auto"/>
        </w:rPr>
      </w:pPr>
    </w:p>
    <w:p>
      <w:pPr>
        <w:ind w:left="260"/>
        <w:spacing w:after="0"/>
        <w:tabs>
          <w:tab w:leader="none" w:pos="4060" w:val="left"/>
          <w:tab w:leader="none" w:pos="4880" w:val="left"/>
          <w:tab w:leader="none" w:pos="6160" w:val="left"/>
          <w:tab w:leader="none" w:pos="7060" w:val="left"/>
          <w:tab w:leader="none" w:pos="8420" w:val="left"/>
          <w:tab w:leader="none" w:pos="9780" w:val="left"/>
          <w:tab w:leader="none" w:pos="11240" w:val="left"/>
        </w:tabs>
        <w:rPr>
          <w:sz w:val="20"/>
          <w:szCs w:val="20"/>
          <w:color w:val="auto"/>
        </w:rPr>
      </w:pPr>
      <w:r>
        <w:rPr>
          <w:rFonts w:ascii="Courier New" w:cs="Courier New" w:eastAsia="Courier New" w:hAnsi="Courier New"/>
          <w:sz w:val="15"/>
          <w:szCs w:val="15"/>
          <w:color w:val="auto"/>
        </w:rPr>
        <w:t>restricted stock..................</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747</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(purchased) 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connection with litigation</w:t>
      </w:r>
    </w:p>
    <w:p>
      <w:pPr>
        <w:spacing w:after="0" w:line="5" w:lineRule="exact"/>
        <w:rPr>
          <w:sz w:val="20"/>
          <w:szCs w:val="20"/>
          <w:color w:val="auto"/>
        </w:rPr>
      </w:pPr>
    </w:p>
    <w:p>
      <w:pPr>
        <w:ind w:left="260"/>
        <w:spacing w:after="0"/>
        <w:tabs>
          <w:tab w:leader="none" w:pos="4060" w:val="left"/>
          <w:tab w:leader="none" w:pos="4880" w:val="left"/>
          <w:tab w:leader="none" w:pos="5780" w:val="left"/>
          <w:tab w:leader="none" w:pos="7060" w:val="left"/>
          <w:tab w:leader="none" w:pos="8420" w:val="left"/>
          <w:tab w:leader="none" w:pos="9880" w:val="left"/>
          <w:tab w:leader="none" w:pos="10880" w:val="left"/>
        </w:tabs>
        <w:rPr>
          <w:sz w:val="20"/>
          <w:szCs w:val="20"/>
          <w:color w:val="auto"/>
        </w:rPr>
      </w:pPr>
      <w:r>
        <w:rPr>
          <w:rFonts w:ascii="Courier New" w:cs="Courier New" w:eastAsia="Courier New" w:hAnsi="Courier New"/>
          <w:sz w:val="15"/>
          <w:szCs w:val="15"/>
          <w:color w:val="auto"/>
        </w:rPr>
        <w:t>settlements.......................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17,141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(1,165)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of employee stock benefit</w:t>
      </w:r>
    </w:p>
    <w:p>
      <w:pPr>
        <w:spacing w:after="0" w:line="5" w:lineRule="exact"/>
        <w:rPr>
          <w:sz w:val="20"/>
          <w:szCs w:val="20"/>
          <w:color w:val="auto"/>
        </w:rPr>
      </w:pPr>
    </w:p>
    <w:p>
      <w:pPr>
        <w:ind w:left="260"/>
        <w:spacing w:after="0"/>
        <w:tabs>
          <w:tab w:leader="none" w:pos="4060" w:val="left"/>
          <w:tab w:leader="none" w:pos="4880" w:val="left"/>
          <w:tab w:leader="none" w:pos="5780" w:val="left"/>
          <w:tab w:leader="none" w:pos="7060" w:val="left"/>
          <w:tab w:leader="none" w:pos="8420" w:val="left"/>
          <w:tab w:leader="none" w:pos="9880" w:val="left"/>
          <w:tab w:leader="none" w:pos="11240" w:val="left"/>
        </w:tabs>
        <w:rPr>
          <w:sz w:val="20"/>
          <w:szCs w:val="20"/>
          <w:color w:val="auto"/>
        </w:rPr>
      </w:pPr>
      <w:r>
        <w:rPr>
          <w:rFonts w:ascii="Courier New" w:cs="Courier New" w:eastAsia="Courier New" w:hAnsi="Courier New"/>
          <w:sz w:val="15"/>
          <w:szCs w:val="15"/>
          <w:color w:val="auto"/>
        </w:rPr>
        <w:t>trust to market 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14,306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for minimum pension</w:t>
      </w:r>
    </w:p>
    <w:p>
      <w:pPr>
        <w:spacing w:after="0" w:line="5" w:lineRule="exact"/>
        <w:rPr>
          <w:sz w:val="20"/>
          <w:szCs w:val="20"/>
          <w:color w:val="auto"/>
        </w:rPr>
      </w:pPr>
    </w:p>
    <w:p>
      <w:pPr>
        <w:ind w:left="260"/>
        <w:spacing w:after="0"/>
        <w:tabs>
          <w:tab w:leader="none" w:pos="4060" w:val="left"/>
          <w:tab w:leader="none" w:pos="4880" w:val="left"/>
          <w:tab w:leader="none" w:pos="6160" w:val="left"/>
          <w:tab w:leader="none" w:pos="7060" w:val="left"/>
          <w:tab w:leader="none" w:pos="8060" w:val="left"/>
          <w:tab w:leader="none" w:pos="9880" w:val="left"/>
          <w:tab w:leader="none" w:pos="11240" w:val="left"/>
        </w:tabs>
        <w:rPr>
          <w:sz w:val="20"/>
          <w:szCs w:val="20"/>
          <w:color w:val="auto"/>
        </w:rPr>
      </w:pPr>
      <w:r>
        <w:rPr>
          <w:rFonts w:ascii="Courier New" w:cs="Courier New" w:eastAsia="Courier New" w:hAnsi="Courier New"/>
          <w:sz w:val="15"/>
          <w:szCs w:val="15"/>
          <w:color w:val="auto"/>
        </w:rPr>
        <w:t>liability, net of taxes...........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56,450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Cumulative translation adjustment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foreign currency statements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including effects of</w:t>
      </w:r>
    </w:p>
    <w:p>
      <w:pPr>
        <w:spacing w:after="0" w:line="5" w:lineRule="exact"/>
        <w:rPr>
          <w:sz w:val="20"/>
          <w:szCs w:val="20"/>
          <w:color w:val="auto"/>
        </w:rPr>
      </w:pPr>
    </w:p>
    <w:p>
      <w:pPr>
        <w:ind w:left="260"/>
        <w:spacing w:after="0"/>
        <w:tabs>
          <w:tab w:leader="none" w:pos="4060" w:val="left"/>
          <w:tab w:leader="none" w:pos="4880" w:val="left"/>
          <w:tab w:leader="none" w:pos="6160" w:val="left"/>
          <w:tab w:leader="none" w:pos="7060" w:val="left"/>
          <w:tab w:leader="none" w:pos="7980" w:val="left"/>
          <w:tab w:leader="none" w:pos="9880" w:val="left"/>
          <w:tab w:leader="none" w:pos="11240" w:val="left"/>
        </w:tabs>
        <w:rPr>
          <w:sz w:val="20"/>
          <w:szCs w:val="20"/>
          <w:color w:val="auto"/>
        </w:rPr>
      </w:pPr>
      <w:r>
        <w:rPr>
          <w:rFonts w:ascii="Courier New" w:cs="Courier New" w:eastAsia="Courier New" w:hAnsi="Courier New"/>
          <w:sz w:val="15"/>
          <w:szCs w:val="15"/>
          <w:color w:val="auto"/>
        </w:rPr>
        <w:t>divestitures......................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183,231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tabs>
          <w:tab w:leader="none" w:pos="4060" w:val="left"/>
          <w:tab w:leader="none" w:pos="4980" w:val="left"/>
          <w:tab w:leader="none" w:pos="5780" w:val="left"/>
          <w:tab w:leader="none" w:pos="7060" w:val="left"/>
          <w:tab w:leader="none" w:pos="8420" w:val="left"/>
          <w:tab w:leader="none" w:pos="9880" w:val="left"/>
          <w:tab w:leader="none" w:pos="1124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13,673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620"/>
        <w:spacing w:after="0"/>
        <w:tabs>
          <w:tab w:leader="none" w:pos="4600" w:val="left"/>
          <w:tab w:leader="none" w:pos="5420" w:val="left"/>
          <w:tab w:leader="none" w:pos="6600" w:val="left"/>
          <w:tab w:leader="none" w:pos="7780" w:val="left"/>
          <w:tab w:leader="none" w:pos="9420" w:val="left"/>
          <w:tab w:leader="none" w:pos="10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600" w:val="left"/>
          <w:tab w:leader="none" w:pos="4060" w:val="left"/>
          <w:tab w:leader="none" w:pos="4600" w:val="left"/>
          <w:tab w:leader="none" w:pos="5420" w:val="left"/>
          <w:tab w:leader="none" w:pos="6600" w:val="left"/>
          <w:tab w:leader="none" w:pos="7780" w:val="left"/>
          <w:tab w:leader="none" w:pos="9420" w:val="left"/>
          <w:tab w:leader="none" w:pos="10780" w:val="left"/>
        </w:tabs>
        <w:rPr>
          <w:sz w:val="20"/>
          <w:szCs w:val="20"/>
          <w:color w:val="auto"/>
        </w:rPr>
      </w:pPr>
      <w:r>
        <w:rPr>
          <w:rFonts w:ascii="Courier New" w:cs="Courier New" w:eastAsia="Courier New" w:hAnsi="Courier New"/>
          <w:sz w:val="15"/>
          <w:szCs w:val="15"/>
          <w:color w:val="auto"/>
        </w:rPr>
        <w:t>Balance, June 30, 2000...............</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$6,291</w:t>
        <w:tab/>
        <w:t>$4,486,061</w:t>
        <w:tab/>
        <w:t>$718,064</w:t>
      </w:r>
      <w:r>
        <w:rPr>
          <w:sz w:val="20"/>
          <w:szCs w:val="20"/>
          <w:color w:val="auto"/>
        </w:rPr>
        <w:tab/>
      </w:r>
      <w:r>
        <w:rPr>
          <w:rFonts w:ascii="Courier New" w:cs="Courier New" w:eastAsia="Courier New" w:hAnsi="Courier New"/>
          <w:sz w:val="15"/>
          <w:szCs w:val="15"/>
          <w:color w:val="auto"/>
        </w:rPr>
        <w:t>$(323,405)</w:t>
      </w:r>
      <w:r>
        <w:rPr>
          <w:sz w:val="20"/>
          <w:szCs w:val="20"/>
          <w:color w:val="auto"/>
        </w:rPr>
        <w:tab/>
      </w:r>
      <w:r>
        <w:rPr>
          <w:rFonts w:ascii="Courier New" w:cs="Courier New" w:eastAsia="Courier New" w:hAnsi="Courier New"/>
          <w:sz w:val="15"/>
          <w:szCs w:val="15"/>
          <w:color w:val="auto"/>
        </w:rPr>
        <w:t>$(3,874)</w:t>
      </w:r>
      <w:r>
        <w:rPr>
          <w:sz w:val="20"/>
          <w:szCs w:val="20"/>
          <w:color w:val="auto"/>
        </w:rPr>
        <w:tab/>
      </w:r>
      <w:r>
        <w:rPr>
          <w:rFonts w:ascii="Courier New" w:cs="Courier New" w:eastAsia="Courier New" w:hAnsi="Courier New"/>
          <w:sz w:val="15"/>
          <w:szCs w:val="15"/>
          <w:color w:val="auto"/>
        </w:rPr>
        <w:t>$(3,208)</w:t>
      </w:r>
    </w:p>
    <w:p>
      <w:pPr>
        <w:spacing w:after="0" w:line="5" w:lineRule="exact"/>
        <w:rPr>
          <w:sz w:val="20"/>
          <w:szCs w:val="20"/>
          <w:color w:val="auto"/>
        </w:rPr>
      </w:pPr>
    </w:p>
    <w:p>
      <w:pPr>
        <w:ind w:left="3620"/>
        <w:spacing w:after="0"/>
        <w:tabs>
          <w:tab w:leader="none" w:pos="4600" w:val="left"/>
          <w:tab w:leader="none" w:pos="5420" w:val="left"/>
          <w:tab w:leader="none" w:pos="6600" w:val="left"/>
          <w:tab w:leader="none" w:pos="7780" w:val="left"/>
          <w:tab w:leader="none" w:pos="9420" w:val="left"/>
          <w:tab w:leader="none" w:pos="10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EMPLOYEE</w:t>
      </w:r>
    </w:p>
    <w:p>
      <w:pPr>
        <w:spacing w:after="0" w:line="5"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BENEFIT TRUST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5"/>
          <w:szCs w:val="15"/>
          <w:color w:val="auto"/>
        </w:rPr>
        <w:t>Balance, December 31, 1999...........</w:t>
      </w:r>
      <w:r>
        <w:rPr>
          <w:sz w:val="20"/>
          <w:szCs w:val="20"/>
          <w:color w:val="auto"/>
        </w:rPr>
        <w:tab/>
      </w:r>
      <w:r>
        <w:rPr>
          <w:rFonts w:ascii="Courier New" w:cs="Courier New" w:eastAsia="Courier New" w:hAnsi="Courier New"/>
          <w:sz w:val="15"/>
          <w:szCs w:val="15"/>
          <w:color w:val="auto"/>
        </w:rPr>
        <w:t>$(135,654)</w:t>
      </w:r>
    </w:p>
    <w:p>
      <w:pPr>
        <w:spacing w:after="0" w:line="5" w:lineRule="exact"/>
        <w:rPr>
          <w:sz w:val="20"/>
          <w:szCs w:val="20"/>
          <w:color w:val="auto"/>
        </w:rPr>
      </w:pPr>
    </w:p>
    <w:p>
      <w:pPr>
        <w:ind w:left="80"/>
        <w:spacing w:after="0"/>
        <w:tabs>
          <w:tab w:leader="none" w:pos="434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upon exercise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stock options and warrants and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grants of restricted stock</w:t>
      </w:r>
    </w:p>
    <w:p>
      <w:pPr>
        <w:spacing w:after="0" w:line="5" w:lineRule="exact"/>
        <w:rPr>
          <w:sz w:val="20"/>
          <w:szCs w:val="20"/>
          <w:color w:val="auto"/>
        </w:rPr>
      </w:pPr>
    </w:p>
    <w:p>
      <w:pPr>
        <w:ind w:left="260"/>
        <w:spacing w:after="0"/>
        <w:tabs>
          <w:tab w:leader="none" w:pos="4340" w:val="left"/>
        </w:tabs>
        <w:rPr>
          <w:sz w:val="20"/>
          <w:szCs w:val="20"/>
          <w:color w:val="auto"/>
        </w:rPr>
      </w:pPr>
      <w:r>
        <w:rPr>
          <w:rFonts w:ascii="Courier New" w:cs="Courier New" w:eastAsia="Courier New" w:hAnsi="Courier New"/>
          <w:sz w:val="15"/>
          <w:szCs w:val="15"/>
          <w:color w:val="auto"/>
        </w:rPr>
        <w:t>(including tax benefit)...........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Earned compensation related to</w:t>
      </w:r>
    </w:p>
    <w:p>
      <w:pPr>
        <w:spacing w:after="0" w:line="5" w:lineRule="exact"/>
        <w:rPr>
          <w:sz w:val="20"/>
          <w:szCs w:val="20"/>
          <w:color w:val="auto"/>
        </w:rPr>
      </w:pPr>
    </w:p>
    <w:p>
      <w:pPr>
        <w:ind w:left="260"/>
        <w:spacing w:after="0"/>
        <w:tabs>
          <w:tab w:leader="none" w:pos="4340" w:val="left"/>
        </w:tabs>
        <w:rPr>
          <w:sz w:val="20"/>
          <w:szCs w:val="20"/>
          <w:color w:val="auto"/>
        </w:rPr>
      </w:pPr>
      <w:r>
        <w:rPr>
          <w:rFonts w:ascii="Courier New" w:cs="Courier New" w:eastAsia="Courier New" w:hAnsi="Courier New"/>
          <w:sz w:val="15"/>
          <w:szCs w:val="15"/>
          <w:color w:val="auto"/>
        </w:rPr>
        <w:t>restricted stock..................</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(purchased) 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connection with litigation</w:t>
      </w:r>
    </w:p>
    <w:p>
      <w:pPr>
        <w:spacing w:after="0" w:line="5" w:lineRule="exact"/>
        <w:rPr>
          <w:sz w:val="20"/>
          <w:szCs w:val="20"/>
          <w:color w:val="auto"/>
        </w:rPr>
      </w:pPr>
    </w:p>
    <w:p>
      <w:pPr>
        <w:ind w:left="260"/>
        <w:spacing w:after="0"/>
        <w:tabs>
          <w:tab w:leader="none" w:pos="4340" w:val="left"/>
        </w:tabs>
        <w:rPr>
          <w:sz w:val="20"/>
          <w:szCs w:val="20"/>
          <w:color w:val="auto"/>
        </w:rPr>
      </w:pPr>
      <w:r>
        <w:rPr>
          <w:rFonts w:ascii="Courier New" w:cs="Courier New" w:eastAsia="Courier New" w:hAnsi="Courier New"/>
          <w:sz w:val="15"/>
          <w:szCs w:val="15"/>
          <w:color w:val="auto"/>
        </w:rPr>
        <w:t>settlements.......................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of employee stock benefit</w:t>
      </w:r>
    </w:p>
    <w:p>
      <w:pPr>
        <w:spacing w:after="0" w:line="5" w:lineRule="exact"/>
        <w:rPr>
          <w:sz w:val="20"/>
          <w:szCs w:val="20"/>
          <w:color w:val="auto"/>
        </w:rPr>
      </w:pPr>
    </w:p>
    <w:p>
      <w:pPr>
        <w:ind w:left="260"/>
        <w:spacing w:after="0"/>
        <w:tabs>
          <w:tab w:leader="none" w:pos="3880" w:val="left"/>
        </w:tabs>
        <w:rPr>
          <w:sz w:val="20"/>
          <w:szCs w:val="20"/>
          <w:color w:val="auto"/>
        </w:rPr>
      </w:pPr>
      <w:r>
        <w:rPr>
          <w:rFonts w:ascii="Courier New" w:cs="Courier New" w:eastAsia="Courier New" w:hAnsi="Courier New"/>
          <w:sz w:val="15"/>
          <w:szCs w:val="15"/>
          <w:color w:val="auto"/>
        </w:rPr>
        <w:t>trust to market value.............</w:t>
      </w:r>
      <w:r>
        <w:rPr>
          <w:sz w:val="20"/>
          <w:szCs w:val="20"/>
          <w:color w:val="auto"/>
        </w:rPr>
        <w:tab/>
      </w:r>
      <w:r>
        <w:rPr>
          <w:rFonts w:ascii="Courier New" w:cs="Courier New" w:eastAsia="Courier New" w:hAnsi="Courier New"/>
          <w:sz w:val="15"/>
          <w:szCs w:val="15"/>
          <w:color w:val="auto"/>
        </w:rPr>
        <w:t>(14,306)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for minimum pension</w:t>
      </w:r>
    </w:p>
    <w:p>
      <w:pPr>
        <w:spacing w:after="0" w:line="5" w:lineRule="exact"/>
        <w:rPr>
          <w:sz w:val="20"/>
          <w:szCs w:val="20"/>
          <w:color w:val="auto"/>
        </w:rPr>
      </w:pPr>
    </w:p>
    <w:p>
      <w:pPr>
        <w:ind w:left="260"/>
        <w:spacing w:after="0"/>
        <w:tabs>
          <w:tab w:leader="none" w:pos="4340" w:val="left"/>
        </w:tabs>
        <w:rPr>
          <w:sz w:val="20"/>
          <w:szCs w:val="20"/>
          <w:color w:val="auto"/>
        </w:rPr>
      </w:pPr>
      <w:r>
        <w:rPr>
          <w:rFonts w:ascii="Courier New" w:cs="Courier New" w:eastAsia="Courier New" w:hAnsi="Courier New"/>
          <w:sz w:val="15"/>
          <w:szCs w:val="15"/>
          <w:color w:val="auto"/>
        </w:rPr>
        <w:t>liability, net of taxes...........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Cumulative translation adjustment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foreign currency statements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including effects of</w:t>
      </w:r>
    </w:p>
    <w:p>
      <w:pPr>
        <w:spacing w:after="0" w:line="5" w:lineRule="exact"/>
        <w:rPr>
          <w:sz w:val="20"/>
          <w:szCs w:val="20"/>
          <w:color w:val="auto"/>
        </w:rPr>
      </w:pPr>
    </w:p>
    <w:p>
      <w:pPr>
        <w:ind w:left="260"/>
        <w:spacing w:after="0"/>
        <w:tabs>
          <w:tab w:leader="none" w:pos="4340" w:val="left"/>
        </w:tabs>
        <w:rPr>
          <w:sz w:val="20"/>
          <w:szCs w:val="20"/>
          <w:color w:val="auto"/>
        </w:rPr>
      </w:pPr>
      <w:r>
        <w:rPr>
          <w:rFonts w:ascii="Courier New" w:cs="Courier New" w:eastAsia="Courier New" w:hAnsi="Courier New"/>
          <w:sz w:val="15"/>
          <w:szCs w:val="15"/>
          <w:color w:val="auto"/>
        </w:rPr>
        <w:t>divestitures......................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tabs>
          <w:tab w:leader="none" w:pos="434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5"/>
          <w:szCs w:val="15"/>
          <w:color w:val="auto"/>
        </w:rPr>
        <w:t>Balance, June 30, 2000...............</w:t>
      </w:r>
      <w:r>
        <w:rPr>
          <w:sz w:val="20"/>
          <w:szCs w:val="20"/>
          <w:color w:val="auto"/>
        </w:rPr>
        <w:tab/>
      </w:r>
      <w:r>
        <w:rPr>
          <w:rFonts w:ascii="Courier New" w:cs="Courier New" w:eastAsia="Courier New" w:hAnsi="Courier New"/>
          <w:sz w:val="15"/>
          <w:szCs w:val="15"/>
          <w:color w:val="auto"/>
        </w:rPr>
        <w:t>$(149,960)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5"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1520"/>
          </w:cols>
          <w:pgMar w:left="240" w:top="293" w:right="139" w:bottom="1440" w:gutter="0" w:footer="0" w:header="0"/>
        </w:sectPr>
      </w:pP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293" w:right="139"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250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SIX MONTHS ENDED JUNE 30,</w:t>
            </w:r>
          </w:p>
        </w:tc>
      </w:tr>
      <w:tr>
        <w:trPr>
          <w:trHeight w:val="175"/>
        </w:trPr>
        <w:tc>
          <w:tcPr>
            <w:tcW w:w="5580" w:type="dxa"/>
            <w:vAlign w:val="bottom"/>
          </w:tcPr>
          <w:p>
            <w:pPr>
              <w:spacing w:after="0"/>
              <w:rPr>
                <w:sz w:val="15"/>
                <w:szCs w:val="15"/>
                <w:color w:val="auto"/>
              </w:rPr>
            </w:pPr>
          </w:p>
        </w:tc>
        <w:tc>
          <w:tcPr>
            <w:tcW w:w="25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55,318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664,950</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by operating activities: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Provision for bad debts................................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28,411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19,316</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712,717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749,765</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income tax provision..........................</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79,790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247,007</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gain on disposal of assets.........................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(17,532)</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Minority interest in subsidiaries......................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12,569</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13,009</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 of asset impairments and unusual items..........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308,682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acquisitions and divestitures: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receivable and other receivables............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210,522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(324,920)</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(19,658)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(18,567)</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7,042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32,335</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 and accrued liabilities.............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(259,616)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(351,124)</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revenues and other liabilities..............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(25,681)</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(271,101)</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9,177</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1,102,396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752,315</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Short-term investments....................................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53,733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(6,273)</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(169,320)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(644,515)</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(563,882)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(614,085)</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divestitures of businesses and other asset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sales..................................................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1,082,931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546,694</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(17,939)</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11,649</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385,523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(706,530)</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issuance of long-term debt..................</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73,570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1,814,647</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Principal payments on long-term debt......................</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(1,636,569)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(2,033,281)</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 stock options and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warrants...............................................</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165,110</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(1,561,777)</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(53,524)</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equivalents...............................................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(3,954)</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1,865</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Decrease in cash and cash equivalents.......................</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(77,812)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(5,874)</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181,357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86,873</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103,545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80,999</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CONDENSED CONSOLIDATED STATEMENTS OF COMPREHENSIVE INCOME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00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THREE MONTHS ENDED</w:t>
            </w:r>
          </w:p>
        </w:tc>
        <w:tc>
          <w:tcPr>
            <w:tcW w:w="2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JUNE 30,</w:t>
            </w:r>
          </w:p>
        </w:tc>
        <w:tc>
          <w:tcPr>
            <w:tcW w:w="20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62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3"/>
              </w:rPr>
              <w:t>-------------------</w:t>
            </w:r>
          </w:p>
        </w:tc>
        <w:tc>
          <w:tcPr>
            <w:tcW w:w="1040" w:type="dxa"/>
            <w:vAlign w:val="bottom"/>
          </w:tcPr>
          <w:p>
            <w:pPr>
              <w:spacing w:after="0"/>
              <w:rPr>
                <w:sz w:val="15"/>
                <w:szCs w:val="15"/>
                <w:color w:val="auto"/>
              </w:rPr>
            </w:pPr>
          </w:p>
        </w:tc>
        <w:tc>
          <w:tcPr>
            <w:tcW w:w="2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6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315</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$318,262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$ 55,318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$ 664,950</w:t>
            </w:r>
          </w:p>
        </w:tc>
      </w:tr>
      <w:tr>
        <w:trPr>
          <w:trHeight w:val="175"/>
        </w:trPr>
        <w:tc>
          <w:tcPr>
            <w:tcW w:w="46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jc w:val="right"/>
              <w:ind w:right="1464"/>
              <w:spacing w:after="0"/>
              <w:rPr>
                <w:sz w:val="20"/>
                <w:szCs w:val="20"/>
                <w:color w:val="auto"/>
              </w:rPr>
            </w:pPr>
            <w:r>
              <w:rPr>
                <w:rFonts w:ascii="Courier New" w:cs="Courier New" w:eastAsia="Courier New" w:hAnsi="Courier New"/>
                <w:sz w:val="15"/>
                <w:szCs w:val="15"/>
                <w:color w:val="auto"/>
                <w:w w:val="99"/>
              </w:rPr>
              <w:t>Other comprehensive income (loss):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 currency translation adjustment.........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262,578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(42,471)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183,231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(104,016)</w:t>
            </w:r>
          </w:p>
        </w:tc>
      </w:tr>
      <w:tr>
        <w:trPr>
          <w:trHeight w:val="175"/>
        </w:trPr>
        <w:tc>
          <w:tcPr>
            <w:tcW w:w="4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Minimum pension liability adjustment, net of</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 of $5,371 and $35,939 for the three and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six months ended June 30, 2000...............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8,437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56,450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comprehensive income (loss).................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271,015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(42,471)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239,681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(104,016)</w:t>
            </w:r>
          </w:p>
        </w:tc>
      </w:tr>
      <w:tr>
        <w:trPr>
          <w:trHeight w:val="175"/>
        </w:trPr>
        <w:tc>
          <w:tcPr>
            <w:tcW w:w="46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Comprehensive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271,330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$275,791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$294,999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$ 560,934</w:t>
            </w:r>
          </w:p>
        </w:tc>
      </w:tr>
      <w:tr>
        <w:trPr>
          <w:trHeight w:val="175"/>
        </w:trPr>
        <w:tc>
          <w:tcPr>
            <w:tcW w:w="46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condensed consolidated financial statements of Waste Management, Inc. and subsidiaries (collectively referred to herein as the "Company", unless the context indicates otherwise) presented herein are unaudited. In the opinion of management, these financial statements include all adjustments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Annual Report on Form 10-K for the year ended December 31, 1999.</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previously reported in the Company's Form 10-Q for the quarter ended September 30, 1999 and the Company's Form 10-K for the year ended December 31, 1999, the Company concluded that its internal controls for the preparation of interim financial information during 1999 did not provide an adequate basis for its independent public accountants to complete reviews of the 1999 quarterly financial information in accordance with standards established by the American Institute of Certified Public Accountants.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believes that the processes it used for the preparation of its first and second quarters of 2000 interim financial statements have improved. In addition, the Company has committed substantial resources to mitigate the previously identified control weaknesses. Management believes these efforts have enabled the Company to produce timely and reliable interim financial statements as of June 30, 2000 and for the three and six months then ended to allow its independent accountants to complete their reviews of the interim financial information for those periods. Management believes that its processes have improved considerably and will continue to improve throughout 2000, allowing it to further reduce its reliance on the use of external resources as mitigating controls, although there can be no assurance that this will be the case.</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reported amounts of assets, liabilities, income and expenses and disclosures of contingent assets and liabilities at the date of the financial statements and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 See "Management's Discussion and Analysis" elsewhere herein.</w:t>
      </w:r>
    </w:p>
    <w:p>
      <w:pPr>
        <w:spacing w:after="0" w:line="181"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Certain reclassifications have been made to previously reported amounts in the financial statements in order to conform to the current period presentation.</w:t>
      </w: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LONG-TERM DEBT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JUNE 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Bank credit facilities.....................................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$ 1,535,000</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$ 2,250,000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Commercial paper, average interest of 5.5% in 1999.........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21,899</w:t>
            </w:r>
          </w:p>
        </w:tc>
      </w:tr>
      <w:tr>
        <w:trPr>
          <w:trHeight w:val="175"/>
        </w:trPr>
        <w:tc>
          <w:tcPr>
            <w:tcW w:w="5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Senior notes and debentures, interest of 6% to 8 3/4%</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through 2029.............................................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6,554,640</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6,749,785</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535,275</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535,275</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5.75% Convertible subordinated notes due 2005..............</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30,827</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426,726</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Tax-exempt and project bonds, principal payable in periodic</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installments, maturing through 2021, fixed and variable</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interest rates ranging from 4.85% to 9.25% at June 30,</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1,198,634</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1,234,668</w:t>
            </w:r>
          </w:p>
        </w:tc>
      </w:tr>
      <w:tr>
        <w:trPr>
          <w:trHeight w:val="175"/>
        </w:trPr>
        <w:tc>
          <w:tcPr>
            <w:tcW w:w="5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Installment loans, notes payable, and other, interest to</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 maturing through 2015...............................</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263,340</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279,735</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10,117,716</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11,498,088</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current maturities....................................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2,063,106</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3,098,742</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$ 8,054,610</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$ 8,399,346</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June 30, 2000, the Company had a $2.6 billion syndicated loan facility (the "Syndicated Facility") and a $1.8 billion senior revolving credit facility (the "Credit Facility"). The Syndicated Facility requires annual renewal by the lender and provides for a one-year term option at the Company's request in the event of non-renewal. The Syndicated Facility and Credit Facility are available for borrowings, including letters of credit, and for supporting the issuance of commercial paper. The covenant restrictions for the Syndicated Facility and Credit Facility include, among others, interest coverage and debt capitalization ratios, limitations on dividends, additional indebtedness and liens. The Syndicated Facility and Credit Facility are used to refinance existing bank loans and letters of credit, to fund acquisitions, and for working capital purposes.</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At June 30, 2000, the Company had borrowings of approximately $1.2 billion under the Syndicated Facility at an average interest rate of 7.6%, and had borrowings of $281.0 million under the Credit Facility at 7.8% interest. The facility fees were 0.20% and 0.25% per annum under the Syndicated Facility and Credit Facility, respectively, at June 30, 2000. The Company had issued letters of credit of approximately $1.3 billion in aggregate under the Syndicated Facility and Credit Facility leaving unused and available aggregate credit capacity of approximately $1.6 billion at June 30, 2000.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obtained amendments to the Syndicated Facility and Credit Facility agreements for the quarter ended March 31, 2000. On July 10, 2000, the Company renewed its Syndicated Facility in the amount of $2 billion for an additional one-year period and renewed its Credit Facility in the amount of $1.7 billion with a maturity date of August 7, 2002. Certain financial covenants to the Syndicated Facility and the Credit Facility were also amended. Terms and conditions contained in the new and amended agreements are substantially the same as prior agreements.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terms of the Syndicated Facility and Credit Facility, the Company is obligated to repay its indebtedness under such facilities with the cash proceeds to be received from the divestitures of its international operations outside North America ("WM International"), domestic non-core assets and up to 10% of its North America solid waste ("NASW") operations. Specifically, the Company is required to utilize the first $1.5 billion of net proceeds from divestitures to repay indebtedness and 50% of the net proceeds greater than $1.5 billion of proceeds but less than $2.5 billion to repay the indebtedness, subject to certain requirements to repay the Company's Eurocurrency facilities with proceeds from WM International divestitures. All net proceeds from the divestiture of the Company's WM International operations were required to</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first be used to repay indebtedness under the Company's Eurocurrency facilities, all of which indebtedness has been repaid.</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5.75% convertible subordinated notes due 2005 are subordinated to all existing and future senior indebtedness of the Company. Each note bears cash interest at the rate of two percent per annum of the $1,000 principal amount at maturity, payable semi-annually. The difference between the principal amount at maturity of $1,000 and the $717.80 stated issue price of each note represents the stated discount. At the option of the holder, each note was redeemable for cash by the Company on March 15, 2000, at $843.03, plus accrued interest through the date of redemption. The notes are callable by the Company for cash, plus accrued stated discount and accrued interest. In addition, each $1,000 principal amount note is convertible at any time prior to maturity into approximately 18.9 shares of the Company's common stock, subject to adjustment upon the occurrence of certain events. Upon any such conversion, the Company has the option of paying cash equal to the market value of the shares which would otherwise be issuable. Through March 31, 2000, the Company repurchased, for cash, $396.7 million of these notes that were outstanding at December 31, 1999. The Company did not repurchase any of these notes during the second quarter of 2000.</w:t>
      </w:r>
    </w:p>
    <w:p>
      <w:pPr>
        <w:spacing w:after="0" w:line="18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It is the Company's intention to refinance approximately $250 million of outstanding short-term borrowings through the use of existing committed long-term bank credit agreements in the event that alternative long-term refinancing is not arranged. Accordingly, these borrowings have been classified as long-term at June 30,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DIVESTITURES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March 31, 2000, the Company completed the purchase of certain of the Canadian solid waste assets of Allied Waste Industries, Inc. ("Allied"). Under separate agreements, Allied contracted to purchase certain of the Company's domestic solid waste operations, including a total of ten landfill operations, 14 collection operations, four transfer stations and a landfill operating contract for approximately $191 million. On February 15, 2000, the Company completed the sale to Allied of seven similar collection operations, a landfill operation and a transfer station. On May 1, 2000, the Company completed the sale to Allied of six collection operations, five landfill operations and three transfer stations and on May 31, 2000 completed the sale to Allied of an additional two landfill operations. The final transactions were completed in August 2000. See Note 12.</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April 2000, the Company announced that its wholly-owned subsidiaries had completed the previously announced transactions regarding the sales of waste services operations in the Netherlands and Finland, and the majority interest in Waste Management New Zealand Limited. In May 2000, a wholly-owned subsidiary of the Company sold its waste services operations in Thailand to Modern Asia Environmental, Ltd. and its waste services operations in Italy to Emas S.p.A. and Italcogim S.p.A. In June 2000, the Company announced that its wholly-owned subsidiaries completed the sales of its waste service operations in Australia to SITA, the waste services sector of Suez Lyonnaise des Eaux ("SITA"), and its waste services operations in Germany to Cleanaway Deutscheland Holdings GmbH. Additionally, one of the Company's wholly-owned subsidiaries sold substantially all of its nuclear waste services operations located in the United States to GTS Duratek, Inc.</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9" w:name="page10"/>
    <w:bookmarkEnd w:id="9"/>
    <w:p>
      <w:pPr>
        <w:ind w:left="267"/>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jc w:val="both"/>
        <w:ind w:left="7" w:right="2959" w:firstLine="454"/>
        <w:spacing w:after="0" w:line="247" w:lineRule="auto"/>
        <w:rPr>
          <w:sz w:val="20"/>
          <w:szCs w:val="20"/>
          <w:color w:val="auto"/>
        </w:rPr>
      </w:pPr>
      <w:r>
        <w:rPr>
          <w:rFonts w:ascii="Courier New" w:cs="Courier New" w:eastAsia="Courier New" w:hAnsi="Courier New"/>
          <w:sz w:val="15"/>
          <w:szCs w:val="15"/>
          <w:color w:val="auto"/>
        </w:rPr>
        <w:t>All divestiture activity relates to operations classified as held-for-sale. The following information summarizes the Company's divestiture activity through June 30, 2000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NORTH AMERICAN</w:t>
            </w:r>
          </w:p>
        </w:tc>
        <w:tc>
          <w:tcPr>
            <w:tcW w:w="400" w:type="dxa"/>
            <w:vAlign w:val="bottom"/>
          </w:tcPr>
          <w:p>
            <w:pPr>
              <w:spacing w:after="0"/>
              <w:rPr>
                <w:sz w:val="14"/>
                <w:szCs w:val="14"/>
                <w:color w:val="auto"/>
              </w:rPr>
            </w:pPr>
          </w:p>
        </w:tc>
        <w:tc>
          <w:tcPr>
            <w:tcW w:w="1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WM</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NON-SOLID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42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INTERNATIONAL</w:t>
            </w:r>
          </w:p>
        </w:tc>
        <w:tc>
          <w:tcPr>
            <w:tcW w:w="320" w:type="dxa"/>
            <w:vAlign w:val="bottom"/>
          </w:tcPr>
          <w:p>
            <w:pPr>
              <w:spacing w:after="0"/>
              <w:rPr>
                <w:sz w:val="15"/>
                <w:szCs w:val="15"/>
                <w:color w:val="auto"/>
              </w:rPr>
            </w:pPr>
          </w:p>
        </w:tc>
        <w:tc>
          <w:tcPr>
            <w:tcW w:w="7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WASTE</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426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48,905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48,905</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Gain (loss) recorded during the period (a)...</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11,115</w:t>
            </w:r>
          </w:p>
        </w:tc>
        <w:tc>
          <w:tcPr>
            <w:tcW w:w="4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11,115</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83,440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952,569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64,994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1,101,003</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Gain (loss) recorded during the period (a)...</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5,042</w:t>
            </w:r>
          </w:p>
        </w:tc>
        <w:tc>
          <w:tcPr>
            <w:tcW w:w="4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(147,492)</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17,293</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(125,157)</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2959" w:hanging="367"/>
        <w:spacing w:after="0" w:line="246"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(loss) on sale of operations is included in asset impairments and unusual items. The loss on the sale of certain WM International operations includes amounts related to foreign currency translation which were not recognized until the divestiture of the respective international market was completed. Additionally, the Company has recorded held-for-sale impairment charges of approximately $450 million in periods prior to the second quarter of 2000 for operations that were divested during the second quarter of 2000 or are expected to be divested in future periods pursuant to its strategic plan.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 INCOME TAXES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differences in federal income taxes computed at the federal statutory rate and reported income taxes for the three and six months ended June 30, 2000 and 1999 are primarily due to state and local income taxes, non-deductible costs related to acquired intangibles, non-deductible held-for-sale impairment charges associated with certain foreign businesses, and non-deductible losses on the divestiture of foreign assets that closed during the respective periods.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 EARNINGS PER SHARE</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reconciles the number of common shares outstanding at June 30 of each year indicated to the weighted average number of common shares outstanding and the weighted average number of common and dilutive potential common shares outstanding for the purposes of calculating basic and dilutive earnings per common share, respectively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THREE MONTHS ENDED</w:t>
            </w:r>
          </w:p>
        </w:tc>
        <w:tc>
          <w:tcPr>
            <w:tcW w:w="17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4720" w:type="dxa"/>
            <w:vAlign w:val="bottom"/>
          </w:tcPr>
          <w:p>
            <w:pPr>
              <w:spacing w:after="0"/>
              <w:rPr>
                <w:sz w:val="15"/>
                <w:szCs w:val="15"/>
                <w:color w:val="auto"/>
              </w:rPr>
            </w:pPr>
          </w:p>
        </w:tc>
        <w:tc>
          <w:tcPr>
            <w:tcW w:w="196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JUNE 30,</w:t>
            </w:r>
          </w:p>
        </w:tc>
        <w:tc>
          <w:tcPr>
            <w:tcW w:w="17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720" w:type="dxa"/>
            <w:vAlign w:val="bottom"/>
          </w:tcPr>
          <w:p>
            <w:pPr>
              <w:spacing w:after="0"/>
              <w:rPr>
                <w:sz w:val="15"/>
                <w:szCs w:val="15"/>
                <w:color w:val="auto"/>
              </w:rPr>
            </w:pPr>
          </w:p>
        </w:tc>
        <w:tc>
          <w:tcPr>
            <w:tcW w:w="1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 at end of</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621,094</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617,181</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621,094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617,181</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(6,277)</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(10,504)</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621,065</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610,904</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620,807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606,677</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 options and</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warrants.........................................</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1,795</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9,847</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9,906</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Diluted effect of convertible subordinated notes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and debentures...................................</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25,965</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28,136</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potential common shares outstanding..............</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622,860</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646,716</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621,998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644,719</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6"/>
          </w:cols>
          <w:pgMar w:left="233" w:top="293" w:right="1440" w:bottom="1440" w:gutter="0" w:footer="0" w:header="0"/>
        </w:sectPr>
      </w:pPr>
    </w:p>
    <w:p>
      <w:pPr>
        <w:spacing w:after="0" w:line="15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293"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the three and six months ended June 30, 1999, interest (net of taxes) of $6.3 million and $13.5 million, respectively, was added to net income for the diluted earnings per share calculation. For the three and six months ended June 30, 2000, the effects of the Company's convertible subordinated notes and debentures are excluded from the dilutive earnings per share calculation since the inclusion of such items would be antidilutive.</w:t>
      </w:r>
    </w:p>
    <w:p>
      <w:pPr>
        <w:spacing w:after="0" w:line="178"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At June 30, 2000, there were approximately 55.5 million shares of common stock potentially issuable with respect to stock options, warrants and convertible debt, which could dilute basic earnings per share in the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COMPREHENSIVE INCOME (LOSS)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 The components of accumulated other comprehensive income (loss) are as follows for the periods indicated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8"/>
              </w:rPr>
              <w:t>MINIMUM</w:t>
            </w:r>
          </w:p>
        </w:tc>
        <w:tc>
          <w:tcPr>
            <w:tcW w:w="1320" w:type="dxa"/>
            <w:vAlign w:val="bottom"/>
          </w:tcPr>
          <w:p>
            <w:pPr>
              <w:jc w:val="center"/>
              <w:ind w:left="44"/>
              <w:spacing w:after="0"/>
              <w:rPr>
                <w:sz w:val="20"/>
                <w:szCs w:val="20"/>
                <w:color w:val="auto"/>
              </w:rPr>
            </w:pPr>
            <w:r>
              <w:rPr>
                <w:rFonts w:ascii="Courier New" w:cs="Courier New" w:eastAsia="Courier New" w:hAnsi="Courier New"/>
                <w:sz w:val="15"/>
                <w:szCs w:val="15"/>
                <w:color w:val="auto"/>
              </w:rPr>
              <w:t>ACCUMULATED</w:t>
            </w:r>
          </w:p>
        </w:tc>
      </w:tr>
      <w:tr>
        <w:trPr>
          <w:trHeight w:val="175"/>
        </w:trPr>
        <w:tc>
          <w:tcPr>
            <w:tcW w:w="444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FOREIGN</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8"/>
              </w:rPr>
              <w:t>PENSION</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OTHER</w:t>
            </w:r>
          </w:p>
        </w:tc>
      </w:tr>
      <w:tr>
        <w:trPr>
          <w:trHeight w:val="175"/>
        </w:trPr>
        <w:tc>
          <w:tcPr>
            <w:tcW w:w="444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CURRENCY</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LIABILITY</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COMPREHENSIVE</w:t>
            </w:r>
          </w:p>
        </w:tc>
      </w:tr>
      <w:tr>
        <w:trPr>
          <w:trHeight w:val="175"/>
        </w:trPr>
        <w:tc>
          <w:tcPr>
            <w:tcW w:w="444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TRANSLATION</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ADJUSTMENT</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INCOME</w:t>
            </w:r>
          </w:p>
        </w:tc>
      </w:tr>
      <w:tr>
        <w:trPr>
          <w:trHeight w:val="175"/>
        </w:trPr>
        <w:tc>
          <w:tcPr>
            <w:tcW w:w="444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ADJUSTMENT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OF TAX)</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(LOSS)</w:t>
            </w:r>
          </w:p>
        </w:tc>
      </w:tr>
      <w:tr>
        <w:trPr>
          <w:trHeight w:val="175"/>
        </w:trPr>
        <w:tc>
          <w:tcPr>
            <w:tcW w:w="444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Balance, December 31, 1999......................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$(430,080)</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$(133,006)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$(563,086)</w:t>
            </w: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Year-to-date change...........................</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183,231</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56,450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239,681</w:t>
            </w:r>
          </w:p>
        </w:tc>
      </w:tr>
      <w:tr>
        <w:trPr>
          <w:trHeight w:val="175"/>
        </w:trPr>
        <w:tc>
          <w:tcPr>
            <w:tcW w:w="44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Balance, June 30, 2000..........................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$(246,849)</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(76,556)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$(323,405)</w:t>
            </w:r>
          </w:p>
        </w:tc>
      </w:tr>
      <w:tr>
        <w:trPr>
          <w:trHeight w:val="175"/>
        </w:trPr>
        <w:tc>
          <w:tcPr>
            <w:tcW w:w="44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continuing the process of settling its obligations under the qualified defined benefit plan (the "Plan") for all eligible non-union domestic employees of Waste Management Holdings, Inc. ("WM Holdings") which was terminated as of October 31, 1999 in connection with the merger between the Company and WM Holdings in July 1998 (the "WM Holdings Merger"). To the extent that the termination benefit has not yet been charged to expense, additional minimum pension liability has been recorded as a charge to other comprehensive income. The pension related charge is primarily due to the settlement by the Plan of obligations to certain participants that occurred during the three and six months ended June 30, 2000. The charge, which is included in asset impairments and unusual items, was $13.8 million and $92.4 million for the three and six months ended June 30, 2000, respectively. The settlements were funded by the Plan's trust and resulted in a reduction in the minimum pension liability and a credit to other comprehensive income for the period. The Company expects to settle the remaining obligations during the third quarter of 2000, at which time the final settlement expense (currently estimated to be approximately $130 million) will be recorded and adjustments to other comprehensive income will be made. In conjunction with the termination of the Plan, the Company expects to make payments of approximately $185 million to the Plan's trust in the third quarter of 2000.</w:t>
      </w:r>
    </w:p>
    <w:p>
      <w:pPr>
        <w:spacing w:after="0" w:line="18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adopted a strategic plan in August 1999, one element of which is to pursue the divestiture of its WM International operations. Upon the divestiture of the Company's WM International operations in each country, the foreign currency translation losses that are included in accumulated other comprehensive income (loss) are recognized in the Company's statement of operations (decreasing any gain, or increasing any loss) with an offsetting adjustment to the accumulated foreign currency translation. The accumulated foreign currency translation loss for the Company's remaining WM International operations which are held-for-sale was $138.4 million and $353.1 million as of June 30, 2000 and December 31, 1999, respectively. See Notes 2 and 12 for further discussion of the Company's divestiture activity.</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ENVIRONMENTAL LIABILITIES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landfill and the capping of the final uncapped areas of a landfill or costs required by regulation associated with existing operations at a hazardous waste treatment, storage or disposal facility that are subject to the Toxic Substances Control Act ("TSCA") or Subtitle C of the Resource Conservation and Recovery Act ("RCRA"), and post-closure maintenance of those facilities.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are accrued using the calculated rate per ton and charged to expense as airspace is consumed such that the present value of total estimated final closure and post-closure cost will be accrued for each landfill at the time the site discontinues accepting waste and is closed. In the United States, the final closure and post-closure requirements are established under the standards of the United States Environmental Protection Agency's ("EPA") Subtitle C and D regulations, as implemented and applied on a state-by-state basis. Such costs may increase in the future as a result of legislation or regulation.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based upon the estimated final closure and post-closure costs and the percentage of airspace utilized as of such date.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 Such costs for foreign landfills are estimated based on compliance with local laws, regulations and customs. For other facilities, final closure and post-closure costs are determined in consideration of regulatory requirements.</w:t>
      </w:r>
    </w:p>
    <w:p>
      <w:pPr>
        <w:spacing w:after="0" w:line="19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March 1996, the EPA issued regulations that require large, municipal solid waste landfills with significant emissions of nonmethane organic compounds ("NMOC") to install and monitor systems to collect and control landfill gas. The regulations apply to landfills designed to accommodate 2.5 million cubic meters or more of municipal solid waste that emit 50 megagrams or more of NMOC emissions and that accepted waste for disposal after November 8, 1987, regardless of whether the site is active or closed. The date by which each affected landfill must have such a gas collection and control system depends on whether the landfill began operations before or after May 30, 1991. In the United States, landfills constructed, reconstructed, modified or first accepting waste after May 30, 1991, generally were required to have systems in place by late 1998 or within approximately 30 months of triggering the applicability criteria. Older landfills are generally regulated by states and are required to have landfill gas systems in place within approximately 30 months of EPA's approval of the state program. Many state solid waste regulations already require gas collection and control systems.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also established procedures to evaluate its potential remedial liabilities at closed sites which it owns or operates, or to which it transported waste, including 85 sites listed on the Superfund National Priorities List ("NPL") as of June 30, 2000. The majority of situations involving NPL sites relate to allegations that subsidiaries of the Company (or their predecessors) transported waste to the facilities in question, often prior to the acquisition of such subsidiaries by the Company. The Company routinely reviews and evaluates sites that require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w:t>
      </w:r>
    </w:p>
    <w:p>
      <w:pPr>
        <w:sectPr>
          <w:pgSz w:w="11900" w:h="16838" w:orient="portrait"/>
          <w:cols w:equalWidth="0" w:num="1">
            <w:col w:w="10219"/>
          </w:cols>
          <w:pgMar w:left="240" w:top="293" w:right="1440" w:bottom="1440" w:gutter="0" w:footer="0" w:header="0"/>
        </w:sectPr>
      </w:pP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parties ("PRPs"), and the nature and estimated cost of the likely remedy. Cost estimates are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are jointly and severally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the Financial Accounting Standards Board's ("FASB") Statement of Financial Accounting Standards ("SFAS") No. 5, Accounting for Contingencies.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Where the Company believes that both the amount of a particular environmental liability and the timing of the payments are reliably determinable, the cost in current dollars is inflated (3.0% at June 30, 2000 and 2% at December 31, 1999) until expected time of payment and then discounted to present value (6.5% at June 30, 2000 and 5.5% at December 31, 1999). The accretion of the interest related to the discounted environmental liabilities is included in the annual calculation of the landfill's final closure and post-closure cost per ton and is charged to operating expense as landfill airspace is consumed.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 having allegedly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environmentally related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 AND CONTINGENCIES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Financial instruments -- Letters of credit, performance bonds and other guarantees have been provided by the Company to support tax-exempt bonds, performance of landfill final closure and post-closure requirements, insurance contracts, and other contracts. The insurance policies are issued by a wholly-owned insurance company subsidiary, the sole business of which is to issue such policies to customers of the Company. In those instances where the use of captive insurance is not acceptable, the Company has available alternative bonding mechanisms. The Company has not experienced difficulty in obtaining performance bonds or letters of credit for its current operations. Because virtually no claims have been made against these financial instruments in the past, management does not expect these instruments will have a material adverse effect on the Company's consolidated financial statements.</w:t>
      </w:r>
    </w:p>
    <w:p>
      <w:pPr>
        <w:spacing w:after="0" w:line="182"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 See Note 6 for further discussion.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Litigation -- In February 1998, WM Holdings announced a restatement of prior-period earnings for 1991 and earlier, as well as for 1992 through 1996 and the first three quarters of 1997. Many actions were brought or claims made against WM Holdings as a result of this restatement, as set forth in earlier quarterly and year-end reports made by the Company. The Company has resolved many of these actions and claims, as discussed in earlier filings. In July 2000, the Company resolved an action alleging breach of warranty and fraud, among other things, arising out of a transaction worth in excess of $11 million at its closing in 1995.</w:t>
      </w:r>
    </w:p>
    <w:p>
      <w:pPr>
        <w:spacing w:after="0" w:line="180"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 following actions with respect to WM Holdings, however, are still outstanding.</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1998, a business owner who received WM Holdings common stock in the sale of his business to WM Holdings brought a purported class action against that company alleging breach of warranty. In October 1999, the court certified a class consisting of all sellers of business assets to WM Holdings between January 1, 1990, and February 24, 1998, whose purchase agreements with WM Holdings contained express warranties regarding the accuracy of WM Holdings' financial statements. In March 2000, the court of appeals upheld this certification order. Also in March 2000, the trial court granted summary judgment on the claim of breach of warranty against WM Holdings and in favor of all members of the class except for a discrete group of plaintiffs whose claims may have expired under applicable statutes of limitations. The class, as currently constituted, consists of twenty-six transactions involving shares worth, in aggregate, approximately $132 million as valued at the time of the respective deals. The extent of damages in this class action has not yet been determined.</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March 2000, a group of companies that sold their assets to WM Holdings in exchange for common stock then valued at over $200 million pursuant to an asset purchase agreement (and who otherwise would have been included in the above class, as currently defined), brought a separate action against the Company for breach of contract and fraud, among other things. The Company and this seller group currently are litigating the question of whether their dispute should be submitted to arbitration for resolution. The extent of damages in the underlying action has not yet been determined.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This action is in its early stages and the extent of possible damages, if any, has not yet been determined.</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4" w:name="page15"/>
    <w:bookmarkEnd w:id="14"/>
    <w:p>
      <w:pPr>
        <w:ind w:left="267"/>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 consolidated derivative action has also been filed in Delaware Chancery Court, nominally on behalf of the Company, against certain former officers and directors of WM Holdings and certain directors of the Company. The derivative plaintiffs seek, among other things, those monies paid by the Company to resolve those claims arising out of WM Holdings' restatement of earnings in February 1998 as well as a declaration that the Company does not have to pay retirement benefits to certain former officers of WM Holdings.</w:t>
      </w:r>
    </w:p>
    <w:p>
      <w:pPr>
        <w:spacing w:after="0" w:line="179"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March and April 1999, two former officers of WM Holdings sued the Company for retirement and other benefits. Additionally, a third former officer brought a similar action, which was subsequently dismissed without prejudice in March 2000. The Company is engaged in discussions to settle the disputes between it and each of these former officers.</w:t>
      </w:r>
    </w:p>
    <w:p>
      <w:pPr>
        <w:spacing w:after="0" w:line="178" w:lineRule="exact"/>
        <w:rPr>
          <w:sz w:val="20"/>
          <w:szCs w:val="20"/>
          <w:color w:val="auto"/>
        </w:rPr>
      </w:pPr>
    </w:p>
    <w:p>
      <w:pPr>
        <w:jc w:val="both"/>
        <w:ind w:left="7" w:right="3499" w:firstLine="454"/>
        <w:spacing w:after="0" w:line="247" w:lineRule="auto"/>
        <w:rPr>
          <w:sz w:val="20"/>
          <w:szCs w:val="20"/>
          <w:color w:val="auto"/>
        </w:rPr>
      </w:pPr>
      <w:r>
        <w:rPr>
          <w:rFonts w:ascii="Courier New" w:cs="Courier New" w:eastAsia="Courier New" w:hAnsi="Courier New"/>
          <w:sz w:val="15"/>
          <w:szCs w:val="15"/>
          <w:color w:val="auto"/>
        </w:rPr>
        <w:t>In addition to the actions with respect to WM Holdings, the following actions with respect to the Company or its other subsidiaries are pending.</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30 lawsuits that purport to be based on one or more of these announcements were filed against the Company and certain of its current and former officers and directors in the United States District Court for the Southern District of Texas. These actions have been consolidated into a single action. On September 7, 1999, a lawsuit was filed against the Company and certain of its current and former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On May 8, 2000, the United States District Court for the Southern District of Texas entered an order appointing the Connecticut Retirement Plan and Trust Funds as lead plaintiff in the consolidated cases and appointing the law firm of Goodkind Labaton Rudoff &amp; Suchrow LLP as lead plaintiff's counsel.</w:t>
      </w:r>
    </w:p>
    <w:p>
      <w:pPr>
        <w:spacing w:after="0" w:line="186"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persons who exchanged WM Holdings shares for the Company's stock when WM Holdings and the Company merged, and (ii) the "Eastern Merger Subclass," consisting of all persons who exchanged Eastern Environmental Services, Inc. ("Eastern") stock for the Company's stock when Eastern and the Company merged on December 31, 1998 (the "Eastern Merger"). Among other things, the plaintiffs allege that the Company and certain of its current and former officers and directors (i) made misrepresentations in the registration statement and prospectus filed with the SEC in connection with the WM Holdings Merger,</w:t>
      </w:r>
    </w:p>
    <w:p>
      <w:pPr>
        <w:spacing w:after="0" w:line="8" w:lineRule="exact"/>
        <w:rPr>
          <w:sz w:val="20"/>
          <w:szCs w:val="20"/>
          <w:color w:val="auto"/>
        </w:rPr>
      </w:pPr>
    </w:p>
    <w:p>
      <w:pPr>
        <w:ind w:left="7" w:right="2959" w:hanging="7"/>
        <w:spacing w:after="0" w:line="246" w:lineRule="auto"/>
        <w:tabs>
          <w:tab w:leader="none" w:pos="46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knowingly false earnings projections for the three months ended June 30, 1999 and (iii) failed to adequately disclose facts relating to its earnings projections that the plaintiffs allege would have been material to purchasers of the Company's common stock and (iv) made separate and distinct misrepresentations about the Company's operations and finances on and after July 29, 1999, culminating in the Company's taking a pre-tax charge of $1.76 billion in the third quarter of 1999. The plaintiffs also claim that certain of the Company's current and former officers and directors sold common stock between March 31, 1999 and July 6, 1999 at prices allegedly known to be inflated by the</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alleged material misstatements and omissions. The plaintiffs in these actions seek damages with interest, costs and such other relief as the court deems proper. The case is at an early stage and the extent of possible damages, if any, cannot yet be determined.</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June 29, 2000, a putative class action was filed against the Company in Delaware state court by a class of former shareholders of Eastern who exchanged their Eastern shares for the Company's shares in the Eastern Merger. The plaintiffs allege that the Company stock they received in exchange for their Eastern shares was overvalued for the reasons alleged in the consolidated class actions in Texas. The claims and putative class members in this case fall within the scope of the consolidated class actions in Texas. The case is at an early stage, and the extent of possible damages, if any, cannot yet be determined.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been sued in several lawsuits, and two arbitration actions have been initiated, by individuals who received common stock in the sales of their businesses to the Company or to a company later acquired by the Company. The first of these actions, filed in state court in Oregon in November 1999, was resolved in June 2000. The two arbitrations that have been initiated both relate to the sale of businesses to Eastern. For reasons similar to those alleged in the class actions described above, or for reasons related to their acquisition by Eastern, these individuals allege that the stock they received was overvalued. Two other lawsuits were filed in June 2000, one in state court in California and another in state court in Virginia, both also relating to the sales of businesses to the Company. With the exception of the Oregon case and one of the arbitration cases, which have been resolved, all of these matters are in an early stage and the extent of possible damages, if any, cannot yet be determined.</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three of the Company's shareholders have filed purported derivative lawsuits against certain current and former officers and directors of the Company in connection with the events surrounding the Company's second quarter 1999 earnings projections and July 6, 1999 earnings announcement. Two of these lawsuits were filed in the Delaware Court of Chancery on July 16, 1999 and August 18, 1999, respectively, and one was filed in the United States District Court for the Southern District of Texas on July 27, 1999. The Delaware cases have been consolidated and the plaintiffs have filed an amended consolidated complaint. The amended complaint alleges claims relating to the Company's 1999 annual and quarterly earnings, sales of Company stock by certain of the Company's current and former officers and directors, and alleged self-dealing by certain of the Company's current and former officers.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18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Beginning at year end 1999 the Company became involved in a series of disputes with Louis D. Paolino, former President and Chief Executive Officer of Eastern, and others in connection with the Eastern Merger. The Company alleged, among other things, that the defendants usurped Eastern corporate opportunities for personal gain and otherwise mismanaged certain affairs of Eastern. Mr.</w:t>
      </w:r>
    </w:p>
    <w:p>
      <w:pPr>
        <w:spacing w:after="0" w:line="3"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Paolino and others alleged that the Company and unnamed others committed security fraud alleging that the stock they were issued in connection with the Eastern Merger was over-valued because the Company failed to disclose that it was having problems integrating the operations of WM Holdings and the Company after the WM Holdings Merger. The parties to these suits have withdrawn their respective complaints and are engaging in discussions to resolve these issues.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Several related shareholders have filed a lawsuit in state court in Texas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negligent misrepresentation, and conspiracy. The case is in an early stage and the extent of damages, if any, cannot yet be determined.</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the SEC notified the Company of an informal inquiry into the period ended June 30, 1999, as well as certain sales of the Company's common stock that preceded the Company's July 6, 1999 earnings announcement. On June 21, 2000 the Company consented, without admitting or denying the findings, to the SEC's entry of an administrative Cease and Desist Order, finding that the Company had violated certain of the antifraud, books and records, and internal control provisions of the federal securities laws in connection with the July 6, 1999 announcement. The Order did not impose any fines or monetary penalties. The SEC noted in the Order that its inquiry was ongoing as to other parties.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New York Stock Exchange has notified the Company that its Market Trading Analysis Department is reviewing transactions in the common stock of the Company prior to the July 6, 1999 earnings forecast announcement.</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conducting a thorough investigation of each of the allegations that have been made in connection with the Company's second quarter 1999 earnings communications and other matters alleged in the various complaints. As part of this investigation, the Company's Board of Directors authorized its Special Committee I to conduct a full investigation and evaluation of all matters relating to: (i) the reporting of the Company's first and second quarter 1999 operating results; (ii) the sales of the Company's stock by certain current and former corporate officials; and (iii) the allegations made in pending litigation respecting these matters and to report its findings and recommendations to those members of the Board of Directors it finds are sufficiently disinterested to act upon its findings and recommendations. Roderick M. Hills, a former chairman of the SEC and the former chairman of the Company's Audit Committee served as Chairman of the Special Committee I until he retired from the Board of Directors in May 2000 in accordance with the retirement provisions contained in the Company's Corporate Governance Guidelines. John C. Pope, current Chairman of the Company's Audit Committee, has succeeded Mr. Hills as Chairman of the Special Committee I.</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received a Civil Investigative Demand ("CID") from the Antitrust Division of the United States Department of Justice in July 1999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 with which the Company is fully cooperating.</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attorneys filed a lawsuit on behalf of a putative class of plan participants against the Company, the Waste Management, Inc. Pension Plan, and various individual defendants, alleging violations of the Employee Retirement Income Security Act of 1974 ("ERISA") with respect to the termination of the Plan. Since the initial filing of the case, the plaintiffs have voluntarily dismissed certain counts and the Company has filed a Motion to Dismiss with respect to the remaining claims.</w:t>
      </w:r>
    </w:p>
    <w:p>
      <w:pPr>
        <w:spacing w:after="0" w:line="185"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and the potential for the unintended or unpermitted discharge of materials into the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June 30, 2000, there were five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1999, the Company was notified that the EPA is conducting a civil investigation of alleged chlorofluorocarbons ("CFC") disposal violations by Waste Management of Massachusetts, Inc. ("WMMA"), one of the Company's wholly-owned subsidiaries,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 investigation and believes that the ultimate outcome of this matter will not have a material adverse effect on the Company's financial statements.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of June 30, 2000, the Company or its subsidiaries had been notified that they are potentially responsible parties in connection with 85 locations listed on the NPL. Of the 85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68 NPL sites at which claims have been made against the Company and which are not owned by the Company are at different procedural stages under Superfund. At some of these sites, the Company's liability is well-defined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86"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November 1998, the Company was sued by the estate of Shayne Conner, who died on November 24, 1995 in Greenland, New Hampshire. Plaintiffs allege that Mr. Conner's death was caused by biosolids that were applied to a nearby field by the Company's BioGro business unit. The litigation is currently in the discovery phase, and the Company is preparing a rebuttal to plaintiff's expert report on causation. The Company is vigorously defending itself in the litigation.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financial statements.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financial statements for potential recoveries.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 their respective financial conditions or results of operations in one or more future periods. The Company and WM Holdings intend to defend themselves vigorously in all the above matters.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SEGMENT AND RELATED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NASW operations is the Company's principal reportable segment. This segment provides integrated waste management services consisting of collection, transfer, disposal (solid waste landfill, hazardous waste landfill and waste-to-energy facilities), recycling, and other miscellaneous services to commercial, industrial, municipal and residential customers in North America, including the United States, Puerto Rico, Mexico and Canada. Similar operations in international markets outside of North America are disclosed as a separate segment under WM International, which includes operations in Europe, the Pacific Rim, South America and Israel. As discussed in Note 2, pursuant to the Company's strategic initiative, the Company has divested or is actively marketing to sell its WM International operations. The Company's other reportable segment consists of non-solid waste services, aggregated as a single segment for this reporting presentation.</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non-solid waste segment includes other hazardous waste services such as chemical waste management services, low-level and other radioactive waste management services, the Company's independent power projects, and other non-solid waste services to commercial, industrial and government customers, and includes business lines that have been divested or are being actively marketed and considered to be held for sale.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20" w:name="page21"/>
    <w:bookmarkEnd w:id="20"/>
    <w:p>
      <w:pPr>
        <w:ind w:left="267"/>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Summarized financial information concerning the Company's reportable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040" w:type="dxa"/>
            <w:vAlign w:val="bottom"/>
            <w:gridSpan w:val="3"/>
          </w:tcPr>
          <w:p>
            <w:pPr>
              <w:spacing w:after="0"/>
              <w:rPr>
                <w:sz w:val="20"/>
                <w:szCs w:val="20"/>
                <w:color w:val="auto"/>
              </w:rPr>
            </w:pPr>
            <w:r>
              <w:rPr>
                <w:rFonts w:ascii="Courier New" w:cs="Courier New" w:eastAsia="Courier New" w:hAnsi="Courier New"/>
                <w:sz w:val="15"/>
                <w:szCs w:val="15"/>
                <w:color w:val="auto"/>
              </w:rPr>
              <w:t>segments as of June 30, 2000 is as follows (in thousands):</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9"/>
        </w:trPr>
        <w:tc>
          <w:tcPr>
            <w:tcW w:w="3080" w:type="dxa"/>
            <w:vAlign w:val="bottom"/>
          </w:tcPr>
          <w:p>
            <w:pPr>
              <w:spacing w:after="0"/>
              <w:rPr>
                <w:sz w:val="24"/>
                <w:szCs w:val="24"/>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NORTH AMERICAN</w:t>
            </w: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WM</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rPr>
              <w:t>NON-SOLID</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CORPORATE</w:t>
            </w:r>
          </w:p>
        </w:tc>
        <w:tc>
          <w:tcPr>
            <w:tcW w:w="1040" w:type="dxa"/>
            <w:vAlign w:val="bottom"/>
          </w:tcPr>
          <w:p>
            <w:pPr>
              <w:spacing w:after="0"/>
              <w:rPr>
                <w:sz w:val="24"/>
                <w:szCs w:val="24"/>
                <w:color w:val="auto"/>
              </w:rPr>
            </w:pPr>
          </w:p>
        </w:tc>
      </w:tr>
      <w:tr>
        <w:trPr>
          <w:trHeight w:val="175"/>
        </w:trPr>
        <w:tc>
          <w:tcPr>
            <w:tcW w:w="308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INTERNATIONAL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FUNCTIONS(A)</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08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Net operating revenues(b)......</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$2,911,743</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$224,148</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$129,820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$3,265,711</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taxes</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(EBIT)(c),(d),(e),(f).......</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608,946</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42,816</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19,593</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(161,925)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509,430</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Net operating revenues(b)......</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$2,686,852</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$386,713</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$251,210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$3,324,775</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taxes (EBIT)(c),(d),(f).....</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736,615</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41,027</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21,788</w:t>
            </w:r>
          </w:p>
        </w:tc>
        <w:tc>
          <w:tcPr>
            <w:tcW w:w="4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(1,985)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797,445</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SIX MONTHS ENDED:</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Net operating revenues(b)......</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$5,621,699</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$625,632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$235,689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$6,483,020</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taxes</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(EBIT)(c),(d),(e),(f).......</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1,139,044</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112,871</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31,274</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(356,586)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926,603</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Net operating revenues(b)......</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$5,198,168</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$757,804</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$439,438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$6,395,410</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taxes (EBIT)(c),(d),(f).....</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1,421,068</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76,018</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35,213</w:t>
            </w:r>
          </w:p>
        </w:tc>
        <w:tc>
          <w:tcPr>
            <w:tcW w:w="4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42,728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1,575,027</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right="2959" w:hanging="447"/>
        <w:spacing w:after="0" w:line="246" w:lineRule="auto"/>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functions include the corporate treasury function (except for limited amounts of locally negotiated and managed project debt), administration of corporate tax function, the corporate insurance function, management of closed landfill and related insurance recovery functions, other typical administrative functions and certain inter-segment transactions.</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Non-solid waste revenues are net of inter-segment revenue with NASW of</w:t>
      </w:r>
    </w:p>
    <w:p>
      <w:pPr>
        <w:spacing w:after="0" w:line="4"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$11.6 million and $15.8 million, for the three and six months ended June 30, 2000, respectively and $19.2 million and $32.5 million for the three and six months ended June 30, 1999, respectively. There are no other significant sales between segments.</w:t>
      </w:r>
    </w:p>
    <w:p>
      <w:pPr>
        <w:spacing w:after="0" w:line="177" w:lineRule="exact"/>
        <w:rPr>
          <w:rFonts w:ascii="Courier New" w:cs="Courier New" w:eastAsia="Courier New" w:hAnsi="Courier New"/>
          <w:sz w:val="15"/>
          <w:szCs w:val="15"/>
          <w:color w:val="auto"/>
        </w:rPr>
      </w:pPr>
    </w:p>
    <w:p>
      <w:pPr>
        <w:ind w:left="447" w:right="3419" w:hanging="447"/>
        <w:spacing w:after="0" w:line="246" w:lineRule="auto"/>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 the Company's Form 10-K for the year ended December 31, 1999.</w:t>
      </w:r>
    </w:p>
    <w:p>
      <w:pPr>
        <w:spacing w:after="0" w:line="177"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material asymmetrical allocations of EBIT versus assets between segments or corporate. Certain asset impairments and unusual items reported in the reconciliation of EBIT to reported net income below, however, have resulted in adjustments to assets ultimately reflected on segment balance sheets.</w:t>
      </w:r>
    </w:p>
    <w:p>
      <w:pPr>
        <w:spacing w:after="0" w:line="177"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discussed in Note 9, the Company has classified certain operations as held-for-sale. For operations classified as held-for-sale at the beginning of each quarter, the Company suspends depreciation on fixed assets. Had the Company not classified any operations as held-for-sale, depreciation expense would have been greater by $32.1 million and $83.1 million for the three and six months ended June 30, 2000, respectively. The suspension of depreciation related to the Company's WM International operations was $20.9 million and $58.3 million for the three and six months ended June 30, 2000, respectively.</w:t>
      </w:r>
    </w:p>
    <w:p>
      <w:pPr>
        <w:spacing w:after="0" w:line="180" w:lineRule="exact"/>
        <w:rPr>
          <w:rFonts w:ascii="Courier New" w:cs="Courier New" w:eastAsia="Courier New" w:hAnsi="Courier New"/>
          <w:sz w:val="15"/>
          <w:szCs w:val="15"/>
          <w:color w:val="auto"/>
        </w:rPr>
      </w:pPr>
    </w:p>
    <w:p>
      <w:pPr>
        <w:ind w:left="447" w:right="3039" w:hanging="447"/>
        <w:spacing w:after="0" w:line="247" w:lineRule="auto"/>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income from operations excluding merger and acquisition related costs and asset impairment and unusual items.</w:t>
      </w:r>
    </w:p>
    <w:p>
      <w:pPr>
        <w:sectPr>
          <w:pgSz w:w="11900" w:h="16838" w:orient="portrait"/>
          <w:cols w:equalWidth="0" w:num="1">
            <w:col w:w="10226"/>
          </w:cols>
          <w:pgMar w:left="233" w:top="293" w:right="1440" w:bottom="1440" w:gutter="0" w:footer="0" w:header="0"/>
        </w:sectPr>
      </w:pP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293" w:right="1440" w:bottom="1440" w:gutter="0" w:footer="0" w:header="0"/>
          <w:type w:val="continuous"/>
        </w:sectPr>
      </w:pPr>
    </w:p>
    <w:bookmarkStart w:id="21" w:name="page22"/>
    <w:bookmarkEnd w:id="21"/>
    <w:p>
      <w:pPr>
        <w:ind w:left="267"/>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reconciliation of total EBIT reported above to net income is as follows (in</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99"/>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THREE MONTHS ENDED</w:t>
            </w:r>
          </w:p>
        </w:tc>
        <w:tc>
          <w:tcPr>
            <w:tcW w:w="2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JUNE 30,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35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1100" w:type="dxa"/>
            <w:vAlign w:val="bottom"/>
          </w:tcPr>
          <w:p>
            <w:pPr>
              <w:spacing w:after="0"/>
              <w:rPr>
                <w:sz w:val="15"/>
                <w:szCs w:val="15"/>
                <w:color w:val="auto"/>
              </w:rPr>
            </w:pPr>
          </w:p>
        </w:tc>
        <w:tc>
          <w:tcPr>
            <w:tcW w:w="2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54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EBIT, as reported above(a)............</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509,430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$ 797,445</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$ 926,603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$1,575,027</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Merger and acquisition related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costs............................</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62,211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79,695</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Asset impairments and unusual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items............................</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216,444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19,750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308,682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19,750</w:t>
            </w:r>
          </w:p>
        </w:tc>
      </w:tr>
      <w:tr>
        <w:trPr>
          <w:trHeight w:val="175"/>
        </w:trPr>
        <w:tc>
          <w:tcPr>
            <w:tcW w:w="354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292,986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715,484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617,921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1,475,582</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(199,598)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(184,911)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(409,807)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(361,068)</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income.......................</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6,041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5,663</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14,889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8,481</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Minority interest.....................</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(6,597)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(6,547)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(13,009)</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income, net.....................</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12,312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16,215</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14,563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30,578</w:t>
            </w:r>
          </w:p>
        </w:tc>
      </w:tr>
      <w:tr>
        <w:trPr>
          <w:trHeight w:val="175"/>
        </w:trPr>
        <w:tc>
          <w:tcPr>
            <w:tcW w:w="354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Income before income taxes............</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105,144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545,904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224,997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1,140,564</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104,829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227,642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169,679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475,614</w:t>
            </w:r>
          </w:p>
        </w:tc>
      </w:tr>
      <w:tr>
        <w:trPr>
          <w:trHeight w:val="175"/>
        </w:trPr>
        <w:tc>
          <w:tcPr>
            <w:tcW w:w="354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$ 318,262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55,318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664,950</w:t>
            </w:r>
          </w:p>
        </w:tc>
      </w:tr>
      <w:tr>
        <w:trPr>
          <w:trHeight w:val="175"/>
        </w:trPr>
        <w:tc>
          <w:tcPr>
            <w:tcW w:w="354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right="3039" w:hanging="447"/>
        <w:spacing w:after="0" w:line="247" w:lineRule="auto"/>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income from operations excluding merger and acquisition related costs and asset impairments and unusual items.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9. OPERATIONS HELD FOR SALE</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During the third quarter of 1999, the Company's Board of Directors adopted a strategic plan, one element of which is for the Company to market for sale its WM International operations, significant portions of its domestic non-core businesses and selected NASW operations. Note 2 to these condensed consolidated financial statements contained elsewhere herein discusses operations which have been divested in the year 2000. As discussed in Note 2 to the financial statements in the Company's Form 10-K for the year ended December 31, 1999, the Company has recorded charges to write down certain of these assets. Additionally, the Company recorded a charge for the three and six months ended June 30, 2000 to asset impairments and unusual items of approximately $77.6 million and $102.4 million, respectively, related primarily to the Company's WM International operations, which are held-for-sale, that have a carrying value greater than management's best estimate of anticipated proceeds as of June 30, 2000. In determining fair value, the Company considered, among other things, the range of preliminary purchase prices being discussed with potential buyers. These businesses' results of operations are included in revenues and expenses in the accompanying statement of operations.</w:t>
      </w:r>
    </w:p>
    <w:p>
      <w:pPr>
        <w:spacing w:after="0" w:line="18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293" w:right="1440" w:bottom="1440" w:gutter="0" w:footer="0" w:header="0"/>
        </w:sectPr>
      </w:pPr>
    </w:p>
    <w:bookmarkStart w:id="22" w:name="page23"/>
    <w:bookmarkEnd w:id="22"/>
    <w:p>
      <w:pPr>
        <w:ind w:left="267"/>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Operational information included in the statements of operations regarding the businesses classified as operations held-for-sale at June 30, 2000, is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NORTH AMERICAN</w:t>
            </w:r>
          </w:p>
        </w:tc>
        <w:tc>
          <w:tcPr>
            <w:tcW w:w="14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WM</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NON-SOLID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418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1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INTERNATIONAL</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WASTE</w:t>
            </w:r>
          </w:p>
        </w:tc>
        <w:tc>
          <w:tcPr>
            <w:tcW w:w="2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418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$116,545</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$224,148</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$30,258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370,951</w:t>
            </w: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taxes(a),(b)............................</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9,751</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42,816</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5,803</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58,370</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$111,114</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$386,713</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$26,817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524,644</w:t>
            </w: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 taxes(a)......</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5,968</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41,027</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6,593</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53,588</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SIX MONTHS ENDED:</w:t>
            </w: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$226,471</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$625,632</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$57,438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909,541</w:t>
            </w: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taxes(a),(b)............................</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18,525</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112,871</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10,077</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141,473</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$212,975</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$757,804</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$49,712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1,020,491</w:t>
            </w: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 taxes(a)......</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9,077</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76,018</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10,802</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95,897</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right="303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income from operations excluding merger and acquisition related costs and asset impairments and unusual items.</w:t>
      </w:r>
    </w:p>
    <w:p>
      <w:pPr>
        <w:spacing w:after="0" w:line="174"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operations classified as held-for-sale at the beginning of each quarter, the Company suspends depreciation on fixed assets. Had the Company not classified any operations as held-for-sale, depreciation expense would have been greater by $32.1 million and $83.1 million for the three and six months ended June 30, 2000, respectively. The suspension of depreciation related to the Company's WM International operations was $20.9 million and $58.3 million for the three and six months ended June 30, 2000, respectively.</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29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its condensed consolidated balance sheets, the Company has classified as current operations held-for-sale its WM International operations and certain domestic operations, which management believes will be divested prior to June 30, 2001. The Company has classified as non-current operations held-for-sale its surplus real estate portfolio.</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NORTH AMERICAN</w:t>
            </w:r>
          </w:p>
        </w:tc>
        <w:tc>
          <w:tcPr>
            <w:tcW w:w="320" w:type="dxa"/>
            <w:vAlign w:val="bottom"/>
          </w:tcPr>
          <w:p>
            <w:pPr>
              <w:spacing w:after="0"/>
              <w:rPr>
                <w:sz w:val="14"/>
                <w:szCs w:val="14"/>
                <w:color w:val="auto"/>
              </w:rPr>
            </w:pP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WM</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rPr>
              <w:t>NON-SOLID</w:t>
            </w:r>
          </w:p>
        </w:tc>
        <w:tc>
          <w:tcPr>
            <w:tcW w:w="1140" w:type="dxa"/>
            <w:vAlign w:val="bottom"/>
          </w:tcPr>
          <w:p>
            <w:pPr>
              <w:spacing w:after="0"/>
              <w:rPr>
                <w:sz w:val="14"/>
                <w:szCs w:val="14"/>
                <w:color w:val="auto"/>
              </w:rPr>
            </w:pPr>
          </w:p>
        </w:tc>
      </w:tr>
      <w:tr>
        <w:trPr>
          <w:trHeight w:val="175"/>
        </w:trPr>
        <w:tc>
          <w:tcPr>
            <w:tcW w:w="408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INTERNATIONAL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408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As of June 30, 2000:</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$ 44,399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178,939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$ 15,102</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238,440</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7,847</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99,075</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3,512</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110,434</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 non-current</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559,398</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1,141,175</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51,054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1,751,627</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(2,348)</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(6,869)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(9,217)</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(23,916)</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(282,369)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(7,720)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(314,005)</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(50,577)</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(12,928)</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(63,505)</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(15,905)</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(129,909)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(901)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(146,715)</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(57,016)</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(62,716)</w:t>
            </w:r>
          </w:p>
        </w:tc>
      </w:tr>
      <w:tr>
        <w:trPr>
          <w:trHeight w:val="175"/>
        </w:trPr>
        <w:tc>
          <w:tcPr>
            <w:tcW w:w="408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operations held for sale......</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$518,898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930,098</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$ 55,347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$1,504,343</w:t>
            </w:r>
          </w:p>
        </w:tc>
      </w:tr>
      <w:tr>
        <w:trPr>
          <w:trHeight w:val="175"/>
        </w:trPr>
        <w:tc>
          <w:tcPr>
            <w:tcW w:w="408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 for sale..................</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$566,817</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$1,419,189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$ 69,668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$2,055,674</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Operations held for sale (included in</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44,827</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44,827</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 for sale..................</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(92,746)</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(489,091)</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(14,321)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(596,158)</w:t>
            </w:r>
          </w:p>
        </w:tc>
      </w:tr>
      <w:tr>
        <w:trPr>
          <w:trHeight w:val="175"/>
        </w:trPr>
        <w:tc>
          <w:tcPr>
            <w:tcW w:w="408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operations held for sale......</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$518,898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930,098</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$ 55,347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$1,504,343</w:t>
            </w:r>
          </w:p>
        </w:tc>
      </w:tr>
      <w:tr>
        <w:trPr>
          <w:trHeight w:val="175"/>
        </w:trPr>
        <w:tc>
          <w:tcPr>
            <w:tcW w:w="408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4080" w:type="dxa"/>
            <w:vAlign w:val="bottom"/>
          </w:tcPr>
          <w:p>
            <w:pPr>
              <w:ind w:left="3540"/>
              <w:spacing w:after="0"/>
              <w:rPr>
                <w:sz w:val="20"/>
                <w:szCs w:val="20"/>
                <w:color w:val="auto"/>
              </w:rPr>
            </w:pPr>
            <w:r>
              <w:rPr>
                <w:rFonts w:ascii="Courier New" w:cs="Courier New" w:eastAsia="Courier New" w:hAnsi="Courier New"/>
                <w:sz w:val="15"/>
                <w:szCs w:val="15"/>
                <w:color w:val="auto"/>
              </w:rPr>
              <w:t>23</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At December 31, 1999, the Company classified as current operations held-for-sale its WM International operations and certain domestic operations. The Company classified as non-current operations held-for-sale certain NASW operations, which the Company had committed to sell to Allied, as well as the Company's surplus real estate portfolio.</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NORTH AMERICAN</w:t>
            </w:r>
          </w:p>
        </w:tc>
        <w:tc>
          <w:tcPr>
            <w:tcW w:w="320" w:type="dxa"/>
            <w:vAlign w:val="bottom"/>
          </w:tcPr>
          <w:p>
            <w:pPr>
              <w:spacing w:after="0"/>
              <w:rPr>
                <w:sz w:val="14"/>
                <w:szCs w:val="14"/>
                <w:color w:val="auto"/>
              </w:rPr>
            </w:pP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WM</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1240" w:type="dxa"/>
            <w:vAlign w:val="bottom"/>
          </w:tcPr>
          <w:p>
            <w:pPr>
              <w:spacing w:after="0"/>
              <w:rPr>
                <w:sz w:val="14"/>
                <w:szCs w:val="14"/>
                <w:color w:val="auto"/>
              </w:rPr>
            </w:pPr>
          </w:p>
        </w:tc>
      </w:tr>
      <w:tr>
        <w:trPr>
          <w:trHeight w:val="175"/>
        </w:trPr>
        <w:tc>
          <w:tcPr>
            <w:tcW w:w="39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INTERNATIONAL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90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As of December 31, 1999:</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Receivables, net..........................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36,506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364,552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$ 32,550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433,608</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14,311</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208,842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14,990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238,143</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non-current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737,072</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2,271,611</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108,400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3,117,083</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(2,339)</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(51,817)</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(54,156)</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(23,854)</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(481,617)</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(62,267)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(567,738)</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(57,871)</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(212,629)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(270,500)</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(37,814)</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(347,264)</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(13,166)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(398,244)</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(117,676)</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(121,381)</w:t>
            </w:r>
          </w:p>
        </w:tc>
      </w:tr>
      <w:tr>
        <w:trPr>
          <w:trHeight w:val="175"/>
        </w:trPr>
        <w:tc>
          <w:tcPr>
            <w:tcW w:w="390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operations held for sale....</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$ 666,011</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$ 1,634,002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$ 76,802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$ 2,376,815</w:t>
            </w:r>
          </w:p>
        </w:tc>
      </w:tr>
      <w:tr>
        <w:trPr>
          <w:trHeight w:val="175"/>
        </w:trPr>
        <w:tc>
          <w:tcPr>
            <w:tcW w:w="390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 for sale................</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$ 534,557</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$ 2,845,005</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$155,940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$ 3,535,502</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Operations held for sale (included in</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253,331</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253,331</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 for sale................</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(118,079)</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(1,211,003)</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(79,138)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(1,408,220)</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Operations held for sale (included in</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liabilities)...................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(3,798)</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(3,798)</w:t>
            </w:r>
          </w:p>
        </w:tc>
      </w:tr>
      <w:tr>
        <w:trPr>
          <w:trHeight w:val="175"/>
        </w:trPr>
        <w:tc>
          <w:tcPr>
            <w:tcW w:w="390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operations held for sale....</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$ 666,011</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$ 1,634,002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$ 76,802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$ 2,376,815</w:t>
            </w:r>
          </w:p>
        </w:tc>
      </w:tr>
      <w:tr>
        <w:trPr>
          <w:trHeight w:val="175"/>
        </w:trPr>
        <w:tc>
          <w:tcPr>
            <w:tcW w:w="390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NEW ACCOUNTING PRONOUNCEMENTS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and SFAS No. 138, is effective for the Company in its first fiscal quarter of 2001. Management is currently assessing the impact that the adoption of these standards will have on the Company's consolidated financial statements.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CONDENSED CONSOLIDATING FINANCIAL STATEMENTS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WM Holdings ("Guarantor"), a wholly-owned subsidiary of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unaudited condensed consolidating balance sheet as of June 30, 2000 and the condensed consolidated balance sheet as of December 31, 1999, the unaudited condensed consolidated statements of operations for the three and six months ended June 30, 2000 and 1999, along with the related unaudited statements of cash flows for the six months ended June 30, 2000 and 1999, have been provided below (in thousands).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720" w:type="dxa"/>
            <w:vAlign w:val="bottom"/>
            <w:gridSpan w:val="4"/>
          </w:tcPr>
          <w:p>
            <w:pPr>
              <w:jc w:val="center"/>
              <w:ind w:right="124"/>
              <w:spacing w:after="0"/>
              <w:rPr>
                <w:sz w:val="20"/>
                <w:szCs w:val="20"/>
                <w:color w:val="auto"/>
              </w:rPr>
            </w:pPr>
            <w:r>
              <w:rPr>
                <w:rFonts w:ascii="Courier New" w:cs="Courier New" w:eastAsia="Courier New" w:hAnsi="Courier New"/>
                <w:sz w:val="15"/>
                <w:szCs w:val="15"/>
                <w:color w:val="auto"/>
              </w:rPr>
              <w:t>WASTE MANAGEMENT,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50"/>
        </w:trPr>
        <w:tc>
          <w:tcPr>
            <w:tcW w:w="5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(CONTINUED)</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0"/>
        </w:trPr>
        <w:tc>
          <w:tcPr>
            <w:tcW w:w="2360" w:type="dxa"/>
            <w:vAlign w:val="bottom"/>
          </w:tcPr>
          <w:p>
            <w:pPr>
              <w:spacing w:after="0"/>
              <w:rPr>
                <w:sz w:val="24"/>
                <w:szCs w:val="24"/>
                <w:color w:val="auto"/>
              </w:rPr>
            </w:pPr>
          </w:p>
        </w:tc>
        <w:tc>
          <w:tcPr>
            <w:tcW w:w="2720" w:type="dxa"/>
            <w:vAlign w:val="bottom"/>
            <w:gridSpan w:val="4"/>
          </w:tcPr>
          <w:p>
            <w:pPr>
              <w:jc w:val="center"/>
              <w:ind w:right="204"/>
              <w:spacing w:after="0"/>
              <w:rPr>
                <w:sz w:val="20"/>
                <w:szCs w:val="20"/>
                <w:color w:val="auto"/>
              </w:rPr>
            </w:pPr>
            <w:r>
              <w:rPr>
                <w:rFonts w:ascii="Courier New" w:cs="Courier New" w:eastAsia="Courier New" w:hAnsi="Courier New"/>
                <w:sz w:val="15"/>
                <w:szCs w:val="15"/>
                <w:color w:val="auto"/>
              </w:rPr>
              <w:t>CONSOLIDATING BALANCE SHEET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gridSpan w:val="3"/>
          </w:tcPr>
          <w:p>
            <w:pPr>
              <w:jc w:val="center"/>
              <w:ind w:right="544"/>
              <w:spacing w:after="0"/>
              <w:rPr>
                <w:sz w:val="20"/>
                <w:szCs w:val="20"/>
                <w:color w:val="auto"/>
              </w:rPr>
            </w:pPr>
            <w:r>
              <w:rPr>
                <w:rFonts w:ascii="Courier New" w:cs="Courier New" w:eastAsia="Courier New" w:hAnsi="Courier New"/>
                <w:sz w:val="15"/>
                <w:szCs w:val="15"/>
                <w:color w:val="auto"/>
              </w:rPr>
              <w:t>JUNE 30, 2000</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gridSpan w:val="3"/>
          </w:tcPr>
          <w:p>
            <w:pPr>
              <w:jc w:val="center"/>
              <w:ind w:right="564"/>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0"/>
        </w:trPr>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center"/>
              <w:ind w:left="564"/>
              <w:spacing w:after="0"/>
              <w:rPr>
                <w:sz w:val="20"/>
                <w:szCs w:val="20"/>
                <w:color w:val="auto"/>
              </w:rPr>
            </w:pPr>
            <w:r>
              <w:rPr>
                <w:rFonts w:ascii="Courier New" w:cs="Courier New" w:eastAsia="Courier New" w:hAnsi="Courier New"/>
                <w:sz w:val="15"/>
                <w:szCs w:val="15"/>
                <w:color w:val="auto"/>
                <w:w w:val="99"/>
              </w:rPr>
              <w:t>ASSETS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99"/>
        </w:trPr>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PARENT</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GUARANTOR</w:t>
            </w:r>
          </w:p>
        </w:tc>
        <w:tc>
          <w:tcPr>
            <w:tcW w:w="4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NON-GUARANTOR   ELIMINATIONS   CONSOLIDATION</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Cash and cash</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58,109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48,151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103,545</w:t>
            </w: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36,604</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4,236,012</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4,272,616</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58,109</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33,889</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4,284,163</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4,376,161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10,123,759</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10,123,759</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Intercompany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investment in</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10,723,697</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5,601,481</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(11,663,093)</w:t>
            </w:r>
          </w:p>
        </w:tc>
        <w:tc>
          <w:tcPr>
            <w:tcW w:w="280" w:type="dxa"/>
            <w:vAlign w:val="bottom"/>
          </w:tcPr>
          <w:p>
            <w:pPr>
              <w:spacing w:after="0"/>
              <w:rPr>
                <w:sz w:val="15"/>
                <w:szCs w:val="15"/>
                <w:color w:val="auto"/>
              </w:rPr>
            </w:pP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(4,662,085)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assets..............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11,195</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8,727</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6,136,724</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6,156,646</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$10,793,001</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$5,644,097</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$ 8,881,553</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(4,662,085)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$20,656,566</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80" w:type="dxa"/>
            <w:vAlign w:val="bottom"/>
            <w:gridSpan w:val="5"/>
          </w:tcPr>
          <w:p>
            <w:pPr>
              <w:jc w:val="right"/>
              <w:ind w:right="144"/>
              <w:spacing w:after="0"/>
              <w:rPr>
                <w:sz w:val="20"/>
                <w:szCs w:val="20"/>
                <w:color w:val="auto"/>
              </w:rPr>
            </w:pPr>
            <w:r>
              <w:rPr>
                <w:rFonts w:ascii="Courier New" w:cs="Courier New" w:eastAsia="Courier New" w:hAnsi="Courier New"/>
                <w:sz w:val="15"/>
                <w:szCs w:val="15"/>
                <w:color w:val="auto"/>
              </w:rPr>
              <w:t>LIABILITIES AND STOCKHOLDERS' EQUITY</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Current maturities of</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$ 1,238,893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650,000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174,213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$ 2,063,106</w:t>
            </w:r>
          </w:p>
        </w:tc>
      </w:tr>
      <w:tr>
        <w:trPr>
          <w:trHeight w:val="175"/>
        </w:trPr>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Accounts payable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other accrued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99,109</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319,973</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2,881,559</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3,300,641</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1,338,002</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969,973</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3,055,772</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5,363,747</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Long-term debt, less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current maturities......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4,251,665</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2,515,183</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1,287,762</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8,054,610</w:t>
            </w: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liabilities.........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2,498,938</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2,498,938</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5,589,667</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3,485,156</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6,842,472</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15,917,295</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9,302</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9,302</w:t>
            </w: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99"/>
              </w:rPr>
              <w:t>Stockholders' equity......</w:t>
            </w: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5,203,334</w:t>
            </w:r>
          </w:p>
        </w:tc>
        <w:tc>
          <w:tcPr>
            <w:tcW w:w="10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2,158,941</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2,029,779</w:t>
            </w:r>
          </w:p>
        </w:tc>
        <w:tc>
          <w:tcPr>
            <w:tcW w:w="280" w:type="dxa"/>
            <w:vAlign w:val="bottom"/>
          </w:tcPr>
          <w:p>
            <w:pPr>
              <w:spacing w:after="0"/>
              <w:rPr>
                <w:sz w:val="15"/>
                <w:szCs w:val="15"/>
                <w:color w:val="auto"/>
              </w:rPr>
            </w:pP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(4,662,085)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4,729,969</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$10,793,001</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$5,644,097</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$ 8,881,553</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(4,662,085)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$20,656,566</w:t>
            </w:r>
          </w:p>
        </w:tc>
      </w:tr>
      <w:tr>
        <w:trPr>
          <w:trHeight w:val="175"/>
        </w:trPr>
        <w:tc>
          <w:tcPr>
            <w:tcW w:w="236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center"/>
              <w:ind w:left="564"/>
              <w:spacing w:after="0"/>
              <w:rPr>
                <w:sz w:val="20"/>
                <w:szCs w:val="20"/>
                <w:color w:val="auto"/>
              </w:rPr>
            </w:pPr>
            <w:r>
              <w:rPr>
                <w:rFonts w:ascii="Courier New" w:cs="Courier New" w:eastAsia="Courier New" w:hAnsi="Courier New"/>
                <w:sz w:val="15"/>
                <w:szCs w:val="15"/>
                <w:color w:val="auto"/>
                <w:w w:val="99"/>
              </w:rPr>
              <w:t>26</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gridSpan w:val="5"/>
          </w:tcPr>
          <w:p>
            <w:pPr>
              <w:jc w:val="center"/>
              <w:ind w:left="2364"/>
              <w:spacing w:after="0"/>
              <w:rPr>
                <w:sz w:val="20"/>
                <w:szCs w:val="20"/>
                <w:color w:val="auto"/>
              </w:rPr>
            </w:pPr>
            <w:r>
              <w:rPr>
                <w:rFonts w:ascii="Courier New" w:cs="Courier New" w:eastAsia="Courier New" w:hAnsi="Courier New"/>
                <w:sz w:val="15"/>
                <w:szCs w:val="15"/>
                <w:color w:val="auto"/>
              </w:rPr>
              <w:t>WASTE MANAGEMENT, INC.</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0"/>
        </w:trPr>
        <w:tc>
          <w:tcPr>
            <w:tcW w:w="4800" w:type="dxa"/>
            <w:vAlign w:val="bottom"/>
            <w:gridSpan w:val="5"/>
          </w:tcPr>
          <w:p>
            <w:pPr>
              <w:ind w:left="100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206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 (CONTINUED)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0"/>
        </w:trPr>
        <w:tc>
          <w:tcPr>
            <w:tcW w:w="5400" w:type="dxa"/>
            <w:vAlign w:val="bottom"/>
            <w:gridSpan w:val="6"/>
          </w:tcPr>
          <w:p>
            <w:pPr>
              <w:jc w:val="right"/>
              <w:ind w:right="64"/>
              <w:spacing w:after="0"/>
              <w:rPr>
                <w:sz w:val="20"/>
                <w:szCs w:val="20"/>
                <w:color w:val="auto"/>
              </w:rPr>
            </w:pPr>
            <w:r>
              <w:rPr>
                <w:rFonts w:ascii="Courier New" w:cs="Courier New" w:eastAsia="Courier New" w:hAnsi="Courier New"/>
                <w:sz w:val="15"/>
                <w:szCs w:val="15"/>
                <w:color w:val="auto"/>
              </w:rPr>
              <w:t>CONDENSED CONSOLIDATING BALANCE SHEET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31, 1999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50"/>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ASSETS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99"/>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PARENT</w:t>
            </w:r>
          </w:p>
        </w:tc>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GUARANTOR</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8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28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and cash equivalents.....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33,690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4,496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143,171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181,357</w:t>
            </w:r>
          </w:p>
        </w:tc>
      </w:tr>
      <w:tr>
        <w:trPr>
          <w:trHeight w:val="175"/>
        </w:trPr>
        <w:tc>
          <w:tcPr>
            <w:tcW w:w="3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36,604</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6,002,584</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6,039,188</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33,690</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41,100</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6,145,755</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6,220,545</w:t>
            </w: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10,303,803</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10,303,803</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Intercompany and investment in</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11,367,467</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5,939,729</w:t>
            </w:r>
          </w:p>
        </w:tc>
        <w:tc>
          <w:tcPr>
            <w:tcW w:w="2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(13,139,748)</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(4,167,448)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27,004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9,795</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6,120,277</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6,157,076</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ind w:left="900"/>
              <w:spacing w:after="0"/>
              <w:rPr>
                <w:sz w:val="20"/>
                <w:szCs w:val="20"/>
                <w:color w:val="auto"/>
              </w:rPr>
            </w:pPr>
            <w:r>
              <w:rPr>
                <w:rFonts w:ascii="Courier New" w:cs="Courier New" w:eastAsia="Courier New" w:hAnsi="Courier New"/>
                <w:sz w:val="15"/>
                <w:szCs w:val="15"/>
                <w:color w:val="auto"/>
                <w:w w:val="95"/>
              </w:rPr>
              <w:t>Total assets..........</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$11,428,161</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$5,990,624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9,430,087</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$(4,167,448)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$22,681,424</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spacing w:after="0"/>
              <w:rPr>
                <w:sz w:val="24"/>
                <w:szCs w:val="24"/>
                <w:color w:val="auto"/>
              </w:rPr>
            </w:pPr>
          </w:p>
        </w:tc>
        <w:tc>
          <w:tcPr>
            <w:tcW w:w="404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282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w w:val="97"/>
              </w:rPr>
              <w:t>long-term debt.............</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$ 2,271,899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250,000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576,843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$ 3,098,742</w:t>
            </w:r>
          </w:p>
        </w:tc>
      </w:tr>
      <w:tr>
        <w:trPr>
          <w:trHeight w:val="175"/>
        </w:trPr>
        <w:tc>
          <w:tcPr>
            <w:tcW w:w="28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other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1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100,978</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325,644</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3,964,091</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4,390,713</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2,372,877</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575,644</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4,540,934</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7,489,455</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Long-term debt, less current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maturities....................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3,953,932</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3,507,853</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937,561</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8,399,346</w:t>
            </w: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2,382,337</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2,382,337</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6,326,809</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4,083,497</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7,860,832</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18,271,138</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7,674</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7,674</w:t>
            </w: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5,101,352</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1,907,127</w:t>
            </w:r>
          </w:p>
        </w:tc>
        <w:tc>
          <w:tcPr>
            <w:tcW w:w="2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1,561,581</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(4,167,448)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4,402,612</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820" w:type="dxa"/>
            <w:vAlign w:val="bottom"/>
          </w:tcPr>
          <w:p>
            <w:pPr>
              <w:ind w:left="1080"/>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820" w:type="dxa"/>
            <w:vAlign w:val="bottom"/>
          </w:tcPr>
          <w:p>
            <w:pPr>
              <w:ind w:left="1080"/>
              <w:spacing w:after="0"/>
              <w:rPr>
                <w:sz w:val="20"/>
                <w:szCs w:val="20"/>
                <w:color w:val="auto"/>
              </w:rPr>
            </w:pPr>
            <w:r>
              <w:rPr>
                <w:rFonts w:ascii="Courier New" w:cs="Courier New" w:eastAsia="Courier New" w:hAnsi="Courier New"/>
                <w:sz w:val="15"/>
                <w:szCs w:val="15"/>
                <w:color w:val="auto"/>
                <w:w w:val="95"/>
              </w:rPr>
              <w:t>equity..............</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$11,428,161</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$5,990,624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9,430,087</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$(4,167,448)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$22,681,424</w:t>
            </w:r>
          </w:p>
        </w:tc>
      </w:tr>
      <w:tr>
        <w:trPr>
          <w:trHeight w:val="175"/>
        </w:trPr>
        <w:tc>
          <w:tcPr>
            <w:tcW w:w="2820" w:type="dxa"/>
            <w:vAlign w:val="bottom"/>
          </w:tcPr>
          <w:p>
            <w:pPr>
              <w:spacing w:after="0"/>
              <w:rPr>
                <w:sz w:val="15"/>
                <w:szCs w:val="15"/>
                <w:color w:val="auto"/>
              </w:rPr>
            </w:pP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CONSOLIDATING STATEMENT OF OPERATIONS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THREE MONTHS ENDED JUNE 30,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(UNAUDITED)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308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PARENT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GUARANTOR</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$3,265,711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$3,265,711</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2,972,725</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2,972,725</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292,986</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292,986</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net.........................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(120,492)</w:t>
            </w:r>
          </w:p>
        </w:tc>
        <w:tc>
          <w:tcPr>
            <w:tcW w:w="1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(58,596)</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(14,469)</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(193,557)</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75,622</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112,244</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(187,866)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(6,597)</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(6,597)</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12,312</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12,312</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(44,870)</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53,648</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284,232</w:t>
            </w:r>
          </w:p>
        </w:tc>
        <w:tc>
          <w:tcPr>
            <w:tcW w:w="3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(187,866)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105,144</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(45,185)</w:t>
            </w:r>
          </w:p>
        </w:tc>
        <w:tc>
          <w:tcPr>
            <w:tcW w:w="1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(21,974)</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171,988</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104,829</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$ 75,622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112,244</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$(187,866)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6680" w:type="dxa"/>
            <w:vAlign w:val="bottom"/>
            <w:gridSpan w:val="7"/>
          </w:tcPr>
          <w:p>
            <w:pPr>
              <w:jc w:val="right"/>
              <w:ind w:right="884"/>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22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THREE MONTHS ENDED JUNE 30, 1999</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(UNAUDITED)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699"/>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PARENT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GUARANTOR</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$3,324,775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$3,324,775</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Costs and expenses................</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2,609,291</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2,609,291</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715,484</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715,484</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(89,061)</w:t>
            </w:r>
          </w:p>
        </w:tc>
        <w:tc>
          <w:tcPr>
            <w:tcW w:w="1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(67,031)</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(23,156)</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(179,248)</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373,925</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415,819</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(789,744)</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w w:val="99"/>
              </w:rPr>
              <w:t>Minority interest...............</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(6,547)</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(6,547)</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 net......................</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16,215</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16,215</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284,864</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348,788</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701,996</w:t>
            </w:r>
          </w:p>
        </w:tc>
        <w:tc>
          <w:tcPr>
            <w:tcW w:w="3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(789,744)</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545,904</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w w:val="99"/>
              </w:rPr>
              <w:t>income taxes....................</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(33,398)</w:t>
            </w:r>
          </w:p>
        </w:tc>
        <w:tc>
          <w:tcPr>
            <w:tcW w:w="1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(25,137)</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286,177</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227,642</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$318,262</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$373,925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415,819</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$(789,744)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318,262</w:t>
            </w:r>
          </w:p>
        </w:tc>
      </w:tr>
      <w:tr>
        <w:trPr>
          <w:trHeight w:val="175"/>
        </w:trPr>
        <w:tc>
          <w:tcPr>
            <w:tcW w:w="30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CONSOLIDATING STATEMENT OF OPERATIONS</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SIX MONTHS ENDED JUNE 30,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(UNAUDITED)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$6,483,020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$6,483,020</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5,865,099</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5,865,099</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617,921</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617,921</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(246,963)</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(120,475)</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(27,480)</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(394,918)</w:t>
            </w: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taxes..................</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209,670</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284,967</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(494,637)</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(12,569)</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(12,569)</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14,563</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14,563</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(37,293)</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164,492</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592,435</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(494,637)</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224,997</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(92,611)</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(45,178)</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307,468</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169,679</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55,318</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$ 209,670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284,967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(494,637)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55,318</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6500" w:type="dxa"/>
            <w:vAlign w:val="bottom"/>
            <w:gridSpan w:val="7"/>
          </w:tcPr>
          <w:p>
            <w:pPr>
              <w:jc w:val="right"/>
              <w:ind w:right="704"/>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08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SIX MONTHS ENDED JUNE 30, 1999</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(UNAUDITED)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699"/>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$6,395,410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$6,395,410</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4,919,828</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4,919,828</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1,475,582</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1,475,582</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(174,144)</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(139,194)</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(39,249)</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(352,587)</w:t>
            </w: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taxes..................</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773,790</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860,786</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(1,634,576)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(13,009)</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(13,009)</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30,578</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30,578</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599,646</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721,592</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1,453,902</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(1,634,576)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1,140,564</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(65,304)</w:t>
            </w:r>
          </w:p>
        </w:tc>
        <w:tc>
          <w:tcPr>
            <w:tcW w:w="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(52,198)</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593,116</w:t>
            </w:r>
          </w:p>
        </w:tc>
        <w:tc>
          <w:tcPr>
            <w:tcW w:w="22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475,614</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$ 664,950</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$ 773,790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860,786</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$(1,634,576)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664,950</w:t>
            </w:r>
          </w:p>
        </w:tc>
      </w:tr>
      <w:tr>
        <w:trPr>
          <w:trHeight w:val="175"/>
        </w:trPr>
        <w:tc>
          <w:tcPr>
            <w:tcW w:w="2900" w:type="dxa"/>
            <w:vAlign w:val="bottom"/>
          </w:tcPr>
          <w:p>
            <w:pPr>
              <w:spacing w:after="0"/>
              <w:rPr>
                <w:sz w:val="15"/>
                <w:szCs w:val="15"/>
                <w:color w:val="auto"/>
              </w:rPr>
            </w:pP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SIX MONTHS ENDED JUNE 30,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PARENT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55,318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$ 209,670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284,967</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$(494,637)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55,318</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 subsidiaries,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net of taxes.......................</w:t>
            </w:r>
          </w:p>
        </w:tc>
        <w:tc>
          <w:tcPr>
            <w:tcW w:w="28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(209,670)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(284,967)</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494,637</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Other adjustments and charges........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30,542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1,019,686</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1,047,078</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(123,810)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(78,447)</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1,304,653</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1,102,396</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Short-term investments...............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53,733</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53,733</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cash acquired......................</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(169,320)</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(169,320)</w:t>
            </w: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(563,882)</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(563,882)</w:t>
            </w: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assets.........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1,082,931</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1,082,931</w:t>
            </w: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(17,939)</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(17,939)</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cash provided by investing</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385,523</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385,523</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33,570</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73,570</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28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(776,899)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(593,710)</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(265,960)</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(1,636,569)</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stock options and warrants.........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1,222</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intercompany</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and investments, net...............</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883,906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664,946</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(1,548,852)</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148,229</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71,236</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(1,781,242)</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(1,561,777)</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Effect of exchange rate changes on cash</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and cash equivalents.................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(3,954)</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(3,954)</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24,419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(7,211)</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(95,020)</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(77,812)</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of period............................</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33,690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4,496</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143,171</w:t>
            </w:r>
          </w:p>
        </w:tc>
        <w:tc>
          <w:tcPr>
            <w:tcW w:w="3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181,357</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58,109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(2,715)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48,151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103,545</w:t>
            </w:r>
          </w:p>
        </w:tc>
      </w:tr>
      <w:tr>
        <w:trPr>
          <w:trHeight w:val="175"/>
        </w:trPr>
        <w:tc>
          <w:tcPr>
            <w:tcW w:w="3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540" w:type="dxa"/>
            <w:vAlign w:val="bottom"/>
          </w:tcPr>
          <w:p>
            <w:pPr>
              <w:spacing w:after="0"/>
              <w:rPr>
                <w:sz w:val="24"/>
                <w:szCs w:val="24"/>
                <w:color w:val="auto"/>
              </w:rPr>
            </w:pP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30</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SIX MONTHS ENDED JUNE 30, 1999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PARENT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664,950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$ 773,790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860,786</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$(1,634,576)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664,950</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Equity in earnings of subsidiaries,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of taxes.....................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(773,790)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(860,786)</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1,634,576</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adjustments and changes......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5,761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7,768</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73,836</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87,365</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(103,079)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(79,228)</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934,622</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752,315</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(6,273)</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(6,273)</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acquired....................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(644,515)</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(644,515)</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(614,085)</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(614,085)</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546,694</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546,694</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11,649</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11,649</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cash used in investing</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(706,530)</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(706,530)</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issuance of long-term</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1,806,510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8,137</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1,814,647</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(1,544,532)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(148,427)</w:t>
            </w:r>
          </w:p>
        </w:tc>
        <w:tc>
          <w:tcPr>
            <w:tcW w:w="3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(340,322)</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(2,033,281)</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 options and warrants.......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165,110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165,110</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amounts due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and from subsidiaries, net....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(333,896)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274,517</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59,379</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93,192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126,090</w:t>
            </w:r>
          </w:p>
        </w:tc>
        <w:tc>
          <w:tcPr>
            <w:tcW w:w="3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(272,806)</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(53,524)</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Effect of exchange rate changes 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1,865</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1,865</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cash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equivalents.................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(9,887)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46,862</w:t>
            </w:r>
          </w:p>
        </w:tc>
        <w:tc>
          <w:tcPr>
            <w:tcW w:w="3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(42,849)</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(5,874)</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27,726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(48,578)</w:t>
            </w:r>
          </w:p>
        </w:tc>
        <w:tc>
          <w:tcPr>
            <w:tcW w:w="3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107,725</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86,873</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at end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17,839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64,876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80,999</w:t>
            </w:r>
          </w:p>
        </w:tc>
      </w:tr>
      <w:tr>
        <w:trPr>
          <w:trHeight w:val="175"/>
        </w:trPr>
        <w:tc>
          <w:tcPr>
            <w:tcW w:w="3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44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31</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Effective July 1, 2000, WM Holdings terminated the Waste Management Benefits Stock Trust (the "Trust"). In 1994, the Trust, which was created by WM Holdings, purchased, in exchange for a promissory note, all of the outstanding treasury shares of WM Holdings to fund various company benefit plans. Pursuant to the WM Holdings Merger, all of the shares held by the Trust were converted into shares of the Company's common stock. In accordance with the termination of the Trust, the shares previously owned by it have been returned to the Company as payment for the outstanding amount of the promissory note. The 7,892,612 shares returned to the Company will be classified as treasury shares.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In July 2000, the Company announced that its wholly-owned subsidiary had signed and closed on an agreement to sell its waste services operations in Denmark, Slovakia and the Czech Republic to Marius Pedersen Holding A/S, a subsidiary of the Marius Pedersen Foundation, for approximately U.S. $120 million.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4, 2000, the Company announced that it completed the final transaction of previously announced sales of certain of its U.S. solid waste assets to Allied for aggregate proceeds of approximately $191 million. The sales, some of which occurred in the first and second quarters of 2000, included 14 hauling companies, four transfer stations and ten landfills.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80" w:lineRule="exact"/>
        <w:rPr>
          <w:sz w:val="20"/>
          <w:szCs w:val="20"/>
          <w:color w:val="auto"/>
        </w:rPr>
      </w:pPr>
    </w:p>
    <w:p>
      <w:pPr>
        <w:ind w:left="720" w:right="3039" w:hanging="726"/>
        <w:spacing w:after="0" w:line="247"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discussion below and elsewhere in this Form 10-Q includes statements that are "forward-looking statements" within the meaning of Section 27A of the Securities Act of 1933 and Section 21E of the Exchange Act. These include statements that describe anticipated revenues, capital expenditures and other financial items, statements that describe the Company's business plans and objectives, and statements that describe the expected impact of competition, government regulation, litigation and other factors on the Company's future financial condition and results of operations. The words "may," "could," "should," "expect," "believe," "anticipate," "project," "estimate," and similar expressions are intended to identify forward-looking statements. Such risks and uncertainties, any one of which may cause actual results to differ materially from those described in the forward-looking statements, include or relate to, among other things:</w:t>
      </w:r>
    </w:p>
    <w:p>
      <w:pPr>
        <w:spacing w:after="0" w:line="183" w:lineRule="exact"/>
        <w:rPr>
          <w:sz w:val="20"/>
          <w:szCs w:val="20"/>
          <w:color w:val="auto"/>
        </w:rPr>
      </w:pPr>
    </w:p>
    <w:p>
      <w:pPr>
        <w:ind w:left="620" w:right="3599" w:hanging="172"/>
        <w:spacing w:after="0" w:line="247"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pending or threatened litigation and/or governmental inquiries and investigation involving the Company.</w:t>
      </w:r>
    </w:p>
    <w:p>
      <w:pPr>
        <w:spacing w:after="0" w:line="174" w:lineRule="exact"/>
        <w:rPr>
          <w:rFonts w:ascii="Courier New" w:cs="Courier New" w:eastAsia="Courier New" w:hAnsi="Courier New"/>
          <w:sz w:val="15"/>
          <w:szCs w:val="15"/>
          <w:color w:val="auto"/>
        </w:rPr>
      </w:pPr>
    </w:p>
    <w:p>
      <w:pPr>
        <w:ind w:left="620" w:right="3039" w:hanging="172"/>
        <w:spacing w:after="0" w:line="247"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stabilize its accounting systems and procedures and maintain stability.</w:t>
      </w:r>
    </w:p>
    <w:p>
      <w:pPr>
        <w:spacing w:after="0" w:line="174"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uncertainties to the Company's proposed strategic initiative, including the willingness of prospective purchasers to purchase the 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including the availability of financing and uncertainties relating to the impact of the proposed strategic initiative on the Company's credit ratings and consequently the availability and cost of debt and equity financing to the Company.</w:t>
      </w:r>
    </w:p>
    <w:p>
      <w:pPr>
        <w:spacing w:after="0" w:line="180" w:lineRule="exact"/>
        <w:rPr>
          <w:rFonts w:ascii="Courier New" w:cs="Courier New" w:eastAsia="Courier New" w:hAnsi="Courier New"/>
          <w:sz w:val="15"/>
          <w:szCs w:val="15"/>
          <w:color w:val="auto"/>
        </w:rPr>
      </w:pPr>
    </w:p>
    <w:p>
      <w:pPr>
        <w:ind w:left="620" w:right="3039" w:hanging="172"/>
        <w:spacing w:after="0" w:line="246"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successfully integrate the operations of acquired companies with its existing operations, including risks and uncertainties relating to its ability to achieve projected earnings estimates, achieve administrative and operating cost savings and anticipated synergies, rationalize collection routes, and generally capitalize on its asset base and strategic position through its strategy of decentralized decision making; and the risks and uncertainties regarding government-forced divestitures.</w:t>
      </w:r>
    </w:p>
    <w:p>
      <w:pPr>
        <w:spacing w:after="0" w:line="179"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the ability of the Company to accurately assess the prior pre-existing liabilities and assets of acquisition candidates and the restraints imposed by federal and state statutes and agencies respecting market concentration and competitive behavior.</w:t>
      </w:r>
    </w:p>
    <w:p>
      <w:pPr>
        <w:spacing w:after="0" w:line="179"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177"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impact of environmental and other regulation on the Company's business, including risks and uncertainties concerning the ultimate cost to the Company of complying with final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179" w:lineRule="exact"/>
        <w:rPr>
          <w:rFonts w:ascii="Courier New" w:cs="Courier New" w:eastAsia="Courier New" w:hAnsi="Courier New"/>
          <w:sz w:val="15"/>
          <w:szCs w:val="15"/>
          <w:color w:val="auto"/>
        </w:rPr>
      </w:pPr>
    </w:p>
    <w:p>
      <w:pPr>
        <w:ind w:left="620" w:right="3139" w:hanging="172"/>
        <w:spacing w:after="0" w:line="246"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generate sufficient cash flows from operations to cover its cash needs, the Company's ability to obtain additional capital if needed and the possible default under credit facilities if cash flows are lower than expected or capital expenditures are greater than expected.</w:t>
      </w:r>
    </w:p>
    <w:p>
      <w:pPr>
        <w:spacing w:after="0" w:line="177" w:lineRule="exact"/>
        <w:rPr>
          <w:rFonts w:ascii="Courier New" w:cs="Courier New" w:eastAsia="Courier New" w:hAnsi="Courier New"/>
          <w:sz w:val="15"/>
          <w:szCs w:val="15"/>
          <w:color w:val="auto"/>
        </w:rPr>
      </w:pPr>
    </w:p>
    <w:p>
      <w:pPr>
        <w:jc w:val="both"/>
        <w:ind w:left="620" w:right="3779" w:hanging="172"/>
        <w:spacing w:after="0" w:line="247"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changes in estimates from ongoing analysis of site remediation requirements, final closure and post-closure issues, compliance and other audits and regulatory developments.</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80" w:lineRule="exact"/>
        <w:rPr>
          <w:sz w:val="20"/>
          <w:szCs w:val="20"/>
          <w:color w:val="auto"/>
        </w:rPr>
      </w:pPr>
    </w:p>
    <w:p>
      <w:pPr>
        <w:ind w:left="620" w:right="2959" w:hanging="172"/>
        <w:spacing w:after="0" w:line="24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changes in management and the ability of the Company to retain qualified individuals to serve in senior management positions.</w:t>
      </w:r>
    </w:p>
    <w:p>
      <w:pPr>
        <w:spacing w:after="0" w:line="174" w:lineRule="exact"/>
        <w:rPr>
          <w:rFonts w:ascii="Courier New" w:cs="Courier New" w:eastAsia="Courier New" w:hAnsi="Courier New"/>
          <w:sz w:val="15"/>
          <w:szCs w:val="15"/>
          <w:color w:val="auto"/>
        </w:rPr>
      </w:pPr>
    </w:p>
    <w:p>
      <w:pPr>
        <w:ind w:left="620" w:right="2959" w:hanging="172"/>
        <w:spacing w:after="0" w:line="24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price fluctuations of recyclable materials processed by the Company.</w:t>
      </w:r>
    </w:p>
    <w:p>
      <w:pPr>
        <w:spacing w:after="0" w:line="174" w:lineRule="exact"/>
        <w:rPr>
          <w:rFonts w:ascii="Courier New" w:cs="Courier New" w:eastAsia="Courier New" w:hAnsi="Courier New"/>
          <w:sz w:val="15"/>
          <w:szCs w:val="15"/>
          <w:color w:val="auto"/>
        </w:rPr>
      </w:pPr>
    </w:p>
    <w:p>
      <w:pPr>
        <w:ind w:left="620" w:right="3139" w:hanging="172"/>
        <w:spacing w:after="0" w:line="24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risks that are inherent in operating in foreign countries that are beyond the control of the Company, including but not limited to political, social, and economic instability and government regulations.</w:t>
      </w:r>
    </w:p>
    <w:p>
      <w:pPr>
        <w:spacing w:after="0" w:line="174" w:lineRule="exact"/>
        <w:rPr>
          <w:rFonts w:ascii="Courier New" w:cs="Courier New" w:eastAsia="Courier New" w:hAnsi="Courier New"/>
          <w:sz w:val="15"/>
          <w:szCs w:val="15"/>
          <w:color w:val="auto"/>
        </w:rPr>
      </w:pPr>
    </w:p>
    <w:p>
      <w:pPr>
        <w:ind w:left="620" w:right="3139" w:hanging="172"/>
        <w:spacing w:after="0" w:line="24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impairment charges against earnings related to long-lived assets which may result from possible future business events.</w:t>
      </w:r>
    </w:p>
    <w:p>
      <w:pPr>
        <w:spacing w:after="0" w:line="174" w:lineRule="exact"/>
        <w:rPr>
          <w:rFonts w:ascii="Courier New" w:cs="Courier New" w:eastAsia="Courier New" w:hAnsi="Courier New"/>
          <w:sz w:val="15"/>
          <w:szCs w:val="15"/>
          <w:color w:val="auto"/>
        </w:rPr>
      </w:pPr>
    </w:p>
    <w:p>
      <w:pPr>
        <w:ind w:left="620" w:right="3039" w:hanging="172"/>
        <w:spacing w:after="0" w:line="246"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that recent trends regarding mandating recycling, waste reduction at the source and prohibiting the disposal of certain types of wastes could have on volumes of waste going to landfills and waste-to-energy facilities.</w:t>
      </w:r>
    </w:p>
    <w:p>
      <w:pPr>
        <w:spacing w:after="0" w:line="177" w:lineRule="exact"/>
        <w:rPr>
          <w:rFonts w:ascii="Courier New" w:cs="Courier New" w:eastAsia="Courier New" w:hAnsi="Courier New"/>
          <w:sz w:val="15"/>
          <w:szCs w:val="15"/>
          <w:color w:val="auto"/>
        </w:rPr>
      </w:pPr>
    </w:p>
    <w:p>
      <w:pPr>
        <w:ind w:left="620" w:right="2959" w:hanging="172"/>
        <w:spacing w:after="0" w:line="24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impact of government regulation on the Company's ability to obtain and maintain necessary permits and approvals required for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Strategic Plan</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In August 1999, the Company's Board of Directors adopted a strategic plan that is intended to enhance value for its shareholders, customers, and employees. The plan's major elements are to:</w:t>
      </w:r>
    </w:p>
    <w:p>
      <w:pPr>
        <w:spacing w:after="0" w:line="174" w:lineRule="exact"/>
        <w:rPr>
          <w:sz w:val="20"/>
          <w:szCs w:val="20"/>
          <w:color w:val="auto"/>
        </w:rPr>
      </w:pPr>
    </w:p>
    <w:p>
      <w:pPr>
        <w:ind w:left="620" w:right="3219" w:hanging="172"/>
        <w:spacing w:after="0" w:line="246"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Dispose of the Company's non-strategic and under-performing assets, including the Company's international operations outside North America ("WM International"), its non-core assets and up to 10% of its North American solid waste ("NASW") assets.</w:t>
      </w:r>
    </w:p>
    <w:p>
      <w:pPr>
        <w:spacing w:after="0" w:line="177" w:lineRule="exact"/>
        <w:rPr>
          <w:rFonts w:ascii="Courier New" w:cs="Courier New" w:eastAsia="Courier New" w:hAnsi="Courier New"/>
          <w:sz w:val="15"/>
          <w:szCs w:val="15"/>
          <w:color w:val="auto"/>
        </w:rPr>
      </w:pPr>
    </w:p>
    <w:p>
      <w:pPr>
        <w:ind w:left="620" w:right="3419" w:hanging="172"/>
        <w:spacing w:after="0" w:line="247"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or improve the Company's long-term investment grade characteristics while using disposition proceeds for debt repayment, repurchases of shares and selected tuck-in acquisitions.</w:t>
      </w:r>
    </w:p>
    <w:p>
      <w:pPr>
        <w:spacing w:after="0" w:line="174" w:lineRule="exact"/>
        <w:rPr>
          <w:rFonts w:ascii="Courier New" w:cs="Courier New" w:eastAsia="Courier New" w:hAnsi="Courier New"/>
          <w:sz w:val="15"/>
          <w:szCs w:val="15"/>
          <w:color w:val="auto"/>
        </w:rPr>
      </w:pPr>
    </w:p>
    <w:p>
      <w:pPr>
        <w:ind w:left="620" w:right="3679" w:hanging="172"/>
        <w:spacing w:after="0" w:line="247"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 more discipline and accountability to the enterprise while continuing the Company's decentralized business model, which puts authority close to the customer.</w:t>
      </w:r>
    </w:p>
    <w:p>
      <w:pPr>
        <w:spacing w:after="0" w:line="174" w:lineRule="exact"/>
        <w:rPr>
          <w:rFonts w:ascii="Courier New" w:cs="Courier New" w:eastAsia="Courier New" w:hAnsi="Courier New"/>
          <w:sz w:val="15"/>
          <w:szCs w:val="15"/>
          <w:color w:val="auto"/>
        </w:rPr>
      </w:pPr>
    </w:p>
    <w:p>
      <w:pPr>
        <w:ind w:left="620" w:right="3499" w:hanging="172"/>
        <w:spacing w:after="0" w:line="247"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Restore a disciplined capital allocation philosophy that focuses on profits as opposed to growth.</w:t>
      </w:r>
    </w:p>
    <w:p>
      <w:pPr>
        <w:spacing w:after="0" w:line="174" w:lineRule="exact"/>
        <w:rPr>
          <w:rFonts w:ascii="Courier New" w:cs="Courier New" w:eastAsia="Courier New" w:hAnsi="Courier New"/>
          <w:sz w:val="15"/>
          <w:szCs w:val="15"/>
          <w:color w:val="auto"/>
        </w:rPr>
      </w:pPr>
    </w:p>
    <w:p>
      <w:pPr>
        <w:ind w:left="620" w:right="3219" w:hanging="172"/>
        <w:spacing w:after="0" w:line="247"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employees the tools they need to do their jobs, including updated and more efficient information systems.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Waste Management is one of the largest publicly-owned companies providing integrated waste management services in North America. The Company provides solid waste management services throughout the United States and Puerto Rico, as well as in Canada and Mexico, including collection, transfer, recycling and resource recovery services, and disposal services. In addition, the Company is a leading developer, operator and owner of waste-to-energy facilities in the United States. The Company has also engaged in hazardous waste management services throughout North America, as well as low-level and other radioactive waste services. However, certain of these operations have been divested prior to June 30, 2000 or are actively being marketed for sale pursuant to the Company's strategic plan.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Internationally, the Company has operated throughout Europe, the Pacific Rim, South America and other select markets. Included in the Company's WM International operations is the collection and transportation of solid, hazardous and medical wastes and recyclable materials, and the treatment and disposal of recyclable materials. The Company also has operated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 However, as discussed above, the Company is in the process of divesting its international operations and as of June 30, 2000 has operations remaining only in the Pacific Rim, South America, Israel,</w:t>
      </w:r>
    </w:p>
    <w:p>
      <w:pPr>
        <w:sectPr>
          <w:pgSz w:w="11900" w:h="16838" w:orient="portrait"/>
          <w:cols w:equalWidth="0" w:num="1">
            <w:col w:w="10219"/>
          </w:cols>
          <w:pgMar w:left="240" w:top="293" w:right="1440" w:bottom="1440" w:gutter="0" w:footer="0" w:header="0"/>
        </w:sectPr>
      </w:pP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Denmark, Slovakia, the Czech Republic, Sweden and the United Kingdom. Additionally, agreements for the sales of certain of these operations have been reached subsequent to June 30, 2000. See Note 12 to the accompanying condensed consolidated financial statements.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primarily of disposal fees (known as tipping fees) charged to third parties and are normally billed monthly or semi-monthly. Tipping fees are based on the volume of waste being disposed of at the Company's disposal facilities. Fees are charged at transfer stations based on the volume of waste deposited, taking into account the Company's cost of loading, transporting, and disposing of the solid waste at a disposal site. Intercompany revenues between the Company's operations have been eliminated in the consolidated financial statements presented elsewhere herein.</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Operating expenses from waste management operations include direct and indirect labor and the related taxes and benefits, fuel, maintenance and repairs of equipment and facilities, tipping fees paid to third party disposal facilities,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expenses, such as administrative salaries and general corporate overhead, are expensed in the period incurred. At times, the Company receives reimbursements from insurance carriers relating to past and future environmentally related remedial, defense and tort claim costs at a number of the Company's sites. Such recoveries are included in operating costs and expenses as an offset to environmental expenses.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provision for doubtful accounts, and certain related insurance costs as well as costs related to the Company's marketing and sales force.</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Depreciation and amortization includes (i) amortization of the excess of cost over net assets of acquired businesses on a straight-line basis over a period not greater than 40 years commencing on the dates of the respective acquisitions; (ii) amortization of other intangible assets on a straight-line basis from 3 to 40 years; (iii) depreciation of property and equipment on a straight-line basis from 3 to 40 years; and (iv) amortization of landfill costs on a units-of-consumption method as landfill airspace is consumed over the estimated remaining capacity of a site. The remaining capacity of a site is determined by the unutilized permitted airspace and expansion airspace when the success of obtaining such an expansion is considered probable. Effective as of the third quarter of 1999, the Company applied a newly defined, more stringent set of criteria for evaluating the probability of obtaining an expansion to landfill airspace at existing sites, which are as follows:</w:t>
      </w:r>
    </w:p>
    <w:p>
      <w:pPr>
        <w:spacing w:after="0" w:line="183" w:lineRule="exact"/>
        <w:rPr>
          <w:sz w:val="20"/>
          <w:szCs w:val="20"/>
          <w:color w:val="auto"/>
        </w:rPr>
      </w:pPr>
    </w:p>
    <w:p>
      <w:pPr>
        <w:ind w:left="620" w:right="3599" w:hanging="172"/>
        <w:spacing w:after="0" w:line="247"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are actively working to obtain land use, local and state approvals for an expansion of an existing landfill;</w:t>
      </w:r>
    </w:p>
    <w:p>
      <w:pPr>
        <w:spacing w:after="0" w:line="174"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177" w:lineRule="exact"/>
        <w:rPr>
          <w:rFonts w:ascii="Courier New" w:cs="Courier New" w:eastAsia="Courier New" w:hAnsi="Courier New"/>
          <w:sz w:val="15"/>
          <w:szCs w:val="15"/>
          <w:color w:val="auto"/>
        </w:rPr>
      </w:pPr>
    </w:p>
    <w:p>
      <w:pPr>
        <w:ind w:left="620" w:right="2959" w:hanging="172"/>
        <w:spacing w:after="0" w:line="247"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landfill owners or the Company has a legal right to use or obtain land to be included in the expansion plan;</w:t>
      </w:r>
    </w:p>
    <w:p>
      <w:pPr>
        <w:spacing w:after="0" w:line="174" w:lineRule="exact"/>
        <w:rPr>
          <w:rFonts w:ascii="Courier New" w:cs="Courier New" w:eastAsia="Courier New" w:hAnsi="Courier New"/>
          <w:sz w:val="15"/>
          <w:szCs w:val="15"/>
          <w:color w:val="auto"/>
        </w:rPr>
      </w:pPr>
    </w:p>
    <w:p>
      <w:pPr>
        <w:ind w:left="620" w:right="3039" w:hanging="172"/>
        <w:spacing w:after="0" w:line="247"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significant known technical, legal, community, business, or political restrictions or issues that could impair the success of such expansion;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80" w:lineRule="exact"/>
        <w:rPr>
          <w:sz w:val="20"/>
          <w:szCs w:val="20"/>
          <w:color w:val="auto"/>
        </w:rPr>
      </w:pPr>
    </w:p>
    <w:p>
      <w:pPr>
        <w:ind w:left="620" w:right="3139" w:hanging="172"/>
        <w:spacing w:after="0" w:line="247"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analysis has been completed, and the results demonstrate that the expansion has a positive financial and operational impact; and</w:t>
      </w:r>
    </w:p>
    <w:p>
      <w:pPr>
        <w:spacing w:after="0" w:line="174" w:lineRule="exact"/>
        <w:rPr>
          <w:rFonts w:ascii="Courier New" w:cs="Courier New" w:eastAsia="Courier New" w:hAnsi="Courier New"/>
          <w:sz w:val="15"/>
          <w:szCs w:val="15"/>
          <w:color w:val="auto"/>
        </w:rPr>
      </w:pPr>
    </w:p>
    <w:p>
      <w:pPr>
        <w:ind w:left="620" w:right="3499" w:hanging="172"/>
        <w:spacing w:after="0" w:line="247"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Airspace and related costs, including additional final closure and post-closure costs, have been estimated based on conceptual design.</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Additionally, to include airspace from an expansion effort, the expansion permit application must generally be expected to be submitted within one year, and the expansion permit must be expected to be received within two to five years. Exceptions to these criteria must be approved through a landfill specific approval process that includes an approval from the Company's Chief Financial Officer and prompt review by the Audit Committee of the Board of Directors. Such exceptions at 31 landfill locations at June 30, 2000 were generally due to permit application processes beyond the one-year limit, which in most cases were due to state-specific permitting procedures. Generally, the Company has been successful in obtaining landfill expansions pursued; however, there can be no assurance that the Company will be successful in obtaining landfill expansions in the future.</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disposal volumes are affected by seasonality and competitive factors, airspace amortization varies from period to period due to changes in volumes of waste disposed at the Company's landfills. Airspace amortization is also affected by changes in engineering and cost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AND SIX MONTHS ENDED JUNE 30, 2000 AND 1999</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percentages for the various condensed consolidated statements of operations line items.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PERIOD TO</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0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PERIOD TO PERIOD</w:t>
            </w:r>
          </w:p>
        </w:tc>
      </w:tr>
      <w:tr>
        <w:trPr>
          <w:trHeight w:val="175"/>
        </w:trPr>
        <w:tc>
          <w:tcPr>
            <w:tcW w:w="4720" w:type="dxa"/>
            <w:vAlign w:val="bottom"/>
          </w:tcPr>
          <w:p>
            <w:pPr>
              <w:spacing w:after="0"/>
              <w:rPr>
                <w:sz w:val="15"/>
                <w:szCs w:val="15"/>
                <w:color w:val="auto"/>
              </w:rPr>
            </w:pPr>
          </w:p>
        </w:tc>
        <w:tc>
          <w:tcPr>
            <w:tcW w:w="20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w w:val="99"/>
              </w:rPr>
              <w:t>CHANGE FOR THE</w:t>
            </w:r>
          </w:p>
        </w:tc>
        <w:tc>
          <w:tcPr>
            <w:tcW w:w="20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w w:val="99"/>
              </w:rPr>
              <w:t>CHANGE FOR THE</w:t>
            </w:r>
          </w:p>
        </w:tc>
      </w:tr>
      <w:tr>
        <w:trPr>
          <w:trHeight w:val="175"/>
        </w:trPr>
        <w:tc>
          <w:tcPr>
            <w:tcW w:w="4720" w:type="dxa"/>
            <w:vAlign w:val="bottom"/>
          </w:tcPr>
          <w:p>
            <w:pPr>
              <w:spacing w:after="0"/>
              <w:rPr>
                <w:sz w:val="15"/>
                <w:szCs w:val="15"/>
                <w:color w:val="auto"/>
              </w:rPr>
            </w:pPr>
          </w:p>
        </w:tc>
        <w:tc>
          <w:tcPr>
            <w:tcW w:w="200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THREE MONTHS ENDED</w:t>
            </w:r>
          </w:p>
        </w:tc>
        <w:tc>
          <w:tcPr>
            <w:tcW w:w="20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4720" w:type="dxa"/>
            <w:vAlign w:val="bottom"/>
          </w:tcPr>
          <w:p>
            <w:pPr>
              <w:spacing w:after="0"/>
              <w:rPr>
                <w:sz w:val="15"/>
                <w:szCs w:val="15"/>
                <w:color w:val="auto"/>
              </w:rPr>
            </w:pPr>
          </w:p>
        </w:tc>
        <w:tc>
          <w:tcPr>
            <w:tcW w:w="20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JUNE 30,</w:t>
            </w:r>
          </w:p>
        </w:tc>
        <w:tc>
          <w:tcPr>
            <w:tcW w:w="20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 AND</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2000 AND 1999</w:t>
            </w:r>
          </w:p>
        </w:tc>
      </w:tr>
      <w:tr>
        <w:trPr>
          <w:trHeight w:val="175"/>
        </w:trPr>
        <w:tc>
          <w:tcPr>
            <w:tcW w:w="4720" w:type="dxa"/>
            <w:vAlign w:val="bottom"/>
          </w:tcPr>
          <w:p>
            <w:pPr>
              <w:spacing w:after="0"/>
              <w:rPr>
                <w:sz w:val="15"/>
                <w:szCs w:val="15"/>
                <w:color w:val="auto"/>
              </w:rPr>
            </w:pPr>
          </w:p>
        </w:tc>
        <w:tc>
          <w:tcPr>
            <w:tcW w:w="2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(59,064)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87,610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7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Operating (exclusive of depreciation and</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720" w:type="dxa"/>
            <w:vAlign w:val="bottom"/>
          </w:tcPr>
          <w:p>
            <w:pPr>
              <w:jc w:val="right"/>
              <w:ind w:right="3104"/>
              <w:spacing w:after="0"/>
              <w:rPr>
                <w:sz w:val="20"/>
                <w:szCs w:val="20"/>
                <w:color w:val="auto"/>
              </w:rPr>
            </w:pPr>
            <w:r>
              <w:rPr>
                <w:rFonts w:ascii="Courier New" w:cs="Courier New" w:eastAsia="Courier New" w:hAnsi="Courier New"/>
                <w:sz w:val="15"/>
                <w:szCs w:val="15"/>
                <w:color w:val="auto"/>
              </w:rPr>
              <w:t>amortization</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shown below)..................................</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112,950</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407,883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147,126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365,199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(31,125)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(37,048)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Merger and acquisition related costs.............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(62,211)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(79,695)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Asset impairments and unusual items..............</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196,694</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995.9</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288,932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1,462.9</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363,434</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13.9</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945,271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from operations.............................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(422,498)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(857,661)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(58.1)</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(14,687)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(48,739)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and other income, net...................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(3,525)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(9,607)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(24.6)</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(440,760)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(915,567)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(80.3)</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(122,813)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(305,935)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(64.3)</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$(317,947)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$(609,632)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(91.7)%</w:t>
            </w:r>
          </w:p>
        </w:tc>
      </w:tr>
      <w:tr>
        <w:trPr>
          <w:trHeight w:val="175"/>
        </w:trPr>
        <w:tc>
          <w:tcPr>
            <w:tcW w:w="4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47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36</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80" w:lineRule="exact"/>
        <w:rPr>
          <w:sz w:val="20"/>
          <w:szCs w:val="20"/>
          <w:color w:val="auto"/>
        </w:rPr>
      </w:pPr>
    </w:p>
    <w:p>
      <w:pPr>
        <w:jc w:val="both"/>
        <w:ind w:right="3219" w:firstLine="454"/>
        <w:spacing w:after="0" w:line="247"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condensed consolidated statements of operations line items bear to operating revenues: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c>
          <w:tcPr>
            <w:tcW w:w="1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5000" w:type="dxa"/>
            <w:vAlign w:val="bottom"/>
          </w:tcPr>
          <w:p>
            <w:pPr>
              <w:spacing w:after="0"/>
              <w:rPr>
                <w:sz w:val="15"/>
                <w:szCs w:val="15"/>
                <w:color w:val="auto"/>
              </w:rPr>
            </w:pPr>
          </w:p>
        </w:tc>
        <w:tc>
          <w:tcPr>
            <w:tcW w:w="200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JUNE 30,</w:t>
            </w:r>
          </w:p>
        </w:tc>
        <w:tc>
          <w:tcPr>
            <w:tcW w:w="18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5000" w:type="dxa"/>
            <w:vAlign w:val="bottom"/>
          </w:tcPr>
          <w:p>
            <w:pPr>
              <w:spacing w:after="0"/>
              <w:rPr>
                <w:sz w:val="15"/>
                <w:szCs w:val="15"/>
                <w:color w:val="auto"/>
              </w:rPr>
            </w:pPr>
          </w:p>
        </w:tc>
        <w:tc>
          <w:tcPr>
            <w:tcW w:w="2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100.0%</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Operating (exclusive of depreciation and</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000" w:type="dxa"/>
            <w:vAlign w:val="bottom"/>
          </w:tcPr>
          <w:p>
            <w:pPr>
              <w:jc w:val="right"/>
              <w:ind w:right="3384"/>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shown below).....................................</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59.7</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55.2</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60.2</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54.7</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13.6</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11.1</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11.8</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Merger and acquisition related costs................</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Asset impairments and unusual items.................</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6.6</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0.6</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91.0</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78.5</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76.9</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from operations................................</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9.0</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21.5</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(6.1)</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w:t>
            </w: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and other income, net......................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0.5</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16.4</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6.8</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5"/>
        </w:trPr>
        <w:tc>
          <w:tcPr>
            <w:tcW w:w="5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previously reported in the Company's Form 10-Q for the quarter ended September 30, 1999 and the Company's Form 10-K for the year ended December 31, 1999, the Company concluded that its internal controls for the preparation of interim financial information during 1999 did not provide an adequate basis for its independent public accountants to complete reviews of the 1999 quarterly financial information in accordance with standards established by the American Institute of Certified Public Accountants.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believes that the processes it used for the preparation of its first and second quarters of 2000 interim financial statements have improved. In addition, the Company has committed substantial resources to mitigate the previously identified control weaknesses. Management believes these efforts have enabled the Company to produce timely and reliable interim financial statements as of June 30, 2000 and for the three and six months then ended to allow its independent public accountants to complete their reviews of the interim financial information for those periods. Management believes that its processes have improved considerably and will continue to improve throughout 2000, allowing it to further reduce its reliance on the use of external resources as mitigating controls, although there can be no assurance that this will be the case.</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principal business is its NASW operations,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through its WM International operations. As previously discussed, the Company's Board of Directors adopted a plan in 1999 to divest its WM International operations and as of June 30, 2000, had completed the divestiture of all international operations except those in the Pacific Rim, South America, Israel, Denmark, Slovakia, the Czech Republic, Sweden and the United Kingdom. Additionally, the Company performs certain non-solid waste services, primarily in North America, such as low-level and other radioactive waste management, and operates waste-fuel powered independent power facilities. The Company announced on June 9, 2000 that, in accordance with its strategic plan, one of its subsidiaries completed the sale of substantially all of its low-level and other radioactive waste service operations. Through June 30, 1999, the Company's non-solid waste services also</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included non-land disposal hazardous waste operations and on-site industrial cleaning services located in North America. However, on June 30, 1999, the Company sold a 51% interest in these operations to Vivendi S.A. ("Vivendi"). The Company's retained interest of 49% is being accounted for using the equity method of accounting.</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Revenues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the three months ended June 30, 2000, the Company's operating revenues decreased $59.1 million or 1.8% and for the six months ended June 30, 2000, increased $87.6 million or 1.4% as compared to the respective corresponding 1999 periods. The following table presents the operating revenues by reportable segment for the respective quarters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3440" w:type="dxa"/>
            <w:vAlign w:val="bottom"/>
            <w:gridSpan w:val="4"/>
          </w:tcPr>
          <w:p>
            <w:pPr>
              <w:jc w:val="right"/>
              <w:ind w:right="464"/>
              <w:spacing w:after="0"/>
              <w:rPr>
                <w:sz w:val="20"/>
                <w:szCs w:val="20"/>
                <w:color w:val="auto"/>
              </w:rPr>
            </w:pPr>
            <w:r>
              <w:rPr>
                <w:rFonts w:ascii="Courier New" w:cs="Courier New" w:eastAsia="Courier New" w:hAnsi="Courier New"/>
                <w:sz w:val="15"/>
                <w:szCs w:val="15"/>
                <w:color w:val="auto"/>
              </w:rPr>
              <w:t>THREE MONTHS ENDED JUNE 30,</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 JUNE 30,</w:t>
            </w:r>
          </w:p>
        </w:tc>
        <w:tc>
          <w:tcPr>
            <w:tcW w:w="560" w:type="dxa"/>
            <w:vAlign w:val="bottom"/>
          </w:tcPr>
          <w:p>
            <w:pPr>
              <w:spacing w:after="0"/>
              <w:rPr>
                <w:sz w:val="14"/>
                <w:szCs w:val="14"/>
                <w:color w:val="auto"/>
              </w:rPr>
            </w:pPr>
          </w:p>
        </w:tc>
      </w:tr>
      <w:tr>
        <w:trPr>
          <w:trHeight w:val="175"/>
        </w:trPr>
        <w:tc>
          <w:tcPr>
            <w:tcW w:w="218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5"/>
                <w:szCs w:val="15"/>
                <w:color w:val="auto"/>
              </w:rPr>
            </w:pPr>
          </w:p>
        </w:tc>
      </w:tr>
      <w:tr>
        <w:trPr>
          <w:trHeight w:val="175"/>
        </w:trPr>
        <w:tc>
          <w:tcPr>
            <w:tcW w:w="2180" w:type="dxa"/>
            <w:vAlign w:val="bottom"/>
          </w:tcPr>
          <w:p>
            <w:pPr>
              <w:spacing w:after="0"/>
              <w:rPr>
                <w:sz w:val="15"/>
                <w:szCs w:val="15"/>
                <w:color w:val="auto"/>
              </w:rPr>
            </w:pPr>
          </w:p>
        </w:tc>
        <w:tc>
          <w:tcPr>
            <w:tcW w:w="1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NASW...................</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$2,911.7</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89.1%</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$2,686.9</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80.8%</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$5,621.6</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$5,198.2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WM International.......</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386.7</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625.7</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757.8</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w:t>
            </w: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Non-solid waste........</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129.8</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251.2</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235.7</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439.4</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w:t>
            </w:r>
          </w:p>
        </w:tc>
      </w:tr>
      <w:tr>
        <w:trPr>
          <w:trHeight w:val="175"/>
        </w:trPr>
        <w:tc>
          <w:tcPr>
            <w:tcW w:w="2180" w:type="dxa"/>
            <w:vAlign w:val="bottom"/>
          </w:tcPr>
          <w:p>
            <w:pPr>
              <w:spacing w:after="0"/>
              <w:rPr>
                <w:sz w:val="15"/>
                <w:szCs w:val="15"/>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revenues...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$3,265.7</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100.0%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$3,324.8</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$6,483.0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$6,395.4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r>
      <w:tr>
        <w:trPr>
          <w:trHeight w:val="175"/>
        </w:trPr>
        <w:tc>
          <w:tcPr>
            <w:tcW w:w="2180" w:type="dxa"/>
            <w:vAlign w:val="bottom"/>
          </w:tcPr>
          <w:p>
            <w:pPr>
              <w:spacing w:after="0"/>
              <w:rPr>
                <w:sz w:val="15"/>
                <w:szCs w:val="15"/>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decrease in the Company's operating revenues for the three months ended June 30, 2000 as compared to the 1999 period is primarily due to decreases in operating revenues from its WM International and non-solid waste operations as a result of divestitures pursuant to the Company's strategic plan. The increase in the Company's operating revenues for the six months ended June 30, 2000 as compared to the 1999 period is primarily due to NASW operations, but was also offset in part as a result of divestiture activity. The following table presents the Company's mix of operating revenues from NASW for the respective periods (dollars in millions):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3440" w:type="dxa"/>
            <w:vAlign w:val="bottom"/>
            <w:gridSpan w:val="4"/>
          </w:tcPr>
          <w:p>
            <w:pPr>
              <w:jc w:val="right"/>
              <w:ind w:right="464"/>
              <w:spacing w:after="0"/>
              <w:rPr>
                <w:sz w:val="20"/>
                <w:szCs w:val="20"/>
                <w:color w:val="auto"/>
              </w:rPr>
            </w:pPr>
            <w:r>
              <w:rPr>
                <w:rFonts w:ascii="Courier New" w:cs="Courier New" w:eastAsia="Courier New" w:hAnsi="Courier New"/>
                <w:sz w:val="15"/>
                <w:szCs w:val="15"/>
                <w:color w:val="auto"/>
              </w:rPr>
              <w:t>THREE MONTHS ENDED JUNE 30,</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 JUNE 30,</w:t>
            </w:r>
          </w:p>
        </w:tc>
        <w:tc>
          <w:tcPr>
            <w:tcW w:w="560" w:type="dxa"/>
            <w:vAlign w:val="bottom"/>
          </w:tcPr>
          <w:p>
            <w:pPr>
              <w:spacing w:after="0"/>
              <w:rPr>
                <w:sz w:val="14"/>
                <w:szCs w:val="14"/>
                <w:color w:val="auto"/>
              </w:rPr>
            </w:pPr>
          </w:p>
        </w:tc>
      </w:tr>
      <w:tr>
        <w:trPr>
          <w:trHeight w:val="175"/>
        </w:trPr>
        <w:tc>
          <w:tcPr>
            <w:tcW w:w="218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5"/>
                <w:szCs w:val="15"/>
                <w:color w:val="auto"/>
              </w:rPr>
            </w:pPr>
          </w:p>
        </w:tc>
      </w:tr>
      <w:tr>
        <w:trPr>
          <w:trHeight w:val="175"/>
        </w:trPr>
        <w:tc>
          <w:tcPr>
            <w:tcW w:w="2180" w:type="dxa"/>
            <w:vAlign w:val="bottom"/>
          </w:tcPr>
          <w:p>
            <w:pPr>
              <w:spacing w:after="0"/>
              <w:rPr>
                <w:sz w:val="15"/>
                <w:szCs w:val="15"/>
                <w:color w:val="auto"/>
              </w:rPr>
            </w:pPr>
          </w:p>
        </w:tc>
        <w:tc>
          <w:tcPr>
            <w:tcW w:w="1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180" w:type="dxa"/>
            <w:vAlign w:val="bottom"/>
          </w:tcPr>
          <w:p>
            <w:pPr>
              <w:jc w:val="right"/>
              <w:ind w:right="1664"/>
              <w:spacing w:after="0"/>
              <w:rPr>
                <w:sz w:val="20"/>
                <w:szCs w:val="20"/>
                <w:color w:val="auto"/>
              </w:rPr>
            </w:pPr>
            <w:r>
              <w:rPr>
                <w:rFonts w:ascii="Courier New" w:cs="Courier New" w:eastAsia="Courier New" w:hAnsi="Courier New"/>
                <w:sz w:val="15"/>
                <w:szCs w:val="15"/>
                <w:color w:val="auto"/>
                <w:w w:val="93"/>
              </w:rPr>
              <w:t>NASW:</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Collection...........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$1,963.8</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$1,895.6</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59.1%</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$3,825.4</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$3,684.9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59.8%</w:t>
            </w: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Disposal.............</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870.5</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841.6</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1,674.3</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1,600.2</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w:t>
            </w: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Transfer.............</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370.4</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314.8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692.8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580.4</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w:t>
            </w:r>
          </w:p>
        </w:tc>
      </w:tr>
      <w:tr>
        <w:trPr>
          <w:trHeight w:val="175"/>
        </w:trPr>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Recycling and</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248.0</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153.4</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452.5</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296.4</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r>
      <w:tr>
        <w:trPr>
          <w:trHeight w:val="175"/>
        </w:trPr>
        <w:tc>
          <w:tcPr>
            <w:tcW w:w="2180" w:type="dxa"/>
            <w:vAlign w:val="bottom"/>
          </w:tcPr>
          <w:p>
            <w:pPr>
              <w:spacing w:after="0"/>
              <w:rPr>
                <w:sz w:val="15"/>
                <w:szCs w:val="15"/>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2180" w:type="dxa"/>
            <w:vAlign w:val="bottom"/>
          </w:tcPr>
          <w:p>
            <w:pPr>
              <w:spacing w:after="0"/>
              <w:rPr>
                <w:sz w:val="15"/>
                <w:szCs w:val="15"/>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3,452.7</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100.0%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3,205.4</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6,645.0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6,161.9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r>
      <w:tr>
        <w:trPr>
          <w:trHeight w:val="175"/>
        </w:trPr>
        <w:tc>
          <w:tcPr>
            <w:tcW w:w="2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Intercompany...........</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(541.0)</w:t>
            </w:r>
          </w:p>
        </w:tc>
        <w:tc>
          <w:tcPr>
            <w:tcW w:w="6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(518.5)</w:t>
            </w:r>
          </w:p>
        </w:tc>
        <w:tc>
          <w:tcPr>
            <w:tcW w:w="6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(1,023.4)</w:t>
            </w:r>
          </w:p>
        </w:tc>
        <w:tc>
          <w:tcPr>
            <w:tcW w:w="6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(963.7)</w:t>
            </w:r>
          </w:p>
        </w:tc>
        <w:tc>
          <w:tcPr>
            <w:tcW w:w="560" w:type="dxa"/>
            <w:vAlign w:val="bottom"/>
          </w:tcPr>
          <w:p>
            <w:pPr>
              <w:spacing w:after="0"/>
              <w:rPr>
                <w:sz w:val="15"/>
                <w:szCs w:val="15"/>
                <w:color w:val="auto"/>
              </w:rPr>
            </w:pPr>
          </w:p>
        </w:tc>
      </w:tr>
      <w:tr>
        <w:trPr>
          <w:trHeight w:val="175"/>
        </w:trPr>
        <w:tc>
          <w:tcPr>
            <w:tcW w:w="2180" w:type="dxa"/>
            <w:vAlign w:val="bottom"/>
          </w:tcPr>
          <w:p>
            <w:pPr>
              <w:spacing w:after="0"/>
              <w:rPr>
                <w:sz w:val="15"/>
                <w:szCs w:val="15"/>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r>
      <w:tr>
        <w:trPr>
          <w:trHeight w:val="175"/>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revenues...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$2,911.7</w:t>
            </w:r>
          </w:p>
        </w:tc>
        <w:tc>
          <w:tcPr>
            <w:tcW w:w="6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$2,686.9</w:t>
            </w:r>
          </w:p>
        </w:tc>
        <w:tc>
          <w:tcPr>
            <w:tcW w:w="6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$5,621.6</w:t>
            </w:r>
          </w:p>
        </w:tc>
        <w:tc>
          <w:tcPr>
            <w:tcW w:w="6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$5,198.2</w:t>
            </w:r>
          </w:p>
        </w:tc>
        <w:tc>
          <w:tcPr>
            <w:tcW w:w="560" w:type="dxa"/>
            <w:vAlign w:val="bottom"/>
          </w:tcPr>
          <w:p>
            <w:pPr>
              <w:spacing w:after="0"/>
              <w:rPr>
                <w:sz w:val="15"/>
                <w:szCs w:val="15"/>
                <w:color w:val="auto"/>
              </w:rPr>
            </w:pPr>
          </w:p>
        </w:tc>
      </w:tr>
      <w:tr>
        <w:trPr>
          <w:trHeight w:val="175"/>
        </w:trPr>
        <w:tc>
          <w:tcPr>
            <w:tcW w:w="2180" w:type="dxa"/>
            <w:vAlign w:val="bottom"/>
          </w:tcPr>
          <w:p>
            <w:pPr>
              <w:spacing w:after="0"/>
              <w:rPr>
                <w:sz w:val="15"/>
                <w:szCs w:val="15"/>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increase in operating revenues for the three and six months ended June 30, 2000 for NASW as compared to the prior year periods is primarily attributable to internal growth of comparable operations. The increase in operating revenues due to internal growth of NASW operations was $153.2 million and $287.6 million, or 5.7% and 5.6% for the three and six months ended June 30, 2000. Internal growth for the three and six months ended June 30, 2000 was comprised of 1.7% and 1.6% for pricing increases and 4.0% and 4.0% for volume increases. The improvements in pricing were favorably impacted by the improvements in the commodities markets for recyclable materials as well as a fuel surcharge that was implemented in certain operations during March 2000. Excluding the impact of price increases in the commodity markets for recyclable materials, and the fuel surcharge implemented by the Company, the Company experienced a negative base price change of 0.9% in the three months ended June 30, 2000, as compared to the prior year period. The negative base price change in the second quarter of 2000 was due in part to the fact that the Company implemented large price increases in the second quarter of 1999 that were effectively reduced in the second half of 1999 to their previous levels. Additionally, the Company's NASW operating revenues increased $96.4 million and $176.1 million for the three and six months ended June 30, 2000, respectively, due to acquisitions primarily of collection operations. Offsetting the increase in operating revenues was a decline in</w:t>
      </w:r>
    </w:p>
    <w:p>
      <w:pPr>
        <w:sectPr>
          <w:pgSz w:w="11900" w:h="16838" w:orient="portrait"/>
          <w:cols w:equalWidth="0" w:num="1">
            <w:col w:w="10219"/>
          </w:cols>
          <w:pgMar w:left="240" w:top="293" w:right="1440" w:bottom="955" w:gutter="0" w:footer="0" w:header="0"/>
        </w:sectPr>
      </w:pPr>
    </w:p>
    <w:p>
      <w:pPr>
        <w:spacing w:after="0" w:line="1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955"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operating revenues of $24.8 million and $43.3 for the three and six months ended June 30, 2000, associated with divestitures of NASW businesses.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operating revenues from the Company's WM International operations decreased $162.5 million, or 42.0%, and $132.1 million, or 17.4%, for the three and six months ended June 30, 2000, as compared to the prior year. This decrease in operating revenues is principally due to divestitures of certain WM International operations with operating revenues of approximately $172.2 million and $173.3 million for the three and six months ended June 30, 2000, respectively. Operating revenues from the Company's WM International operations were also negatively impacted by fluctuations in foreign currency of $17.0 million and $54.3 million for the three and six months ended June 30, 2000, respectively, as compared to the prior year periods. Offsetting these decreases in operating revenues in the Company's WM International operations was internal growth of comparable operations of 4.4% and 2.2% for the three and six months ended June 30, 2000, respectively.</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Operating revenues for non-solid waste services decreased for the three and six months ended June 30, 2000 as compared to the prior year period due to the June 1999 sale of a 51% interest in certain non-solid waste operations to Vivendi, as previously discussed herein. This decrease was partially offset by the increase in operating revenues associated with a geosynthetic manufacturing and installation service company acquired July 1999. The Company expects decreasing operating revenues from its non-solid waste operations in future periods as the Company has sold or has entered into agreements for the sale of its non-solid waste operations pursuant to its strategic plan. Exclusive of acquisitions and divestitures, the Company's non-solid waste operating revenues for the three and six months ended June 30, 2000 are substantially consistent with the corresponding prior year periods.</w:t>
      </w:r>
    </w:p>
    <w:p>
      <w:pPr>
        <w:spacing w:after="0" w:line="182" w:lineRule="exact"/>
        <w:rPr>
          <w:sz w:val="20"/>
          <w:szCs w:val="20"/>
          <w:color w:val="auto"/>
        </w:rPr>
      </w:pPr>
    </w:p>
    <w:p>
      <w:pPr>
        <w:ind w:left="180" w:right="2959"/>
        <w:spacing w:after="0" w:line="247"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Operating costs and expenses increased $113.0 million or 6.2% and $407.9 million or 11.7% for the three and six months ended June 30, 2000, as compared to the prior year periods. As a percentage of operating revenues, operating costs and expenses were 59.7% and 60.2% and 55.2% and 54.7% for the three and six months ended June 30, 2000 and 1999, respectively. The Company realized certain short-term cost reductions through the first half of 1999 from its integration plan that was adopted in connection with the Company's merger with Waste Management Holdings, Inc. ("WM Holdings") which was completed in July 1998 (the "WM Holdings Merger"). The integration plan included significant employee headcount reductions (particularly supervisory operating personnel), the elimination of excess operating capacity through the sale or abandonment of certain assets and operations, and the reconfiguration of operations within certain domestic markets in which the Company operates. However, due to the breadth and comprehensive nature of the changes the Company attempted to implement in 1999, the Company was unable to sustain the effectiveness of its integration plan. As a result, operating costs and expenses increased significantly as a percentage of revenues in the second half of 1999 and in 2000 because the short-term cost reductions experienced in the first half of 1999 were not sustained in these subsequent periods.</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part of its ongoing operations, the Company reviews its reserve requirements for remediation and other environmental matters based on an analysis of, among other things, the regulatory context surrounding landfills, site-specific environmental issues and remaining airspace capacity in light of changes in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operating landfill. The impact of revisions to remedial, environmental and other similar liabilities resulted in a reduction of operating costs and expenses as a percentage of revenues of 1.7% and 1.0% for the three and six months ended June 30, 1999. There were no such adjustments in the first six months of 2000.</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and Administrative</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General and administrative expenses increased $147.1 million or 49.4% and $365.2 million or 63.7% for the three and six months ended June 30, 2000 as compared to the prior year periods. As a percentage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operating revenues, the Company's general and administrative expenses were 13.6% and 14.5% and 9.0% and 9.0% for the three and six months ended June 30, 2000 and 1999, respectively. As discussed above, the Company believes it experienced short-term cost reductions related to the elimination of duplicate corporate administrative functions from the WM Holdings Merger through the second quarter of 1999. Such cost reductions were substantially offset in the second half of 1999 and the first half of 2000 by the effect of difficulties encountered by the Company in integrating the operations of WM Holdings, including increased administrative costs in field operations attributable to increased costs to perform billing, collections and other administrative functions. Additionally, the Company experienced significant cost increases in its corporate administrative functions for items such as additional personnel and professional accounting and consulting services in the first half of 2000 that became necessary as a result of the ineffectiveness of the WM Holdings Merger integration plan.</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and Amortization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Depreciation and amortization expense decreased $31.1 million or 7.9% and $37.0 million or 4.9% for the three and six months ended June 30, 2000 as compared to prior year periods. As a percentage of operating revenues, depreciation and amortization expense was 11.1% and 11.0% and 11.8% and 11.7% for the three and six months ended June 30, 2000 and 1999, respectively. The decrease in depreciation and amortization expense as a percentage of operating revenues is primarily due to the suspension of depreciation on fixed assets related to certain operations which were held-for-sale as of December 31, 1999. The depreciation suspension for the three and six months ended June 30, 2000 for these held-for-sale operations was $32.1 million and $83.1 million, or 1.0% and 1.3% of operating revenues, respectively. As compared to the prior year periods, depreciation and amortization expense for the three and six months ended June 30, 2000 was also reduced by divestitures of operations during the second quarter of 2000 pursuant to its strategic plan. However, these decreases in depreciation and amortization expense were offset partially by increased landfill airspace amortization in the three and six months ended June 30, 2000 from an increase in disposal volumes at its landfills. Additionally, the Company experienced higher airspace amortization rates in the current year periods, as compared to the prior year periods, due to the more stringent set of criteria for evaluating the probability of obtaining an expansion to landfill airspace, as discussed above, which was effective as of the third quarter of 1999.</w:t>
      </w:r>
    </w:p>
    <w:p>
      <w:pPr>
        <w:spacing w:after="0" w:line="18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Merger and Acquisition Related Costs, Asset Impairments and Unusual Items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in the process of settling its obligations under the Company's qualified defined benefit plan (the "Plan"). The Plan was terminated as of October 31, 1999 in connection with the WM Holdings Merger. Termination benefits that were paid to certain plan participants in the first half of 2000 from the trust fund assets of the Plan as well as other customary Plan period costs resulted in a non-cash charge to asset impairments and unusual items of approximately $13.8 million and $92.4 million for the three and six months ended June 30, 2000.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Additionally, the Company recorded a charge to asset impairments and unusual items of approximately $125.1 million and $114.0 million for the three and six months ended June 30, 2000 related to net gains and losses on operations divested during the respective periods. Furthermore, the Company recorded charges of approximately $77.6 million and $102.4 million for the three and six months ended June 30, 2000, respectively, for operations held-for-sale that have a carrying value greater than management's best current estimate of anticipated proceeds. The Company monitors operations held-for-sale on an ongoing basis to identify potential further impairments as they arise.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connection with merger transactions that the Company completed in 1998, the Company incurred $62.2 million and $79.7 million for the three and six months ended June 30, 1999. Such costs included transitional wages and other reorganizational costs. Offsetting these costs was a cumulative adjustment of $15.6 million primarily to conform accounting methods of the Company's ash monofil landfills to that of its solid waste landfills.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from Operations</w:t>
      </w:r>
    </w:p>
    <w:p>
      <w:pPr>
        <w:spacing w:after="0" w:line="180" w:lineRule="exact"/>
        <w:rPr>
          <w:sz w:val="20"/>
          <w:szCs w:val="20"/>
          <w:color w:val="auto"/>
        </w:rPr>
      </w:pPr>
    </w:p>
    <w:p>
      <w:pPr>
        <w:jc w:val="both"/>
        <w:ind w:right="3039" w:firstLine="454"/>
        <w:spacing w:after="0" w:line="247" w:lineRule="auto"/>
        <w:rPr>
          <w:sz w:val="20"/>
          <w:szCs w:val="20"/>
          <w:color w:val="auto"/>
        </w:rPr>
      </w:pPr>
      <w:r>
        <w:rPr>
          <w:rFonts w:ascii="Courier New" w:cs="Courier New" w:eastAsia="Courier New" w:hAnsi="Courier New"/>
          <w:sz w:val="15"/>
          <w:szCs w:val="15"/>
          <w:color w:val="auto"/>
        </w:rPr>
        <w:t>Income from operations was $293.0 million and $617.9 million for the three and six months ended June 30, 2000, respectively, as compared to $715.5 million and $1.5 billion for the corresponding periods of 1999.</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and Expenses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Other income and expenses consists of interest expense, interest income, other income and minority interest. The most significant of these is interest expense. The increase in interest expense is primarily due to the decline in the Company's public credit ratings during the last six months of 1999, as well as a general market increase in interest rates since the second quarter of 1999. Furthermore, the Company has experienced a decrease in the amount of interest it has capitalized from $11.3 million and $23.3 million in the three and six months ended June 30, 1999, to $5.3 million and $9.3 million during three and six months ended June 30, 2000.</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Provision for Income Taxes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recorded a provision for income taxes of $104.8 million and $169.7 million for the three and six months ended June 30, 2000, respectively, and $227.6 million and $475.6 million for the corresponding periods of 1999. The difference between the federal income taxes at the federal statutory rate and the provision for income taxes for the three and six months ended June 30, 2000 is primarily due to state and local income taxes, non-deductible costs related to acquired intangibles, non-deductible held-for-sale impairment charges associated with certain foreign businesses, and non-deductible losses on the divestiture of foreign assets that closed during the respective periods. Excluding non-deductible held-for-sale impairment charges associated with certain foreign businesses, and non-deductible losses on the divestiture of foreign assets that closed during the respective periods, the Company recorded a tax provision of 41.7% of pre-tax income for the three and six months ended June 30, 2000.</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180" w:lineRule="exact"/>
        <w:rPr>
          <w:sz w:val="20"/>
          <w:szCs w:val="20"/>
          <w:color w:val="auto"/>
        </w:rPr>
      </w:pPr>
    </w:p>
    <w:p>
      <w:pPr>
        <w:jc w:val="both"/>
        <w:ind w:right="3499" w:firstLine="454"/>
        <w:spacing w:after="0" w:line="247" w:lineRule="auto"/>
        <w:rPr>
          <w:sz w:val="20"/>
          <w:szCs w:val="20"/>
          <w:color w:val="auto"/>
        </w:rPr>
      </w:pPr>
      <w:r>
        <w:rPr>
          <w:rFonts w:ascii="Courier New" w:cs="Courier New" w:eastAsia="Courier New" w:hAnsi="Courier New"/>
          <w:sz w:val="15"/>
          <w:szCs w:val="15"/>
          <w:color w:val="auto"/>
        </w:rPr>
        <w:t>For the three and six months ended June 30, 2000, net income was $0.3 million and $55.3 million, respectively, as compared to $318.3 million and $665.0 million for the respective prior periods.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 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to the Company at the time, including the incurrence of debt and the issuance of its common stock. In August 1999, the Company announced a strategic plan that included the sale of certain assets included in its WM International operations, its non-core assets and up to 10% of its NASW operations. The proceeds from these dispositions, which are primarily expected to be realized through 2000, will be utilized for debt repayment, repurchase of shares and selected tuck-in acquisitions. Although the Company has unused and available credit capacity under its domestic bank facilities of $1.6 billion at June 30, 2000, the Company expects reductions in bank line availability as debt levels are decreased in connection with the strategic plan. In connection with its strategic plan, the Company's acquisition activity has decreased as compared to prior years and the divestiture activity has increased. Therefore, the Company's level of capital expenditures is expected to decline along with its needs for large amounts of credit capacity.</w:t>
      </w:r>
    </w:p>
    <w:p>
      <w:pPr>
        <w:spacing w:after="0" w:line="18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December 1999, the Company received unanimous approval for amendments to its syndicated loan facility (the "Syndicated Facility"), senior revolving credit facility (the "Credit Facility"), and Eurocurrency bank credit facilities. The approvals provided permanent amendments to the waivers previously granted to the</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Company related to its operating results for the third quarter of 1999. Additionally, the amended terms and conditions of the facilities contain the necessary provisions for the Company to proceed with divestitures pursuant to its strategic plan. Through July 20, 2000, the Company has sold or announced agreements for sales of assets pursuant to its strategic plan from its WM International, non-solid waste and NASW operations with proceeds totaling approximately $2.0 billion.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obtained amendments to the Syndicated Facility and Credit Facility agreements for the quarter ended March 31, 2000. On July 10, 2000, the Company renewed its Syndicated Facility in the amount of $2 billion for an additional one-year period and renewed its Credit Facility in the amount of $1.7 billion with a maturity date of August 7, 2002. Certain financial covenants to the Syndicated Facility and the Credit Facility were also amended. Terms and conditions contained in the new and amended agreements are substantially the same as prior agreements.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terms of the Syndicated Facility and Credit Facility, the Company is obligated to repay its indebtedness under such facilities with the cash proceeds to be received from the divestitures of its WM International, domestic non-core assets and up to 10% of its NASW operations. Specifically, the Company is required to utilize the first $1.5 billion of net proceeds from divestitures to repay indebtedness and 50% of the net proceeds greater than $1.5 billion but less than $2.5 billion to repay the indebtedness, subject to certain requirements to repay the Company's Eurocurrency facilities with proceeds from WM International divestitures. All net proceeds from the divestiture of the Company's WM International operations were required to first be used to repay indebtedness under the Company's Eurocurrency facilities, all of which indebtedness has been repaid.</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of June 30, 2000, the Company had a working capital deficit of $987.6 million (a ratio of current assets to current liabilities of 0.82:1) and a cash balance of $103.5 million, which compares to a working capital deficit of $1.3 billion (a ratio of current assets to current liabilities of 0.83:1) and a cash balance of $181.4 million at December 31, 1999. For the six months ended June 30, 2000, cash used to acquire businesses of $169.3 million, capital expenditures of $563.9 million and net debt reductions of approximately $1.6 billion were primarily financed with cash flows from operating activities of $1.1 billion and proceeds from the sale of assets of $1.1 billion. Favorably impacting cash flows from operations for the six months ended June 30, 2000 was a tax refund of approximately $200 million and improvements in the Company's accounts receivable average days sales outstanding. For the six months ended June 30, 1999, cash used to acquire businesses of $644.5 million, capital expenditures of $614.1 million and net debt reductions of approximately $218.6 million were primarily financed with cash flows from operating activities of $752.3 million and proceeds from the sale of assets of $546.7 million.</w:t>
      </w:r>
    </w:p>
    <w:p>
      <w:pPr>
        <w:spacing w:after="0" w:line="1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December 15, 1999 through March 16, 2000, the Company repurchased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$429.0 million of its 5.75% convertible subordinated notes due 2005 with funds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from internally generated cash flows and its domestic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It is the Company's intention to refinance approximately $250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outstanding short-term borrowings through the use of existing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committed long-term bank credit agreements in the event that alternative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refinancing is not arranged. Accordingly, these borrowings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as long-term at June 30, 2000.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expects to settle its remaining obligations in conjunction with the termination of the Plan during the third quarter of 2000 at which time the Company expects to make payments of approximately $185 million to the Plan's trust.</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a result of financial difficulties experienced during the second quarter of 2000 by one of the Company's surety bond providers, it became necessary for the Company to obtain replacement bonding for this surety's financial assurance bonds. Arrangements for replacement financial assurance have been substantially completed and the Company has available sufficient surety capacity to meet its ongoing operating requirements.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landfills and the capping of the final uncapped areas of the landfills, and for post-closure of the landfills it operates or for which it is otherwise responsible. The final closure and post-closure liabilities are charged to expense as airspace is consumed such that the present value of total</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3"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estimated final closure and post-closure cost will be accrued for each landfill at the time each site discontinues accepting waste and is closed. The Company has also established procedures to evaluate its potential remedial liabilities at closed sites which it owns or operated, or to which it transported waste, including 85 sites listed on the NPL. The majority of situations involving NPL sites relate to allegations that subsidiaries of the Company (or their predecessors) transported waste to the facilities in question, often prior to the acquisition of such subsidiaries by the Company. In instances in which the Company has concluded that it is probable that a liability has been incurred, an accrual has been recorded in the financial statements.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have a material adverse impact on the Company's financial statements.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April 2000, the Company announced that its wholly-owned subsidiaries had completed the previously announced transactions regarding the sales of waste services operations in the Netherlands and Finland, and the majority interest in Waste Management New Zealand Limited. During May and June 2000, the Company announced that its wholly-owned subsidiaries had completed previously announced transactions to sell waste services operations in Italy, Australia and Germany, as well as substantially all of its nuclear waste services operations in the United States. In May 2000, one of the Company's wholly-owned subsidiaries sold its waste services operations in Thailand to Modern Asia Environmental Ltd. In June 2000, the Company also announced that one of its wholly-owned subsidiaries had reached an agreement to sell its waste services operations in the United Kingdom to Severn Trent Plc for approximately U.S. $570 million. The sale, which is subject to the approval of regulatory authorities and other customary conditions, is expected to be completed in the third quarter of 2000. In July 2000, the Company announced that a wholly-owned subsidiary had signed and closed on an agreement to sell its waste services operations in Denmark, Slovakia and the Czech Republic to Marius Pedersen Holding A/S, a subsidiary of the Marius Pedersen Foundation, for approximately U.S. $120 million. On August 4, 2000, the Company announced that it completed the final transaction of previously announced sales of certain of its U.S. solid waste assets to Allied for aggregate proceeds of approximately $191 million. The sales, some of which occurred in the first and second quarters of 2000, included 14 hauling companies, four transfer stations and ten landfills.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June 21, 2000, the Company announced that it agreed to a settlement with the United States Securities and Exchange Commission (the "SEC") related to the Company's disclosures of information about expected earnings and revenues for the second quarter of 1999. In the settlement, the Company consented, without admitting or denying the SEC findings, to the SEC's entry of an administrative order that it cease and desist from committing or causing violations of certain of the antifraud, books and records, and internal controls provisions of the federal securities laws. Specifically, the SEC's Order found that, at least by June 9, 1999, the Company was aware of sufficient adverse information about its second quarter performance to make its continued support of public forecasts unreasonable. On July 6, 1999, the Company announced that both its second quarter revenues and earnings per share would be lower than previously anticipated. The SEC order assessed no monetary penalty or fine against the Company. As previously disclosed, the Company cooperated fully with the SEC in its inquiry.</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Effective July 1, 2000, WM Holdings terminated the Waste Management Benefits Stock Trust (the "Trust"). In 1994, the Trust, which was created by WM Holdings, purchased, in exchange for a promissory note, all of the outstanding treasury shares of WM Holdings to fund various company benefit plans. Pursuant to the WM Holdings Merger, all of the shares held by the Trust were converted into shares of the Company's common stock. In accordance with the termination of the Trust, the shares previously owned by it have been returned to the Company as payment for the outstanding amount of the promissory note. The 7,892,612 shares returned to the Company will be classified as treasury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179"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Statement of Financial Accounting Standards ("SFAS") No. 133, Accounting for Derivative Instruments and Hedging Activities was issued in 1998.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and SFAS No. 138, is effective for the Company in its first fiscal quarter of 2001. Management is currently assessing the impact that the adoption of these standards will have on the Company's financial statements.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February 1998, WM Holdings announced a restatement of prior-period earnings for 1991 and earlier, as well as for 1992 through 1996 and the first three quarters of 1997. Many actions were brought or claims made against WM Holdings as a result of this restatement, as set forth in earlier quarterly and year-end reports made by the Company. The Company has resolved many of these actions and claims, as discussed in earlier filings. In July 2000, the Company resolved an action alleging breach of warranty and fraud, among other things, arising out of a transaction worth in excess of $11 million at its closing in 1995.</w:t>
      </w:r>
    </w:p>
    <w:p>
      <w:pPr>
        <w:spacing w:after="0" w:line="180"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 following actions with respect to WM Holdings, however, are still outstanding.</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1998, a business owner who received WM Holdings common stock in the sale of his business to WM Holdings brought a purported class action against that company alleging breach of warranty. In October 1999, the court certified a class consisting of all sellers of business assets to WM Holdings between January 1, 1990, and February 24, 1998, whose purchase agreements with WM Holdings contained express warranties regarding the accuracy of WM Holdings' financial statements. In March 2000, the court of appeals upheld this certification order. Also in March 2000, the trial court granted summary judgment on the claim of breach of warranty against WM Holdings and in favor of all members of the class except for a discrete group of plaintiffs whose claims may have expired under applicable statutes of limitations. The class, as currently constituted, consists of twenty-six transactions involving shares worth, in aggregate, approximately $132 million as valued at the time of the respective deals. The extent of damages in this class action has not yet been determined.</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March 2000, a group of companies that sold their assets to WM Holdings in exchange for common stock then valued at over $200 million pursuant to an asset purchase agreement (and who otherwise would have been included in the above class, as currently defined), brought a separate action against the Company for breach of contract and fraud, among other things. The Company and this seller group currently are litigating the question of whether their dispute should be submitted to arbitration for resolution. The extent of damages in the underlying action has not yet been determined.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This action is in its early stages and the extent of possible damages, if any, has not yet been determined.</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consolidated derivative action has also been filed in Delaware Chancery Court, nominally on behalf of the Company, against certain former officers and directors of WM Holdings and certain directors of the Company. The derivative plaintiffs seek, among other things, those monies paid by the Company to resolve those claims arising out of WM Holdings' restatement of earnings in February 1998 as well as a declaration that the Company does not have to pay retirement benefits to certain former officers of WM Holdings.</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March and April 1999, two former officers of WM Holdings sued the Company for retirement and other benefits. Additionally, a third former officer brought a similar action, which was subsequently dismissed without prejudice in March 2000. The Company is engaged in discussions to settle the disputes between it and each of these former officers.</w:t>
      </w:r>
    </w:p>
    <w:p>
      <w:pPr>
        <w:spacing w:after="0" w:line="178" w:lineRule="exact"/>
        <w:rPr>
          <w:sz w:val="20"/>
          <w:szCs w:val="20"/>
          <w:color w:val="auto"/>
        </w:rPr>
      </w:pPr>
    </w:p>
    <w:p>
      <w:pPr>
        <w:jc w:val="both"/>
        <w:ind w:right="3499" w:firstLine="454"/>
        <w:spacing w:after="0" w:line="247" w:lineRule="auto"/>
        <w:rPr>
          <w:sz w:val="20"/>
          <w:szCs w:val="20"/>
          <w:color w:val="auto"/>
        </w:rPr>
      </w:pPr>
      <w:r>
        <w:rPr>
          <w:rFonts w:ascii="Courier New" w:cs="Courier New" w:eastAsia="Courier New" w:hAnsi="Courier New"/>
          <w:sz w:val="15"/>
          <w:szCs w:val="15"/>
          <w:color w:val="auto"/>
        </w:rPr>
        <w:t>In addition to the actions with respect to WM Holdings, the following actions with respect to the Company or its other subsidiaries are pending.</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type w:val="continuous"/>
        </w:sectPr>
      </w:pPr>
    </w:p>
    <w:bookmarkStart w:id="46" w:name="page47"/>
    <w:bookmarkEnd w:id="46"/>
    <w:p>
      <w:pPr>
        <w:ind w:left="267"/>
        <w:spacing w:after="0"/>
        <w:rPr>
          <w:sz w:val="20"/>
          <w:szCs w:val="20"/>
          <w:color w:val="auto"/>
        </w:rPr>
      </w:pPr>
      <w:r>
        <w:rPr>
          <w:rFonts w:ascii="Courier New" w:cs="Courier New" w:eastAsia="Courier New" w:hAnsi="Courier New"/>
          <w:sz w:val="15"/>
          <w:szCs w:val="15"/>
          <w:color w:val="auto"/>
        </w:rPr>
        <w:t>47</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30 lawsuits that purport to be based on one or more of these announcements were filed against the Company and certain of its current and former officers and directors in the United States District Court for the Southern District of Texas. These actions have been consolidated into a single action. On September 7, 1999, a lawsuit was filed against the Company and certain of its current and former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On May 8, 2000, the United States District Court for the Southern District of Texas entered an order appointing the Connecticut Retirement Plan and Trust Funds as lead plaintiff in the consolidated cases and appointing the law firm of Goodkind Labaton Rudoff &amp; Suchrow LLP as lead plaintiff's counsel.</w:t>
      </w:r>
    </w:p>
    <w:p>
      <w:pPr>
        <w:spacing w:after="0" w:line="186"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persons who exchanged WM Holdings shares for the Company's stock when WM Holdings and the Company merged, and (ii) the "Eastern Merger Subclass," consisting of all persons who exchanged Eastern Environmental Services, Inc. ("Eastern") stock for the Company's stock when Eastern and the Company merged on December 31, 1998 (the "Eastern Merger"). Among other things, the plaintiffs allege that the Company and certain of its officers and directors</w:t>
      </w:r>
    </w:p>
    <w:p>
      <w:pPr>
        <w:spacing w:after="0" w:line="7" w:lineRule="exact"/>
        <w:rPr>
          <w:sz w:val="20"/>
          <w:szCs w:val="20"/>
          <w:color w:val="auto"/>
        </w:rPr>
      </w:pPr>
    </w:p>
    <w:p>
      <w:pPr>
        <w:ind w:left="7" w:right="2959" w:hanging="7"/>
        <w:spacing w:after="0" w:line="246" w:lineRule="auto"/>
        <w:tabs>
          <w:tab w:leader="none" w:pos="3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misrepresentations in the registration statement and prospectus filed with the SEC in connection with the WM Holdings Merger, (ii) made knowingly false earnings projections for the three months ended June 30, 1999 and (iii) failed to adequately disclose facts relating to its earnings projections that the plaintiffs allege would have been material to purchasers of the Company's common stock and (iv) made separate and distinct misrepresentations about the Company's operations and finances on and after July 29, 1999, culminating in the Company's taking a pre-tax charge of $1.76 billion in the third quarter of 1999. The plaintiffs also claim that certain of the Company's current and former officers and directors sold common stock between March 31, 1999 and July 6, 1999 at prices allegedly known to be inflated by the alleged material misstatements and omissions. The plaintiffs in these actions seek damages with interest, costs and such other relief as the court deems proper. The case is at an early stage and the extent of possible damages, if any, cannot yet be determined.</w:t>
      </w:r>
    </w:p>
    <w:p>
      <w:pPr>
        <w:spacing w:after="0" w:line="18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June 29, 2000, a putative class action was filed against the Company in Delaware state court by a class of former shareholders of Eastern who exchanged their Eastern shares for the Company's shares in the Eastern Merger. The plaintiffs allege that the Company stock they received in exchange for their Eastern shares was overvalued for the reasons alleged in the consolidated class actions in Texas. The claims and putative class members in this case fall within the scope of the consolidated class actions in Texas. The case is at an early stage, and the extent of possible damages, if any, cannot yet be determined.</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has been sued in several lawsuits, and two arbitration actions initiated, by individuals who received common stock in the sales of their businesses to the Company or to a company later acquired by the Company. The first of these actions, filed in state court in Oregon in November 1999, was resolved in June 2000. The two arbitrations that have been initiated both relate to the sale of businesses to Eastern. For reasons similar to those alleged in the class actions described above, or for reasons related to their acquisition by Eastern, these individuals allege that the stock they received was overvalued. Two other lawsuits were filed in June 2000, one in state court in California and another in state court in Virginia, both also relating to the sales of businesses to the Company. With the exception of the Oregon case and one of the arbitration cases, which have been resolved, all of these matters are in an early stage and the extent of possible damages, if any, cannot yet be determined.</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6"/>
          </w:cols>
          <w:pgMar w:left="233" w:top="29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three of the Company's shareholders have filed purported derivative lawsuits against certain current and former officers and directors of the Company in connection with the events surrounding the Company's second quarter 1999 earnings projections and July 6, 1999 earnings announcement. Two of these lawsuits were filed in the Delaware Court of Chancery on July 16, 1999 and August 18, 1999, respectively, and one was filed in the United States District Court for the Southern District of Texas on July 27, 1999. The Delaware cases have been consolidated and the plaintiffs have filed an amended consolidated complaint. The amended complaint alleges claims relating to the Company's 1999 annual and quarterly earnings, sales of Company stock by certain of the Company's current and former officers and directors, and alleged self-dealing by certain of the Company's current and former officers.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18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Beginning at year end 1999 the Company became involved in a series of disputes with Louis D. Paolino, former President and Chief Executive Officer of Eastern, and others in connection with the Eastern Merger. The Company alleged, among other things, that the defendants usurped Eastern corporate opportunities for personal gain and otherwise mismanaged certain affairs of Eastern. Mr.</w:t>
      </w:r>
    </w:p>
    <w:p>
      <w:pPr>
        <w:spacing w:after="0" w:line="3"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Paolino and others alleged that the Company and unnamed others committed security fraud alleging that the stock they were issued in connection with the Eastern Merger was over-valued because the Company failed to disclose that it was having problems integrating the operations of WM Holdings and the Company after the WM Holdings Merger. The parties to these suits have withdrawn their respective complaints and are engaging in discussions to resolve these issues.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Several related shareholders have filed a lawsuit in state court in Texas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The case is in an early stage and the extent of damages, if any, cannot yet be determined.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the SEC notified the Company of an informal inquiry into the period ended June 30, 1999, as well as certain sales of the Company's common stock that preceded the Company's July 6, 1999 earnings announcement. On June 21, 2000 the Company consented, without admitting or denying the findings, to the SEC's entry of an administrative Cease and Desist Order, finding that the Company had violated certain of the antifraud, books and records, and internal control provisions of the federal securities laws in connection with the July 6, 1999 announcement. The Order did not impose any fines or monetary penalties. The SEC noted in the Order that its inquiry was ongoing as to other parties.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New York Stock Exchange has notified the Company that its Market Trading Analysis Department is reviewing transactions in the common stock of the Company prior to the July 6, 1999 earnings forecast announcement.</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conducting a thorough investigation of each of the allegations that have been made in connection with the Company's second quarter 1999 earnings communications and other matters alleged in the various complaints. As part of this investigation, the Company's Board of Directors authorized its Special Committee I to conduct a full investigation and evaluation of all matters relating to: (i) the reporting of the Company's first and second quarter 1999 operating results; (ii) the sales of the Company's stock by certain current and former corporate officials; and (iii) the allegations made in pending litigation respecting these matters and to report its findings and recommendations to those members of the Board of Directors it finds are sufficiently disinterested to act upon its findings and recommendations. Roderick M. Hills, a former chairman of the SEC and the former chairman of the Company's Audit Committee, served as Chairman of the Special Committees I until he retired from the Board of Directors in May 2000 in accordance with the retirement</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provisions contained in the Company's Corporate Governance Guidelines. John C. Pope, current Chairman of the Company's Audit Committee, has succeeded Mr. Hills as Chairman of the Special Committee I.</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received a Civil Investigative Demand ("CID") from the Antitrust Division of the United States Department of Justice in July 1999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 with which the Company is fully cooperating.</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attorneys filed a lawsuit on behalf of a putative class of plan participants against the Company, the Waste Management, Inc. Pension Plan, and various individual defendants, alleging violations of the Employee Retirement Income Security Act of 1974 ("ERISA") with respect to the termination of the Plan. Since the initial filing of the case, the plaintiffs have voluntarily dismissed certain counts and the Company has filed a Motion to Dismiss with respect to the remaining claims.</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June 30, 2000, there were five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1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1999, the Company was notified that the EPA is conducting a civil investigation of alleged chlorofluorocarbons ("CFC") disposal violations by Waste Management of Massachusetts, Inc. ("WMMA"), one of the Company's wholly-owned subsidiaries,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 investigation and believes that the ultimate outcome of this matter will not have a material adverse effect on the Company's financial statements.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of June 30, 2000, the Company or its subsidiaries had been notified that they are potentially responsible parties in connection with 85 locations listed on the NPL. Of the 85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68 NPL sites at which claims have been made against the Company and which are not owned by the Company are at different procedural stages under Superfund. At some of these sites, the Company's liability is well-defined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86"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November 1998, the Company was sued by the estate of Shayne Conner, who died on November 24, 1995 in Greenland, New Hampshire. Plaintiffs allege that Mr. Conner's death was caused by biosolids that were applied to a nearby field by the Company's BioGro business unit. The litigation is currently in the discovery phase, and the Company is preparing a rebuttal to plaintiff's expert report on causation. The Company is vigorously defending itself in the litigation.</w:t>
      </w:r>
    </w:p>
    <w:p>
      <w:pPr>
        <w:spacing w:after="0" w:line="179"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In February 1999, a San Bernardino County, California grand jury returned an amended felony indictment against the Company, certain of its subsidiaries and their current or former employees, and a</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financial statements.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financial statements for potential recoveries.</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 their respective financial conditions or results of operations in one or more future periods. The Company and WM Holdings intend to defend themselves vigorously in all the above matters.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the Company's Annual Meeting of Stockholders held on May 16, 2000, a proposal to elect the nominees listed in the following table as directors of the Company was submitted to a vote of the Company's stockholders. The following table also shows the results of voting as to each nominee: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NOMINEE</w:t>
            </w:r>
          </w:p>
        </w:tc>
        <w:tc>
          <w:tcPr>
            <w:tcW w:w="4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VOTES FOR</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VOTES WITHHELD</w:t>
            </w:r>
          </w:p>
        </w:tc>
      </w:tr>
      <w:tr>
        <w:trPr>
          <w:trHeight w:val="175"/>
        </w:trPr>
        <w:tc>
          <w:tcPr>
            <w:tcW w:w="1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Robert S. Miller</w:t>
            </w:r>
          </w:p>
        </w:tc>
        <w:tc>
          <w:tcPr>
            <w:tcW w:w="4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489,302,603</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63,280,277</w:t>
            </w:r>
          </w:p>
        </w:tc>
      </w:tr>
      <w:tr>
        <w:trPr>
          <w:trHeight w:val="175"/>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Paul M. Montrone</w:t>
            </w:r>
          </w:p>
        </w:tc>
        <w:tc>
          <w:tcPr>
            <w:tcW w:w="4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544,093,613</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8,489,267</w:t>
            </w:r>
          </w:p>
        </w:tc>
      </w:tr>
      <w:tr>
        <w:trPr>
          <w:trHeight w:val="175"/>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A. Maurice Myers</w:t>
            </w:r>
          </w:p>
        </w:tc>
        <w:tc>
          <w:tcPr>
            <w:tcW w:w="4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545,260,749</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7,322,131</w:t>
            </w:r>
          </w:p>
        </w:tc>
      </w:tr>
      <w:tr>
        <w:trPr>
          <w:trHeight w:val="524"/>
        </w:trPr>
        <w:tc>
          <w:tcPr>
            <w:tcW w:w="1440" w:type="dxa"/>
            <w:vAlign w:val="bottom"/>
          </w:tcPr>
          <w:p>
            <w:pPr>
              <w:spacing w:after="0"/>
              <w:rPr>
                <w:sz w:val="24"/>
                <w:szCs w:val="24"/>
                <w:color w:val="auto"/>
              </w:rPr>
            </w:pPr>
          </w:p>
        </w:tc>
        <w:tc>
          <w:tcPr>
            <w:tcW w:w="4500" w:type="dxa"/>
            <w:vAlign w:val="bottom"/>
          </w:tcPr>
          <w:p>
            <w:pPr>
              <w:jc w:val="right"/>
              <w:ind w:right="2144"/>
              <w:spacing w:after="0"/>
              <w:rPr>
                <w:sz w:val="20"/>
                <w:szCs w:val="20"/>
                <w:color w:val="auto"/>
              </w:rPr>
            </w:pPr>
            <w:r>
              <w:rPr>
                <w:rFonts w:ascii="Courier New" w:cs="Courier New" w:eastAsia="Courier New" w:hAnsi="Courier New"/>
                <w:sz w:val="15"/>
                <w:szCs w:val="15"/>
                <w:color w:val="auto"/>
              </w:rPr>
              <w:t>50</w:t>
            </w:r>
          </w:p>
        </w:tc>
        <w:tc>
          <w:tcPr>
            <w:tcW w:w="15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51" w:name="page52"/>
    <w:bookmarkEnd w:id="51"/>
    <w:p>
      <w:pPr>
        <w:ind w:left="267"/>
        <w:spacing w:after="0"/>
        <w:rPr>
          <w:sz w:val="20"/>
          <w:szCs w:val="20"/>
          <w:color w:val="auto"/>
        </w:rPr>
      </w:pPr>
      <w:r>
        <w:rPr>
          <w:rFonts w:ascii="Courier New" w:cs="Courier New" w:eastAsia="Courier New" w:hAnsi="Courier New"/>
          <w:sz w:val="15"/>
          <w:szCs w:val="15"/>
          <w:color w:val="auto"/>
        </w:rPr>
        <w:t>52</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At the same meeting, the following proposals were also adopted by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Company's stockholders. The voting was as follows: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VOTES</w:t>
            </w:r>
          </w:p>
        </w:tc>
        <w:tc>
          <w:tcPr>
            <w:tcW w:w="1140" w:type="dxa"/>
            <w:vAlign w:val="bottom"/>
          </w:tcPr>
          <w:p>
            <w:pPr>
              <w:spacing w:after="0"/>
              <w:rPr>
                <w:sz w:val="14"/>
                <w:szCs w:val="14"/>
                <w:color w:val="auto"/>
              </w:rPr>
            </w:pPr>
          </w:p>
        </w:tc>
      </w:tr>
      <w:tr>
        <w:trPr>
          <w:trHeight w:val="175"/>
        </w:trPr>
        <w:tc>
          <w:tcPr>
            <w:tcW w:w="4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VOTES FOR</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AGAINST</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ABSTENTIONS</w:t>
            </w:r>
          </w:p>
        </w:tc>
      </w:tr>
      <w:tr>
        <w:trPr>
          <w:trHeight w:val="175"/>
        </w:trPr>
        <w:tc>
          <w:tcPr>
            <w:tcW w:w="4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Approve 1,000,000 share increase in shares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available for grant under the Company's 1996</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Stock Option Plan for Non-Employee Directors...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514,946,529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34,510,030</w:t>
            </w:r>
          </w:p>
        </w:tc>
        <w:tc>
          <w:tcPr>
            <w:tcW w:w="11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3,126,320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Approve adoption of Company's 2000 Stock</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Incentive Plan.................................</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474,461,424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75,102,940</w:t>
            </w:r>
          </w:p>
        </w:tc>
        <w:tc>
          <w:tcPr>
            <w:tcW w:w="11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3,018,516</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Approve 1,250,000 share increase in shares</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reserved for purchase and issuance under the</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Company's Employee Stock Purchase Plan.........</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536,756,251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13,060,591</w:t>
            </w:r>
          </w:p>
        </w:tc>
        <w:tc>
          <w:tcPr>
            <w:tcW w:w="11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2,766,038</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Approve appointment of Arthur Andersen LLP as the</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Company's independent auditors for the fiscal</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year ending December 31, 2000..................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547,988,813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2,769,039</w:t>
            </w:r>
          </w:p>
        </w:tc>
        <w:tc>
          <w:tcPr>
            <w:tcW w:w="11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1,825,028</w:t>
            </w:r>
          </w:p>
        </w:tc>
      </w:tr>
      <w:tr>
        <w:trPr>
          <w:trHeight w:val="524"/>
        </w:trPr>
        <w:tc>
          <w:tcPr>
            <w:tcW w:w="4440" w:type="dxa"/>
            <w:vAlign w:val="bottom"/>
          </w:tcPr>
          <w:p>
            <w:pPr>
              <w:spacing w:after="0"/>
              <w:rPr>
                <w:sz w:val="20"/>
                <w:szCs w:val="20"/>
                <w:color w:val="auto"/>
              </w:rPr>
            </w:pPr>
            <w:r>
              <w:rPr>
                <w:rFonts w:ascii="Courier New" w:cs="Courier New" w:eastAsia="Courier New" w:hAnsi="Courier New"/>
                <w:sz w:val="15"/>
                <w:szCs w:val="15"/>
                <w:color w:val="auto"/>
              </w:rPr>
              <w:t>ITEM 5. OTHER INFORMATION</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ITEM 6. EXHIBITS AND REPORTS ON FORM 8-K.</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(a) Exhibits: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99"/>
        </w:trPr>
        <w:tc>
          <w:tcPr>
            <w:tcW w:w="4440" w:type="dxa"/>
            <w:vAlign w:val="bottom"/>
          </w:tcPr>
          <w:p>
            <w:pPr>
              <w:ind w:left="540"/>
              <w:spacing w:after="0"/>
              <w:rPr>
                <w:sz w:val="20"/>
                <w:szCs w:val="20"/>
                <w:color w:val="auto"/>
              </w:rPr>
            </w:pPr>
            <w:r>
              <w:rPr>
                <w:rFonts w:ascii="Courier New" w:cs="Courier New" w:eastAsia="Courier New" w:hAnsi="Courier New"/>
                <w:sz w:val="15"/>
                <w:szCs w:val="15"/>
                <w:color w:val="auto"/>
              </w:rPr>
              <w:t>EXHIBIT NO.*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44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79" w:lineRule="exact"/>
        <w:rPr>
          <w:sz w:val="20"/>
          <w:szCs w:val="20"/>
          <w:color w:val="auto"/>
        </w:rPr>
      </w:pPr>
    </w:p>
    <w:p>
      <w:pPr>
        <w:ind w:left="2267" w:hanging="1267"/>
        <w:spacing w:after="0"/>
        <w:tabs>
          <w:tab w:leader="none" w:pos="22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Restated Bylaws.</w:t>
      </w:r>
    </w:p>
    <w:p>
      <w:pPr>
        <w:spacing w:after="0" w:line="5"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78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88"/>
              </w:rPr>
              <w:t>10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 Employment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Robert E.</w:t>
            </w:r>
          </w:p>
        </w:tc>
      </w:tr>
      <w:tr>
        <w:trPr>
          <w:trHeight w:val="175"/>
        </w:trPr>
        <w:tc>
          <w:tcPr>
            <w:tcW w:w="7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Dees, Jr.,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dated May</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10, 2000.</w:t>
            </w:r>
          </w:p>
        </w:tc>
      </w:tr>
      <w:tr>
        <w:trPr>
          <w:trHeight w:val="175"/>
        </w:trPr>
        <w:tc>
          <w:tcPr>
            <w:tcW w:w="78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88"/>
              </w:rPr>
              <w:t>12</w:t>
            </w: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Computation of Ratio</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of Earnings to Fixed Charges.</w:t>
            </w:r>
          </w:p>
        </w:tc>
      </w:tr>
    </w:tbl>
    <w:p>
      <w:pPr>
        <w:spacing w:after="0" w:line="5" w:lineRule="exact"/>
        <w:rPr>
          <w:sz w:val="20"/>
          <w:szCs w:val="20"/>
          <w:color w:val="auto"/>
        </w:rPr>
      </w:pPr>
    </w:p>
    <w:p>
      <w:pPr>
        <w:ind w:left="2267" w:hanging="1358"/>
        <w:spacing w:after="0"/>
        <w:tabs>
          <w:tab w:leader="none" w:pos="2267" w:val="left"/>
        </w:tabs>
        <w:numPr>
          <w:ilvl w:val="3"/>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5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2959" w:hanging="273"/>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 the case of incorporation by reference to documents filed under the Securities and Exchange Act of 1934, the Registrant's file number under that Act is 1-12154.</w:t>
      </w:r>
    </w:p>
    <w:p>
      <w:pPr>
        <w:spacing w:after="0" w:line="174" w:lineRule="exact"/>
        <w:rPr>
          <w:rFonts w:ascii="Courier New" w:cs="Courier New" w:eastAsia="Courier New" w:hAnsi="Courier New"/>
          <w:sz w:val="15"/>
          <w:szCs w:val="15"/>
          <w:color w:val="auto"/>
        </w:rPr>
      </w:pPr>
    </w:p>
    <w:p>
      <w:pPr>
        <w:ind w:left="547" w:hanging="365"/>
        <w:spacing w:after="0"/>
        <w:tabs>
          <w:tab w:leader="none" w:pos="547"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6"/>
          </w:cols>
          <w:pgMar w:left="233"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jc w:val="center"/>
        <w:ind w:right="-1040"/>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WILLIAM L. TRUBECK</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William L. Trubeck</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Senior Vice President and</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(Principal Financial Officer)</w:t>
      </w:r>
    </w:p>
    <w:p>
      <w:pPr>
        <w:spacing w:after="0" w:line="180" w:lineRule="exact"/>
        <w:rPr>
          <w:sz w:val="20"/>
          <w:szCs w:val="20"/>
          <w:color w:val="auto"/>
        </w:rPr>
      </w:pPr>
    </w:p>
    <w:p>
      <w:pPr>
        <w:ind w:left="4000"/>
        <w:spacing w:after="0"/>
        <w:tabs>
          <w:tab w:leader="none" w:pos="47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BRUCE E. SNYDER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Bruce E. Snyder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Vice President and</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Chief Accounting Officer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(Principal Accounting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11, 2000</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3" w:right="1440" w:bottom="1440" w:gutter="0" w:footer="0" w:header="0"/>
        </w:sectPr>
      </w:pPr>
    </w:p>
    <w:bookmarkStart w:id="53" w:name="page54"/>
    <w:bookmarkEnd w:id="53"/>
    <w:p>
      <w:pPr>
        <w:ind w:left="267"/>
        <w:spacing w:after="0"/>
        <w:rPr>
          <w:sz w:val="20"/>
          <w:szCs w:val="20"/>
          <w:color w:val="auto"/>
        </w:rPr>
      </w:pPr>
      <w:r>
        <w:rPr>
          <w:rFonts w:ascii="Courier New" w:cs="Courier New" w:eastAsia="Courier New" w:hAnsi="Courier New"/>
          <w:sz w:val="15"/>
          <w:szCs w:val="15"/>
          <w:color w:val="auto"/>
        </w:rPr>
        <w:t>54</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47"/>
        <w:spacing w:after="0"/>
        <w:rPr>
          <w:sz w:val="20"/>
          <w:szCs w:val="20"/>
          <w:color w:val="auto"/>
        </w:rPr>
      </w:pPr>
      <w:r>
        <w:rPr>
          <w:rFonts w:ascii="Courier New" w:cs="Courier New" w:eastAsia="Courier New" w:hAnsi="Courier New"/>
          <w:sz w:val="14"/>
          <w:szCs w:val="14"/>
          <w:color w:val="auto"/>
        </w:rPr>
        <w:t>EXHIBIT NO.*</w:t>
      </w:r>
    </w:p>
    <w:p>
      <w:pPr>
        <w:spacing w:after="0" w:line="16" w:lineRule="exact"/>
        <w:rPr>
          <w:sz w:val="20"/>
          <w:szCs w:val="20"/>
          <w:color w:val="auto"/>
        </w:rPr>
      </w:pPr>
    </w:p>
    <w:p>
      <w:pPr>
        <w:ind w:left="54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727" w:space="720"/>
            <w:col w:w="5779"/>
          </w:cols>
          <w:pgMar w:left="233" w:top="293" w:right="1440" w:bottom="1440" w:gutter="0" w:footer="0" w:header="0"/>
          <w:type w:val="continuous"/>
        </w:sectPr>
      </w:pPr>
    </w:p>
    <w:p>
      <w:pPr>
        <w:ind w:left="2267" w:hanging="1267"/>
        <w:spacing w:after="0"/>
        <w:tabs>
          <w:tab w:leader="none" w:pos="22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Restated Bylaws.</w:t>
      </w:r>
    </w:p>
    <w:p>
      <w:pPr>
        <w:spacing w:after="0" w:line="5" w:lineRule="exact"/>
        <w:rPr>
          <w:sz w:val="20"/>
          <w:szCs w:val="20"/>
          <w:color w:val="auto"/>
        </w:rPr>
      </w:pPr>
    </w:p>
    <w:p>
      <w:pPr>
        <w:ind w:left="2547" w:right="2779" w:hanging="1638"/>
        <w:spacing w:after="0" w:line="246" w:lineRule="auto"/>
        <w:tabs>
          <w:tab w:leader="none" w:pos="227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Employment Agreement between the Company and Robert E. Dees, Jr., dated May 10, 2000.</w:t>
      </w:r>
    </w:p>
    <w:p>
      <w:pPr>
        <w:spacing w:after="0" w:line="1" w:lineRule="exact"/>
        <w:rPr>
          <w:sz w:val="20"/>
          <w:szCs w:val="20"/>
          <w:color w:val="auto"/>
        </w:rPr>
      </w:pPr>
    </w:p>
    <w:p>
      <w:pPr>
        <w:ind w:left="907"/>
        <w:spacing w:after="0"/>
        <w:tabs>
          <w:tab w:leader="none" w:pos="2246"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 Computation of Ratio of Earnings to Fixed Charges.</w:t>
      </w:r>
    </w:p>
    <w:p>
      <w:pPr>
        <w:spacing w:after="0" w:line="5" w:lineRule="exact"/>
        <w:rPr>
          <w:sz w:val="20"/>
          <w:szCs w:val="20"/>
          <w:color w:val="auto"/>
        </w:rPr>
      </w:pPr>
    </w:p>
    <w:p>
      <w:pPr>
        <w:ind w:left="2267" w:hanging="1358"/>
        <w:spacing w:after="0"/>
        <w:tabs>
          <w:tab w:leader="none" w:pos="2267"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5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2959" w:hanging="273"/>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 the case of incorporation by reference to documents filed under the Securities and Exchange Act of 1934, the Registrant's file number under that Act is 1-12154.</w:t>
      </w:r>
    </w:p>
    <w:p>
      <w:pPr>
        <w:sectPr>
          <w:pgSz w:w="11900" w:h="16838" w:orient="portrait"/>
          <w:cols w:equalWidth="0" w:num="1">
            <w:col w:w="10226"/>
          </w:cols>
          <w:pgMar w:left="233" w:top="293"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3</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(f/k/a 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AS OF MAY 16, 2000</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OFFICES</w:t>
      </w:r>
    </w:p>
    <w:p>
      <w:pPr>
        <w:spacing w:after="0" w:line="354"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0" w:lineRule="exact"/>
        <w:rPr>
          <w:sz w:val="20"/>
          <w:szCs w:val="20"/>
          <w:color w:val="auto"/>
        </w:rPr>
      </w:pPr>
    </w:p>
    <w:p>
      <w:pPr>
        <w:ind w:right="3219" w:firstLine="1636"/>
        <w:spacing w:after="0" w:line="246" w:lineRule="auto"/>
        <w:rPr>
          <w:sz w:val="20"/>
          <w:szCs w:val="20"/>
          <w:color w:val="auto"/>
        </w:rPr>
      </w:pPr>
      <w:r>
        <w:rPr>
          <w:rFonts w:ascii="Courier New" w:cs="Courier New" w:eastAsia="Courier New" w:hAnsi="Courier New"/>
          <w:sz w:val="15"/>
          <w:szCs w:val="15"/>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3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MEETINGS OF STOCKHOLDERS</w:t>
      </w:r>
    </w:p>
    <w:p>
      <w:pPr>
        <w:spacing w:after="0" w:line="35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 meeting is to be held, which place shall be specified in the notice, or if not so specified, at the place where the</w:t>
      </w:r>
    </w:p>
    <w:p>
      <w:pPr>
        <w:sectPr>
          <w:pgSz w:w="11900" w:h="16838" w:orient="portrait"/>
          <w:cols w:equalWidth="0" w:num="1">
            <w:col w:w="10219"/>
          </w:cols>
          <w:pgMar w:left="240" w:top="142"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2</w:t>
      </w:r>
    </w:p>
    <w:p>
      <w:pPr>
        <w:spacing w:after="0" w:line="354"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meeting is to be held. The list shall also be produced and kept at the time and place of the meeting during the whole time thereof, and may be inspected by any stockholder who is present.</w:t>
      </w:r>
    </w:p>
    <w:p>
      <w:pPr>
        <w:spacing w:after="0" w:line="17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7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85"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85"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80" w:lineRule="exact"/>
        <w:rPr>
          <w:sz w:val="20"/>
          <w:szCs w:val="20"/>
          <w:color w:val="auto"/>
        </w:rPr>
      </w:pPr>
    </w:p>
    <w:p>
      <w:pPr>
        <w:ind w:left="2440" w:hanging="811"/>
        <w:spacing w:after="0"/>
        <w:tabs>
          <w:tab w:leader="none" w:pos="2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only one votes, his act binds all;</w:t>
      </w:r>
    </w:p>
    <w:p>
      <w:pPr>
        <w:spacing w:after="0" w:line="179" w:lineRule="exact"/>
        <w:rPr>
          <w:rFonts w:ascii="Courier New" w:cs="Courier New" w:eastAsia="Courier New" w:hAnsi="Courier New"/>
          <w:sz w:val="15"/>
          <w:szCs w:val="15"/>
          <w:color w:val="auto"/>
        </w:rPr>
      </w:pPr>
    </w:p>
    <w:p>
      <w:pPr>
        <w:ind w:left="2440" w:right="3319" w:hanging="811"/>
        <w:spacing w:after="0" w:line="247" w:lineRule="auto"/>
        <w:tabs>
          <w:tab w:leader="none" w:pos="2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more than one vote, the act of the majority so voting binds all;</w:t>
      </w:r>
    </w:p>
    <w:p>
      <w:pPr>
        <w:spacing w:after="0" w:line="174" w:lineRule="exact"/>
        <w:rPr>
          <w:rFonts w:ascii="Courier New" w:cs="Courier New" w:eastAsia="Courier New" w:hAnsi="Courier New"/>
          <w:sz w:val="15"/>
          <w:szCs w:val="15"/>
          <w:color w:val="auto"/>
        </w:rPr>
      </w:pPr>
    </w:p>
    <w:p>
      <w:pPr>
        <w:ind w:left="820" w:right="2959" w:firstLine="809"/>
        <w:spacing w:after="0" w:line="246" w:lineRule="auto"/>
        <w:tabs>
          <w:tab w:leader="none" w:pos="200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81"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81"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Unless otherwise provided in the Certificate of Incorporation, cumulative voting for the election of directors shall be prohibited.</w:t>
      </w:r>
    </w:p>
    <w:p>
      <w:pPr>
        <w:spacing w:after="0" w:line="34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w:t>
      </w: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78" w:lineRule="exact"/>
        <w:rPr>
          <w:sz w:val="20"/>
          <w:szCs w:val="20"/>
          <w:color w:val="auto"/>
        </w:rPr>
      </w:pPr>
    </w:p>
    <w:p>
      <w:pPr>
        <w:ind w:left="1620" w:hanging="809"/>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Calling of meeting to order.</w:t>
      </w:r>
    </w:p>
    <w:p>
      <w:pPr>
        <w:spacing w:after="0" w:line="179" w:lineRule="exact"/>
        <w:rPr>
          <w:rFonts w:ascii="Courier New" w:cs="Courier New" w:eastAsia="Courier New" w:hAnsi="Courier New"/>
          <w:sz w:val="15"/>
          <w:szCs w:val="15"/>
          <w:color w:val="auto"/>
        </w:rPr>
      </w:pPr>
    </w:p>
    <w:p>
      <w:pPr>
        <w:ind w:left="1620" w:right="3139" w:hanging="809"/>
        <w:spacing w:after="0" w:line="247" w:lineRule="auto"/>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a chairman and the appointment of a secretary if necessary.</w:t>
      </w:r>
    </w:p>
    <w:p>
      <w:pPr>
        <w:spacing w:after="0" w:line="174"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proof of the due calling of the meeting.</w:t>
      </w:r>
    </w:p>
    <w:p>
      <w:pPr>
        <w:spacing w:after="0" w:line="179" w:lineRule="exact"/>
        <w:rPr>
          <w:rFonts w:ascii="Courier New" w:cs="Courier New" w:eastAsia="Courier New" w:hAnsi="Courier New"/>
          <w:sz w:val="15"/>
          <w:szCs w:val="15"/>
          <w:color w:val="auto"/>
        </w:rPr>
      </w:pPr>
    </w:p>
    <w:p>
      <w:pPr>
        <w:ind w:left="1620" w:right="2959" w:hanging="809"/>
        <w:spacing w:after="0" w:line="247" w:lineRule="auto"/>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and examination of proxies and determination of a quorum.</w:t>
      </w:r>
    </w:p>
    <w:p>
      <w:pPr>
        <w:spacing w:after="0" w:line="174"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settlement of the minutes of the previous meeting.</w:t>
      </w:r>
    </w:p>
    <w:p>
      <w:pPr>
        <w:spacing w:after="0" w:line="179"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officers and committees.</w:t>
      </w:r>
    </w:p>
    <w:p>
      <w:pPr>
        <w:spacing w:after="0" w:line="179" w:lineRule="exact"/>
        <w:rPr>
          <w:rFonts w:ascii="Courier New" w:cs="Courier New" w:eastAsia="Courier New" w:hAnsi="Courier New"/>
          <w:sz w:val="15"/>
          <w:szCs w:val="15"/>
          <w:color w:val="auto"/>
        </w:rPr>
      </w:pPr>
    </w:p>
    <w:p>
      <w:pPr>
        <w:ind w:left="1620" w:right="3139" w:hanging="809"/>
        <w:spacing w:after="0" w:line="247" w:lineRule="auto"/>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directors if an annual meeting, or a meeting called for that purpose.</w:t>
      </w:r>
    </w:p>
    <w:p>
      <w:pPr>
        <w:spacing w:after="0" w:line="174"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Unfinished business.</w:t>
      </w:r>
    </w:p>
    <w:p>
      <w:pPr>
        <w:spacing w:after="0" w:line="179"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business.</w:t>
      </w:r>
    </w:p>
    <w:p>
      <w:pPr>
        <w:spacing w:after="0" w:line="179"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w:t>
      </w:r>
    </w:p>
    <w:p>
      <w:pPr>
        <w:spacing w:after="0" w:line="180"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SECTION 2.10. Treasury Stock. The Corporation shall not vote, directly or indirectly, shares of its own stock owned by it; and such shares shall not be counted in determining the total number of outstanding shares.</w:t>
      </w:r>
    </w:p>
    <w:p>
      <w:pPr>
        <w:spacing w:after="0" w:line="17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 after any such record dated</w:t>
      </w: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fixed as aforesaid. With respect to a meeting of stockholders, the record date shall not be less than ten days before the date of such meeting.</w:t>
      </w:r>
    </w:p>
    <w:p>
      <w:pPr>
        <w:spacing w:after="0" w:line="175"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2"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w:t>
      </w:r>
    </w:p>
    <w:p>
      <w:pPr>
        <w:spacing w:after="0" w:line="36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82"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81"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8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3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BOARD OF DIRECTORS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Delaware or stockholders of the Corporation.</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86"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7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357"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meeting for the express purpose of objecting to the transaction of any business on the ground that the meeting is not lawfully called or convened. If a quorum shall not be present at any meeting of the Board of Directors, the directors present thereat may adjourn the meeting from time to time, without notice other than announcement at the meeting, until a quorum shall be present.</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7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81"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COMMITTEES OF DIRECTORS</w:t>
      </w:r>
    </w:p>
    <w:p>
      <w:pPr>
        <w:spacing w:after="0" w:line="35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4.1. Designation, Powers and Name.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by the Charter for such committee adopted by the Board of Directors, or by a resolution adopted by the Board of Directors.</w:t>
      </w:r>
    </w:p>
    <w:p>
      <w:pPr>
        <w:spacing w:after="0" w:line="373"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4.2. Procedure; Meetings; Quorum. Any committee designated pursuant to Section 4.1 shall keep regular minutes of its proceedings and report the same to the Board of Directors when requested, shall fix its own rules or procedures to the extent not</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86"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SECTION 4.3. Compensation. Members of special or standing committees may be allowed compensation for attending committee meetings, if the Board of Directors shall so determine.</w:t>
      </w:r>
    </w:p>
    <w:p>
      <w:pPr>
        <w:spacing w:after="0" w:line="34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NOTICE</w:t>
      </w:r>
    </w:p>
    <w:p>
      <w:pPr>
        <w:spacing w:after="0" w:line="35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184"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3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OFFICERS</w:t>
      </w:r>
    </w:p>
    <w:p>
      <w:pPr>
        <w:spacing w:after="0" w:line="35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86"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77"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any later time specified therein, and unless otherwise specified therein, the acceptance of such resignation shall not be necessary to make it effective.</w:t>
      </w:r>
    </w:p>
    <w:p>
      <w:pPr>
        <w:spacing w:after="0" w:line="175"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SECTION 6.4. Vacancies. Any vacancy occurring in any office of the Corporation by death, resignation, removal or otherwise, may be filled by the Board of Directors for the unexpired portion of the term.</w:t>
      </w:r>
    </w:p>
    <w:p>
      <w:pPr>
        <w:spacing w:after="0" w:line="17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77"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83"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82"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 Chairman of the Board if</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193"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 in terms of time as a Vice President of the Corporation shall so act. Any Vice President may sign,</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70" w:name="page71"/>
    <w:bookmarkEnd w:id="70"/>
    <w:p>
      <w:pPr>
        <w:ind w:left="267"/>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78" w:lineRule="exact"/>
        <w:rPr>
          <w:sz w:val="20"/>
          <w:szCs w:val="20"/>
          <w:color w:val="auto"/>
        </w:rPr>
      </w:pPr>
    </w:p>
    <w:p>
      <w:pPr>
        <w:ind w:left="7" w:right="2959" w:firstLine="1636"/>
        <w:spacing w:after="0" w:line="246" w:lineRule="auto"/>
        <w:rPr>
          <w:sz w:val="20"/>
          <w:szCs w:val="20"/>
          <w:color w:val="auto"/>
        </w:rPr>
      </w:pPr>
      <w:r>
        <w:rPr>
          <w:rFonts w:ascii="Courier New" w:cs="Courier New" w:eastAsia="Courier New" w:hAnsi="Courier New"/>
          <w:sz w:val="15"/>
          <w:szCs w:val="15"/>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w:t>
      </w:r>
    </w:p>
    <w:p>
      <w:pPr>
        <w:spacing w:after="0" w:line="7" w:lineRule="exact"/>
        <w:rPr>
          <w:sz w:val="20"/>
          <w:szCs w:val="20"/>
          <w:color w:val="auto"/>
        </w:rPr>
      </w:pPr>
    </w:p>
    <w:p>
      <w:pPr>
        <w:ind w:left="7" w:right="2959" w:hanging="7"/>
        <w:spacing w:after="0" w:line="246" w:lineRule="auto"/>
        <w:tabs>
          <w:tab w:leader="none" w:pos="3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180" w:lineRule="exact"/>
        <w:rPr>
          <w:sz w:val="20"/>
          <w:szCs w:val="20"/>
          <w:color w:val="auto"/>
        </w:rPr>
      </w:pPr>
    </w:p>
    <w:p>
      <w:pPr>
        <w:ind w:left="7" w:right="2959" w:firstLine="1636"/>
        <w:spacing w:after="0" w:line="246" w:lineRule="auto"/>
        <w:rPr>
          <w:sz w:val="20"/>
          <w:szCs w:val="20"/>
          <w:color w:val="auto"/>
        </w:rPr>
      </w:pPr>
      <w:r>
        <w:rPr>
          <w:rFonts w:ascii="Courier New" w:cs="Courier New" w:eastAsia="Courier New" w:hAnsi="Courier New"/>
          <w:sz w:val="15"/>
          <w:szCs w:val="15"/>
          <w:color w:val="auto"/>
        </w:rPr>
        <w:t>SECTION 6.12. Controller. The Controller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186" w:lineRule="exact"/>
        <w:rPr>
          <w:sz w:val="20"/>
          <w:szCs w:val="20"/>
          <w:color w:val="auto"/>
        </w:rPr>
      </w:pPr>
    </w:p>
    <w:p>
      <w:pPr>
        <w:ind w:left="7" w:right="2959" w:firstLine="1636"/>
        <w:spacing w:after="0" w:line="246" w:lineRule="auto"/>
        <w:rPr>
          <w:sz w:val="20"/>
          <w:szCs w:val="20"/>
          <w:color w:val="auto"/>
        </w:rPr>
      </w:pPr>
      <w:r>
        <w:rPr>
          <w:rFonts w:ascii="Courier New" w:cs="Courier New" w:eastAsia="Courier New" w:hAnsi="Courier New"/>
          <w:sz w:val="15"/>
          <w:szCs w:val="15"/>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 Secretaries and Assistant Controller shall, in the absence or inability or refusal to act of the</w:t>
      </w:r>
    </w:p>
    <w:p>
      <w:pPr>
        <w:spacing w:after="0" w:line="3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9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CONTRACTS, CHECKS AND DEPOSITS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8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may be endorsed for deposit to the credit of the Corporation with a duly authorized depositary by the Controller and/or such other officers or persons as the Board of Directors from time to time may designate.</w:t>
      </w:r>
    </w:p>
    <w:p>
      <w:pPr>
        <w:spacing w:after="0" w:line="174"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00" w:lineRule="exact"/>
        <w:rPr>
          <w:sz w:val="20"/>
          <w:szCs w:val="20"/>
          <w:color w:val="auto"/>
        </w:rPr>
      </w:pPr>
    </w:p>
    <w:p>
      <w:pPr>
        <w:spacing w:after="0" w:line="33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CERTIFICATES OF STOCK</w:t>
      </w:r>
    </w:p>
    <w:p>
      <w:pPr>
        <w:spacing w:after="0" w:line="35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36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0"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7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8.3. Transfers.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3"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79"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3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INDEMNIFICATION</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92"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w:t>
      </w: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respect to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83"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83"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good faith and in a manner he reasonably believed to be in the interest of the participants and beneficiaries of an employee benefit plan shall be deemed to have acted in a manner "not opposed to the best interests of the Corporation" as referred to in this Article X.</w:t>
      </w:r>
    </w:p>
    <w:p>
      <w:pPr>
        <w:spacing w:after="0" w:line="177"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officer, and shall continue as to a person who has ceased to be a director, officer, employee, or agent and shall inure to the benefit of the heirs, executors, and administrators of such a person.</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77"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77"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SECTION 11.3. Fiscal Year. The fiscal year of the Corporation shall be such as established from time to time by the Board of Directors.</w:t>
      </w:r>
    </w:p>
    <w:p>
      <w:pPr>
        <w:spacing w:after="0" w:line="175"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77"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AMENDMENT</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79" w:name="page80"/>
    <w:bookmarkEnd w:id="79"/>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EXHIBIT 10</w:t>
      </w:r>
    </w:p>
    <w:p>
      <w:pPr>
        <w:spacing w:after="0" w:line="35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EMPLOYMENT AGREEMENT</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WASTE MANAGEMENT, INC. (the "Company"), and ROBERT E. DEES, JR. (the "Executive") hereby enter into this EMPLOYMENT AGREEMENT ("Agreement") dated as of May 10, 2000 (the "Effective Date"), as follows:</w:t>
      </w:r>
    </w:p>
    <w:p>
      <w:pPr>
        <w:spacing w:after="0" w:line="174" w:lineRule="exact"/>
        <w:rPr>
          <w:sz w:val="20"/>
          <w:szCs w:val="20"/>
          <w:color w:val="auto"/>
        </w:rPr>
      </w:pPr>
    </w:p>
    <w:p>
      <w:pPr>
        <w:ind w:left="827" w:hanging="827"/>
        <w:spacing w:after="0"/>
        <w:tabs>
          <w:tab w:leader="none" w:pos="82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80"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The Company shall employ Executive, and Executive shall be employed by the Company upon the terms and subject to the conditions set forth in this Agreement.</w:t>
      </w:r>
    </w:p>
    <w:p>
      <w:pPr>
        <w:spacing w:after="0" w:line="174" w:lineRule="exact"/>
        <w:rPr>
          <w:sz w:val="20"/>
          <w:szCs w:val="20"/>
          <w:color w:val="auto"/>
        </w:rPr>
      </w:pPr>
    </w:p>
    <w:p>
      <w:pPr>
        <w:ind w:left="827" w:hanging="827"/>
        <w:spacing w:after="0"/>
        <w:tabs>
          <w:tab w:leader="none" w:pos="8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EMPLOYMENT.</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period of Executive's employment under this Agreement shall commence on May 22, 2000, and be for a continuously renewing (on a daily basis) three (3)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79" w:lineRule="exact"/>
        <w:rPr>
          <w:sz w:val="20"/>
          <w:szCs w:val="20"/>
          <w:color w:val="auto"/>
        </w:rPr>
      </w:pPr>
    </w:p>
    <w:p>
      <w:pPr>
        <w:ind w:left="827" w:hanging="827"/>
        <w:spacing w:after="0"/>
        <w:tabs>
          <w:tab w:leader="none" w:pos="8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RESPONSIBILITIES.</w:t>
      </w:r>
    </w:p>
    <w:p>
      <w:pPr>
        <w:spacing w:after="0" w:line="180" w:lineRule="exact"/>
        <w:rPr>
          <w:sz w:val="20"/>
          <w:szCs w:val="20"/>
          <w:color w:val="auto"/>
        </w:rPr>
      </w:pPr>
    </w:p>
    <w:p>
      <w:pPr>
        <w:ind w:left="827" w:right="3139" w:hanging="827"/>
        <w:spacing w:after="0" w:line="246" w:lineRule="auto"/>
        <w:tabs>
          <w:tab w:leader="none" w:pos="82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serve as Senior Vice President-People. In such capacity, Executive shall perform such duties and have the power, authority and functions commensurate with such positions in similarly sized public companies and such other authority and functions consistent with such positions as may be assigned to Executive from time to time by the Chief Executive Officer, President, or the Board of Directors.</w:t>
      </w:r>
    </w:p>
    <w:p>
      <w:pPr>
        <w:spacing w:after="0" w:line="179" w:lineRule="exact"/>
        <w:rPr>
          <w:rFonts w:ascii="Courier New" w:cs="Courier New" w:eastAsia="Courier New" w:hAnsi="Courier New"/>
          <w:sz w:val="15"/>
          <w:szCs w:val="15"/>
          <w:color w:val="auto"/>
        </w:rPr>
      </w:pPr>
    </w:p>
    <w:p>
      <w:pPr>
        <w:ind w:left="827" w:right="3139" w:hanging="827"/>
        <w:spacing w:after="0" w:line="246" w:lineRule="auto"/>
        <w:tabs>
          <w:tab w:leader="none" w:pos="82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serve on boards of other for profit entities, provided such activities do not materially interfere with the performance of his duties hereunder.</w:t>
      </w:r>
    </w:p>
    <w:p>
      <w:pPr>
        <w:spacing w:after="0" w:line="180" w:lineRule="exact"/>
        <w:rPr>
          <w:sz w:val="20"/>
          <w:szCs w:val="20"/>
          <w:color w:val="auto"/>
        </w:rPr>
      </w:pPr>
    </w:p>
    <w:p>
      <w:pPr>
        <w:ind w:left="827" w:hanging="827"/>
        <w:spacing w:after="0"/>
        <w:tabs>
          <w:tab w:leader="none" w:pos="8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w:t>
      </w:r>
    </w:p>
    <w:p>
      <w:pPr>
        <w:spacing w:after="0" w:line="180" w:lineRule="exact"/>
        <w:rPr>
          <w:sz w:val="20"/>
          <w:szCs w:val="20"/>
          <w:color w:val="auto"/>
        </w:rPr>
      </w:pPr>
    </w:p>
    <w:p>
      <w:pPr>
        <w:ind w:left="827" w:right="3039" w:hanging="827"/>
        <w:spacing w:after="0" w:line="246" w:lineRule="auto"/>
        <w:tabs>
          <w:tab w:leader="none" w:pos="8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Period, the Company shall pay Executive a base salary at the annual rate of THREE HUNDRED FIFTY THOUSAND DOLLARS ($350,000.00)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1 of 19</w:t>
      </w:r>
    </w:p>
    <w:p>
      <w:pPr>
        <w:sectPr>
          <w:pgSz w:w="11900" w:h="16838" w:orient="portrait"/>
          <w:cols w:equalWidth="0" w:num="1">
            <w:col w:w="10226"/>
          </w:cols>
          <w:pgMar w:left="233" w:top="141" w:right="1440" w:bottom="1440" w:gutter="0" w:footer="0" w:header="0"/>
        </w:sectPr>
      </w:pPr>
    </w:p>
    <w:bookmarkStart w:id="80" w:name="page81"/>
    <w:bookmarkEnd w:id="80"/>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827" w:right="3039" w:hanging="827"/>
        <w:spacing w:after="0" w:line="246" w:lineRule="auto"/>
        <w:tabs>
          <w:tab w:leader="none" w:pos="8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BONUS. During the Employment Period, Executive will be entitled to participate in an annual incentive compensation plan of the Company. The Executive's target annual bonus will be seventy-five percent (75%) of his Base Salary as in effect for such year (the "Target Bonus"), and his actual annual bonus may range from 0% to 150% (2 times Target Bonus), and will be determined based upon achievement of performance goals (initially seventy percent [70%] financial [return on capital investments and EBITDA] and thirty percent [30%] personal, but may be tied to other metrics as may be established from time to time by the Compensation Committee of the Board) as approved by the Compensation Committee of the Board, from time to time. The bonus for the year 2000 is guaranteed to be a minimum of $262,500.000, and will be paid at the same time annual bonus are paid to other executives of the Company in 2001.</w:t>
      </w:r>
    </w:p>
    <w:p>
      <w:pPr>
        <w:spacing w:after="0" w:line="183"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Subject to the approval of the Compensation Committee of the Board of Directors, Executive shall be granted an initial stock option grant for TWO HUNDRED THOUSAND (200,000) shares of the Company's common stock, effective as of the Effective Date. The exercise price shall be the fair market value on such date, and the option shall vest in equal installments of twenty-five percent (25%) on each of the first four (4) anniversaries of the Commencement Date. Executive shall be eligible to be considered for stock option grants under the Company's annual stock option award program as administered by, and at the discretion of, the Compensation Committee of the Board of Directors, beginning in 2001.</w:t>
      </w:r>
    </w:p>
    <w:p>
      <w:pPr>
        <w:spacing w:after="0" w:line="181"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 after 90 days of employment.</w:t>
      </w:r>
    </w:p>
    <w:p>
      <w:pPr>
        <w:spacing w:after="0" w:line="182"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177" w:lineRule="exact"/>
        <w:rPr>
          <w:rFonts w:ascii="Courier New" w:cs="Courier New" w:eastAsia="Courier New" w:hAnsi="Courier New"/>
          <w:sz w:val="15"/>
          <w:szCs w:val="15"/>
          <w:color w:val="auto"/>
        </w:rPr>
      </w:pPr>
    </w:p>
    <w:p>
      <w:pPr>
        <w:jc w:val="both"/>
        <w:ind w:left="827" w:right="3319" w:hanging="827"/>
        <w:spacing w:after="0" w:line="247" w:lineRule="auto"/>
        <w:tabs>
          <w:tab w:leader="none" w:pos="8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SIGN-ON BONUS. Within thirty (30) days after the Commencement Date, the Company will pay Executive a sign-on bonus in the amount of ONE HUNDRED FIFTY THOUSAND DOLLARS ($150,000).</w:t>
      </w:r>
    </w:p>
    <w:p>
      <w:pPr>
        <w:spacing w:after="0" w:line="174"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DEFERRAL PLAN. Executive shall be entitled to participate in the Company's "Executive Deferral Plan", and any replacement plan or arrangement, all to the extent maintained or instituted by the Company, and covering its principal executive officers, at a level commensurate with his position.</w:t>
      </w:r>
    </w:p>
    <w:p>
      <w:pPr>
        <w:spacing w:after="0" w:line="353"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2 of 19</w:t>
      </w:r>
    </w:p>
    <w:p>
      <w:pPr>
        <w:sectPr>
          <w:pgSz w:w="11900" w:h="16838" w:orient="portrait"/>
          <w:cols w:equalWidth="0" w:num="1">
            <w:col w:w="10226"/>
          </w:cols>
          <w:pgMar w:left="233" w:top="293" w:right="1440" w:bottom="1440" w:gutter="0" w:footer="0" w:header="0"/>
        </w:sectPr>
      </w:pPr>
    </w:p>
    <w:bookmarkStart w:id="81" w:name="page82"/>
    <w:bookmarkEnd w:id="81"/>
    <w:p>
      <w:pPr>
        <w:ind w:left="267"/>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827" w:right="3039" w:hanging="827"/>
        <w:spacing w:after="0" w:line="246" w:lineRule="auto"/>
        <w:tabs>
          <w:tab w:leader="none" w:pos="82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The Company shall promptly reimburse Executive (on a fully grossed up basis for any amounts taxable to Executive), for reasonable and customary costs incurred in connection with the relocation of his principal residence to the Houston, Texas area at a level commensurate with Executive's position and the type of relocation benefits provided by public companies of similar size to their executives, which shall in any event include the purchase by the Company (or a relocation company) of such residence at its fair market value if not sold within 90 days from the Commencement Date, any real estate commissions incurred in connection with the sale of such residence and any points on a loan for a new home. In addition, the Company shall provide Executive temporary housing in the Houston area for up to six (6) months from the Commencement Date.</w:t>
      </w:r>
    </w:p>
    <w:p>
      <w:pPr>
        <w:spacing w:after="0" w:line="182" w:lineRule="exact"/>
        <w:rPr>
          <w:rFonts w:ascii="Courier New" w:cs="Courier New" w:eastAsia="Courier New" w:hAnsi="Courier New"/>
          <w:sz w:val="15"/>
          <w:szCs w:val="15"/>
          <w:color w:val="auto"/>
        </w:rPr>
      </w:pPr>
    </w:p>
    <w:p>
      <w:pPr>
        <w:ind w:left="827" w:right="3679" w:hanging="827"/>
        <w:spacing w:after="0" w:line="247" w:lineRule="auto"/>
        <w:tabs>
          <w:tab w:leader="none" w:pos="82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PERQUISITES. Executive shall be entitled to the following benefits:</w:t>
      </w:r>
    </w:p>
    <w:p>
      <w:pPr>
        <w:spacing w:after="0" w:line="174" w:lineRule="exact"/>
        <w:rPr>
          <w:rFonts w:ascii="Courier New" w:cs="Courier New" w:eastAsia="Courier New" w:hAnsi="Courier New"/>
          <w:sz w:val="15"/>
          <w:szCs w:val="15"/>
          <w:color w:val="auto"/>
        </w:rPr>
      </w:pPr>
    </w:p>
    <w:p>
      <w:pPr>
        <w:ind w:left="1627" w:right="3499" w:firstLine="9"/>
        <w:spacing w:after="0" w:line="247" w:lineRule="auto"/>
        <w:tabs>
          <w:tab w:leader="none" w:pos="18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 Allowance in the amount of one thousand ($1,000) dollars per month; and</w:t>
      </w:r>
    </w:p>
    <w:p>
      <w:pPr>
        <w:spacing w:after="0" w:line="174" w:lineRule="exact"/>
        <w:rPr>
          <w:rFonts w:ascii="Courier New" w:cs="Courier New" w:eastAsia="Courier New" w:hAnsi="Courier New"/>
          <w:sz w:val="15"/>
          <w:szCs w:val="15"/>
          <w:color w:val="auto"/>
        </w:rPr>
      </w:pPr>
    </w:p>
    <w:p>
      <w:pPr>
        <w:ind w:left="1627" w:right="3419" w:firstLine="9"/>
        <w:spacing w:after="0" w:line="247" w:lineRule="auto"/>
        <w:tabs>
          <w:tab w:leader="none" w:pos="18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Planning Services at actual cost, and not to exceed ten thousand ($10,000) dollars annually.</w:t>
      </w:r>
    </w:p>
    <w:p>
      <w:pPr>
        <w:spacing w:after="0" w:line="174" w:lineRule="exact"/>
        <w:rPr>
          <w:rFonts w:ascii="Courier New" w:cs="Courier New" w:eastAsia="Courier New" w:hAnsi="Courier New"/>
          <w:sz w:val="15"/>
          <w:szCs w:val="15"/>
          <w:color w:val="auto"/>
        </w:rPr>
      </w:pPr>
    </w:p>
    <w:p>
      <w:pPr>
        <w:ind w:left="1627" w:right="3139" w:firstLine="9"/>
        <w:spacing w:after="0" w:line="247" w:lineRule="auto"/>
        <w:tabs>
          <w:tab w:leader="none" w:pos="18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Annual Physical Examination on a program designated by the Company.</w:t>
      </w:r>
    </w:p>
    <w:p>
      <w:pPr>
        <w:spacing w:after="0" w:line="175" w:lineRule="exact"/>
        <w:rPr>
          <w:sz w:val="20"/>
          <w:szCs w:val="20"/>
          <w:color w:val="auto"/>
        </w:rPr>
      </w:pPr>
    </w:p>
    <w:p>
      <w:pPr>
        <w:ind w:left="827" w:hanging="827"/>
        <w:spacing w:after="0"/>
        <w:tabs>
          <w:tab w:leader="none" w:pos="8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80" w:lineRule="exact"/>
        <w:rPr>
          <w:sz w:val="20"/>
          <w:szCs w:val="20"/>
          <w:color w:val="auto"/>
        </w:rPr>
      </w:pPr>
    </w:p>
    <w:p>
      <w:pPr>
        <w:ind w:left="7" w:right="3859"/>
        <w:spacing w:after="0" w:line="247" w:lineRule="auto"/>
        <w:rPr>
          <w:sz w:val="20"/>
          <w:szCs w:val="20"/>
          <w:color w:val="auto"/>
        </w:rPr>
      </w:pPr>
      <w:r>
        <w:rPr>
          <w:rFonts w:ascii="Courier New" w:cs="Courier New" w:eastAsia="Courier New" w:hAnsi="Courier New"/>
          <w:sz w:val="15"/>
          <w:szCs w:val="15"/>
          <w:color w:val="auto"/>
        </w:rPr>
        <w:t>Executive's employment hereunder may be terminated under the following circumstances:</w:t>
      </w:r>
    </w:p>
    <w:p>
      <w:pPr>
        <w:spacing w:after="0" w:line="175" w:lineRule="exact"/>
        <w:rPr>
          <w:sz w:val="20"/>
          <w:szCs w:val="20"/>
          <w:color w:val="auto"/>
        </w:rPr>
      </w:pPr>
    </w:p>
    <w:p>
      <w:pPr>
        <w:ind w:left="827" w:right="3959" w:hanging="827"/>
        <w:spacing w:after="0" w:line="247" w:lineRule="auto"/>
        <w:tabs>
          <w:tab w:leader="none" w:pos="8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Executive's employment hereunder shall terminate upon Executive's death.</w:t>
      </w:r>
    </w:p>
    <w:p>
      <w:pPr>
        <w:spacing w:after="0" w:line="174"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 (30) days written notice given at any time thereafter while Executive remains Totally Disabled, provided that a termination for Total Disability hereunder shall not be effective if Executive returns to full performance of his duties within such thirty</w:t>
      </w:r>
    </w:p>
    <w:p>
      <w:pPr>
        <w:spacing w:after="0" w:line="7" w:lineRule="exact"/>
        <w:rPr>
          <w:rFonts w:ascii="Courier New" w:cs="Courier New" w:eastAsia="Courier New" w:hAnsi="Courier New"/>
          <w:sz w:val="15"/>
          <w:szCs w:val="15"/>
          <w:color w:val="auto"/>
        </w:rPr>
      </w:pPr>
    </w:p>
    <w:p>
      <w:pPr>
        <w:ind w:left="1267" w:hanging="449"/>
        <w:spacing w:after="0"/>
        <w:tabs>
          <w:tab w:leader="none" w:pos="126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w:t>
      </w:r>
    </w:p>
    <w:p>
      <w:pPr>
        <w:spacing w:after="0" w:line="179"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 The Company may terminate Executive's employment hereunder for "Cause" at any time within ninety</w:t>
      </w:r>
    </w:p>
    <w:p>
      <w:pPr>
        <w:spacing w:after="0" w:line="1" w:lineRule="exact"/>
        <w:rPr>
          <w:rFonts w:ascii="Courier New" w:cs="Courier New" w:eastAsia="Courier New" w:hAnsi="Courier New"/>
          <w:sz w:val="15"/>
          <w:szCs w:val="15"/>
          <w:color w:val="auto"/>
        </w:rPr>
      </w:pPr>
    </w:p>
    <w:p>
      <w:pPr>
        <w:ind w:left="827" w:right="3219" w:hanging="9"/>
        <w:spacing w:after="0" w:line="247" w:lineRule="auto"/>
        <w:tabs>
          <w:tab w:leader="none" w:pos="1281"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Chairman of the Audit or Governance Committee of the Board has knowledge thereof.</w:t>
      </w:r>
    </w:p>
    <w:p>
      <w:pPr>
        <w:spacing w:after="0" w:line="175" w:lineRule="exact"/>
        <w:rPr>
          <w:sz w:val="20"/>
          <w:szCs w:val="20"/>
          <w:color w:val="auto"/>
        </w:rPr>
      </w:pPr>
    </w:p>
    <w:p>
      <w:pPr>
        <w:ind w:left="1627" w:right="3039" w:hanging="809"/>
        <w:spacing w:after="0" w:line="247" w:lineRule="auto"/>
        <w:tabs>
          <w:tab w:leader="none" w:pos="162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"Cause" shall be limited to (1) willful misconduct by Executive with regard to the Company which has a material</w:t>
      </w:r>
    </w:p>
    <w:p>
      <w:pPr>
        <w:spacing w:after="0" w:line="174"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3 of 19</w:t>
      </w:r>
    </w:p>
    <w:p>
      <w:pPr>
        <w:sectPr>
          <w:pgSz w:w="11900" w:h="16838" w:orient="portrait"/>
          <w:cols w:equalWidth="0" w:num="1">
            <w:col w:w="10226"/>
          </w:cols>
          <w:pgMar w:left="233" w:top="293" w:right="1440" w:bottom="1440" w:gutter="0" w:footer="0" w:header="0"/>
        </w:sectPr>
      </w:pPr>
    </w:p>
    <w:bookmarkStart w:id="82" w:name="page83"/>
    <w:bookmarkEnd w:id="82"/>
    <w:p>
      <w:pPr>
        <w:ind w:left="267"/>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left="1627" w:right="3039"/>
        <w:spacing w:after="0" w:line="246" w:lineRule="auto"/>
        <w:rPr>
          <w:sz w:val="20"/>
          <w:szCs w:val="20"/>
          <w:color w:val="auto"/>
        </w:rPr>
      </w:pPr>
      <w:r>
        <w:rPr>
          <w:rFonts w:ascii="Courier New" w:cs="Courier New" w:eastAsia="Courier New" w:hAnsi="Courier New"/>
          <w:sz w:val="15"/>
          <w:szCs w:val="15"/>
          <w:color w:val="auto"/>
        </w:rPr>
        <w:t>adverse effect on the Company; (2) the willful refusal of Executive to attempt to follow the proper written direction of the Chief Executive Officer, the President, or the Board of Directors,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Chief Executive Officer, the President, or the Board of Directors,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189" w:lineRule="exact"/>
        <w:rPr>
          <w:sz w:val="20"/>
          <w:szCs w:val="20"/>
          <w:color w:val="auto"/>
        </w:rPr>
      </w:pPr>
    </w:p>
    <w:p>
      <w:pPr>
        <w:ind w:left="1627" w:right="3039" w:hanging="809"/>
        <w:spacing w:after="0" w:line="246" w:lineRule="auto"/>
        <w:tabs>
          <w:tab w:leader="none" w:pos="162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 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86" w:lineRule="exact"/>
        <w:rPr>
          <w:rFonts w:ascii="Courier New" w:cs="Courier New" w:eastAsia="Courier New" w:hAnsi="Courier New"/>
          <w:sz w:val="15"/>
          <w:szCs w:val="15"/>
          <w:color w:val="auto"/>
        </w:rPr>
      </w:pPr>
    </w:p>
    <w:p>
      <w:pPr>
        <w:ind w:left="827" w:right="3039" w:hanging="827"/>
        <w:spacing w:after="0" w:line="247" w:lineRule="auto"/>
        <w:tabs>
          <w:tab w:leader="none" w:pos="82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Executive may terminate employment hereunder with or without Good Reason at any time upon written notice to the Company.</w:t>
      </w:r>
    </w:p>
    <w:p>
      <w:pPr>
        <w:spacing w:after="0" w:line="174"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w:t>
      </w:r>
    </w:p>
    <w:p>
      <w:pPr>
        <w:spacing w:after="0" w:line="356"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4 of 19</w:t>
      </w:r>
    </w:p>
    <w:p>
      <w:pPr>
        <w:sectPr>
          <w:pgSz w:w="11900" w:h="16838" w:orient="portrait"/>
          <w:cols w:equalWidth="0" w:num="1">
            <w:col w:w="10226"/>
          </w:cols>
          <w:pgMar w:left="233" w:top="293" w:right="1440" w:bottom="1440" w:gutter="0" w:footer="0" w:header="0"/>
        </w:sectPr>
      </w:pPr>
    </w:p>
    <w:bookmarkStart w:id="83" w:name="page84"/>
    <w:bookmarkEnd w:id="83"/>
    <w:p>
      <w:pPr>
        <w:ind w:left="267"/>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1627" w:right="3039"/>
        <w:spacing w:after="0" w:line="246" w:lineRule="auto"/>
        <w:rPr>
          <w:sz w:val="20"/>
          <w:szCs w:val="20"/>
          <w:color w:val="auto"/>
        </w:rPr>
      </w:pPr>
      <w:r>
        <w:rPr>
          <w:rFonts w:ascii="Courier New" w:cs="Courier New" w:eastAsia="Courier New" w:hAnsi="Courier New"/>
          <w:sz w:val="15"/>
          <w:szCs w:val="15"/>
          <w:color w:val="auto"/>
        </w:rPr>
        <w:t>connection with the termination of Executive's employment for Cause or Total Disability or as a result of Executive's death, or temporarily as a result of Executive's illness or other absence), provided that a change in reporting structure shall not constitute Good Reason under any circumstances as long as Executive reports to the Chief Executive Officer, the President, the Chief Operating Officer, or an Executive Vice President; further provided that if the Company becomes a fifty percent or more subsidiary of any other entity, Executive shall be deemed to have a material diminution of his position unless he is also Senior Vice President of the ultimate parent entity; (2) removal of, or the non-re-election of, the Executive from officer positions with the Company specified herein or removal of the Executive from any of his then officer positions; (3) requiring Executive's principal place of business to be located other than in Houston, Texas;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197" w:lineRule="exact"/>
        <w:rPr>
          <w:sz w:val="20"/>
          <w:szCs w:val="20"/>
          <w:color w:val="auto"/>
        </w:rPr>
      </w:pPr>
    </w:p>
    <w:p>
      <w:pPr>
        <w:ind w:left="1627" w:right="3039" w:hanging="809"/>
        <w:spacing w:after="0" w:line="246" w:lineRule="auto"/>
        <w:tabs>
          <w:tab w:leader="none" w:pos="162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8" w:lineRule="exact"/>
        <w:rPr>
          <w:rFonts w:ascii="Courier New" w:cs="Courier New" w:eastAsia="Courier New" w:hAnsi="Courier New"/>
          <w:sz w:val="15"/>
          <w:szCs w:val="15"/>
          <w:color w:val="auto"/>
        </w:rPr>
      </w:pPr>
    </w:p>
    <w:p>
      <w:pPr>
        <w:ind w:left="162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5(d)(i)(1) or (2) the date may be five (5) days after the giving of such notice.</w:t>
      </w:r>
    </w:p>
    <w:p>
      <w:pPr>
        <w:spacing w:after="0" w:line="174" w:lineRule="exact"/>
        <w:rPr>
          <w:rFonts w:ascii="Courier New" w:cs="Courier New" w:eastAsia="Courier New" w:hAnsi="Courier New"/>
          <w:sz w:val="15"/>
          <w:szCs w:val="15"/>
          <w:color w:val="auto"/>
        </w:rPr>
      </w:pPr>
    </w:p>
    <w:p>
      <w:pPr>
        <w:ind w:left="827" w:right="331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The Company may terminate Executive's employment hereunder without Cause at any time upon written notice to Executive.</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5 of 19</w:t>
      </w:r>
    </w:p>
    <w:p>
      <w:pPr>
        <w:sectPr>
          <w:pgSz w:w="11900" w:h="16838" w:orient="portrait"/>
          <w:cols w:equalWidth="0" w:num="1">
            <w:col w:w="10226"/>
          </w:cols>
          <w:pgMar w:left="233" w:top="293" w:right="1440" w:bottom="1440" w:gutter="0" w:footer="0" w:header="0"/>
        </w:sectPr>
      </w:pPr>
    </w:p>
    <w:bookmarkStart w:id="84" w:name="page85"/>
    <w:bookmarkEnd w:id="84"/>
    <w:p>
      <w:pPr>
        <w:ind w:left="267"/>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827" w:right="3219" w:hanging="827"/>
        <w:spacing w:after="0" w:line="246" w:lineRule="auto"/>
        <w:tabs>
          <w:tab w:leader="none" w:pos="8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Upon any termination of employment, Executive shall immediately resign from all Board memberships and other positions with the Company or any of its subsidiaries held by him at such time.</w:t>
      </w:r>
    </w:p>
    <w:p>
      <w:pPr>
        <w:spacing w:after="0" w:line="177" w:lineRule="exact"/>
        <w:rPr>
          <w:sz w:val="20"/>
          <w:szCs w:val="20"/>
          <w:color w:val="auto"/>
        </w:rPr>
      </w:pPr>
    </w:p>
    <w:p>
      <w:pPr>
        <w:ind w:left="827" w:hanging="827"/>
        <w:spacing w:after="0"/>
        <w:tabs>
          <w:tab w:leader="none" w:pos="8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FOLLOWING TERMINATION OF EMPLOYMENT.</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In the event that Executive's employment hereunder is terminated, Executive shall be entitled to the following compensation and benefits upon such termination:</w:t>
      </w:r>
    </w:p>
    <w:p>
      <w:pPr>
        <w:spacing w:after="0" w:line="174" w:lineRule="exact"/>
        <w:rPr>
          <w:sz w:val="20"/>
          <w:szCs w:val="20"/>
          <w:color w:val="auto"/>
        </w:rPr>
      </w:pPr>
    </w:p>
    <w:p>
      <w:pPr>
        <w:ind w:left="827" w:right="3139" w:hanging="827"/>
        <w:spacing w:after="0" w:line="247" w:lineRule="auto"/>
        <w:tabs>
          <w:tab w:leader="none" w:pos="82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DEATH. In the event that Executive's employment is terminated by reason of Executive's death, the Company shall pay the following amounts to Executive's beneficiary or estate:</w:t>
      </w:r>
    </w:p>
    <w:p>
      <w:pPr>
        <w:spacing w:after="0" w:line="174"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180" w:lineRule="exact"/>
        <w:rPr>
          <w:rFonts w:ascii="Courier New" w:cs="Courier New" w:eastAsia="Courier New" w:hAnsi="Courier New"/>
          <w:sz w:val="15"/>
          <w:szCs w:val="15"/>
          <w:color w:val="auto"/>
        </w:rPr>
      </w:pPr>
    </w:p>
    <w:p>
      <w:pPr>
        <w:ind w:left="1627" w:right="3219" w:hanging="809"/>
        <w:spacing w:after="0" w:line="246" w:lineRule="auto"/>
        <w:tabs>
          <w:tab w:leader="none" w:pos="162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77"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79"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termination by reason of Executive's death, stock options awarded to Executive shall be fully vested and Executive's estate or beneficiary shall have up to one (1) year from the date of death to exercise all such options, provided that in no event will any option be exercisable beyond its term.</w:t>
      </w:r>
    </w:p>
    <w:p>
      <w:pPr>
        <w:spacing w:after="0" w:line="178"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9" w:lineRule="exact"/>
        <w:rPr>
          <w:rFonts w:ascii="Courier New" w:cs="Courier New" w:eastAsia="Courier New" w:hAnsi="Courier New"/>
          <w:sz w:val="15"/>
          <w:szCs w:val="15"/>
          <w:color w:val="auto"/>
        </w:rPr>
      </w:pPr>
    </w:p>
    <w:p>
      <w:pPr>
        <w:ind w:left="827" w:right="3139" w:hanging="827"/>
        <w:spacing w:after="0" w:line="246" w:lineRule="auto"/>
        <w:tabs>
          <w:tab w:leader="none" w:pos="82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351" w:lineRule="exact"/>
        <w:rPr>
          <w:rFonts w:ascii="Courier New" w:cs="Courier New" w:eastAsia="Courier New" w:hAnsi="Courier New"/>
          <w:sz w:val="15"/>
          <w:szCs w:val="15"/>
          <w:color w:val="auto"/>
        </w:rPr>
      </w:pPr>
    </w:p>
    <w:p>
      <w:pPr>
        <w:ind w:left="1627" w:right="3219" w:hanging="809"/>
        <w:spacing w:after="0" w:line="247" w:lineRule="auto"/>
        <w:tabs>
          <w:tab w:leader="none" w:pos="162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6 of 19</w:t>
      </w:r>
    </w:p>
    <w:p>
      <w:pPr>
        <w:sectPr>
          <w:pgSz w:w="11900" w:h="16838" w:orient="portrait"/>
          <w:cols w:equalWidth="0" w:num="1">
            <w:col w:w="10226"/>
          </w:cols>
          <w:pgMar w:left="233" w:top="293" w:right="1440" w:bottom="1440" w:gutter="0" w:footer="0" w:header="0"/>
        </w:sectPr>
      </w:pPr>
    </w:p>
    <w:bookmarkStart w:id="85" w:name="page86"/>
    <w:bookmarkEnd w:id="85"/>
    <w:p>
      <w:pPr>
        <w:ind w:left="267"/>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1627" w:right="3039"/>
        <w:spacing w:after="0" w:line="246" w:lineRule="auto"/>
        <w:rPr>
          <w:sz w:val="20"/>
          <w:szCs w:val="20"/>
          <w:color w:val="auto"/>
        </w:rPr>
      </w:pPr>
      <w:r>
        <w:rPr>
          <w:rFonts w:ascii="Courier New" w:cs="Courier New" w:eastAsia="Courier New" w:hAnsi="Courier New"/>
          <w:sz w:val="15"/>
          <w:szCs w:val="15"/>
          <w:color w:val="auto"/>
        </w:rPr>
        <w:t>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180" w:lineRule="exact"/>
        <w:rPr>
          <w:sz w:val="20"/>
          <w:szCs w:val="20"/>
          <w:color w:val="auto"/>
        </w:rPr>
      </w:pPr>
    </w:p>
    <w:p>
      <w:pPr>
        <w:ind w:left="1627" w:right="3039" w:hanging="809"/>
        <w:spacing w:after="0" w:line="246" w:lineRule="auto"/>
        <w:tabs>
          <w:tab w:leader="none" w:pos="162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77"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80"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 provided that in no event will any option be exercisable beyond its term.</w:t>
      </w:r>
    </w:p>
    <w:p>
      <w:pPr>
        <w:spacing w:after="0" w:line="178"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9"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In the event that Executive's employment is terminated by the Company for Cause, the Company shall pay the following amounts to Executive:</w:t>
      </w:r>
    </w:p>
    <w:p>
      <w:pPr>
        <w:spacing w:after="0" w:line="174" w:lineRule="exact"/>
        <w:rPr>
          <w:rFonts w:ascii="Courier New" w:cs="Courier New" w:eastAsia="Courier New" w:hAnsi="Courier New"/>
          <w:sz w:val="15"/>
          <w:szCs w:val="15"/>
          <w:color w:val="auto"/>
        </w:rPr>
      </w:pPr>
    </w:p>
    <w:p>
      <w:pPr>
        <w:ind w:left="1627" w:right="3139" w:hanging="809"/>
        <w:spacing w:after="0" w:line="246" w:lineRule="auto"/>
        <w:tabs>
          <w:tab w:leader="none" w:pos="162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7" w:lineRule="exact"/>
        <w:rPr>
          <w:rFonts w:ascii="Courier New" w:cs="Courier New" w:eastAsia="Courier New" w:hAnsi="Courier New"/>
          <w:sz w:val="15"/>
          <w:szCs w:val="15"/>
          <w:color w:val="auto"/>
        </w:rPr>
      </w:pPr>
    </w:p>
    <w:p>
      <w:pPr>
        <w:ind w:left="1627" w:right="3139" w:hanging="809"/>
        <w:spacing w:after="0" w:line="246" w:lineRule="auto"/>
        <w:tabs>
          <w:tab w:leader="none" w:pos="162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77"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354"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7 of 19</w:t>
      </w:r>
    </w:p>
    <w:p>
      <w:pPr>
        <w:sectPr>
          <w:pgSz w:w="11900" w:h="16838" w:orient="portrait"/>
          <w:cols w:equalWidth="0" w:num="1">
            <w:col w:w="10226"/>
          </w:cols>
          <w:pgMar w:left="233" w:top="293" w:right="1440" w:bottom="1440" w:gutter="0" w:footer="0" w:header="0"/>
        </w:sectPr>
      </w:pPr>
    </w:p>
    <w:bookmarkStart w:id="86" w:name="page87"/>
    <w:bookmarkEnd w:id="86"/>
    <w:p>
      <w:pPr>
        <w:ind w:left="267"/>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827" w:right="3039"/>
        <w:spacing w:after="0" w:line="246" w:lineRule="auto"/>
        <w:rPr>
          <w:sz w:val="20"/>
          <w:szCs w:val="20"/>
          <w:color w:val="auto"/>
        </w:rPr>
      </w:pPr>
      <w:r>
        <w:rPr>
          <w:rFonts w:ascii="Courier New" w:cs="Courier New" w:eastAsia="Courier New" w:hAnsi="Courier New"/>
          <w:sz w:val="15"/>
          <w:szCs w:val="15"/>
          <w:color w:val="auto"/>
        </w:rPr>
        <w:t>Any options, restricted stock or other awards that have not vested prior to the date of such termination of employment shall be cancelled to the extent not then vested, and any options held by Executive shall be cancelled, whether or not then vested.</w:t>
      </w:r>
    </w:p>
    <w:p>
      <w:pPr>
        <w:spacing w:after="0" w:line="352" w:lineRule="exact"/>
        <w:rPr>
          <w:sz w:val="20"/>
          <w:szCs w:val="20"/>
          <w:color w:val="auto"/>
        </w:rPr>
      </w:pPr>
    </w:p>
    <w:p>
      <w:pPr>
        <w:ind w:left="827" w:right="3499" w:hanging="827"/>
        <w:spacing w:after="0" w:line="247" w:lineRule="auto"/>
        <w:tabs>
          <w:tab w:leader="none" w:pos="8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In the event that Executive voluntarily terminates employment other than for Good Reason, the Company shall pay the following amounts to Executive:</w:t>
      </w:r>
    </w:p>
    <w:p>
      <w:pPr>
        <w:spacing w:after="0" w:line="174" w:lineRule="exact"/>
        <w:rPr>
          <w:rFonts w:ascii="Courier New" w:cs="Courier New" w:eastAsia="Courier New" w:hAnsi="Courier New"/>
          <w:sz w:val="15"/>
          <w:szCs w:val="15"/>
          <w:color w:val="auto"/>
        </w:rPr>
      </w:pPr>
    </w:p>
    <w:p>
      <w:pPr>
        <w:ind w:left="1627" w:right="3139" w:hanging="809"/>
        <w:spacing w:after="0" w:line="246" w:lineRule="auto"/>
        <w:tabs>
          <w:tab w:leader="none" w:pos="162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7" w:lineRule="exact"/>
        <w:rPr>
          <w:rFonts w:ascii="Courier New" w:cs="Courier New" w:eastAsia="Courier New" w:hAnsi="Courier New"/>
          <w:sz w:val="15"/>
          <w:szCs w:val="15"/>
          <w:color w:val="auto"/>
        </w:rPr>
      </w:pPr>
    </w:p>
    <w:p>
      <w:pPr>
        <w:ind w:left="1627" w:right="3139" w:hanging="809"/>
        <w:spacing w:after="0" w:line="246" w:lineRule="auto"/>
        <w:tabs>
          <w:tab w:leader="none" w:pos="162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77"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80" w:lineRule="exact"/>
        <w:rPr>
          <w:sz w:val="20"/>
          <w:szCs w:val="20"/>
          <w:color w:val="auto"/>
        </w:rPr>
      </w:pPr>
    </w:p>
    <w:p>
      <w:pPr>
        <w:ind w:left="827" w:right="3039"/>
        <w:spacing w:after="0" w:line="246" w:lineRule="auto"/>
        <w:rPr>
          <w:sz w:val="20"/>
          <w:szCs w:val="20"/>
          <w:color w:val="auto"/>
        </w:rPr>
      </w:pPr>
      <w:r>
        <w:rPr>
          <w:rFonts w:ascii="Courier New" w:cs="Courier New" w:eastAsia="Courier New" w:hAnsi="Courier New"/>
          <w:sz w:val="15"/>
          <w:szCs w:val="15"/>
          <w:color w:val="auto"/>
        </w:rPr>
        <w:t>Any options, restricted stock or other awards that have not vested prior to the date of such termination of employment shall be cancelled to the extent not then vested, and Executive shall have 90 days following termination of employment to exercise any previously vested options; provided that in no event will any option be exercisable beyond its term.</w:t>
      </w:r>
    </w:p>
    <w:p>
      <w:pPr>
        <w:spacing w:after="0" w:line="178" w:lineRule="exact"/>
        <w:rPr>
          <w:sz w:val="20"/>
          <w:szCs w:val="20"/>
          <w:color w:val="auto"/>
        </w:rPr>
      </w:pPr>
    </w:p>
    <w:p>
      <w:pPr>
        <w:ind w:left="827" w:right="3039" w:hanging="827"/>
        <w:spacing w:after="0" w:line="246" w:lineRule="auto"/>
        <w:tabs>
          <w:tab w:leader="none" w:pos="8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177" w:lineRule="exact"/>
        <w:rPr>
          <w:rFonts w:ascii="Courier New" w:cs="Courier New" w:eastAsia="Courier New" w:hAnsi="Courier New"/>
          <w:sz w:val="15"/>
          <w:szCs w:val="15"/>
          <w:color w:val="auto"/>
        </w:rPr>
      </w:pPr>
    </w:p>
    <w:p>
      <w:pPr>
        <w:ind w:left="1627" w:right="3139" w:hanging="809"/>
        <w:spacing w:after="0" w:line="246" w:lineRule="auto"/>
        <w:tabs>
          <w:tab w:leader="none" w:pos="162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7" w:lineRule="exact"/>
        <w:rPr>
          <w:rFonts w:ascii="Courier New" w:cs="Courier New" w:eastAsia="Courier New" w:hAnsi="Courier New"/>
          <w:sz w:val="15"/>
          <w:szCs w:val="15"/>
          <w:color w:val="auto"/>
        </w:rPr>
      </w:pPr>
    </w:p>
    <w:p>
      <w:pPr>
        <w:jc w:val="both"/>
        <w:ind w:left="1627" w:right="3219" w:hanging="809"/>
        <w:spacing w:after="0" w:line="246" w:lineRule="auto"/>
        <w:tabs>
          <w:tab w:leader="none" w:pos="162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77"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w:t>
      </w:r>
    </w:p>
    <w:p>
      <w:pPr>
        <w:spacing w:after="0" w:line="354"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8 of 19</w:t>
      </w:r>
    </w:p>
    <w:p>
      <w:pPr>
        <w:sectPr>
          <w:pgSz w:w="11900" w:h="16838" w:orient="portrait"/>
          <w:cols w:equalWidth="0" w:num="1">
            <w:col w:w="10226"/>
          </w:cols>
          <w:pgMar w:left="233" w:top="293" w:right="1440" w:bottom="1440" w:gutter="0" w:footer="0" w:header="0"/>
        </w:sectPr>
      </w:pPr>
    </w:p>
    <w:bookmarkStart w:id="87" w:name="page88"/>
    <w:bookmarkEnd w:id="87"/>
    <w:p>
      <w:pPr>
        <w:ind w:left="267"/>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left="1627" w:right="3039"/>
        <w:spacing w:after="0" w:line="247" w:lineRule="auto"/>
        <w:rPr>
          <w:sz w:val="20"/>
          <w:szCs w:val="20"/>
          <w:color w:val="auto"/>
        </w:rPr>
      </w:pPr>
      <w:r>
        <w:rPr>
          <w:rFonts w:ascii="Courier New" w:cs="Courier New" w:eastAsia="Courier New" w:hAnsi="Courier New"/>
          <w:sz w:val="15"/>
          <w:szCs w:val="15"/>
          <w:color w:val="auto"/>
        </w:rPr>
        <w:t>have been paid if Executive had remained in active employment until the end of such period.</w:t>
      </w:r>
    </w:p>
    <w:p>
      <w:pPr>
        <w:spacing w:after="0" w:line="175" w:lineRule="exact"/>
        <w:rPr>
          <w:sz w:val="20"/>
          <w:szCs w:val="20"/>
          <w:color w:val="auto"/>
        </w:rPr>
      </w:pPr>
    </w:p>
    <w:p>
      <w:pPr>
        <w:ind w:left="1627" w:right="3039" w:hanging="809"/>
        <w:spacing w:after="0" w:line="246" w:lineRule="auto"/>
        <w:tabs>
          <w:tab w:leader="none" w:pos="1627"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w:t>
      </w:r>
    </w:p>
    <w:p>
      <w:pPr>
        <w:spacing w:after="0" w:line="4" w:lineRule="exact"/>
        <w:rPr>
          <w:rFonts w:ascii="Courier New" w:cs="Courier New" w:eastAsia="Courier New" w:hAnsi="Courier New"/>
          <w:sz w:val="15"/>
          <w:szCs w:val="15"/>
          <w:color w:val="auto"/>
        </w:rPr>
      </w:pPr>
    </w:p>
    <w:p>
      <w:pPr>
        <w:ind w:left="1627" w:right="3039" w:firstLine="9"/>
        <w:spacing w:after="0" w:line="246" w:lineRule="auto"/>
        <w:tabs>
          <w:tab w:leader="none" w:pos="199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years after the date of termination; (B) Executive's death (provided that benefits payable to Executive's beneficiaries shall not terminate upon Executive's death); or</w:t>
      </w:r>
    </w:p>
    <w:p>
      <w:pPr>
        <w:spacing w:after="0" w:line="1" w:lineRule="exact"/>
        <w:rPr>
          <w:rFonts w:ascii="Courier New" w:cs="Courier New" w:eastAsia="Courier New" w:hAnsi="Courier New"/>
          <w:sz w:val="15"/>
          <w:szCs w:val="15"/>
          <w:color w:val="auto"/>
        </w:rPr>
      </w:pPr>
    </w:p>
    <w:p>
      <w:pPr>
        <w:ind w:left="1627" w:right="3319" w:firstLine="9"/>
        <w:spacing w:after="0" w:line="246" w:lineRule="auto"/>
        <w:tabs>
          <w:tab w:leader="none" w:pos="199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80"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of the Company, pro-rated for the fiscal year in which the Executive is terminated.</w:t>
      </w:r>
    </w:p>
    <w:p>
      <w:pPr>
        <w:spacing w:after="0" w:line="181" w:lineRule="exact"/>
        <w:rPr>
          <w:rFonts w:ascii="Courier New" w:cs="Courier New" w:eastAsia="Courier New" w:hAnsi="Courier New"/>
          <w:sz w:val="15"/>
          <w:szCs w:val="15"/>
          <w:color w:val="auto"/>
        </w:rPr>
      </w:pPr>
    </w:p>
    <w:p>
      <w:pPr>
        <w:ind w:left="1627" w:right="3219" w:hanging="809"/>
        <w:spacing w:after="0" w:line="246" w:lineRule="auto"/>
        <w:tabs>
          <w:tab w:leader="none" w:pos="1627"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will any option be exercisable beyond its term.</w:t>
      </w:r>
    </w:p>
    <w:p>
      <w:pPr>
        <w:spacing w:after="0" w:line="179"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9"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79" w:lineRule="exact"/>
        <w:rPr>
          <w:rFonts w:ascii="Courier New" w:cs="Courier New" w:eastAsia="Courier New" w:hAnsi="Courier New"/>
          <w:sz w:val="15"/>
          <w:szCs w:val="15"/>
          <w:color w:val="auto"/>
        </w:rPr>
      </w:pPr>
    </w:p>
    <w:p>
      <w:pPr>
        <w:ind w:left="827" w:right="3219" w:hanging="827"/>
        <w:spacing w:after="0" w:line="247" w:lineRule="auto"/>
        <w:tabs>
          <w:tab w:leader="none" w:pos="8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NO SET-OFF. In the event of any termination of employment hereunder, Executive shall be under no obligation to seek other employment and there shall be no</w:t>
      </w:r>
    </w:p>
    <w:p>
      <w:pPr>
        <w:spacing w:after="0" w:line="200" w:lineRule="exact"/>
        <w:rPr>
          <w:sz w:val="20"/>
          <w:szCs w:val="20"/>
          <w:color w:val="auto"/>
        </w:rPr>
      </w:pPr>
    </w:p>
    <w:p>
      <w:pPr>
        <w:spacing w:after="0" w:line="324"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9 of 19</w:t>
      </w:r>
    </w:p>
    <w:p>
      <w:pPr>
        <w:sectPr>
          <w:pgSz w:w="11900" w:h="16838" w:orient="portrait"/>
          <w:cols w:equalWidth="0" w:num="1">
            <w:col w:w="10226"/>
          </w:cols>
          <w:pgMar w:left="233" w:top="293" w:right="1440" w:bottom="1440" w:gutter="0" w:footer="0" w:header="0"/>
        </w:sectPr>
      </w:pPr>
    </w:p>
    <w:bookmarkStart w:id="88" w:name="page89"/>
    <w:bookmarkEnd w:id="88"/>
    <w:p>
      <w:pPr>
        <w:ind w:left="267"/>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827" w:right="3039"/>
        <w:spacing w:after="0" w:line="246" w:lineRule="auto"/>
        <w:rPr>
          <w:sz w:val="20"/>
          <w:szCs w:val="20"/>
          <w:color w:val="auto"/>
        </w:rPr>
      </w:pPr>
      <w:r>
        <w:rPr>
          <w:rFonts w:ascii="Courier New" w:cs="Courier New" w:eastAsia="Courier New" w:hAnsi="Courier New"/>
          <w:sz w:val="15"/>
          <w:szCs w:val="15"/>
          <w:color w:val="auto"/>
        </w:rPr>
        <w:t>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79" w:lineRule="exact"/>
        <w:rPr>
          <w:sz w:val="20"/>
          <w:szCs w:val="20"/>
          <w:color w:val="auto"/>
        </w:rPr>
      </w:pPr>
    </w:p>
    <w:p>
      <w:pPr>
        <w:ind w:left="827" w:right="3499" w:hanging="827"/>
        <w:spacing w:after="0" w:line="247" w:lineRule="auto"/>
        <w:tabs>
          <w:tab w:leader="none" w:pos="82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BY EXECUTIVE FOR GOOD REASON AND COMPENSATION PAYABLE FOLLOWING CHANGE IN CONTROL.</w:t>
      </w:r>
    </w:p>
    <w:p>
      <w:pPr>
        <w:spacing w:after="0" w:line="175" w:lineRule="exact"/>
        <w:rPr>
          <w:sz w:val="20"/>
          <w:szCs w:val="20"/>
          <w:color w:val="auto"/>
        </w:rPr>
      </w:pPr>
    </w:p>
    <w:p>
      <w:pPr>
        <w:ind w:left="827" w:right="3039" w:hanging="827"/>
        <w:spacing w:after="0" w:line="246" w:lineRule="auto"/>
        <w:tabs>
          <w:tab w:leader="none" w:pos="8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80" w:lineRule="exact"/>
        <w:rPr>
          <w:rFonts w:ascii="Courier New" w:cs="Courier New" w:eastAsia="Courier New" w:hAnsi="Courier New"/>
          <w:sz w:val="15"/>
          <w:szCs w:val="15"/>
          <w:color w:val="auto"/>
        </w:rPr>
      </w:pPr>
    </w:p>
    <w:p>
      <w:pPr>
        <w:ind w:left="1627" w:right="3599" w:hanging="809"/>
        <w:spacing w:after="0" w:line="247" w:lineRule="auto"/>
        <w:tabs>
          <w:tab w:leader="none" w:pos="162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payments and benefits provided for in Section 6(e), except that the amount shall be paid in a lump-sum.</w:t>
      </w:r>
    </w:p>
    <w:p>
      <w:pPr>
        <w:spacing w:after="0" w:line="174"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be 100% vested in all benefits, awards, and grants (including stock option grants and stock awards; all of such stock options exercisable for two (2)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87"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COMPANY.</w:t>
      </w:r>
    </w:p>
    <w:p>
      <w:pPr>
        <w:spacing w:after="0" w:line="179" w:lineRule="exact"/>
        <w:rPr>
          <w:rFonts w:ascii="Courier New" w:cs="Courier New" w:eastAsia="Courier New" w:hAnsi="Courier New"/>
          <w:sz w:val="15"/>
          <w:szCs w:val="15"/>
          <w:color w:val="auto"/>
        </w:rPr>
      </w:pPr>
    </w:p>
    <w:p>
      <w:pPr>
        <w:ind w:left="1627" w:right="3139" w:hanging="809"/>
        <w:spacing w:after="0" w:line="246" w:lineRule="auto"/>
        <w:tabs>
          <w:tab w:leader="none" w:pos="162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w:t>
      </w:r>
    </w:p>
    <w:p>
      <w:pPr>
        <w:spacing w:after="0" w:line="354"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10 of 19</w:t>
      </w:r>
    </w:p>
    <w:p>
      <w:pPr>
        <w:sectPr>
          <w:pgSz w:w="11900" w:h="16838" w:orient="portrait"/>
          <w:cols w:equalWidth="0" w:num="1">
            <w:col w:w="10226"/>
          </w:cols>
          <w:pgMar w:left="233" w:top="293"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left="1360" w:right="3039"/>
        <w:spacing w:after="0" w:line="246" w:lineRule="auto"/>
        <w:rPr>
          <w:sz w:val="20"/>
          <w:szCs w:val="20"/>
          <w:color w:val="auto"/>
        </w:rPr>
      </w:pPr>
      <w:r>
        <w:rPr>
          <w:rFonts w:ascii="Courier New" w:cs="Courier New" w:eastAsia="Courier New" w:hAnsi="Courier New"/>
          <w:sz w:val="15"/>
          <w:szCs w:val="15"/>
          <w:color w:val="auto"/>
        </w:rPr>
        <w:t>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84" w:lineRule="exact"/>
        <w:rPr>
          <w:sz w:val="20"/>
          <w:szCs w:val="20"/>
          <w:color w:val="auto"/>
        </w:rPr>
      </w:pPr>
    </w:p>
    <w:p>
      <w:pPr>
        <w:ind w:left="1360" w:right="3039" w:hanging="809"/>
        <w:spacing w:after="0" w:line="246" w:lineRule="auto"/>
        <w:tabs>
          <w:tab w:leader="none" w:pos="1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87" w:lineRule="exact"/>
        <w:rPr>
          <w:rFonts w:ascii="Courier New" w:cs="Courier New" w:eastAsia="Courier New" w:hAnsi="Courier New"/>
          <w:sz w:val="15"/>
          <w:szCs w:val="15"/>
          <w:color w:val="auto"/>
        </w:rPr>
      </w:pPr>
    </w:p>
    <w:p>
      <w:pPr>
        <w:ind w:left="1360" w:right="3039" w:hanging="809"/>
        <w:spacing w:after="0" w:line="246" w:lineRule="auto"/>
        <w:tabs>
          <w:tab w:leader="none" w:pos="1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w:t>
      </w:r>
    </w:p>
    <w:p>
      <w:pPr>
        <w:spacing w:after="0" w:line="36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Page 11 of 19</w:t>
      </w:r>
    </w:p>
    <w:p>
      <w:pPr>
        <w:sectPr>
          <w:pgSz w:w="11900" w:h="16838" w:orient="portrait"/>
          <w:cols w:equalWidth="0" w:num="1">
            <w:col w:w="9959"/>
          </w:cols>
          <w:pgMar w:left="500" w:top="293"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left="1360" w:right="3039"/>
        <w:spacing w:after="0" w:line="246" w:lineRule="auto"/>
        <w:rPr>
          <w:sz w:val="20"/>
          <w:szCs w:val="20"/>
          <w:color w:val="auto"/>
        </w:rPr>
      </w:pPr>
      <w:r>
        <w:rPr>
          <w:rFonts w:ascii="Courier New" w:cs="Courier New" w:eastAsia="Courier New" w:hAnsi="Courier New"/>
          <w:sz w:val="15"/>
          <w:szCs w:val="15"/>
          <w:color w:val="auto"/>
        </w:rPr>
        <w:t>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183" w:lineRule="exact"/>
        <w:rPr>
          <w:sz w:val="20"/>
          <w:szCs w:val="20"/>
          <w:color w:val="auto"/>
        </w:rPr>
      </w:pPr>
    </w:p>
    <w:p>
      <w:pPr>
        <w:ind w:left="1360" w:right="3039"/>
        <w:spacing w:after="0" w:line="246" w:lineRule="auto"/>
        <w:rPr>
          <w:sz w:val="20"/>
          <w:szCs w:val="20"/>
          <w:color w:val="auto"/>
        </w:rPr>
      </w:pPr>
      <w:r>
        <w:rPr>
          <w:rFonts w:ascii="Courier New" w:cs="Courier New" w:eastAsia="Courier New" w:hAnsi="Courier New"/>
          <w:sz w:val="15"/>
          <w:szCs w:val="15"/>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81" w:lineRule="exact"/>
        <w:rPr>
          <w:sz w:val="20"/>
          <w:szCs w:val="20"/>
          <w:color w:val="auto"/>
        </w:rPr>
      </w:pPr>
    </w:p>
    <w:p>
      <w:pPr>
        <w:ind w:left="1360" w:right="3039" w:hanging="809"/>
        <w:spacing w:after="0" w:line="246" w:lineRule="auto"/>
        <w:tabs>
          <w:tab w:leader="none" w:pos="1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187" w:lineRule="exact"/>
        <w:rPr>
          <w:rFonts w:ascii="Courier New" w:cs="Courier New" w:eastAsia="Courier New" w:hAnsi="Courier New"/>
          <w:sz w:val="15"/>
          <w:szCs w:val="15"/>
          <w:color w:val="auto"/>
        </w:rPr>
      </w:pPr>
    </w:p>
    <w:p>
      <w:pPr>
        <w:ind w:left="1360" w:right="3039" w:hanging="809"/>
        <w:spacing w:after="0" w:line="246" w:lineRule="auto"/>
        <w:tabs>
          <w:tab w:leader="none" w:pos="1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w:t>
      </w:r>
    </w:p>
    <w:p>
      <w:pPr>
        <w:spacing w:after="0" w:line="200" w:lineRule="exact"/>
        <w:rPr>
          <w:sz w:val="20"/>
          <w:szCs w:val="20"/>
          <w:color w:val="auto"/>
        </w:rPr>
      </w:pPr>
    </w:p>
    <w:p>
      <w:pPr>
        <w:spacing w:after="0" w:line="33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Page 12 of 19</w:t>
      </w:r>
    </w:p>
    <w:p>
      <w:pPr>
        <w:sectPr>
          <w:pgSz w:w="11900" w:h="16838" w:orient="portrait"/>
          <w:cols w:equalWidth="0" w:num="1">
            <w:col w:w="9959"/>
          </w:cols>
          <w:pgMar w:left="500" w:top="293" w:right="1440" w:bottom="1440" w:gutter="0" w:footer="0" w:header="0"/>
        </w:sectPr>
      </w:pPr>
    </w:p>
    <w:bookmarkStart w:id="91" w:name="page92"/>
    <w:bookmarkEnd w:id="91"/>
    <w:p>
      <w:pPr>
        <w:ind w:left="267"/>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the Executive, and the Executive and the Executive's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representative shall cooperate with the Company and its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representative.</w:t>
      </w:r>
    </w:p>
    <w:p>
      <w:pPr>
        <w:spacing w:after="0" w:line="180" w:lineRule="exact"/>
        <w:rPr>
          <w:sz w:val="20"/>
          <w:szCs w:val="20"/>
          <w:color w:val="auto"/>
        </w:rPr>
      </w:pPr>
    </w:p>
    <w:p>
      <w:pPr>
        <w:ind w:left="1627" w:right="3599" w:hanging="809"/>
        <w:spacing w:after="0" w:line="247" w:lineRule="auto"/>
        <w:tabs>
          <w:tab w:leader="none" w:pos="162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responsible for all charges of the Accountant.</w:t>
      </w:r>
    </w:p>
    <w:p>
      <w:pPr>
        <w:spacing w:after="0" w:line="174" w:lineRule="exact"/>
        <w:rPr>
          <w:rFonts w:ascii="Courier New" w:cs="Courier New" w:eastAsia="Courier New" w:hAnsi="Courier New"/>
          <w:sz w:val="15"/>
          <w:szCs w:val="15"/>
          <w:color w:val="auto"/>
        </w:rPr>
      </w:pPr>
    </w:p>
    <w:p>
      <w:pPr>
        <w:ind w:left="1627" w:right="3139" w:hanging="809"/>
        <w:spacing w:after="0" w:line="246" w:lineRule="auto"/>
        <w:tabs>
          <w:tab w:leader="none" w:pos="162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77" w:lineRule="exact"/>
        <w:rPr>
          <w:rFonts w:ascii="Courier New" w:cs="Courier New" w:eastAsia="Courier New" w:hAnsi="Courier New"/>
          <w:sz w:val="15"/>
          <w:szCs w:val="15"/>
          <w:color w:val="auto"/>
        </w:rPr>
      </w:pPr>
    </w:p>
    <w:p>
      <w:pPr>
        <w:ind w:left="827" w:right="3039" w:hanging="827"/>
        <w:spacing w:after="0" w:line="247" w:lineRule="auto"/>
        <w:tabs>
          <w:tab w:leader="none" w:pos="82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For purposes of this Agreement, "Change in Control" means the occurrence of any of the following events:</w:t>
      </w:r>
    </w:p>
    <w:p>
      <w:pPr>
        <w:spacing w:after="0" w:line="174"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79"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183"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200" w:lineRule="exact"/>
        <w:rPr>
          <w:sz w:val="20"/>
          <w:szCs w:val="20"/>
          <w:color w:val="auto"/>
        </w:rPr>
      </w:pPr>
    </w:p>
    <w:p>
      <w:pPr>
        <w:spacing w:after="0" w:line="33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13 of 19</w:t>
      </w:r>
    </w:p>
    <w:p>
      <w:pPr>
        <w:sectPr>
          <w:pgSz w:w="11900" w:h="16838" w:orient="portrait"/>
          <w:cols w:equalWidth="0" w:num="1">
            <w:col w:w="10226"/>
          </w:cols>
          <w:pgMar w:left="233" w:top="293" w:right="1440" w:bottom="1440" w:gutter="0" w:footer="0" w:header="0"/>
        </w:sectPr>
      </w:pPr>
    </w:p>
    <w:bookmarkStart w:id="92" w:name="page93"/>
    <w:bookmarkEnd w:id="92"/>
    <w:p>
      <w:pPr>
        <w:ind w:left="267"/>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left="1627" w:right="3039" w:hanging="809"/>
        <w:spacing w:after="0" w:line="246" w:lineRule="auto"/>
        <w:tabs>
          <w:tab w:leader="none" w:pos="162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1" w:lineRule="exact"/>
        <w:rPr>
          <w:sz w:val="20"/>
          <w:szCs w:val="20"/>
          <w:color w:val="auto"/>
        </w:rPr>
      </w:pPr>
    </w:p>
    <w:p>
      <w:pPr>
        <w:ind w:left="7" w:right="3139" w:firstLine="818"/>
        <w:spacing w:after="0" w:line="247" w:lineRule="auto"/>
        <w:rPr>
          <w:sz w:val="20"/>
          <w:szCs w:val="20"/>
          <w:color w:val="auto"/>
        </w:rPr>
      </w:pPr>
      <w:r>
        <w:rPr>
          <w:rFonts w:ascii="Courier New" w:cs="Courier New" w:eastAsia="Courier New" w:hAnsi="Courier New"/>
          <w:sz w:val="15"/>
          <w:szCs w:val="15"/>
          <w:color w:val="auto"/>
        </w:rPr>
        <w:t>For purposes of this Section 7(c), the following terms shall have the following meanings:</w:t>
      </w:r>
    </w:p>
    <w:p>
      <w:pPr>
        <w:spacing w:after="0" w:line="175" w:lineRule="exact"/>
        <w:rPr>
          <w:sz w:val="20"/>
          <w:szCs w:val="20"/>
          <w:color w:val="auto"/>
        </w:rPr>
      </w:pPr>
    </w:p>
    <w:p>
      <w:pPr>
        <w:ind w:left="1627" w:right="3039" w:firstLine="9"/>
        <w:spacing w:after="0" w:line="246" w:lineRule="auto"/>
        <w:tabs>
          <w:tab w:leader="none" w:pos="199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 affiliate of the Company, as defined in Rule 12b-2 promulgated under Section 12 of the Securities Exchange Act of 1934, as amended from time to time (the "Exchange Act");</w:t>
      </w:r>
    </w:p>
    <w:p>
      <w:pPr>
        <w:spacing w:after="0" w:line="177" w:lineRule="exact"/>
        <w:rPr>
          <w:rFonts w:ascii="Courier New" w:cs="Courier New" w:eastAsia="Courier New" w:hAnsi="Courier New"/>
          <w:sz w:val="15"/>
          <w:szCs w:val="15"/>
          <w:color w:val="auto"/>
        </w:rPr>
      </w:pPr>
    </w:p>
    <w:p>
      <w:pPr>
        <w:ind w:left="1627" w:right="3219" w:firstLine="9"/>
        <w:spacing w:after="0" w:line="247" w:lineRule="auto"/>
        <w:tabs>
          <w:tab w:leader="none" w:pos="2081"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shall have the meaning set forth in Rule 13d-3 under the Exchange Act;</w:t>
      </w:r>
    </w:p>
    <w:p>
      <w:pPr>
        <w:spacing w:after="0" w:line="174" w:lineRule="exact"/>
        <w:rPr>
          <w:rFonts w:ascii="Courier New" w:cs="Courier New" w:eastAsia="Courier New" w:hAnsi="Courier New"/>
          <w:sz w:val="15"/>
          <w:szCs w:val="15"/>
          <w:color w:val="auto"/>
        </w:rPr>
      </w:pPr>
    </w:p>
    <w:p>
      <w:pPr>
        <w:ind w:left="1627" w:right="3039" w:firstLine="9"/>
        <w:spacing w:after="0" w:line="246" w:lineRule="auto"/>
        <w:tabs>
          <w:tab w:leader="none" w:pos="2172"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81"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80" w:lineRule="exact"/>
        <w:rPr>
          <w:sz w:val="20"/>
          <w:szCs w:val="20"/>
          <w:color w:val="auto"/>
        </w:rPr>
      </w:pPr>
    </w:p>
    <w:p>
      <w:pPr>
        <w:ind w:left="827" w:right="3039" w:hanging="827"/>
        <w:spacing w:after="0" w:line="246" w:lineRule="auto"/>
        <w:tabs>
          <w:tab w:leader="none" w:pos="8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ACTIVITY. Executive covenants and agrees that at all times during Executive's period of employment with the Company, and for two</w:t>
      </w:r>
    </w:p>
    <w:p>
      <w:pPr>
        <w:spacing w:after="0" w:line="1" w:lineRule="exact"/>
        <w:rPr>
          <w:rFonts w:ascii="Courier New" w:cs="Courier New" w:eastAsia="Courier New" w:hAnsi="Courier New"/>
          <w:sz w:val="15"/>
          <w:szCs w:val="15"/>
          <w:color w:val="auto"/>
        </w:rPr>
      </w:pPr>
    </w:p>
    <w:p>
      <w:pPr>
        <w:ind w:left="827" w:right="3039" w:hanging="9"/>
        <w:spacing w:after="0" w:line="246" w:lineRule="auto"/>
        <w:tabs>
          <w:tab w:leader="none" w:pos="119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w:t>
      </w:r>
    </w:p>
    <w:p>
      <w:pPr>
        <w:spacing w:after="0" w:line="182" w:lineRule="exact"/>
        <w:rPr>
          <w:rFonts w:ascii="Courier New" w:cs="Courier New" w:eastAsia="Courier New" w:hAnsi="Courier New"/>
          <w:sz w:val="15"/>
          <w:szCs w:val="15"/>
          <w:color w:val="auto"/>
        </w:rPr>
      </w:pPr>
    </w:p>
    <w:p>
      <w:pPr>
        <w:ind w:left="827" w:right="3319" w:hanging="827"/>
        <w:spacing w:after="0" w:line="246" w:lineRule="auto"/>
        <w:tabs>
          <w:tab w:leader="none" w:pos="8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Executive covenants and agrees that at all times during Executive's period of employment with the Company, and for a period of two (2) years after the Termination thereof, whether such termination is voluntary or involuntary by wrongful</w:t>
      </w:r>
    </w:p>
    <w:p>
      <w:pPr>
        <w:spacing w:after="0" w:line="200" w:lineRule="exact"/>
        <w:rPr>
          <w:sz w:val="20"/>
          <w:szCs w:val="20"/>
          <w:color w:val="auto"/>
        </w:rPr>
      </w:pPr>
    </w:p>
    <w:p>
      <w:pPr>
        <w:spacing w:after="0" w:line="327"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14 of 19</w:t>
      </w:r>
    </w:p>
    <w:p>
      <w:pPr>
        <w:sectPr>
          <w:pgSz w:w="11900" w:h="16838" w:orient="portrait"/>
          <w:cols w:equalWidth="0" w:num="1">
            <w:col w:w="10226"/>
          </w:cols>
          <w:pgMar w:left="233" w:top="293" w:right="1440" w:bottom="1440" w:gutter="0" w:footer="0" w:header="0"/>
        </w:sectPr>
      </w:pPr>
    </w:p>
    <w:bookmarkStart w:id="93" w:name="page94"/>
    <w:bookmarkEnd w:id="93"/>
    <w:p>
      <w:pPr>
        <w:ind w:left="267"/>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827" w:right="3139"/>
        <w:spacing w:after="0" w:line="246" w:lineRule="auto"/>
        <w:rPr>
          <w:sz w:val="20"/>
          <w:szCs w:val="20"/>
          <w:color w:val="auto"/>
        </w:rPr>
      </w:pPr>
      <w:r>
        <w:rPr>
          <w:rFonts w:ascii="Courier New" w:cs="Courier New" w:eastAsia="Courier New" w:hAnsi="Courier New"/>
          <w:sz w:val="15"/>
          <w:szCs w:val="15"/>
          <w:color w:val="auto"/>
        </w:rPr>
        <w:t>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184" w:lineRule="exact"/>
        <w:rPr>
          <w:sz w:val="20"/>
          <w:szCs w:val="20"/>
          <w:color w:val="auto"/>
        </w:rPr>
      </w:pPr>
    </w:p>
    <w:p>
      <w:pPr>
        <w:ind w:left="827" w:right="3039" w:hanging="827"/>
        <w:spacing w:after="0" w:line="246" w:lineRule="auto"/>
        <w:tabs>
          <w:tab w:leader="none" w:pos="82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5"/>
          <w:szCs w:val="15"/>
          <w:color w:val="auto"/>
        </w:rPr>
      </w:pPr>
    </w:p>
    <w:p>
      <w:pPr>
        <w:ind w:left="827" w:right="3039" w:hanging="9"/>
        <w:spacing w:after="0" w:line="246" w:lineRule="auto"/>
        <w:tabs>
          <w:tab w:leader="none" w:pos="1281"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 (i) while employed by the Company, Executive may in good faith make disclosures he believes desirable, provided that are authorized by the Company or otherwise in accordance with Company policy, and (ii) Executive may comply with legal process.</w:t>
      </w:r>
    </w:p>
    <w:p>
      <w:pPr>
        <w:spacing w:after="0" w:line="185" w:lineRule="exact"/>
        <w:rPr>
          <w:sz w:val="20"/>
          <w:szCs w:val="20"/>
          <w:color w:val="auto"/>
        </w:rPr>
      </w:pPr>
    </w:p>
    <w:p>
      <w:pPr>
        <w:ind w:left="827" w:hanging="827"/>
        <w:spacing w:after="0"/>
        <w:tabs>
          <w:tab w:leader="none" w:pos="82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OF COVENANTS.</w:t>
      </w:r>
    </w:p>
    <w:p>
      <w:pPr>
        <w:spacing w:after="0" w:line="180" w:lineRule="exact"/>
        <w:rPr>
          <w:sz w:val="20"/>
          <w:szCs w:val="20"/>
          <w:color w:val="auto"/>
        </w:rPr>
      </w:pPr>
    </w:p>
    <w:p>
      <w:pPr>
        <w:ind w:left="827" w:right="3039" w:hanging="827"/>
        <w:spacing w:after="0" w:line="246" w:lineRule="auto"/>
        <w:tabs>
          <w:tab w:leader="none" w:pos="82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357"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15 of 19</w:t>
      </w:r>
    </w:p>
    <w:p>
      <w:pPr>
        <w:sectPr>
          <w:pgSz w:w="11900" w:h="16838" w:orient="portrait"/>
          <w:cols w:equalWidth="0" w:num="1">
            <w:col w:w="10226"/>
          </w:cols>
          <w:pgMar w:left="233" w:top="293" w:right="1440" w:bottom="1440" w:gutter="0" w:footer="0" w:header="0"/>
        </w:sectPr>
      </w:pPr>
    </w:p>
    <w:bookmarkStart w:id="94" w:name="page95"/>
    <w:bookmarkEnd w:id="94"/>
    <w:p>
      <w:pPr>
        <w:ind w:left="267"/>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left="827" w:right="3039" w:hanging="827"/>
        <w:spacing w:after="0" w:line="246" w:lineRule="auto"/>
        <w:tabs>
          <w:tab w:leader="none" w:pos="82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83" w:lineRule="exact"/>
        <w:rPr>
          <w:rFonts w:ascii="Courier New" w:cs="Courier New" w:eastAsia="Courier New" w:hAnsi="Courier New"/>
          <w:sz w:val="15"/>
          <w:szCs w:val="15"/>
          <w:color w:val="auto"/>
        </w:rPr>
      </w:pPr>
    </w:p>
    <w:p>
      <w:pPr>
        <w:ind w:left="82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78" w:lineRule="exact"/>
        <w:rPr>
          <w:sz w:val="20"/>
          <w:szCs w:val="20"/>
          <w:color w:val="auto"/>
        </w:rPr>
      </w:pPr>
    </w:p>
    <w:p>
      <w:pPr>
        <w:ind w:left="827" w:hanging="827"/>
        <w:spacing w:after="0"/>
        <w:tabs>
          <w:tab w:leader="none" w:pos="82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Term in the same amount and to the same extent as the Company covers its other officers and directors.</w:t>
      </w:r>
    </w:p>
    <w:p>
      <w:pPr>
        <w:spacing w:after="0" w:line="181" w:lineRule="exact"/>
        <w:rPr>
          <w:sz w:val="20"/>
          <w:szCs w:val="20"/>
          <w:color w:val="auto"/>
        </w:rPr>
      </w:pPr>
    </w:p>
    <w:p>
      <w:pPr>
        <w:ind w:left="827" w:hanging="827"/>
        <w:spacing w:after="0"/>
        <w:tabs>
          <w:tab w:leader="none" w:pos="82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AND PAYMENT OF ATTORNEY'S FEES.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w:t>
      </w:r>
    </w:p>
    <w:p>
      <w:pPr>
        <w:spacing w:after="0" w:line="183"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16 of 19</w:t>
      </w:r>
    </w:p>
    <w:p>
      <w:pPr>
        <w:sectPr>
          <w:pgSz w:w="11900" w:h="16838" w:orient="portrait"/>
          <w:cols w:equalWidth="0" w:num="1">
            <w:col w:w="10226"/>
          </w:cols>
          <w:pgMar w:left="233" w:top="293" w:right="1440" w:bottom="1440" w:gutter="0" w:footer="0" w:header="0"/>
        </w:sectPr>
      </w:pPr>
    </w:p>
    <w:bookmarkStart w:id="95" w:name="page96"/>
    <w:bookmarkEnd w:id="95"/>
    <w:p>
      <w:pPr>
        <w:ind w:left="267"/>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implication as to any other section hereof, shall survive the expiration or termination of this Agreement and of Executive's employment hereunder.</w:t>
      </w:r>
    </w:p>
    <w:p>
      <w:pPr>
        <w:spacing w:after="0" w:line="175" w:lineRule="exact"/>
        <w:rPr>
          <w:sz w:val="20"/>
          <w:szCs w:val="20"/>
          <w:color w:val="auto"/>
        </w:rPr>
      </w:pPr>
    </w:p>
    <w:p>
      <w:pPr>
        <w:ind w:left="827" w:hanging="827"/>
        <w:spacing w:after="0"/>
        <w:tabs>
          <w:tab w:leader="none" w:pos="8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The Company may withhold from any compensation and benefits payable under this Agreement all applicable federal, state, local, or other taxes.</w:t>
      </w:r>
    </w:p>
    <w:p>
      <w:pPr>
        <w:spacing w:after="0" w:line="349" w:lineRule="exact"/>
        <w:rPr>
          <w:sz w:val="20"/>
          <w:szCs w:val="20"/>
          <w:color w:val="auto"/>
        </w:rPr>
      </w:pPr>
    </w:p>
    <w:p>
      <w:pPr>
        <w:ind w:left="827" w:hanging="827"/>
        <w:spacing w:after="0"/>
        <w:tabs>
          <w:tab w:leader="none" w:pos="8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PAYMENTS.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0" w:lineRule="exact"/>
        <w:rPr>
          <w:sz w:val="20"/>
          <w:szCs w:val="20"/>
          <w:color w:val="auto"/>
        </w:rPr>
      </w:pPr>
    </w:p>
    <w:p>
      <w:pPr>
        <w:ind w:left="827" w:hanging="827"/>
        <w:spacing w:after="0"/>
        <w:tabs>
          <w:tab w:leader="none" w:pos="8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84" w:lineRule="exact"/>
        <w:rPr>
          <w:sz w:val="20"/>
          <w:szCs w:val="20"/>
          <w:color w:val="auto"/>
        </w:rPr>
      </w:pPr>
    </w:p>
    <w:p>
      <w:pPr>
        <w:ind w:left="827" w:hanging="827"/>
        <w:spacing w:after="0"/>
        <w:tabs>
          <w:tab w:leader="none" w:pos="82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353"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17 of 19</w:t>
      </w:r>
    </w:p>
    <w:p>
      <w:pPr>
        <w:sectPr>
          <w:pgSz w:w="11900" w:h="16838" w:orient="portrait"/>
          <w:cols w:equalWidth="0" w:num="1">
            <w:col w:w="10226"/>
          </w:cols>
          <w:pgMar w:left="233" w:top="293" w:right="1440" w:bottom="1440" w:gutter="0" w:footer="0" w:header="0"/>
        </w:sectPr>
      </w:pPr>
    </w:p>
    <w:bookmarkStart w:id="96" w:name="page97"/>
    <w:bookmarkEnd w:id="96"/>
    <w:p>
      <w:pPr>
        <w:ind w:left="267"/>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left="827" w:hanging="827"/>
        <w:spacing w:after="0"/>
        <w:tabs>
          <w:tab w:leader="none" w:pos="82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Texas applicable to agreements made and to be performed in that State, without regard to its conflict of laws provisions.</w:t>
      </w:r>
    </w:p>
    <w:p>
      <w:pPr>
        <w:spacing w:after="0" w:line="174" w:lineRule="exact"/>
        <w:rPr>
          <w:sz w:val="20"/>
          <w:szCs w:val="20"/>
          <w:color w:val="auto"/>
        </w:rPr>
      </w:pPr>
    </w:p>
    <w:p>
      <w:pPr>
        <w:ind w:left="827" w:hanging="827"/>
        <w:spacing w:after="0"/>
        <w:tabs>
          <w:tab w:leader="none" w:pos="82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 OF TIMELY PAYMENTS.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1" w:lineRule="exact"/>
        <w:rPr>
          <w:sz w:val="20"/>
          <w:szCs w:val="20"/>
          <w:color w:val="auto"/>
        </w:rPr>
      </w:pPr>
    </w:p>
    <w:p>
      <w:pPr>
        <w:ind w:left="827" w:hanging="827"/>
        <w:spacing w:after="0"/>
        <w:tabs>
          <w:tab w:leader="none" w:pos="82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To the Company:</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Waste Management ,</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175"/>
        </w:trPr>
        <w:tc>
          <w:tcPr>
            <w:tcW w:w="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1001 Fannin, Suite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4000</w:t>
            </w:r>
          </w:p>
        </w:tc>
      </w:tr>
      <w:tr>
        <w:trPr>
          <w:trHeight w:val="175"/>
        </w:trPr>
        <w:tc>
          <w:tcPr>
            <w:tcW w:w="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3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Houston, Texas 77002</w:t>
            </w:r>
          </w:p>
        </w:tc>
      </w:tr>
      <w:tr>
        <w:trPr>
          <w:trHeight w:val="175"/>
        </w:trPr>
        <w:tc>
          <w:tcPr>
            <w:tcW w:w="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3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Attention: Corporate Secretary</w:t>
            </w:r>
          </w:p>
        </w:tc>
      </w:tr>
      <w:tr>
        <w:trPr>
          <w:trHeight w:val="350"/>
        </w:trPr>
        <w:tc>
          <w:tcPr>
            <w:tcW w:w="540" w:type="dxa"/>
            <w:vAlign w:val="bottom"/>
          </w:tcPr>
          <w:p>
            <w:pPr>
              <w:spacing w:after="0"/>
              <w:rPr>
                <w:sz w:val="24"/>
                <w:szCs w:val="24"/>
                <w:color w:val="auto"/>
              </w:rPr>
            </w:pP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To Executive:</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At the address for</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w w:val="99"/>
              </w:rPr>
              <w:t>Executive set forth below.</w:t>
            </w:r>
          </w:p>
        </w:tc>
      </w:tr>
      <w:tr>
        <w:trPr>
          <w:trHeight w:val="350"/>
        </w:trPr>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19.</w:t>
            </w:r>
          </w:p>
        </w:tc>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MISCELLANEOUS.</w:t>
            </w:r>
          </w:p>
        </w:tc>
        <w:tc>
          <w:tcPr>
            <w:tcW w:w="19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179" w:lineRule="exact"/>
        <w:rPr>
          <w:sz w:val="20"/>
          <w:szCs w:val="20"/>
          <w:color w:val="auto"/>
        </w:rPr>
      </w:pPr>
    </w:p>
    <w:p>
      <w:pPr>
        <w:ind w:left="827" w:right="3039" w:hanging="827"/>
        <w:spacing w:after="0" w:line="246" w:lineRule="auto"/>
        <w:tabs>
          <w:tab w:leader="none" w:pos="82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77"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353"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18 of 19</w:t>
      </w:r>
    </w:p>
    <w:p>
      <w:pPr>
        <w:sectPr>
          <w:pgSz w:w="11900" w:h="16838" w:orient="portrait"/>
          <w:cols w:equalWidth="0" w:num="1">
            <w:col w:w="10226"/>
          </w:cols>
          <w:pgMar w:left="233" w:top="293" w:right="1440" w:bottom="1440" w:gutter="0" w:footer="0" w:header="0"/>
        </w:sectPr>
      </w:pPr>
    </w:p>
    <w:bookmarkStart w:id="97" w:name="page98"/>
    <w:bookmarkEnd w:id="97"/>
    <w:p>
      <w:pPr>
        <w:ind w:left="267"/>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827" w:right="3319" w:hanging="827"/>
        <w:spacing w:after="0" w:line="247" w:lineRule="auto"/>
        <w:tabs>
          <w:tab w:leader="none" w:pos="82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are used herein for convenience of reference only and shall not affect the meaning of any provision of this Agreement.</w:t>
      </w:r>
    </w:p>
    <w:p>
      <w:pPr>
        <w:spacing w:after="0" w:line="174" w:lineRule="exact"/>
        <w:rPr>
          <w:rFonts w:ascii="Courier New" w:cs="Courier New" w:eastAsia="Courier New" w:hAnsi="Courier New"/>
          <w:sz w:val="15"/>
          <w:szCs w:val="15"/>
          <w:color w:val="auto"/>
        </w:rPr>
      </w:pPr>
    </w:p>
    <w:p>
      <w:pPr>
        <w:ind w:left="827" w:right="3319" w:hanging="827"/>
        <w:spacing w:after="0" w:line="247" w:lineRule="auto"/>
        <w:tabs>
          <w:tab w:leader="none" w:pos="82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Whenever the context so requires, the use of the singular shall be deemed to include the plural and vice versa.</w:t>
      </w:r>
    </w:p>
    <w:p>
      <w:pPr>
        <w:spacing w:after="0" w:line="174" w:lineRule="exact"/>
        <w:rPr>
          <w:rFonts w:ascii="Courier New" w:cs="Courier New" w:eastAsia="Courier New" w:hAnsi="Courier New"/>
          <w:sz w:val="15"/>
          <w:szCs w:val="15"/>
          <w:color w:val="auto"/>
        </w:rPr>
      </w:pPr>
    </w:p>
    <w:p>
      <w:pPr>
        <w:ind w:left="827" w:right="3599" w:hanging="827"/>
        <w:spacing w:after="0" w:line="246" w:lineRule="auto"/>
        <w:tabs>
          <w:tab w:leader="none" w:pos="82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so executed shall be deemed to be an original, and such counterparts will together constitute but one Agreement.</w:t>
      </w:r>
    </w:p>
    <w:p>
      <w:pPr>
        <w:spacing w:after="0" w:line="177"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WASTE MANAGEMENT, INC.</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/s/ LAWRENCE O'DONNELL, III</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Name:</w:t>
        <w:tab/>
        <w:t>Lawrence O'Donnell, 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Title: Sr. Vice President, General Counsel &amp;</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Secretary</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Date: May 11, 2000</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ROBERT E. DEES, JR.</w:t>
      </w:r>
    </w:p>
    <w:p>
      <w:pPr>
        <w:spacing w:after="0" w:line="5" w:lineRule="exact"/>
        <w:rPr>
          <w:sz w:val="20"/>
          <w:szCs w:val="20"/>
          <w:color w:val="auto"/>
        </w:rPr>
      </w:pPr>
    </w:p>
    <w:p>
      <w:pPr>
        <w:ind w:left="187" w:hanging="187"/>
        <w:spacing w:after="0"/>
        <w:tabs>
          <w:tab w:leader="none" w:pos="1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E. Dees, Jr.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May 10, 2000</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3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Page 19 of 19</w:t>
      </w:r>
    </w:p>
    <w:p>
      <w:pPr>
        <w:sectPr>
          <w:pgSz w:w="11900" w:h="16838" w:orient="portrait"/>
          <w:cols w:equalWidth="0" w:num="1">
            <w:col w:w="10226"/>
          </w:cols>
          <w:pgMar w:left="233" w:top="29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EXHIBIT 12</w:t>
      </w:r>
    </w:p>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RATIOS)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Six Months Ended June 30,</w:t>
            </w:r>
          </w:p>
        </w:tc>
      </w:tr>
      <w:tr>
        <w:trPr>
          <w:trHeight w:val="175"/>
        </w:trPr>
        <w:tc>
          <w:tcPr>
            <w:tcW w:w="480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minority interests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237,566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$1,153,573</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409,807</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361,068</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Implicit interest in rents</w:t>
            </w:r>
          </w:p>
        </w:tc>
        <w:tc>
          <w:tcPr>
            <w:tcW w:w="4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32,456</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30,734</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442,263</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391,802</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Earnings available for fixed charges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679,829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$1,545,375</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409,807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361,068</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4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9,255</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23,272</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4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32,456</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30,734</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Total fixed charges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451,518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415,074</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Ratio of earnings to fixed charges</w:t>
            </w:r>
          </w:p>
        </w:tc>
        <w:tc>
          <w:tcPr>
            <w:tcW w:w="460" w:type="dxa"/>
            <w:vAlign w:val="bottom"/>
          </w:tcPr>
          <w:p>
            <w:pPr>
              <w:spacing w:after="0"/>
              <w:rPr>
                <w:sz w:val="24"/>
                <w:szCs w:val="24"/>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4800" w:type="dxa"/>
            <w:vAlign w:val="bottom"/>
          </w:tcPr>
          <w:p>
            <w:pPr>
              <w:spacing w:after="0"/>
              <w:rPr>
                <w:sz w:val="15"/>
                <w:szCs w:val="15"/>
                <w:color w:val="auto"/>
              </w:rPr>
            </w:pP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2" w:right="1440" w:bottom="1440" w:gutter="0" w:footer="0" w:header="0"/>
        </w:sectPr>
      </w:pPr>
    </w:p>
    <w:bookmarkStart w:id="99" w:name="page100"/>
    <w:bookmarkEnd w:id="99"/>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2939"/>
        <w:spacing w:after="0" w:line="24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SIX MONTHS ENDED JUNE 30, 2000 AND IS QUALIFIED IN ITS ENTIRETY BY REFERENCE TO SUCH FINANCIAL STATEMENTS.</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6-MOS</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DEC-31-2000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JAN-01-2000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JUN-30-2000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103,545</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1,873,680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215,122</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116,468</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4,376,161</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16,763,169</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(6,639,410)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20,656,566</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5,363,747</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8,054,610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6,291</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4,723,678</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20,656,566</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6,483,020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6,483,020</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5,865,099</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409,807</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224,997</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169,679</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55,318</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55,318</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.09</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.09</w:t>
      </w:r>
    </w:p>
    <w:sectPr>
      <w:pgSz w:w="11900" w:h="16838" w:orient="portrait"/>
      <w:cols w:equalWidth="0" w:num="1">
        <w:col w:w="10199"/>
      </w:cols>
      <w:pgMar w:left="26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upperLetter"/>
      <w:start w:val="24"/>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lowerLetter"/>
      <w:start w:val="1"/>
    </w:lvl>
  </w:abstractNum>
  <w:abstractNum w:abstractNumId="5">
    <w:nsid w:val="70A64E2A"/>
    <w:multiLevelType w:val="hybridMultilevel"/>
    <w:lvl w:ilvl="0">
      <w:lvlJc w:val="left"/>
      <w:lvlText w:val="(%1)"/>
      <w:numFmt w:val="lowerRoman"/>
      <w:start w:val="2"/>
    </w:lvl>
  </w:abstractNum>
  <w:abstractNum w:abstractNumId="6">
    <w:nsid w:val="6A2342EC"/>
    <w:multiLevelType w:val="hybridMultilevel"/>
    <w:lvl w:ilvl="0">
      <w:lvlJc w:val="left"/>
      <w:lvlText w:val="(%1)"/>
      <w:numFmt w:val="lowerLetter"/>
      <w:start w:val="1"/>
    </w:lvl>
  </w:abstractNum>
  <w:abstractNum w:abstractNumId="7">
    <w:nsid w:val="2A487CB0"/>
    <w:multiLevelType w:val="hybridMultilevel"/>
    <w:lvl w:ilvl="0">
      <w:lvlJc w:val="left"/>
      <w:lvlText w:val="(%1)"/>
      <w:numFmt w:val="lowerLetter"/>
      <w:start w:val="1"/>
    </w:lvl>
  </w:abstractNum>
  <w:abstractNum w:abstractNumId="8">
    <w:nsid w:val="1D4ED43B"/>
    <w:multiLevelType w:val="hybridMultilevel"/>
    <w:lvl w:ilvl="0">
      <w:lvlJc w:val="left"/>
      <w:lvlText w:val="(%1)"/>
      <w:numFmt w:val="lowerLetter"/>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lowerRoman"/>
      <w:start w:val="1"/>
    </w:lvl>
  </w:abstractNum>
  <w:abstractNum w:abstractNumId="15">
    <w:nsid w:val="6DE91B18"/>
    <w:multiLevelType w:val="hybridMultilevel"/>
    <w:lvl w:ilvl="0">
      <w:lvlJc w:val="left"/>
      <w:lvlText w:val="3"/>
      <w:numFmt w:val="bullet"/>
      <w:start w:val="1"/>
    </w:lvl>
  </w:abstractNum>
  <w:abstractNum w:abstractNumId="16">
    <w:nsid w:val="38437FDB"/>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lvl w:ilvl="3">
      <w:lvlJc w:val="left"/>
      <w:lvlText w:val="%4"/>
      <w:numFmt w:val="decimal"/>
      <w:start w:val="27"/>
    </w:lvl>
  </w:abstractNum>
  <w:abstractNum w:abstractNumId="17">
    <w:nsid w:val="7644A45C"/>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lvl w:ilvl="3">
      <w:lvlJc w:val="left"/>
      <w:lvlText w:val="%4"/>
      <w:numFmt w:val="decimal"/>
      <w:start w:val="1"/>
    </w:lvl>
  </w:abstractNum>
  <w:abstractNum w:abstractNumId="18">
    <w:nsid w:val="32FFF902"/>
    <w:multiLevelType w:val="hybridMultilevel"/>
    <w:lvl w:ilvl="0">
      <w:lvlJc w:val="left"/>
      <w:lvlText w:val="3"/>
      <w:numFmt w:val="bullet"/>
      <w:start w:val="1"/>
    </w:lvl>
  </w:abstractNum>
  <w:abstractNum w:abstractNumId="19">
    <w:nsid w:val="684A481A"/>
    <w:multiLevelType w:val="hybridMultilevel"/>
    <w:lvl w:ilvl="0">
      <w:lvlJc w:val="left"/>
      <w:lvlText w:val="%1"/>
      <w:numFmt w:val="decimal"/>
      <w:start w:val="10"/>
    </w:lvl>
  </w:abstractNum>
  <w:abstractNum w:abstractNumId="20">
    <w:nsid w:val="579478FE"/>
    <w:multiLevelType w:val="hybridMultilevel"/>
    <w:lvl w:ilvl="0">
      <w:lvlJc w:val="left"/>
      <w:lvlText w:val="-"/>
      <w:numFmt w:val="bullet"/>
      <w:start w:val="1"/>
    </w:lvl>
    <w:lvl w:ilvl="1">
      <w:lvlJc w:val="left"/>
      <w:lvlText w:val="*"/>
      <w:numFmt w:val="bullet"/>
      <w:start w:val="1"/>
    </w:lvl>
    <w:lvl w:ilvl="2">
      <w:lvlJc w:val="left"/>
      <w:lvlText w:val="%3"/>
      <w:numFmt w:val="decimal"/>
      <w:start w:val="27"/>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1)"/>
      <w:numFmt w:val="lowerLetter"/>
      <w:start w:val="5"/>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2"/>
    </w:lvl>
  </w:abstractNum>
  <w:abstractNum w:abstractNumId="26">
    <w:nsid w:val="12E685FB"/>
    <w:multiLevelType w:val="hybridMultilevel"/>
    <w:lvl w:ilvl="0">
      <w:lvlJc w:val="left"/>
      <w:lvlText w:val="%1."/>
      <w:numFmt w:val="decimal"/>
      <w:start w:val="3"/>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decimal"/>
      <w:start w:val="4"/>
    </w:lvl>
  </w:abstractNum>
  <w:abstractNum w:abstractNumId="29">
    <w:nsid w:val="374A3FE6"/>
    <w:multiLevelType w:val="hybridMultilevel"/>
    <w:lvl w:ilvl="0">
      <w:lvlJc w:val="left"/>
      <w:lvlText w:val="(%1)"/>
      <w:numFmt w:val="lowerLetter"/>
      <w:start w:val="1"/>
    </w:lvl>
  </w:abstractNum>
  <w:abstractNum w:abstractNumId="30">
    <w:nsid w:val="4F4EF005"/>
    <w:multiLevelType w:val="hybridMultilevel"/>
    <w:lvl w:ilvl="0">
      <w:lvlJc w:val="left"/>
      <w:lvlText w:val="(%1)"/>
      <w:numFmt w:val="lowerLetter"/>
      <w:start w:val="2"/>
    </w:lvl>
  </w:abstractNum>
  <w:abstractNum w:abstractNumId="31">
    <w:nsid w:val="23F9C13C"/>
    <w:multiLevelType w:val="hybridMultilevel"/>
    <w:lvl w:ilvl="0">
      <w:lvlJc w:val="left"/>
      <w:lvlText w:val="(%1)"/>
      <w:numFmt w:val="lowerLetter"/>
      <w:start w:val="8"/>
    </w:lvl>
    <w:lvl w:ilvl="1">
      <w:lvlJc w:val="left"/>
      <w:lvlText w:val="%2."/>
      <w:numFmt w:val="decimal"/>
      <w:start w:val="1"/>
    </w:lvl>
  </w:abstractNum>
  <w:abstractNum w:abstractNumId="32">
    <w:nsid w:val="649BB77C"/>
    <w:multiLevelType w:val="hybridMultilevel"/>
    <w:lvl w:ilvl="0">
      <w:lvlJc w:val="left"/>
      <w:lvlText w:val="%1."/>
      <w:numFmt w:val="decimal"/>
      <w:start w:val="5"/>
    </w:lvl>
  </w:abstractNum>
  <w:abstractNum w:abstractNumId="33">
    <w:nsid w:val="275AC794"/>
    <w:multiLevelType w:val="hybridMultilevel"/>
    <w:lvl w:ilvl="0">
      <w:lvlJc w:val="left"/>
      <w:lvlText w:val="(%1)"/>
      <w:numFmt w:val="lowerLetter"/>
      <w:start w:val="1"/>
    </w:lvl>
    <w:lvl w:ilvl="1">
      <w:lvlJc w:val="left"/>
      <w:lvlText w:val="(%2)"/>
      <w:numFmt w:val="decimal"/>
      <w:start w:val="30"/>
    </w:lvl>
  </w:abstractNum>
  <w:abstractNum w:abstractNumId="34">
    <w:nsid w:val="39386575"/>
    <w:multiLevelType w:val="hybridMultilevel"/>
    <w:lvl w:ilvl="0">
      <w:lvlJc w:val="left"/>
      <w:lvlText w:val="%1"/>
      <w:numFmt w:val="lowerLetter"/>
      <w:start w:val="1"/>
    </w:lvl>
    <w:lvl w:ilvl="1">
      <w:lvlJc w:val="left"/>
      <w:lvlText w:val="(%2)"/>
      <w:numFmt w:val="decimal"/>
      <w:start w:val="90"/>
    </w:lvl>
  </w:abstractNum>
  <w:abstractNum w:abstractNumId="35">
    <w:nsid w:val="1CF10FD8"/>
    <w:multiLevelType w:val="hybridMultilevel"/>
    <w:lvl w:ilvl="0">
      <w:lvlJc w:val="left"/>
      <w:lvlText w:val="(%1)"/>
      <w:numFmt w:val="lowerRoman"/>
      <w:start w:val="1"/>
    </w:lvl>
  </w:abstractNum>
  <w:abstractNum w:abstractNumId="36">
    <w:nsid w:val="180115BE"/>
    <w:multiLevelType w:val="hybridMultilevel"/>
    <w:lvl w:ilvl="0">
      <w:lvlJc w:val="left"/>
      <w:lvlText w:val="%1"/>
      <w:numFmt w:val="lowerLetter"/>
      <w:start w:val="1"/>
    </w:lvl>
    <w:lvl w:ilvl="1">
      <w:lvlJc w:val="left"/>
      <w:lvlText w:val="(%2)"/>
      <w:numFmt w:val="lowerLetter"/>
      <w:start w:val="35"/>
    </w:lvl>
  </w:abstractNum>
  <w:abstractNum w:abstractNumId="37">
    <w:nsid w:val="235BA861"/>
    <w:multiLevelType w:val="hybridMultilevel"/>
    <w:lvl w:ilvl="0">
      <w:lvlJc w:val="left"/>
      <w:lvlText w:val="(%1)"/>
      <w:numFmt w:val="lowerLetter"/>
      <w:start w:val="4"/>
    </w:lvl>
    <w:lvl w:ilvl="1">
      <w:lvlJc w:val="left"/>
      <w:lvlText w:val="(%2)"/>
      <w:numFmt w:val="lowerLetter"/>
      <w:start w:val="9"/>
    </w:lvl>
  </w:abstractNum>
  <w:abstractNum w:abstractNumId="38">
    <w:nsid w:val="47398C89"/>
    <w:multiLevelType w:val="hybridMultilevel"/>
    <w:lvl w:ilvl="0">
      <w:lvlJc w:val="left"/>
      <w:lvlText w:val="%1"/>
      <w:numFmt w:val="lowerLetter"/>
      <w:start w:val="1"/>
    </w:lvl>
    <w:lvl w:ilvl="1">
      <w:lvlJc w:val="left"/>
      <w:lvlText w:val="(%2)"/>
      <w:numFmt w:val="lowerLetter"/>
      <w:start w:val="35"/>
    </w:lvl>
  </w:abstractNum>
  <w:abstractNum w:abstractNumId="39">
    <w:nsid w:val="354FE9F9"/>
    <w:multiLevelType w:val="hybridMultilevel"/>
    <w:lvl w:ilvl="0">
      <w:lvlJc w:val="left"/>
      <w:lvlText w:val="(%1)"/>
      <w:numFmt w:val="lowerLetter"/>
      <w:start w:val="5"/>
    </w:lvl>
    <w:lvl w:ilvl="1">
      <w:lvlJc w:val="left"/>
      <w:lvlText w:val="%2"/>
      <w:numFmt w:val="lowerLetter"/>
      <w:start w:val="1"/>
    </w:lvl>
  </w:abstractNum>
  <w:abstractNum w:abstractNumId="40">
    <w:nsid w:val="15B5AF5C"/>
    <w:multiLevelType w:val="hybridMultilevel"/>
    <w:lvl w:ilvl="0">
      <w:lvlJc w:val="left"/>
      <w:lvlText w:val="(%1)"/>
      <w:numFmt w:val="lowerLetter"/>
      <w:start w:val="6"/>
    </w:lvl>
  </w:abstractNum>
  <w:abstractNum w:abstractNumId="41">
    <w:nsid w:val="741226BB"/>
    <w:multiLevelType w:val="hybridMultilevel"/>
    <w:lvl w:ilvl="0">
      <w:lvlJc w:val="left"/>
      <w:lvlText w:val="%1."/>
      <w:numFmt w:val="decimal"/>
      <w:start w:val="6"/>
    </w:lvl>
  </w:abstractNum>
  <w:abstractNum w:abstractNumId="42">
    <w:nsid w:val="D34B6A8"/>
    <w:multiLevelType w:val="hybridMultilevel"/>
    <w:lvl w:ilvl="0">
      <w:lvlJc w:val="left"/>
      <w:lvlText w:val="(%1)"/>
      <w:numFmt w:val="lowerLetter"/>
      <w:start w:val="1"/>
    </w:lvl>
    <w:lvl w:ilvl="1">
      <w:lvlJc w:val="left"/>
      <w:lvlText w:val="(%2)"/>
      <w:numFmt w:val="lowerRoman"/>
      <w:start w:val="1"/>
    </w:lvl>
  </w:abstractNum>
  <w:abstractNum w:abstractNumId="43">
    <w:nsid w:val="10233C99"/>
    <w:multiLevelType w:val="hybridMultilevel"/>
    <w:lvl w:ilvl="0">
      <w:lvlJc w:val="left"/>
      <w:lvlText w:val="%1"/>
      <w:numFmt w:val="lowerLetter"/>
      <w:start w:val="1"/>
    </w:lvl>
    <w:lvl w:ilvl="1">
      <w:lvlJc w:val="left"/>
      <w:lvlText w:val="(%2)"/>
      <w:numFmt w:val="lowerRoman"/>
      <w:start w:val="2"/>
    </w:lvl>
  </w:abstractNum>
  <w:abstractNum w:abstractNumId="44">
    <w:nsid w:val="3F6AB60F"/>
    <w:multiLevelType w:val="hybridMultilevel"/>
    <w:lvl w:ilvl="0">
      <w:lvlJc w:val="left"/>
      <w:lvlText w:val="(%1)"/>
      <w:numFmt w:val="lowerLetter"/>
      <w:start w:val="3"/>
    </w:lvl>
    <w:lvl w:ilvl="1">
      <w:lvlJc w:val="left"/>
      <w:lvlText w:val="(%2)"/>
      <w:numFmt w:val="lowerRoman"/>
      <w:start w:val="1"/>
    </w:lvl>
  </w:abstractNum>
  <w:abstractNum w:abstractNumId="45">
    <w:nsid w:val="61574095"/>
    <w:multiLevelType w:val="hybridMultilevel"/>
    <w:lvl w:ilvl="0">
      <w:lvlJc w:val="left"/>
      <w:lvlText w:val="(%1)"/>
      <w:numFmt w:val="lowerLetter"/>
      <w:start w:val="4"/>
    </w:lvl>
    <w:lvl w:ilvl="1">
      <w:lvlJc w:val="left"/>
      <w:lvlText w:val="(%2)"/>
      <w:numFmt w:val="lowerRoman"/>
      <w:start w:val="1"/>
    </w:lvl>
  </w:abstractNum>
  <w:abstractNum w:abstractNumId="46">
    <w:nsid w:val="7E0C57B1"/>
    <w:multiLevelType w:val="hybridMultilevel"/>
    <w:lvl w:ilvl="0">
      <w:lvlJc w:val="left"/>
      <w:lvlText w:val="(%1)"/>
      <w:numFmt w:val="lowerLetter"/>
      <w:start w:val="5"/>
    </w:lvl>
    <w:lvl w:ilvl="1">
      <w:lvlJc w:val="left"/>
      <w:lvlText w:val="(%2)"/>
      <w:numFmt w:val="lowerRoman"/>
      <w:start w:val="1"/>
    </w:lvl>
  </w:abstractNum>
  <w:abstractNum w:abstractNumId="47">
    <w:nsid w:val="77AE35E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8">
    <w:nsid w:val="579BE4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9">
    <w:nsid w:val="310C50B3"/>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50">
    <w:nsid w:val="5FF87E0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1">
    <w:nsid w:val="2F305DEF"/>
    <w:multiLevelType w:val="hybridMultilevel"/>
    <w:lvl w:ilvl="0">
      <w:lvlJc w:val="left"/>
      <w:lvlText w:val="%1."/>
      <w:numFmt w:val="decimal"/>
      <w:start w:val="7"/>
    </w:lvl>
  </w:abstractNum>
  <w:abstractNum w:abstractNumId="52">
    <w:nsid w:val="25A70BF7"/>
    <w:multiLevelType w:val="hybridMultilevel"/>
    <w:lvl w:ilvl="0">
      <w:lvlJc w:val="left"/>
      <w:lvlText w:val="(%1)"/>
      <w:numFmt w:val="lowerLetter"/>
      <w:start w:val="1"/>
    </w:lvl>
    <w:lvl w:ilvl="1">
      <w:lvlJc w:val="left"/>
      <w:lvlText w:val="(%2)"/>
      <w:numFmt w:val="lowerRoman"/>
      <w:start w:val="1"/>
    </w:lvl>
  </w:abstractNum>
  <w:abstractNum w:abstractNumId="53">
    <w:nsid w:val="1DBABF00"/>
    <w:multiLevelType w:val="hybridMultilevel"/>
    <w:lvl w:ilvl="0">
      <w:lvlJc w:val="left"/>
      <w:lvlText w:val="(%1)"/>
      <w:numFmt w:val="lowerRoman"/>
      <w:start w:val="2"/>
    </w:lvl>
  </w:abstractNum>
  <w:abstractNum w:abstractNumId="54">
    <w:nsid w:val="4AD084E9"/>
    <w:multiLevelType w:val="hybridMultilevel"/>
    <w:lvl w:ilvl="0">
      <w:lvlJc w:val="left"/>
      <w:lvlText w:val="(%1)"/>
      <w:numFmt w:val="lowerRoman"/>
      <w:start w:val="4"/>
    </w:lvl>
  </w:abstractNum>
  <w:abstractNum w:abstractNumId="55">
    <w:nsid w:val="1F48EAA1"/>
    <w:multiLevelType w:val="hybridMultilevel"/>
    <w:lvl w:ilvl="0">
      <w:lvlJc w:val="left"/>
      <w:lvlText w:val="%1"/>
      <w:numFmt w:val="lowerLetter"/>
      <w:start w:val="1"/>
    </w:lvl>
    <w:lvl w:ilvl="1">
      <w:lvlJc w:val="left"/>
      <w:lvlText w:val="(%2)"/>
      <w:numFmt w:val="lowerRoman"/>
      <w:start w:val="6"/>
    </w:lvl>
  </w:abstractNum>
  <w:abstractNum w:abstractNumId="56">
    <w:nsid w:val="1381823A"/>
    <w:multiLevelType w:val="hybridMultilevel"/>
    <w:lvl w:ilvl="0">
      <w:lvlJc w:val="left"/>
      <w:lvlText w:val="(%1)"/>
      <w:numFmt w:val="lowerLetter"/>
      <w:start w:val="3"/>
    </w:lvl>
    <w:lvl w:ilvl="1">
      <w:lvlJc w:val="left"/>
      <w:lvlText w:val="(%2)"/>
      <w:numFmt w:val="lowerRoman"/>
      <w:start w:val="1"/>
    </w:lvl>
  </w:abstractNum>
  <w:abstractNum w:abstractNumId="57">
    <w:nsid w:val="5DB70AE5"/>
    <w:multiLevelType w:val="hybridMultilevel"/>
    <w:lvl w:ilvl="0">
      <w:lvlJc w:val="left"/>
      <w:lvlText w:val="(%1)"/>
      <w:numFmt w:val="lowerRoman"/>
      <w:start w:val="4"/>
    </w:lvl>
  </w:abstractNum>
  <w:abstractNum w:abstractNumId="58">
    <w:nsid w:val="100F8FCA"/>
    <w:multiLevelType w:val="hybridMultilevel"/>
    <w:lvl w:ilvl="0">
      <w:lvlJc w:val="left"/>
      <w:lvlText w:val="%1"/>
      <w:numFmt w:val="decimal"/>
      <w:start w:val="1"/>
    </w:lvl>
    <w:lvl w:ilvl="1">
      <w:lvlJc w:val="left"/>
      <w:lvlText w:val="(%2)"/>
      <w:numFmt w:val="lowerRoman"/>
      <w:start w:val="1"/>
    </w:lvl>
  </w:abstractNum>
  <w:abstractNum w:abstractNumId="59">
    <w:nsid w:val="6590700B"/>
    <w:multiLevelType w:val="hybridMultilevel"/>
    <w:lvl w:ilvl="0">
      <w:lvlJc w:val="left"/>
      <w:lvlText w:val="%1."/>
      <w:numFmt w:val="decimal"/>
      <w:start w:val="8"/>
    </w:lvl>
    <w:lvl w:ilvl="1">
      <w:lvlJc w:val="left"/>
      <w:lvlText w:val="%2"/>
      <w:numFmt w:val="lowerRoman"/>
      <w:start w:val="1"/>
    </w:lvl>
  </w:abstractNum>
  <w:abstractNum w:abstractNumId="60">
    <w:nsid w:val="15014ACB"/>
    <w:multiLevelType w:val="hybridMultilevel"/>
    <w:lvl w:ilvl="0">
      <w:lvlJc w:val="left"/>
      <w:lvlText w:val="(%1)"/>
      <w:numFmt w:val="lowerLetter"/>
      <w:start w:val="1"/>
    </w:lvl>
    <w:lvl w:ilvl="1">
      <w:lvlJc w:val="left"/>
      <w:lvlText w:val="(%2)"/>
      <w:numFmt w:val="decimal"/>
      <w:start w:val="2"/>
    </w:lvl>
  </w:abstractNum>
  <w:abstractNum w:abstractNumId="61">
    <w:nsid w:val="5F5E7FD0"/>
    <w:multiLevelType w:val="hybridMultilevel"/>
    <w:lvl w:ilvl="0">
      <w:lvlJc w:val="left"/>
      <w:lvlText w:val="(%1)"/>
      <w:numFmt w:val="lowerLetter"/>
      <w:start w:val="3"/>
    </w:lvl>
    <w:lvl w:ilvl="1">
      <w:lvlJc w:val="left"/>
      <w:lvlText w:val="(%2)"/>
      <w:numFmt w:val="lowerLetter"/>
      <w:start w:val="35"/>
    </w:lvl>
  </w:abstractNum>
  <w:abstractNum w:abstractNumId="62">
    <w:nsid w:val="98A3148"/>
    <w:multiLevelType w:val="hybridMultilevel"/>
    <w:lvl w:ilvl="0">
      <w:lvlJc w:val="left"/>
      <w:lvlText w:val="%1."/>
      <w:numFmt w:val="decimal"/>
      <w:start w:val="9"/>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2"/>
    </w:lvl>
  </w:abstractNum>
  <w:abstractNum w:abstractNumId="65">
    <w:nsid w:val="42C296BD"/>
    <w:multiLevelType w:val="hybridMultilevel"/>
    <w:lvl w:ilvl="0">
      <w:lvlJc w:val="left"/>
      <w:lvlText w:val="%1."/>
      <w:numFmt w:val="decimal"/>
      <w:start w:val="10"/>
    </w:lvl>
  </w:abstractNum>
  <w:abstractNum w:abstractNumId="66">
    <w:nsid w:val="168E121F"/>
    <w:multiLevelType w:val="hybridMultilevel"/>
    <w:lvl w:ilvl="0">
      <w:lvlJc w:val="left"/>
      <w:lvlText w:val="%1."/>
      <w:numFmt w:val="decimal"/>
      <w:start w:val="11"/>
    </w:lvl>
  </w:abstractNum>
  <w:abstractNum w:abstractNumId="67">
    <w:nsid w:val="1EBA5D23"/>
    <w:multiLevelType w:val="hybridMultilevel"/>
    <w:lvl w:ilvl="0">
      <w:lvlJc w:val="left"/>
      <w:lvlText w:val="%1."/>
      <w:numFmt w:val="decimal"/>
      <w:start w:val="12"/>
    </w:lvl>
  </w:abstractNum>
  <w:abstractNum w:abstractNumId="68">
    <w:nsid w:val="661E3F1E"/>
    <w:multiLevelType w:val="hybridMultilevel"/>
    <w:lvl w:ilvl="0">
      <w:lvlJc w:val="left"/>
      <w:lvlText w:val="%1."/>
      <w:numFmt w:val="decimal"/>
      <w:start w:val="13"/>
    </w:lvl>
  </w:abstractNum>
  <w:abstractNum w:abstractNumId="69">
    <w:nsid w:val="5DC79EA8"/>
    <w:multiLevelType w:val="hybridMultilevel"/>
    <w:lvl w:ilvl="0">
      <w:lvlJc w:val="left"/>
      <w:lvlText w:val="%1."/>
      <w:numFmt w:val="decimal"/>
      <w:start w:val="14"/>
    </w:lvl>
  </w:abstractNum>
  <w:abstractNum w:abstractNumId="70">
    <w:nsid w:val="540A471C"/>
    <w:multiLevelType w:val="hybridMultilevel"/>
    <w:lvl w:ilvl="0">
      <w:lvlJc w:val="left"/>
      <w:lvlText w:val="%1."/>
      <w:numFmt w:val="decimal"/>
      <w:start w:val="15"/>
    </w:lvl>
  </w:abstractNum>
  <w:abstractNum w:abstractNumId="71">
    <w:nsid w:val="7BD3EE7B"/>
    <w:multiLevelType w:val="hybridMultilevel"/>
    <w:lvl w:ilvl="0">
      <w:lvlJc w:val="left"/>
      <w:lvlText w:val="%1."/>
      <w:numFmt w:val="decimal"/>
      <w:start w:val="16"/>
    </w:lvl>
  </w:abstractNum>
  <w:abstractNum w:abstractNumId="72">
    <w:nsid w:val="51D9C564"/>
    <w:multiLevelType w:val="hybridMultilevel"/>
    <w:lvl w:ilvl="0">
      <w:lvlJc w:val="left"/>
      <w:lvlText w:val="%1."/>
      <w:numFmt w:val="decimal"/>
      <w:start w:val="17"/>
    </w:lvl>
  </w:abstractNum>
  <w:abstractNum w:abstractNumId="73">
    <w:nsid w:val="613EFDC5"/>
    <w:multiLevelType w:val="hybridMultilevel"/>
    <w:lvl w:ilvl="0">
      <w:lvlJc w:val="left"/>
      <w:lvlText w:val="%1."/>
      <w:numFmt w:val="decimal"/>
      <w:start w:val="18"/>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3"/>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2019-12-12T11:13:27Z</dcterms:created>
  <dcterms:modified xsi:type="dcterms:W3CDTF">2019-12-12T11:13:27Z</dcterms:modified>
</cp:coreProperties>
</file>