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Waste Management Inc.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94106L109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2009</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1 of 7</w:t>
      </w:r>
    </w:p>
    <w:p>
      <w:pPr>
        <w:spacing w:after="0" w:line="200" w:lineRule="exact"/>
        <w:rPr>
          <w:sz w:val="24"/>
          <w:szCs w:val="24"/>
          <w:color w:val="auto"/>
        </w:rPr>
      </w:pPr>
    </w:p>
    <w:p>
      <w:pPr>
        <w:spacing w:after="0" w:line="204"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ectPr>
          <w:pgSz w:w="11900" w:h="16838" w:orient="portrait"/>
          <w:cols w:equalWidth="0" w:num="1">
            <w:col w:w="10219"/>
          </w:cols>
          <w:pgMar w:left="240" w:top="244" w:right="1440" w:bottom="0" w:gutter="0" w:footer="0" w:header="0"/>
        </w:sectPr>
      </w:pPr>
    </w:p>
    <w:bookmarkStart w:id="1" w:name="page2"/>
    <w:bookmarkEnd w:id="1"/>
    <w:p>
      <w:pPr>
        <w:ind w:left="1900"/>
        <w:spacing w:after="0"/>
        <w:rPr>
          <w:sz w:val="20"/>
          <w:szCs w:val="20"/>
          <w:color w:val="auto"/>
        </w:rPr>
      </w:pPr>
      <w:r>
        <w:rPr>
          <w:rFonts w:ascii="Courier New" w:cs="Courier New" w:eastAsia="Courier New" w:hAnsi="Courier New"/>
          <w:sz w:val="18"/>
          <w:szCs w:val="18"/>
          <w:color w:val="auto"/>
        </w:rPr>
        <w:t>1,452,900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40,231,900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40,231,900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8.2%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2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The Income Fund of America, Inc.</w:t>
      </w:r>
    </w:p>
    <w:p>
      <w:pPr>
        <w:spacing w:after="0" w:line="200" w:lineRule="exact"/>
        <w:rPr>
          <w:sz w:val="20"/>
          <w:szCs w:val="20"/>
          <w:color w:val="auto"/>
        </w:rPr>
      </w:pPr>
    </w:p>
    <w:p>
      <w:pPr>
        <w:spacing w:after="0" w:line="205" w:lineRule="exact"/>
        <w:rPr>
          <w:sz w:val="20"/>
          <w:szCs w:val="20"/>
          <w:color w:val="auto"/>
        </w:rPr>
      </w:pPr>
    </w:p>
    <w:p>
      <w:pPr>
        <w:ind w:left="540" w:hanging="427"/>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10" w:lineRule="exact"/>
        <w:rPr>
          <w:sz w:val="20"/>
          <w:szCs w:val="20"/>
          <w:color w:val="auto"/>
        </w:rPr>
      </w:pPr>
    </w:p>
    <w:p>
      <w:pPr>
        <w:ind w:left="540" w:right="5899" w:hanging="427"/>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6" w:lineRule="exact"/>
        <w:rPr>
          <w:rFonts w:ascii="Courier New" w:cs="Courier New" w:eastAsia="Courier New" w:hAnsi="Courier New"/>
          <w:sz w:val="18"/>
          <w:szCs w:val="18"/>
          <w:color w:val="auto"/>
        </w:rPr>
      </w:pPr>
    </w:p>
    <w:p>
      <w:pPr>
        <w:ind w:left="138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   SOLE VOTING POWER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26,079,000</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ind w:left="1380"/>
        <w:spacing w:after="0" w:line="237" w:lineRule="auto"/>
        <w:tabs>
          <w:tab w:leader="none" w:pos="178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8"/>
          <w:szCs w:val="18"/>
          <w:color w:val="auto"/>
        </w:rPr>
        <w:t>SHARED DISPOSITIVE POWER</w:t>
      </w:r>
    </w:p>
    <w:p>
      <w:pPr>
        <w:sectPr>
          <w:pgSz w:w="11900" w:h="16838" w:orient="portrait"/>
          <w:cols w:equalWidth="0" w:num="1">
            <w:col w:w="10219"/>
          </w:cols>
          <w:pgMar w:left="240" w:top="136" w:right="1440" w:bottom="0" w:gutter="0" w:footer="0" w:header="0"/>
        </w:sectPr>
      </w:pPr>
    </w:p>
    <w:bookmarkStart w:id="2" w:name="page3"/>
    <w:bookmarkEnd w:id="2"/>
    <w:p>
      <w:pPr>
        <w:ind w:left="190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ind w:left="540" w:hanging="427"/>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26,079,000</w:t>
      </w:r>
      <w:r>
        <w:rPr>
          <w:rFonts w:ascii="Courier New" w:cs="Courier New" w:eastAsia="Courier New" w:hAnsi="Courier New"/>
          <w:sz w:val="16"/>
          <w:szCs w:val="16"/>
          <w:color w:val="auto"/>
        </w:rPr>
        <w:t>See Additional information in Item 4.</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2519" w:hanging="427"/>
        <w:spacing w:after="0" w:line="235"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3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tabs>
          <w:tab w:leader="none" w:pos="2940" w:val="left"/>
        </w:tabs>
        <w:rPr>
          <w:sz w:val="20"/>
          <w:szCs w:val="20"/>
          <w:color w:val="auto"/>
        </w:rPr>
      </w:pPr>
      <w:r>
        <w:rPr>
          <w:rFonts w:ascii="Courier New" w:cs="Courier New" w:eastAsia="Courier New" w:hAnsi="Courier New"/>
          <w:sz w:val="18"/>
          <w:szCs w:val="18"/>
          <w:color w:val="auto"/>
        </w:rPr>
        <w:t>1001 Fannin Street,</w:t>
      </w:r>
      <w:r>
        <w:rPr>
          <w:sz w:val="20"/>
          <w:szCs w:val="20"/>
          <w:color w:val="auto"/>
        </w:rPr>
        <w:tab/>
      </w:r>
      <w:r>
        <w:rPr>
          <w:rFonts w:ascii="Courier New" w:cs="Courier New" w:eastAsia="Courier New" w:hAnsi="Courier New"/>
          <w:sz w:val="16"/>
          <w:szCs w:val="16"/>
          <w:color w:val="auto"/>
        </w:rPr>
        <w:t>Ste 4000</w:t>
      </w:r>
    </w:p>
    <w:p>
      <w:pPr>
        <w:ind w:left="740"/>
        <w:spacing w:after="0"/>
        <w:rPr>
          <w:sz w:val="20"/>
          <w:szCs w:val="20"/>
          <w:color w:val="auto"/>
        </w:rPr>
      </w:pPr>
      <w:r>
        <w:rPr>
          <w:rFonts w:ascii="Courier New" w:cs="Courier New" w:eastAsia="Courier New" w:hAnsi="Courier New"/>
          <w:sz w:val="18"/>
          <w:szCs w:val="18"/>
          <w:color w:val="auto"/>
        </w:rPr>
        <w:t>Houston TX 77002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 and The Income Fund of America,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p>
      <w:pPr>
        <w:spacing w:after="0"/>
        <w:tabs>
          <w:tab w:leader="none" w:pos="1460" w:val="left"/>
          <w:tab w:leader="none" w:pos="30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94106L109</w:t>
      </w:r>
    </w:p>
    <w:p>
      <w:pPr>
        <w:spacing w:after="0" w:line="20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w:t>
      </w:r>
    </w:p>
    <w:p>
      <w:pPr>
        <w:ind w:left="740"/>
        <w:spacing w:after="0" w:line="238" w:lineRule="auto"/>
        <w:rPr>
          <w:sz w:val="20"/>
          <w:szCs w:val="20"/>
          <w:color w:val="auto"/>
        </w:rPr>
      </w:pPr>
      <w:r>
        <w:rPr>
          <w:rFonts w:ascii="Courier New" w:cs="Courier New" w:eastAsia="Courier New" w:hAnsi="Courier New"/>
          <w:sz w:val="18"/>
          <w:szCs w:val="18"/>
          <w:color w:val="auto"/>
        </w:rPr>
        <w:t>or 240.13d-2(b) or (c), check whether the person filing is a:</w:t>
      </w:r>
    </w:p>
    <w:p>
      <w:pPr>
        <w:spacing w:after="0" w:line="5" w:lineRule="exact"/>
        <w:rPr>
          <w:sz w:val="20"/>
          <w:szCs w:val="20"/>
          <w:color w:val="auto"/>
        </w:rPr>
      </w:pPr>
    </w:p>
    <w:p>
      <w:pPr>
        <w:ind w:left="1280" w:right="2939" w:hanging="429"/>
        <w:spacing w:after="0" w:line="268" w:lineRule="auto"/>
        <w:tabs>
          <w:tab w:leader="none" w:pos="1701"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Investment company registered under section 8 of the Investment Company Act of 1940 (15 U.S.C. 80a-8).</w:t>
      </w:r>
    </w:p>
    <w:p>
      <w:pPr>
        <w:ind w:left="1280" w:right="3479" w:hanging="535"/>
        <w:spacing w:after="0" w:line="235" w:lineRule="auto"/>
        <w:tabs>
          <w:tab w:leader="none" w:pos="1701"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An investment adviser in accordance with section 240.13d-1(b)(1)(ii)(E).</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740"/>
        <w:spacing w:after="0"/>
        <w:tabs>
          <w:tab w:leader="none" w:pos="146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8"/>
          <w:szCs w:val="18"/>
          <w:color w:val="auto"/>
        </w:rPr>
        <w:t>Sole power to vote or to direct the vote:</w:t>
      </w:r>
    </w:p>
    <w:p>
      <w:pPr>
        <w:sectPr>
          <w:pgSz w:w="11900" w:h="16838" w:orient="portrait"/>
          <w:cols w:equalWidth="0" w:num="1">
            <w:col w:w="10219"/>
          </w:cols>
          <w:pgMar w:left="240" w:top="339" w:right="1440" w:bottom="0" w:gutter="0" w:footer="0" w:header="0"/>
        </w:sectPr>
      </w:pPr>
    </w:p>
    <w:bookmarkStart w:id="3" w:name="page4"/>
    <w:bookmarkEnd w:id="3"/>
    <w:p>
      <w:pPr>
        <w:ind w:left="1480" w:hanging="735"/>
        <w:spacing w:after="0"/>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pages 2 and 3</w:t>
      </w:r>
    </w:p>
    <w:p>
      <w:pPr>
        <w:spacing w:after="0" w:line="207" w:lineRule="exact"/>
        <w:rPr>
          <w:sz w:val="20"/>
          <w:szCs w:val="20"/>
          <w:color w:val="auto"/>
        </w:rPr>
      </w:pPr>
    </w:p>
    <w:p>
      <w:pPr>
        <w:ind w:right="2319" w:firstLine="737"/>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40,231,900 shares or 8.2% of the 489,651,990 shares of Common Stock believed to be outstanding as a result of CRMC acting as CUSIP: 94106L109 Page 4 of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3039"/>
        <w:spacing w:after="0" w:line="290" w:lineRule="auto"/>
        <w:rPr>
          <w:sz w:val="20"/>
          <w:szCs w:val="20"/>
          <w:color w:val="auto"/>
        </w:rPr>
      </w:pPr>
      <w:r>
        <w:rPr>
          <w:rFonts w:ascii="Courier New" w:cs="Courier New" w:eastAsia="Courier New" w:hAnsi="Courier New"/>
          <w:sz w:val="16"/>
          <w:szCs w:val="16"/>
          <w:color w:val="auto"/>
        </w:rPr>
        <w:t>investment adviser to various investment companies registered under Section 8 of the Investment Company Act of 1940.</w:t>
      </w:r>
    </w:p>
    <w:p>
      <w:pPr>
        <w:spacing w:after="0" w:line="170" w:lineRule="exact"/>
        <w:rPr>
          <w:sz w:val="20"/>
          <w:szCs w:val="20"/>
          <w:color w:val="auto"/>
        </w:rPr>
      </w:pPr>
    </w:p>
    <w:p>
      <w:pPr>
        <w:ind w:left="740" w:right="2839"/>
        <w:spacing w:after="0" w:line="270" w:lineRule="auto"/>
        <w:rPr>
          <w:sz w:val="20"/>
          <w:szCs w:val="20"/>
          <w:color w:val="auto"/>
        </w:rPr>
      </w:pPr>
      <w:r>
        <w:rPr>
          <w:rFonts w:ascii="Courier New" w:cs="Courier New" w:eastAsia="Courier New" w:hAnsi="Courier New"/>
          <w:sz w:val="16"/>
          <w:szCs w:val="16"/>
          <w:color w:val="auto"/>
        </w:rPr>
        <w:t>The Income Fund of America, Inc., an investment company registered under the Investment Company Act of 1940, which is advised by Capital Research and Management Company ("CRMC"), is the beneficial owner of 26,079,000 shares or 5.3% of the 489,651,990 shares of Common Stock believed to be outstanding. CRMC manages equity assets for various investment companies through two divisions, Capital Research Global Investors and Capital World Investors. These divisions generally function separately from each other with respect to investment research activities and they make investment decisions and proxy voting decisions for the investment companies on a separate basis.</w:t>
      </w:r>
    </w:p>
    <w:p>
      <w:pPr>
        <w:spacing w:after="0" w:line="200" w:lineRule="exact"/>
        <w:rPr>
          <w:sz w:val="20"/>
          <w:szCs w:val="20"/>
          <w:color w:val="auto"/>
        </w:rPr>
      </w:pPr>
    </w:p>
    <w:p>
      <w:pPr>
        <w:spacing w:after="0" w:line="39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One or more clients of Capital World Investors have the right to receive or the power to direct the receipt of dividends from, or the proceeds from the sale of, the Common Stock of Waste Management Inc.. Capital World Investors holds more than five percent of the outstanding Common Stock of Waste Management Inc. as of December 31, 2009 on behalf of each of the following client(s):</w:t>
      </w:r>
    </w:p>
    <w:p>
      <w:pPr>
        <w:spacing w:after="0" w:line="207"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The Income Fund of America, Inc.</w:t>
      </w:r>
    </w:p>
    <w:p>
      <w:pPr>
        <w:spacing w:after="0" w:line="207"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5 of 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w:t>
      </w:r>
    </w:p>
    <w:p>
      <w:pPr>
        <w:sectPr>
          <w:pgSz w:w="11900" w:h="16838" w:orient="portrait"/>
          <w:cols w:equalWidth="0" w:num="1">
            <w:col w:w="10219"/>
          </w:cols>
          <w:pgMar w:left="240" w:top="136" w:right="1440" w:bottom="0" w:gutter="0" w:footer="0" w:header="0"/>
        </w:sectPr>
      </w:pPr>
    </w:p>
    <w:bookmarkStart w:id="4" w:name="page5"/>
    <w:bookmarkEnd w:id="4"/>
    <w:p>
      <w:pPr>
        <w:ind w:left="740"/>
        <w:spacing w:after="0"/>
        <w:rPr>
          <w:sz w:val="20"/>
          <w:szCs w:val="20"/>
          <w:color w:val="auto"/>
        </w:rPr>
      </w:pPr>
      <w:r>
        <w:rPr>
          <w:rFonts w:ascii="Courier New" w:cs="Courier New" w:eastAsia="Courier New" w:hAnsi="Courier New"/>
          <w:sz w:val="16"/>
          <w:szCs w:val="16"/>
          <w:color w:val="auto"/>
        </w:rPr>
        <w:t>statement is true, complete and correct.</w:t>
      </w:r>
    </w:p>
    <w:p>
      <w:pPr>
        <w:sectPr>
          <w:pgSz w:w="11900" w:h="16838" w:orient="portrait"/>
          <w:cols w:equalWidth="0" w:num="1">
            <w:col w:w="10219"/>
          </w:cols>
          <w:pgMar w:left="240" w:top="142" w:right="1440" w:bottom="0" w:gutter="0" w:footer="0" w:header="0"/>
        </w:sectPr>
      </w:pPr>
    </w:p>
    <w:p>
      <w:pPr>
        <w:spacing w:after="0" w:line="22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February 5, 2010</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 Vice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February 5, 2010</w:t>
      </w:r>
    </w:p>
    <w:p>
      <w:pPr>
        <w:spacing w:after="0" w:line="200" w:lineRule="exact"/>
        <w:rPr>
          <w:sz w:val="20"/>
          <w:szCs w:val="20"/>
          <w:color w:val="auto"/>
        </w:rPr>
      </w:pPr>
    </w:p>
    <w:p>
      <w:pPr>
        <w:sectPr>
          <w:pgSz w:w="11900" w:h="16838" w:orient="portrait"/>
          <w:cols w:equalWidth="0" w:num="2">
            <w:col w:w="1720" w:space="720"/>
            <w:col w:w="7779"/>
          </w:cols>
          <w:pgMar w:left="240" w:top="142" w:right="1440" w:bottom="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Name/Title: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Patrick F. Quan***</w:t>
      </w:r>
    </w:p>
    <w:p>
      <w:pPr>
        <w:spacing w:after="0" w:line="238" w:lineRule="auto"/>
        <w:rPr>
          <w:sz w:val="20"/>
          <w:szCs w:val="20"/>
          <w:color w:val="auto"/>
        </w:rPr>
      </w:pPr>
      <w:r>
        <w:rPr>
          <w:rFonts w:ascii="Courier New" w:cs="Courier New" w:eastAsia="Courier New" w:hAnsi="Courier New"/>
          <w:sz w:val="18"/>
          <w:szCs w:val="18"/>
          <w:color w:val="auto"/>
        </w:rPr>
        <w:t>Patrick F. Quan - Secretary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Income Fund of America, Inc.</w:t>
      </w:r>
    </w:p>
    <w:p>
      <w:pPr>
        <w:spacing w:after="0" w:line="200" w:lineRule="exact"/>
        <w:rPr>
          <w:sz w:val="20"/>
          <w:szCs w:val="20"/>
          <w:color w:val="auto"/>
        </w:rPr>
      </w:pPr>
    </w:p>
    <w:p>
      <w:pPr>
        <w:sectPr>
          <w:pgSz w:w="11900" w:h="16838" w:orient="portrait"/>
          <w:cols w:equalWidth="0" w:num="2">
            <w:col w:w="2000" w:space="440"/>
            <w:col w:w="7779"/>
          </w:cols>
          <w:pgMar w:left="240" w:top="14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Donald H. Rolfe</w:t>
      </w:r>
    </w:p>
    <w:p>
      <w:pPr>
        <w:ind w:left="1580"/>
        <w:spacing w:after="0" w:line="238" w:lineRule="auto"/>
        <w:rPr>
          <w:sz w:val="20"/>
          <w:szCs w:val="20"/>
          <w:color w:val="auto"/>
        </w:rPr>
      </w:pPr>
      <w:r>
        <w:rPr>
          <w:rFonts w:ascii="Courier New" w:cs="Courier New" w:eastAsia="Courier New" w:hAnsi="Courier New"/>
          <w:sz w:val="18"/>
          <w:szCs w:val="18"/>
          <w:color w:val="auto"/>
        </w:rPr>
        <w:t>Donald H. Rolfe</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21, 2007 included as an Exhibit to Schedule 13G filed with the Securities and Exchange Commission by Capital World Investors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6 of 7</w:t>
      </w:r>
    </w:p>
    <w:p>
      <w:pPr>
        <w:spacing w:after="0" w:line="200" w:lineRule="exact"/>
        <w:rPr>
          <w:sz w:val="20"/>
          <w:szCs w:val="20"/>
          <w:color w:val="auto"/>
        </w:rPr>
      </w:pP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spacing w:after="0" w:line="200" w:lineRule="exact"/>
        <w:rPr>
          <w:sz w:val="20"/>
          <w:szCs w:val="20"/>
          <w:color w:val="auto"/>
        </w:rPr>
      </w:pPr>
    </w:p>
    <w:p>
      <w:pPr>
        <w:spacing w:after="0" w:line="209" w:lineRule="exact"/>
        <w:rPr>
          <w:sz w:val="20"/>
          <w:szCs w:val="20"/>
          <w:color w:val="auto"/>
        </w:rPr>
      </w:pPr>
    </w:p>
    <w:p>
      <w:pPr>
        <w:ind w:right="3159" w:firstLine="316"/>
        <w:spacing w:after="0" w:line="237" w:lineRule="auto"/>
        <w:rPr>
          <w:sz w:val="20"/>
          <w:szCs w:val="20"/>
          <w:color w:val="auto"/>
        </w:rPr>
      </w:pPr>
      <w:r>
        <w:rPr>
          <w:rFonts w:ascii="Courier New" w:cs="Courier New" w:eastAsia="Courier New" w:hAnsi="Courier New"/>
          <w:sz w:val="18"/>
          <w:szCs w:val="18"/>
          <w:color w:val="auto"/>
        </w:rPr>
        <w:t>Capital World Investors ("CWI") and The Income Fund of America, Inc. ("IFA") hereby agree to file a joint statement on Schedule 13G under the Securities Exchange Act of 1934 (the "Act") in connection with their beneficial ownership of Common Stock issued by Waste Management Inc.</w:t>
      </w:r>
    </w:p>
    <w:p>
      <w:pPr>
        <w:spacing w:after="0" w:line="209" w:lineRule="exact"/>
        <w:rPr>
          <w:sz w:val="20"/>
          <w:szCs w:val="20"/>
          <w:color w:val="auto"/>
        </w:rPr>
      </w:pPr>
    </w:p>
    <w:p>
      <w:pPr>
        <w:ind w:right="3039" w:firstLine="316"/>
        <w:spacing w:after="0" w:line="235" w:lineRule="auto"/>
        <w:rPr>
          <w:sz w:val="20"/>
          <w:szCs w:val="20"/>
          <w:color w:val="auto"/>
        </w:rPr>
      </w:pPr>
      <w:r>
        <w:rPr>
          <w:rFonts w:ascii="Courier New" w:cs="Courier New" w:eastAsia="Courier New" w:hAnsi="Courier New"/>
          <w:sz w:val="18"/>
          <w:szCs w:val="18"/>
          <w:color w:val="auto"/>
        </w:rPr>
        <w:t>CWI and IFA state that they are each entitled to individually use Schedule 13G pursuant to Rule 13d-1(c) of the Act.</w:t>
      </w:r>
    </w:p>
    <w:p>
      <w:pPr>
        <w:spacing w:after="0" w:line="208" w:lineRule="exact"/>
        <w:rPr>
          <w:sz w:val="20"/>
          <w:szCs w:val="20"/>
          <w:color w:val="auto"/>
        </w:rPr>
      </w:pPr>
    </w:p>
    <w:p>
      <w:pPr>
        <w:ind w:right="2939" w:firstLine="316"/>
        <w:spacing w:after="0" w:line="237" w:lineRule="auto"/>
        <w:rPr>
          <w:sz w:val="20"/>
          <w:szCs w:val="20"/>
          <w:color w:val="auto"/>
        </w:rPr>
      </w:pPr>
      <w:r>
        <w:rPr>
          <w:rFonts w:ascii="Courier New" w:cs="Courier New" w:eastAsia="Courier New" w:hAnsi="Courier New"/>
          <w:sz w:val="18"/>
          <w:szCs w:val="18"/>
          <w:color w:val="auto"/>
        </w:rPr>
        <w:t>CWI and IFA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WORLD INVESTORS</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Robert W. Lovelace***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Robert W. Lovelace - Senior</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Vice President</w:t>
      </w:r>
    </w:p>
    <w:p>
      <w:pPr>
        <w:ind w:left="120"/>
        <w:spacing w:after="0" w:line="238" w:lineRule="auto"/>
        <w:rPr>
          <w:sz w:val="20"/>
          <w:szCs w:val="20"/>
          <w:color w:val="auto"/>
        </w:rPr>
      </w:pPr>
      <w:r>
        <w:rPr>
          <w:rFonts w:ascii="Courier New" w:cs="Courier New" w:eastAsia="Courier New" w:hAnsi="Courier New"/>
          <w:sz w:val="18"/>
          <w:szCs w:val="18"/>
          <w:color w:val="auto"/>
        </w:rPr>
        <w:t>Capital World Investors</w:t>
      </w:r>
    </w:p>
    <w:p>
      <w:pPr>
        <w:sectPr>
          <w:pgSz w:w="11900" w:h="16838" w:orient="portrait"/>
          <w:cols w:equalWidth="0" w:num="2">
            <w:col w:w="2860" w:space="720"/>
            <w:col w:w="6639"/>
          </w:cols>
          <w:pgMar w:left="240" w:top="142" w:right="1440" w:bottom="0" w:gutter="0" w:footer="0" w:header="0"/>
          <w:type w:val="continuous"/>
        </w:sectPr>
      </w:pPr>
    </w:p>
    <w:bookmarkStart w:id="5" w:name="page6"/>
    <w:bookmarkEnd w:id="5"/>
    <w:tbl>
      <w:tblPr>
        <w:tblLayout w:type="fixed"/>
        <w:tblInd w:w="1800" w:type="dxa"/>
        <w:tblCellMar>
          <w:top w:w="0" w:type="dxa"/>
          <w:left w:w="0" w:type="dxa"/>
          <w:bottom w:w="0" w:type="dxa"/>
          <w:right w:w="0" w:type="dxa"/>
        </w:tblCellMar>
      </w:tblPr>
      <w:tr>
        <w:trPr>
          <w:trHeight w:val="204"/>
        </w:trPr>
        <w:tc>
          <w:tcPr>
            <w:tcW w:w="360" w:type="dxa"/>
            <w:vAlign w:val="bottom"/>
          </w:tcPr>
          <w:p>
            <w:pPr>
              <w:spacing w:after="0"/>
              <w:rPr>
                <w:sz w:val="20"/>
                <w:szCs w:val="20"/>
                <w:color w:val="auto"/>
              </w:rPr>
            </w:pPr>
            <w:r>
              <w:rPr>
                <w:rFonts w:ascii="Courier New" w:cs="Courier New" w:eastAsia="Courier New" w:hAnsi="Courier New"/>
                <w:sz w:val="18"/>
                <w:szCs w:val="18"/>
                <w:color w:val="auto"/>
              </w:rPr>
              <w:t>THE</w:t>
            </w:r>
          </w:p>
        </w:tc>
        <w:tc>
          <w:tcPr>
            <w:tcW w:w="25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INCOME FUND OF AMERICA,</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INC.</w:t>
            </w:r>
          </w:p>
        </w:tc>
      </w:tr>
      <w:tr>
        <w:trPr>
          <w:trHeight w:val="405"/>
        </w:trPr>
        <w:tc>
          <w:tcPr>
            <w:tcW w:w="36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2220" w:type="dxa"/>
            <w:vAlign w:val="bottom"/>
          </w:tcPr>
          <w:p>
            <w:pPr>
              <w:ind w:left="1420"/>
              <w:spacing w:after="0"/>
              <w:rPr>
                <w:sz w:val="20"/>
                <w:szCs w:val="20"/>
                <w:color w:val="auto"/>
              </w:rPr>
            </w:pPr>
            <w:r>
              <w:rPr>
                <w:rFonts w:ascii="Courier New" w:cs="Courier New" w:eastAsia="Courier New" w:hAnsi="Courier New"/>
                <w:sz w:val="18"/>
                <w:szCs w:val="18"/>
                <w:color w:val="auto"/>
              </w:rPr>
              <w:t>Patrick</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F.</w:t>
            </w:r>
          </w:p>
        </w:tc>
        <w:tc>
          <w:tcPr>
            <w:tcW w:w="1740" w:type="dxa"/>
            <w:vAlign w:val="bottom"/>
          </w:tcPr>
          <w:p>
            <w:pPr>
              <w:ind w:left="40"/>
              <w:spacing w:after="0"/>
              <w:rPr>
                <w:sz w:val="20"/>
                <w:szCs w:val="20"/>
                <w:color w:val="auto"/>
              </w:rPr>
            </w:pPr>
            <w:r>
              <w:rPr>
                <w:rFonts w:ascii="Courier New" w:cs="Courier New" w:eastAsia="Courier New" w:hAnsi="Courier New"/>
                <w:sz w:val="18"/>
                <w:szCs w:val="18"/>
                <w:color w:val="auto"/>
              </w:rPr>
              <w:t>Quan***</w:t>
            </w:r>
          </w:p>
        </w:tc>
      </w:tr>
      <w:tr>
        <w:trPr>
          <w:trHeight w:val="203"/>
        </w:trPr>
        <w:tc>
          <w:tcPr>
            <w:tcW w:w="360" w:type="dxa"/>
            <w:vAlign w:val="bottom"/>
          </w:tcPr>
          <w:p>
            <w:pPr>
              <w:spacing w:after="0"/>
              <w:rPr>
                <w:sz w:val="17"/>
                <w:szCs w:val="17"/>
                <w:color w:val="auto"/>
              </w:rPr>
            </w:pPr>
          </w:p>
        </w:tc>
        <w:tc>
          <w:tcPr>
            <w:tcW w:w="222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Patrick</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Quan - Secretary</w:t>
            </w:r>
          </w:p>
        </w:tc>
      </w:tr>
    </w:tbl>
    <w:p>
      <w:pPr>
        <w:ind w:left="3700"/>
        <w:spacing w:after="0" w:line="238" w:lineRule="auto"/>
        <w:rPr>
          <w:sz w:val="20"/>
          <w:szCs w:val="20"/>
          <w:color w:val="auto"/>
        </w:rPr>
      </w:pPr>
      <w:r>
        <w:rPr>
          <w:rFonts w:ascii="Courier New" w:cs="Courier New" w:eastAsia="Courier New" w:hAnsi="Courier New"/>
          <w:sz w:val="18"/>
          <w:szCs w:val="18"/>
          <w:color w:val="auto"/>
        </w:rPr>
        <w:t>The Income Fund of America,</w:t>
      </w:r>
    </w:p>
    <w:p>
      <w:pPr>
        <w:ind w:left="3700"/>
        <w:spacing w:after="0"/>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/s/ Donald H. Rolfe</w:t>
      </w:r>
    </w:p>
    <w:p>
      <w:pPr>
        <w:spacing w:after="0" w:line="238" w:lineRule="auto"/>
        <w:rPr>
          <w:sz w:val="20"/>
          <w:szCs w:val="20"/>
          <w:color w:val="auto"/>
        </w:rPr>
      </w:pPr>
      <w:r>
        <w:rPr>
          <w:rFonts w:ascii="Courier New" w:cs="Courier New" w:eastAsia="Courier New" w:hAnsi="Courier New"/>
          <w:sz w:val="18"/>
          <w:szCs w:val="18"/>
          <w:color w:val="auto"/>
        </w:rPr>
        <w:t>y</w:t>
      </w:r>
    </w:p>
    <w:p>
      <w:pPr>
        <w:ind w:left="540"/>
        <w:spacing w:after="0"/>
        <w:rPr>
          <w:sz w:val="20"/>
          <w:szCs w:val="20"/>
          <w:color w:val="auto"/>
        </w:rPr>
      </w:pPr>
      <w:r>
        <w:rPr>
          <w:rFonts w:ascii="Courier New" w:cs="Courier New" w:eastAsia="Courier New" w:hAnsi="Courier New"/>
          <w:sz w:val="18"/>
          <w:szCs w:val="18"/>
          <w:color w:val="auto"/>
        </w:rPr>
        <w:t>Donald H. Rolfe</w:t>
      </w:r>
    </w:p>
    <w:p>
      <w:pPr>
        <w:ind w:left="540"/>
        <w:spacing w:after="0" w:line="237"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8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21, 2007 included as an Exhibit to Schedule 13G filed with the Securities and Exchange Commission by Capital World Investors on January 10, 2008 with respect to Lowes Companies,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94106L109</w:t>
      </w:r>
      <w:r>
        <w:rPr>
          <w:sz w:val="20"/>
          <w:szCs w:val="20"/>
          <w:color w:val="auto"/>
        </w:rPr>
        <w:tab/>
      </w:r>
      <w:r>
        <w:rPr>
          <w:rFonts w:ascii="Courier New" w:cs="Courier New" w:eastAsia="Courier New" w:hAnsi="Courier New"/>
          <w:sz w:val="16"/>
          <w:szCs w:val="16"/>
          <w:color w:val="auto"/>
        </w:rPr>
        <w:t>Page 7 of 7</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1]"/>
      <w:numFmt w:val="upperLetter"/>
      <w:start w:val="24"/>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2"/>
      <w:numFmt w:val="bullet"/>
      <w:start w:val="1"/>
    </w:lvl>
  </w:abstractNum>
  <w:abstractNum w:abstractNumId="3">
    <w:nsid w:val="1F16E9E8"/>
    <w:multiLevelType w:val="hybridMultilevel"/>
    <w:lvl w:ilvl="0">
      <w:lvlJc w:val="left"/>
      <w:lvlText w:val="3"/>
      <w:numFmt w:val="bullet"/>
      <w:start w:val="1"/>
    </w:lvl>
  </w:abstractNum>
  <w:abstractNum w:abstractNumId="4">
    <w:nsid w:val="1190CDE7"/>
    <w:multiLevelType w:val="hybridMultilevel"/>
    <w:lvl w:ilvl="0">
      <w:lvlJc w:val="left"/>
      <w:lvlText w:val="4"/>
      <w:numFmt w:val="bullet"/>
      <w:start w:val="1"/>
    </w:lvl>
  </w:abstractNum>
  <w:abstractNum w:abstractNumId="5">
    <w:nsid w:val="66EF438D"/>
    <w:multiLevelType w:val="hybridMultilevel"/>
    <w:lvl w:ilvl="0">
      <w:lvlJc w:val="left"/>
      <w:lvlText w:val="8"/>
      <w:numFmt w:val="bullet"/>
      <w:start w:val="1"/>
    </w:lvl>
  </w:abstractNum>
  <w:abstractNum w:abstractNumId="6">
    <w:nsid w:val="140E0F76"/>
    <w:multiLevelType w:val="hybridMultilevel"/>
    <w:lvl w:ilvl="0">
      <w:lvlJc w:val="left"/>
      <w:lvlText w:val="9"/>
      <w:numFmt w:val="bullet"/>
      <w:start w:val="1"/>
    </w:lvl>
  </w:abstractNum>
  <w:abstractNum w:abstractNumId="7">
    <w:nsid w:val="3352255A"/>
    <w:multiLevelType w:val="hybridMultilevel"/>
    <w:lvl w:ilvl="0">
      <w:lvlJc w:val="left"/>
      <w:lvlText w:val="**"/>
      <w:numFmt w:val="bullet"/>
      <w:start w:val="1"/>
    </w:lvl>
    <w:lvl w:ilvl="1">
      <w:lvlJc w:val="left"/>
      <w:lvlText w:val="%2"/>
      <w:numFmt w:val="decimal"/>
      <w:start w:val="10"/>
    </w:lvl>
  </w:abstractNum>
  <w:abstractNum w:abstractNumId="8">
    <w:nsid w:val="109CF92E"/>
    <w:multiLevelType w:val="hybridMultilevel"/>
    <w:lvl w:ilvl="0">
      <w:lvlJc w:val="left"/>
      <w:lvlText w:val="1"/>
      <w:numFmt w:val="bullet"/>
      <w:start w:val="1"/>
    </w:lvl>
  </w:abstractNum>
  <w:abstractNum w:abstractNumId="9">
    <w:nsid w:val="DED7263"/>
    <w:multiLevelType w:val="hybridMultilevel"/>
    <w:lvl w:ilvl="0">
      <w:lvlJc w:val="left"/>
      <w:lvlText w:val="2"/>
      <w:numFmt w:val="bullet"/>
      <w:start w:val="1"/>
    </w:lvl>
  </w:abstractNum>
  <w:abstractNum w:abstractNumId="10">
    <w:nsid w:val="7FDCC233"/>
    <w:multiLevelType w:val="hybridMultilevel"/>
    <w:lvl w:ilvl="0">
      <w:lvlJc w:val="left"/>
      <w:lvlText w:val="3"/>
      <w:numFmt w:val="bullet"/>
      <w:start w:val="1"/>
    </w:lvl>
  </w:abstractNum>
  <w:abstractNum w:abstractNumId="11">
    <w:nsid w:val="1BEFD79F"/>
    <w:multiLevelType w:val="hybridMultilevel"/>
    <w:lvl w:ilvl="0">
      <w:lvlJc w:val="left"/>
      <w:lvlText w:val="4"/>
      <w:numFmt w:val="bullet"/>
      <w:start w:val="1"/>
    </w:lvl>
  </w:abstractNum>
  <w:abstractNum w:abstractNumId="12">
    <w:nsid w:val="41A7C4C9"/>
    <w:multiLevelType w:val="hybridMultilevel"/>
    <w:lvl w:ilvl="0">
      <w:lvlJc w:val="left"/>
      <w:lvlText w:val="9"/>
      <w:numFmt w:val="bullet"/>
      <w:start w:val="1"/>
    </w:lvl>
  </w:abstractNum>
  <w:abstractNum w:abstractNumId="13">
    <w:nsid w:val="6B68079A"/>
    <w:multiLevelType w:val="hybridMultilevel"/>
    <w:lvl w:ilvl="0">
      <w:lvlJc w:val="left"/>
      <w:lvlText w:val="%1"/>
      <w:numFmt w:val="decimal"/>
      <w:start w:val="10"/>
    </w:lvl>
  </w:abstractNum>
  <w:abstractNum w:abstractNumId="14">
    <w:nsid w:val="4E6AFB66"/>
    <w:multiLevelType w:val="hybridMultilevel"/>
    <w:lvl w:ilvl="0">
      <w:lvlJc w:val="left"/>
      <w:lvlText w:val="%1"/>
      <w:numFmt w:val="lowerLetter"/>
      <w:start w:val="1"/>
    </w:lvl>
    <w:lvl w:ilvl="1">
      <w:lvlJc w:val="left"/>
      <w:lvlText w:val="(%2)"/>
      <w:numFmt w:val="lowerLetter"/>
      <w:start w:val="4"/>
    </w:lvl>
  </w:abstractNum>
  <w:abstractNum w:abstractNumId="15">
    <w:nsid w:val="25E45D32"/>
    <w:multiLevelType w:val="hybridMultilevel"/>
    <w:lvl w:ilvl="0">
      <w:lvlJc w:val="left"/>
      <w:lvlText w:val="(%1)"/>
      <w:numFmt w:val="lowerLetter"/>
      <w:start w:val="5"/>
    </w:lvl>
    <w:lvl w:ilvl="1">
      <w:lvlJc w:val="left"/>
      <w:lvlText w:val="%2"/>
      <w:numFmt w:val="lowerLetter"/>
      <w:start w:val="1"/>
    </w:lvl>
  </w:abstractNum>
  <w:abstractNum w:abstractNumId="16">
    <w:nsid w:val="519B500D"/>
    <w:multiLevelType w:val="hybridMultilevel"/>
    <w:lvl w:ilvl="0">
      <w:lvlJc w:val="left"/>
      <w:lvlText w:val="(%1)"/>
      <w:numFmt w:val="lowerLetter"/>
      <w:start w:val="1"/>
    </w:lvl>
  </w:abstractNum>
  <w:abstractNum w:abstractNumId="17">
    <w:nsid w:val="431BD7B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2019-12-10T07:56:54Z</dcterms:created>
  <dcterms:modified xsi:type="dcterms:W3CDTF">2019-12-10T07:56:54Z</dcterms:modified>
</cp:coreProperties>
</file>