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500" w:type="dxa"/>
            <w:vAlign w:val="bottom"/>
            <w:gridSpan w:val="3"/>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WITTENBRAKER RICK L</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132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300" w:type="dxa"/>
            <w:vAlign w:val="bottom"/>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SVP and General Counsel</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2,845</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Arial" w:cs="Arial" w:eastAsia="Arial" w:hAnsi="Arial"/>
                <w:sz w:val="18"/>
                <w:szCs w:val="18"/>
                <w:color w:val="0000FF"/>
              </w:rPr>
              <w:t>26,017.2838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91"/>
              </w:rPr>
              <w:t>Rick L. Wittenbraker</w:t>
            </w:r>
          </w:p>
        </w:tc>
        <w:tc>
          <w:tcPr>
            <w:tcW w:w="6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01/30/2007</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21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2019-12-16T05:24:45Z</dcterms:created>
  <dcterms:modified xsi:type="dcterms:W3CDTF">2019-12-16T05:24:45Z</dcterms:modified>
</cp:coreProperties>
</file>