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474980</wp:posOffset>
            </wp:positionH>
            <wp:positionV relativeFrom="page">
              <wp:posOffset>157480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200660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1" w:lineRule="exact"/>
        <w:rPr>
          <w:sz w:val="24"/>
          <w:szCs w:val="24"/>
          <w:color w:val="auto"/>
        </w:rPr>
      </w:pPr>
    </w:p>
    <w:p>
      <w:pPr>
        <w:ind w:left="500" w:right="260" w:hanging="343"/>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00" w:right="240" w:hanging="343"/>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99" w:lineRule="exact"/>
        <w:rPr>
          <w:sz w:val="24"/>
          <w:szCs w:val="24"/>
          <w:color w:val="auto"/>
        </w:rPr>
      </w:pPr>
    </w:p>
    <w:p>
      <w:pPr>
        <w:ind w:left="2260"/>
        <w:spacing w:after="0"/>
        <w:tabs>
          <w:tab w:leader="none" w:pos="73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73-1309529</w:t>
      </w:r>
    </w:p>
    <w:p>
      <w:pPr>
        <w:ind w:left="1580"/>
        <w:spacing w:after="0" w:line="211" w:lineRule="auto"/>
        <w:tabs>
          <w:tab w:leader="none" w:pos="7200" w:val="left"/>
        </w:tabs>
        <w:rPr>
          <w:sz w:val="20"/>
          <w:szCs w:val="20"/>
          <w:color w:val="auto"/>
        </w:rPr>
      </w:pPr>
      <w:r>
        <w:rPr>
          <w:rFonts w:ascii="Arial" w:cs="Arial" w:eastAsia="Arial" w:hAnsi="Arial"/>
          <w:sz w:val="18"/>
          <w:szCs w:val="18"/>
          <w:i w:val="1"/>
          <w:iCs w:val="1"/>
          <w:color w:val="auto"/>
        </w:rPr>
        <w:t>(State or other jurisdiction of</w:t>
      </w:r>
      <w:r>
        <w:rPr>
          <w:sz w:val="20"/>
          <w:szCs w:val="20"/>
          <w:color w:val="auto"/>
        </w:rPr>
        <w:tab/>
      </w:r>
      <w:r>
        <w:rPr>
          <w:rFonts w:ascii="Arial" w:cs="Arial" w:eastAsia="Arial" w:hAnsi="Arial"/>
          <w:sz w:val="16"/>
          <w:szCs w:val="16"/>
          <w:i w:val="1"/>
          <w:iCs w:val="1"/>
          <w:color w:val="auto"/>
        </w:rPr>
        <w:t>(I.R.S. Employer</w:t>
      </w:r>
    </w:p>
    <w:p>
      <w:pPr>
        <w:ind w:left="1520"/>
        <w:spacing w:after="0"/>
        <w:tabs>
          <w:tab w:leader="none" w:pos="7140" w:val="left"/>
        </w:tabs>
        <w:rPr>
          <w:sz w:val="20"/>
          <w:szCs w:val="20"/>
          <w:color w:val="auto"/>
        </w:rPr>
      </w:pPr>
      <w:r>
        <w:rPr>
          <w:rFonts w:ascii="Arial" w:cs="Arial" w:eastAsia="Arial" w:hAnsi="Arial"/>
          <w:sz w:val="18"/>
          <w:szCs w:val="18"/>
          <w:i w:val="1"/>
          <w:iCs w:val="1"/>
          <w:color w:val="auto"/>
        </w:rPr>
        <w:t>incorporation or organization)</w:t>
      </w:r>
      <w:r>
        <w:rPr>
          <w:sz w:val="20"/>
          <w:szCs w:val="20"/>
          <w:color w:val="auto"/>
        </w:rPr>
        <w:tab/>
      </w:r>
      <w:r>
        <w:rPr>
          <w:rFonts w:ascii="Arial" w:cs="Arial" w:eastAsia="Arial" w:hAnsi="Arial"/>
          <w:sz w:val="17"/>
          <w:szCs w:val="17"/>
          <w:i w:val="1"/>
          <w:iCs w:val="1"/>
          <w:color w:val="auto"/>
        </w:rPr>
        <w:t>Identification No.)</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43"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454" w:right="739" w:bottom="1440" w:gutter="0" w:footer="0" w:header="0"/>
        </w:sectPr>
      </w:pP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tabs>
          <w:tab w:leader="none" w:pos="59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207" w:lineRule="exact"/>
        <w:tabs>
          <w:tab w:leader="none" w:pos="51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2300" w:space="720"/>
            <w:col w:w="7380"/>
          </w:cols>
          <w:pgMar w:left="760" w:top="454" w:right="739" w:bottom="1440" w:gutter="0" w:footer="0" w:header="0"/>
          <w:type w:val="continuous"/>
        </w:sectPr>
      </w:pPr>
    </w:p>
    <w:p>
      <w:pPr>
        <w:spacing w:after="0" w:line="34"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spacing w:after="0" w:line="207" w:lineRule="exact"/>
        <w:tabs>
          <w:tab w:leader="none" w:pos="756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July 20, 2018 was 428,716,960 (excluding treasury shares of 201,565,501).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100330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408940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454" w:right="7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7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2017</w:t>
            </w:r>
          </w:p>
        </w:tc>
      </w:tr>
      <w:tr>
        <w:trPr>
          <w:trHeight w:val="142"/>
        </w:trPr>
        <w:tc>
          <w:tcPr>
            <w:tcW w:w="7020" w:type="dxa"/>
            <w:vAlign w:val="bottom"/>
          </w:tcPr>
          <w:p>
            <w:pPr>
              <w:spacing w:after="0"/>
              <w:rPr>
                <w:sz w:val="12"/>
                <w:szCs w:val="12"/>
                <w:color w:val="auto"/>
              </w:rPr>
            </w:pPr>
          </w:p>
        </w:tc>
        <w:tc>
          <w:tcPr>
            <w:tcW w:w="9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r>
      <w:tr>
        <w:trPr>
          <w:trHeight w:val="216"/>
        </w:trPr>
        <w:tc>
          <w:tcPr>
            <w:tcW w:w="7020" w:type="dxa"/>
            <w:vAlign w:val="bottom"/>
            <w:shd w:val="clear" w:color="auto" w:fill="CCEEFF"/>
          </w:tcPr>
          <w:p>
            <w:pPr>
              <w:ind w:left="420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w w:val="96"/>
              </w:rPr>
              <w:t>Accounts receivable, net of allowance for doubtful accounts of $24 and $21, respectively</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1,805</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Parts and supplies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10"/>
        </w:trPr>
        <w:tc>
          <w:tcPr>
            <w:tcW w:w="70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2,624</w:t>
            </w:r>
          </w:p>
        </w:tc>
      </w:tr>
      <w:tr>
        <w:trPr>
          <w:trHeight w:val="202"/>
        </w:trPr>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Property and equipment, net of accumulated depreciation and amortization of $18,050 and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$17,704, respectively</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11,559</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6,247</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Restricted trust and escrow accounts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319</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r>
      <w:tr>
        <w:trPr>
          <w:trHeight w:val="230"/>
        </w:trPr>
        <w:tc>
          <w:tcPr>
            <w:tcW w:w="7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r>
      <w:tr>
        <w:trPr>
          <w:trHeight w:val="190"/>
        </w:trPr>
        <w:tc>
          <w:tcPr>
            <w:tcW w:w="7020" w:type="dxa"/>
            <w:vAlign w:val="bottom"/>
          </w:tcPr>
          <w:p>
            <w:pPr>
              <w:ind w:left="3380"/>
              <w:spacing w:after="0" w:line="189" w:lineRule="exact"/>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18"/>
                <w:szCs w:val="18"/>
                <w:color w:val="auto"/>
              </w:rPr>
            </w:pPr>
          </w:p>
        </w:tc>
        <w:tc>
          <w:tcPr>
            <w:tcW w:w="300" w:type="dxa"/>
            <w:vAlign w:val="bottom"/>
            <w:gridSpan w:val="2"/>
          </w:tcPr>
          <w:p>
            <w:pPr>
              <w:jc w:val="right"/>
              <w:ind w:right="16"/>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1,040</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Deferred revenues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10"/>
        </w:trPr>
        <w:tc>
          <w:tcPr>
            <w:tcW w:w="7020" w:type="dxa"/>
            <w:vAlign w:val="bottom"/>
          </w:tcPr>
          <w:p>
            <w:pPr>
              <w:ind w:left="3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3,262</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1,248</w:t>
            </w: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Landfill and environmental remediation liabilities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16"/>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r>
      <w:tr>
        <w:trPr>
          <w:trHeight w:val="210"/>
        </w:trPr>
        <w:tc>
          <w:tcPr>
            <w:tcW w:w="7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r>
      <w:tr>
        <w:trPr>
          <w:trHeight w:val="210"/>
        </w:trPr>
        <w:tc>
          <w:tcPr>
            <w:tcW w:w="702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Waste Management, Inc. stockholders’ equity:</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2"/>
        </w:trPr>
        <w:tc>
          <w:tcPr>
            <w:tcW w:w="70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5"/>
              </w:rPr>
              <w:t>Common stock, $0.01 par value; 1,500,000,000 shares authorized; 630,282,461 shares</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7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issued</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702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4,933</w:t>
            </w:r>
          </w:p>
        </w:tc>
      </w:tr>
      <w:tr>
        <w:trPr>
          <w:trHeight w:val="216"/>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8,588</w:t>
            </w:r>
          </w:p>
        </w:tc>
      </w:tr>
      <w:tr>
        <w:trPr>
          <w:trHeight w:val="216"/>
        </w:trPr>
        <w:tc>
          <w:tcPr>
            <w:tcW w:w="7020" w:type="dxa"/>
            <w:vAlign w:val="bottom"/>
          </w:tcPr>
          <w:p>
            <w:pPr>
              <w:ind w:left="320"/>
              <w:spacing w:after="0"/>
              <w:rPr>
                <w:sz w:val="20"/>
                <w:szCs w:val="20"/>
                <w:color w:val="auto"/>
              </w:rPr>
            </w:pPr>
            <w:r>
              <w:rPr>
                <w:rFonts w:ascii="Arial" w:cs="Arial" w:eastAsia="Arial" w:hAnsi="Arial"/>
                <w:sz w:val="18"/>
                <w:szCs w:val="18"/>
                <w:color w:val="auto"/>
              </w:rPr>
              <w:t>Accumulated other comprehensive income (loss)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7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Treasury stock at cost, 201,905,532 and 196,963,558 shares, respectively</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(7,516)</w:t>
            </w:r>
          </w:p>
        </w:tc>
      </w:tr>
      <w:tr>
        <w:trPr>
          <w:trHeight w:val="210"/>
        </w:trPr>
        <w:tc>
          <w:tcPr>
            <w:tcW w:w="7020" w:type="dxa"/>
            <w:vAlign w:val="bottom"/>
          </w:tcPr>
          <w:p>
            <w:pPr>
              <w:ind w:left="440"/>
              <w:spacing w:after="0"/>
              <w:rPr>
                <w:sz w:val="20"/>
                <w:szCs w:val="20"/>
                <w:color w:val="auto"/>
              </w:rPr>
            </w:pPr>
            <w:r>
              <w:rPr>
                <w:rFonts w:ascii="Arial" w:cs="Arial" w:eastAsia="Arial" w:hAnsi="Arial"/>
                <w:sz w:val="18"/>
                <w:szCs w:val="18"/>
                <w:color w:val="auto"/>
              </w:rPr>
              <w:t>Total Waste Management, Inc. stockholders’ equity</w:t>
            </w: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6,019</w:t>
            </w: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Noncontrolling interests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70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6,042</w:t>
            </w:r>
          </w:p>
        </w:tc>
      </w:tr>
      <w:tr>
        <w:trPr>
          <w:trHeight w:val="217"/>
        </w:trPr>
        <w:tc>
          <w:tcPr>
            <w:tcW w:w="70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21,829</w:t>
            </w: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8"/>
          </w:tcPr>
          <w:p>
            <w:pPr>
              <w:ind w:left="8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5"/>
          </w:tcPr>
          <w:p>
            <w:pPr>
              <w:jc w:val="right"/>
              <w:ind w:right="91"/>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2017</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3,739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7,250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7,117</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Costs and expenses: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2,313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4,456</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365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353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743</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(Gain) loss from divestitures, asset impairments and unusual items,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5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3,024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3,004</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5,927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5,886</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1,323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1,231</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5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(103)</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1,004</w:t>
            </w:r>
          </w:p>
        </w:tc>
      </w:tr>
      <w:tr>
        <w:trPr>
          <w:trHeight w:val="216"/>
        </w:trPr>
        <w:tc>
          <w:tcPr>
            <w:tcW w:w="5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209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Less: Net loss attributable to noncontrolling interests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55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r>
      <w:tr>
        <w:trPr>
          <w:trHeight w:val="210"/>
        </w:trPr>
        <w:tc>
          <w:tcPr>
            <w:tcW w:w="55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0.82</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1.49</w:t>
            </w:r>
          </w:p>
        </w:tc>
      </w:tr>
      <w:tr>
        <w:trPr>
          <w:trHeight w:val="236"/>
        </w:trPr>
        <w:tc>
          <w:tcPr>
            <w:tcW w:w="5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0.81</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r>
      <w:tr>
        <w:trPr>
          <w:trHeight w:val="210"/>
        </w:trPr>
        <w:tc>
          <w:tcPr>
            <w:tcW w:w="5500" w:type="dxa"/>
            <w:vAlign w:val="bottom"/>
          </w:tcPr>
          <w:p>
            <w:pPr>
              <w:spacing w:after="0" w:line="203" w:lineRule="exact"/>
              <w:rPr>
                <w:sz w:val="20"/>
                <w:szCs w:val="20"/>
                <w:color w:val="auto"/>
              </w:rPr>
            </w:pPr>
            <w:r>
              <w:rPr>
                <w:rFonts w:ascii="Arial" w:cs="Arial" w:eastAsia="Arial" w:hAnsi="Arial"/>
                <w:sz w:val="18"/>
                <w:szCs w:val="18"/>
                <w:color w:val="auto"/>
              </w:rPr>
              <w:t>Cash dividends declared per common share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gridSpan w:val="2"/>
          </w:tcPr>
          <w:p>
            <w:pPr>
              <w:jc w:val="right"/>
              <w:ind w:right="40"/>
              <w:spacing w:after="0" w:line="203" w:lineRule="exact"/>
              <w:rPr>
                <w:sz w:val="20"/>
                <w:szCs w:val="20"/>
                <w:color w:val="auto"/>
              </w:rPr>
            </w:pPr>
            <w:r>
              <w:rPr>
                <w:rFonts w:ascii="Arial" w:cs="Arial" w:eastAsia="Arial" w:hAnsi="Arial"/>
                <w:sz w:val="18"/>
                <w:szCs w:val="18"/>
                <w:color w:val="auto"/>
              </w:rPr>
              <w:t>0.465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gridSpan w:val="2"/>
          </w:tcPr>
          <w:p>
            <w:pPr>
              <w:jc w:val="right"/>
              <w:ind w:right="60"/>
              <w:spacing w:after="0" w:line="203" w:lineRule="exact"/>
              <w:rPr>
                <w:sz w:val="20"/>
                <w:szCs w:val="20"/>
                <w:color w:val="auto"/>
              </w:rPr>
            </w:pPr>
            <w:r>
              <w:rPr>
                <w:rFonts w:ascii="Arial" w:cs="Arial" w:eastAsia="Arial" w:hAnsi="Arial"/>
                <w:sz w:val="18"/>
                <w:szCs w:val="18"/>
                <w:color w:val="auto"/>
              </w:rPr>
              <w:t>0.425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0.93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0.85</w:t>
            </w:r>
          </w:p>
        </w:tc>
      </w:tr>
      <w:tr>
        <w:trPr>
          <w:trHeight w:val="643"/>
        </w:trPr>
        <w:tc>
          <w:tcPr>
            <w:tcW w:w="8360" w:type="dxa"/>
            <w:vAlign w:val="bottom"/>
            <w:gridSpan w:val="17"/>
          </w:tcPr>
          <w:p>
            <w:pPr>
              <w:jc w:val="center"/>
              <w:ind w:left="61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6"/>
        </w:trPr>
        <w:tc>
          <w:tcPr>
            <w:tcW w:w="5500" w:type="dxa"/>
            <w:vAlign w:val="bottom"/>
          </w:tcPr>
          <w:p>
            <w:pPr>
              <w:jc w:val="center"/>
              <w:ind w:left="3490"/>
              <w:spacing w:after="0"/>
              <w:rPr>
                <w:sz w:val="20"/>
                <w:szCs w:val="20"/>
                <w:color w:val="auto"/>
              </w:rPr>
            </w:pPr>
            <w:r>
              <w:rPr>
                <w:rFonts w:ascii="Arial" w:cs="Arial" w:eastAsia="Arial" w:hAnsi="Arial"/>
                <w:sz w:val="18"/>
                <w:szCs w:val="18"/>
                <w:b w:val="1"/>
                <w:bCs w:val="1"/>
                <w:color w:val="auto"/>
                <w:w w:val="95"/>
              </w:rPr>
              <w:t>(In Millions)</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4"/>
        </w:trPr>
        <w:tc>
          <w:tcPr>
            <w:tcW w:w="5500" w:type="dxa"/>
            <w:vAlign w:val="bottom"/>
          </w:tcPr>
          <w:p>
            <w:pPr>
              <w:jc w:val="center"/>
              <w:ind w:left="347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55"/>
        </w:trPr>
        <w:tc>
          <w:tcPr>
            <w:tcW w:w="5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gridSpan w:val="8"/>
          </w:tcPr>
          <w:p>
            <w:pPr>
              <w:ind w:left="2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5"/>
          </w:tcPr>
          <w:p>
            <w:pPr>
              <w:jc w:val="right"/>
              <w:ind w:right="131"/>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r>
      <w:tr>
        <w:trPr>
          <w:trHeight w:val="142"/>
        </w:trPr>
        <w:tc>
          <w:tcPr>
            <w:tcW w:w="55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2018</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w w:val="89"/>
              </w:rPr>
              <w:t>2017</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89"/>
              </w:rPr>
              <w:t>2017</w:t>
            </w:r>
          </w:p>
        </w:tc>
      </w:tr>
      <w:tr>
        <w:trPr>
          <w:trHeight w:val="210"/>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gridSpan w:val="2"/>
            <w:shd w:val="clear" w:color="auto" w:fill="CCEEFF"/>
          </w:tcPr>
          <w:p>
            <w:pPr>
              <w:jc w:val="right"/>
              <w:ind w:right="25"/>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5500" w:type="dxa"/>
            <w:vAlign w:val="bottom"/>
          </w:tcPr>
          <w:p>
            <w:pPr>
              <w:ind w:left="220"/>
              <w:spacing w:after="0"/>
              <w:rPr>
                <w:sz w:val="20"/>
                <w:szCs w:val="20"/>
                <w:color w:val="auto"/>
              </w:rPr>
            </w:pPr>
            <w:r>
              <w:rPr>
                <w:rFonts w:ascii="Arial" w:cs="Arial" w:eastAsia="Arial" w:hAnsi="Arial"/>
                <w:sz w:val="18"/>
                <w:szCs w:val="18"/>
                <w:color w:val="auto"/>
              </w:rPr>
              <w:t>Post-retirement benefit obligation, net</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5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10"/>
        </w:trPr>
        <w:tc>
          <w:tcPr>
            <w:tcW w:w="5500" w:type="dxa"/>
            <w:vAlign w:val="bottom"/>
          </w:tcPr>
          <w:p>
            <w:pPr>
              <w:spacing w:after="0"/>
              <w:rPr>
                <w:sz w:val="20"/>
                <w:szCs w:val="20"/>
                <w:color w:val="auto"/>
              </w:rPr>
            </w:pPr>
            <w:r>
              <w:rPr>
                <w:rFonts w:ascii="Arial" w:cs="Arial" w:eastAsia="Arial" w:hAnsi="Arial"/>
                <w:sz w:val="18"/>
                <w:szCs w:val="18"/>
                <w:color w:val="auto"/>
              </w:rPr>
              <w:t>Comprehensive income</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842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705</w:t>
            </w:r>
          </w:p>
        </w:tc>
      </w:tr>
      <w:tr>
        <w:trPr>
          <w:trHeight w:val="216"/>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Comprehensive loss attributable to noncontrolling interests</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7"/>
        </w:trPr>
        <w:tc>
          <w:tcPr>
            <w:tcW w:w="550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w:t>
            </w: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Six Months Ended</w:t>
      </w:r>
    </w:p>
    <w:p>
      <w:pPr>
        <w:ind w:left="77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0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7"/>
                <w:szCs w:val="17"/>
                <w:color w:val="auto"/>
              </w:rPr>
              <w:t>Consolidated net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894</w:t>
            </w:r>
          </w:p>
        </w:tc>
        <w:tc>
          <w:tcPr>
            <w:tcW w:w="100" w:type="dxa"/>
            <w:vAlign w:val="bottom"/>
          </w:tcPr>
          <w:p>
            <w:pPr>
              <w:spacing w:after="0"/>
              <w:rPr>
                <w:sz w:val="17"/>
                <w:szCs w:val="17"/>
                <w:color w:val="auto"/>
              </w:rPr>
            </w:pPr>
          </w:p>
        </w:tc>
        <w:tc>
          <w:tcPr>
            <w:tcW w:w="300" w:type="dxa"/>
            <w:vAlign w:val="bottom"/>
            <w:gridSpan w:val="2"/>
          </w:tcPr>
          <w:p>
            <w:pPr>
              <w:jc w:val="right"/>
              <w:ind w:right="45"/>
              <w:spacing w:after="0"/>
              <w:rPr>
                <w:sz w:val="20"/>
                <w:szCs w:val="20"/>
                <w:color w:val="auto"/>
              </w:rPr>
            </w:pPr>
            <w:r>
              <w:rPr>
                <w:rFonts w:ascii="Arial" w:cs="Arial" w:eastAsia="Arial" w:hAnsi="Arial"/>
                <w:sz w:val="17"/>
                <w:szCs w:val="17"/>
                <w:color w:val="auto"/>
              </w:rPr>
              <w:t>$</w:t>
            </w:r>
          </w:p>
        </w:tc>
        <w:tc>
          <w:tcPr>
            <w:tcW w:w="740" w:type="dxa"/>
            <w:vAlign w:val="bottom"/>
          </w:tcPr>
          <w:p>
            <w:pPr>
              <w:jc w:val="right"/>
              <w:spacing w:after="0"/>
              <w:rPr>
                <w:sz w:val="20"/>
                <w:szCs w:val="20"/>
                <w:color w:val="auto"/>
              </w:rPr>
            </w:pPr>
            <w:r>
              <w:rPr>
                <w:rFonts w:ascii="Arial" w:cs="Arial" w:eastAsia="Arial" w:hAnsi="Arial"/>
                <w:sz w:val="17"/>
                <w:szCs w:val="17"/>
                <w:color w:val="auto"/>
              </w:rPr>
              <w:t>658</w:t>
            </w: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w w:val="99"/>
              </w:rPr>
              <w:t>Adjustments to reconcile consolidated net income to net cash provided by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731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684</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 benefit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Interest accretion on landfill liabilities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Provision for bad debts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Equity-based compensation expense</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gain on disposal of assets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(Gain) loss from divestitures, asset impairments and other, net</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29</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Equity in net losses of unconsolidated entities, net of dividends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Change in operating assets and liabilities, net of effects of acquisitions and divestitures: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Receivables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r>
      <w:tr>
        <w:trPr>
          <w:trHeight w:val="203"/>
        </w:trPr>
        <w:tc>
          <w:tcPr>
            <w:tcW w:w="7000" w:type="dxa"/>
            <w:vAlign w:val="bottom"/>
          </w:tcPr>
          <w:p>
            <w:pPr>
              <w:ind w:left="440"/>
              <w:spacing w:after="0"/>
              <w:rPr>
                <w:sz w:val="20"/>
                <w:szCs w:val="20"/>
                <w:color w:val="auto"/>
              </w:rPr>
            </w:pPr>
            <w:r>
              <w:rPr>
                <w:rFonts w:ascii="Arial" w:cs="Arial" w:eastAsia="Arial" w:hAnsi="Arial"/>
                <w:sz w:val="17"/>
                <w:szCs w:val="17"/>
                <w:color w:val="auto"/>
              </w:rPr>
              <w:t>Other current assets</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Other assets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r>
      <w:tr>
        <w:trPr>
          <w:trHeight w:val="203"/>
        </w:trPr>
        <w:tc>
          <w:tcPr>
            <w:tcW w:w="7000" w:type="dxa"/>
            <w:vAlign w:val="bottom"/>
          </w:tcPr>
          <w:p>
            <w:pPr>
              <w:ind w:left="440"/>
              <w:spacing w:after="0"/>
              <w:rPr>
                <w:sz w:val="20"/>
                <w:szCs w:val="20"/>
                <w:color w:val="auto"/>
              </w:rPr>
            </w:pPr>
            <w:r>
              <w:rPr>
                <w:rFonts w:ascii="Arial" w:cs="Arial" w:eastAsia="Arial" w:hAnsi="Arial"/>
                <w:sz w:val="17"/>
                <w:szCs w:val="17"/>
                <w:color w:val="auto"/>
              </w:rPr>
              <w:t>Accounts payable and accrued liabilities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03"/>
        </w:trPr>
        <w:tc>
          <w:tcPr>
            <w:tcW w:w="70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Deferred revenues and other liabilities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provided by operating activities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1,784</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1,535</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Acquisitions of businesses, net of cash acquired</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(263)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expenditures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(631)</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Proceeds from divestitures of businesses and other assets (net of cash divested)</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investing activities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(1,010)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(673)</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New borrowings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86</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Debt repayments</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Net commercial paper borrowings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253</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Common stock repurchase program</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Cash dividends</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(406)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(381)</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Exercise of common stock options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r>
      <w:tr>
        <w:trPr>
          <w:trHeight w:val="203"/>
        </w:trPr>
        <w:tc>
          <w:tcPr>
            <w:tcW w:w="7000" w:type="dxa"/>
            <w:vAlign w:val="bottom"/>
          </w:tcPr>
          <w:p>
            <w:pPr>
              <w:ind w:left="220"/>
              <w:spacing w:after="0"/>
              <w:rPr>
                <w:sz w:val="20"/>
                <w:szCs w:val="20"/>
                <w:color w:val="auto"/>
              </w:rPr>
            </w:pPr>
            <w:r>
              <w:rPr>
                <w:rFonts w:ascii="Arial" w:cs="Arial" w:eastAsia="Arial" w:hAnsi="Arial"/>
                <w:sz w:val="17"/>
                <w:szCs w:val="17"/>
                <w:color w:val="auto"/>
              </w:rPr>
              <w:t>Tax payments associated with equity-based compensation transactions</w:t>
            </w:r>
          </w:p>
        </w:tc>
        <w:tc>
          <w:tcPr>
            <w:tcW w:w="200" w:type="dxa"/>
            <w:vAlign w:val="bottom"/>
          </w:tcPr>
          <w:p>
            <w:pPr>
              <w:spacing w:after="0"/>
              <w:rPr>
                <w:sz w:val="17"/>
                <w:szCs w:val="17"/>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03"/>
        </w:trPr>
        <w:tc>
          <w:tcPr>
            <w:tcW w:w="70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net</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r>
      <w:tr>
        <w:trPr>
          <w:trHeight w:val="196"/>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Net cash used in financing activities</w:t>
            </w: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(647)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(859)</w:t>
            </w:r>
          </w:p>
        </w:tc>
      </w:tr>
      <w:tr>
        <w:trPr>
          <w:trHeight w:val="196"/>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w w:val="92"/>
              </w:rPr>
              <w:t>Effect of exchange rate changes on cash, cash equivalents and restricted cash and cash equivalents</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96"/>
        </w:trPr>
        <w:tc>
          <w:tcPr>
            <w:tcW w:w="7000" w:type="dxa"/>
            <w:vAlign w:val="bottom"/>
          </w:tcPr>
          <w:p>
            <w:pPr>
              <w:spacing w:after="0"/>
              <w:rPr>
                <w:sz w:val="20"/>
                <w:szCs w:val="20"/>
                <w:color w:val="auto"/>
              </w:rPr>
            </w:pPr>
            <w:r>
              <w:rPr>
                <w:rFonts w:ascii="Arial" w:cs="Arial" w:eastAsia="Arial" w:hAnsi="Arial"/>
                <w:sz w:val="17"/>
                <w:szCs w:val="17"/>
                <w:color w:val="auto"/>
              </w:rPr>
              <w:t>Increase in cash, cash equivalents and restricted cash and cash equivalents</w:t>
            </w:r>
          </w:p>
        </w:tc>
        <w:tc>
          <w:tcPr>
            <w:tcW w:w="2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126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beginning of period</w:t>
            </w: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w:t>
            </w:r>
          </w:p>
        </w:tc>
      </w:tr>
      <w:tr>
        <w:trPr>
          <w:trHeight w:val="203"/>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419</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w:t>
            </w:r>
          </w:p>
        </w:tc>
      </w:tr>
      <w:tr>
        <w:trPr>
          <w:trHeight w:val="203"/>
        </w:trPr>
        <w:tc>
          <w:tcPr>
            <w:tcW w:w="7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03"/>
        </w:trPr>
        <w:tc>
          <w:tcPr>
            <w:tcW w:w="7000" w:type="dxa"/>
            <w:vAlign w:val="bottom"/>
          </w:tcPr>
          <w:p>
            <w:pPr>
              <w:spacing w:after="0"/>
              <w:rPr>
                <w:sz w:val="20"/>
                <w:szCs w:val="20"/>
                <w:color w:val="auto"/>
              </w:rPr>
            </w:pPr>
            <w:r>
              <w:rPr>
                <w:rFonts w:ascii="Arial" w:cs="Arial" w:eastAsia="Arial" w:hAnsi="Arial"/>
                <w:sz w:val="17"/>
                <w:szCs w:val="17"/>
                <w:color w:val="auto"/>
                <w:w w:val="94"/>
              </w:rPr>
              <w:t>Reconciliation of cash, cash equivalents and restricted cash and cash equivalents at end of period:</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70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r>
      <w:tr>
        <w:trPr>
          <w:trHeight w:val="203"/>
        </w:trPr>
        <w:tc>
          <w:tcPr>
            <w:tcW w:w="70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Restricted cash and cash equivalents included in restricted trust and escrow accounts</w:t>
            </w: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w:t>
            </w:r>
          </w:p>
        </w:tc>
      </w:tr>
      <w:tr>
        <w:trPr>
          <w:trHeight w:val="203"/>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cash equivalents and restricted cash and cash equivalents at end of period</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97</w:t>
            </w:r>
          </w:p>
        </w:tc>
      </w:tr>
    </w:tbl>
    <w:p>
      <w:pPr>
        <w:spacing w:after="0" w:line="188"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1440" w:right="1520"/>
        <w:spacing w:after="0" w:line="275" w:lineRule="auto"/>
        <w:rPr>
          <w:sz w:val="20"/>
          <w:szCs w:val="20"/>
          <w:color w:val="auto"/>
        </w:rPr>
      </w:pPr>
      <w:r>
        <w:rPr>
          <w:rFonts w:ascii="Arial" w:cs="Arial" w:eastAsia="Arial" w:hAnsi="Arial"/>
          <w:sz w:val="18"/>
          <w:szCs w:val="18"/>
          <w:b w:val="1"/>
          <w:bCs w:val="1"/>
          <w:color w:val="auto"/>
        </w:rPr>
        <w:t>CONDENSED CONSOLIDATED STATEMENT OF CHANGES IN EQUITY (In Millions, Except Shares in Thousands)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gridSpan w:val="13"/>
          </w:tcPr>
          <w:p>
            <w:pPr>
              <w:ind w:left="240"/>
              <w:spacing w:after="0"/>
              <w:rPr>
                <w:sz w:val="20"/>
                <w:szCs w:val="20"/>
                <w:color w:val="auto"/>
              </w:rPr>
            </w:pPr>
            <w:r>
              <w:rPr>
                <w:rFonts w:ascii="Arial" w:cs="Arial" w:eastAsia="Arial" w:hAnsi="Arial"/>
                <w:sz w:val="14"/>
                <w:szCs w:val="14"/>
                <w:b w:val="1"/>
                <w:bCs w:val="1"/>
                <w:color w:val="auto"/>
              </w:rPr>
              <w:t>Waste Management, Inc. Stockholders’ Equity</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3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w:t>
            </w:r>
          </w:p>
        </w:tc>
        <w:tc>
          <w:tcPr>
            <w:tcW w:w="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w w:val="97"/>
              </w:rPr>
              <w:t>Accumulated</w:t>
            </w: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5"/>
            <w:vMerge w:val="restart"/>
          </w:tcPr>
          <w:p>
            <w:pPr>
              <w:ind w:left="140"/>
              <w:spacing w:after="0"/>
              <w:rPr>
                <w:sz w:val="20"/>
                <w:szCs w:val="20"/>
                <w:color w:val="auto"/>
              </w:rPr>
            </w:pPr>
            <w:r>
              <w:rPr>
                <w:rFonts w:ascii="Arial" w:cs="Arial" w:eastAsia="Arial" w:hAnsi="Arial"/>
                <w:sz w:val="14"/>
                <w:szCs w:val="14"/>
                <w:b w:val="1"/>
                <w:bCs w:val="1"/>
                <w:color w:val="auto"/>
              </w:rPr>
              <w:t>Common Stock</w:t>
            </w:r>
          </w:p>
        </w:tc>
        <w:tc>
          <w:tcPr>
            <w:tcW w:w="740" w:type="dxa"/>
            <w:vAlign w:val="bottom"/>
            <w:gridSpan w:val="3"/>
            <w:vMerge w:val="continue"/>
          </w:tcPr>
          <w:p>
            <w:pPr>
              <w:spacing w:after="0"/>
              <w:rPr>
                <w:sz w:val="12"/>
                <w:szCs w:val="12"/>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Other</w:t>
            </w: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71"/>
        </w:trPr>
        <w:tc>
          <w:tcPr>
            <w:tcW w:w="2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5"/>
            <w:vMerge w:val="continue"/>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Paid-In</w:t>
            </w:r>
          </w:p>
        </w:tc>
        <w:tc>
          <w:tcPr>
            <w:tcW w:w="640" w:type="dxa"/>
            <w:vAlign w:val="bottom"/>
            <w:gridSpan w:val="3"/>
            <w:vMerge w:val="continue"/>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Comprehensive</w:t>
            </w:r>
          </w:p>
        </w:tc>
        <w:tc>
          <w:tcPr>
            <w:tcW w:w="1360" w:type="dxa"/>
            <w:vAlign w:val="bottom"/>
            <w:gridSpan w:val="5"/>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58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Amounts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Capital</w:t>
            </w:r>
          </w:p>
        </w:tc>
        <w:tc>
          <w:tcPr>
            <w:tcW w:w="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Earnings</w:t>
            </w:r>
          </w:p>
        </w:tc>
        <w:tc>
          <w:tcPr>
            <w:tcW w:w="1080" w:type="dxa"/>
            <w:vAlign w:val="bottom"/>
            <w:gridSpan w:val="3"/>
          </w:tcPr>
          <w:p>
            <w:pPr>
              <w:jc w:val="center"/>
              <w:ind w:right="8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700" w:type="dxa"/>
            <w:vAlign w:val="bottom"/>
            <w:tcBorders>
              <w:top w:val="single" w:sz="8" w:color="auto"/>
            </w:tcBorders>
            <w:gridSpan w:val="2"/>
          </w:tcPr>
          <w:p>
            <w:pPr>
              <w:ind w:left="100"/>
              <w:spacing w:after="0" w:line="142" w:lineRule="exact"/>
              <w:rPr>
                <w:sz w:val="20"/>
                <w:szCs w:val="20"/>
                <w:color w:val="auto"/>
              </w:rPr>
            </w:pPr>
            <w:r>
              <w:rPr>
                <w:rFonts w:ascii="Arial" w:cs="Arial" w:eastAsia="Arial" w:hAnsi="Arial"/>
                <w:sz w:val="14"/>
                <w:szCs w:val="14"/>
                <w:b w:val="1"/>
                <w:bCs w:val="1"/>
                <w:color w:val="auto"/>
              </w:rPr>
              <w:t>Shares</w:t>
            </w:r>
          </w:p>
        </w:tc>
        <w:tc>
          <w:tcPr>
            <w:tcW w:w="5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Amounts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142"/>
        </w:trPr>
        <w:tc>
          <w:tcPr>
            <w:tcW w:w="23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December 31, 2017</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$ 6,042</w:t>
            </w:r>
          </w:p>
        </w:tc>
        <w:tc>
          <w:tcPr>
            <w:tcW w:w="8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4,933</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8,588</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w:t>
            </w: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(196,964)</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9"/>
              </w:rPr>
              <w:t>(7,516)</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w w:val="99"/>
              </w:rPr>
              <w:t>Adoption of new accounting standards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80</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Consolidated net income</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894</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30"/>
        </w:trPr>
        <w:tc>
          <w:tcPr>
            <w:tcW w:w="2380" w:type="dxa"/>
            <w:vAlign w:val="bottom"/>
          </w:tcPr>
          <w:p>
            <w:pPr>
              <w:spacing w:after="0" w:line="130" w:lineRule="exact"/>
              <w:rPr>
                <w:sz w:val="20"/>
                <w:szCs w:val="20"/>
                <w:color w:val="auto"/>
              </w:rPr>
            </w:pPr>
            <w:r>
              <w:rPr>
                <w:rFonts w:ascii="Arial" w:cs="Arial" w:eastAsia="Arial" w:hAnsi="Arial"/>
                <w:sz w:val="14"/>
                <w:szCs w:val="14"/>
                <w:color w:val="auto"/>
              </w:rPr>
              <w:t>Other comprehensive income (loss),</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tcPr>
          <w:p>
            <w:pPr>
              <w:ind w:left="140"/>
              <w:spacing w:after="0"/>
              <w:rPr>
                <w:sz w:val="20"/>
                <w:szCs w:val="20"/>
                <w:color w:val="auto"/>
              </w:rPr>
            </w:pPr>
            <w:r>
              <w:rPr>
                <w:rFonts w:ascii="Arial" w:cs="Arial" w:eastAsia="Arial" w:hAnsi="Arial"/>
                <w:sz w:val="14"/>
                <w:szCs w:val="14"/>
                <w:color w:val="auto"/>
              </w:rPr>
              <w:t>net of tax</w:t>
            </w:r>
          </w:p>
        </w:tc>
        <w:tc>
          <w:tcPr>
            <w:tcW w:w="500" w:type="dxa"/>
            <w:vAlign w:val="bottom"/>
          </w:tcPr>
          <w:p>
            <w:pPr>
              <w:jc w:val="right"/>
              <w:spacing w:after="0"/>
              <w:rPr>
                <w:sz w:val="20"/>
                <w:szCs w:val="20"/>
                <w:color w:val="auto"/>
              </w:rPr>
            </w:pPr>
            <w:r>
              <w:rPr>
                <w:rFonts w:ascii="Arial" w:cs="Arial" w:eastAsia="Arial" w:hAnsi="Arial"/>
                <w:sz w:val="14"/>
                <w:szCs w:val="14"/>
                <w:color w:val="auto"/>
              </w:rPr>
              <w:t>(52)</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(52)</w:t>
            </w: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dividends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(406)</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(406)</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380" w:type="dxa"/>
            <w:vAlign w:val="bottom"/>
          </w:tcPr>
          <w:p>
            <w:pPr>
              <w:spacing w:after="0" w:line="130" w:lineRule="exact"/>
              <w:rPr>
                <w:sz w:val="20"/>
                <w:szCs w:val="20"/>
                <w:color w:val="auto"/>
              </w:rPr>
            </w:pPr>
            <w:r>
              <w:rPr>
                <w:rFonts w:ascii="Arial" w:cs="Arial" w:eastAsia="Arial" w:hAnsi="Arial"/>
                <w:sz w:val="14"/>
                <w:szCs w:val="14"/>
                <w:color w:val="auto"/>
              </w:rPr>
              <w:t>Equity-based compensation</w:t>
            </w: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80" w:type="dxa"/>
            <w:vAlign w:val="bottom"/>
          </w:tcPr>
          <w:p>
            <w:pPr>
              <w:ind w:left="140"/>
              <w:spacing w:after="0"/>
              <w:rPr>
                <w:sz w:val="20"/>
                <w:szCs w:val="20"/>
                <w:color w:val="auto"/>
              </w:rPr>
            </w:pPr>
            <w:r>
              <w:rPr>
                <w:rFonts w:ascii="Arial" w:cs="Arial" w:eastAsia="Arial" w:hAnsi="Arial"/>
                <w:sz w:val="14"/>
                <w:szCs w:val="14"/>
                <w:color w:val="auto"/>
              </w:rPr>
              <w:t>transactions, net</w:t>
            </w:r>
          </w:p>
        </w:tc>
        <w:tc>
          <w:tcPr>
            <w:tcW w:w="500" w:type="dxa"/>
            <w:vAlign w:val="bottom"/>
          </w:tcPr>
          <w:p>
            <w:pPr>
              <w:jc w:val="right"/>
              <w:spacing w:after="0"/>
              <w:rPr>
                <w:sz w:val="20"/>
                <w:szCs w:val="20"/>
                <w:color w:val="auto"/>
              </w:rPr>
            </w:pPr>
            <w:r>
              <w:rPr>
                <w:rFonts w:ascii="Arial" w:cs="Arial" w:eastAsia="Arial" w:hAnsi="Arial"/>
                <w:sz w:val="14"/>
                <w:szCs w:val="14"/>
                <w:color w:val="auto"/>
              </w:rPr>
              <w:t>68</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1,624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repurchase program</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(6,568)</w:t>
            </w: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(550)</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tcPr>
          <w:p>
            <w:pPr>
              <w:spacing w:after="0" w:line="149" w:lineRule="exact"/>
              <w:rPr>
                <w:sz w:val="20"/>
                <w:szCs w:val="20"/>
                <w:color w:val="auto"/>
              </w:rPr>
            </w:pPr>
            <w:r>
              <w:rPr>
                <w:rFonts w:ascii="Arial" w:cs="Arial" w:eastAsia="Arial" w:hAnsi="Arial"/>
                <w:sz w:val="14"/>
                <w:szCs w:val="14"/>
                <w:color w:val="auto"/>
              </w:rPr>
              <w:t>Divestiture of noncontrolling interest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5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9"/>
        </w:trPr>
        <w:tc>
          <w:tcPr>
            <w:tcW w:w="2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380" w:type="dxa"/>
            <w:vAlign w:val="bottom"/>
          </w:tcPr>
          <w:p>
            <w:pPr>
              <w:spacing w:after="0" w:line="142" w:lineRule="exact"/>
              <w:rPr>
                <w:sz w:val="20"/>
                <w:szCs w:val="20"/>
                <w:color w:val="auto"/>
              </w:rPr>
            </w:pPr>
            <w:r>
              <w:rPr>
                <w:rFonts w:ascii="Arial" w:cs="Arial" w:eastAsia="Arial" w:hAnsi="Arial"/>
                <w:sz w:val="14"/>
                <w:szCs w:val="14"/>
                <w:color w:val="auto"/>
              </w:rPr>
              <w:t>Balance, June 30, 2018</w:t>
            </w: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$ 6,056</w:t>
            </w:r>
          </w:p>
        </w:tc>
        <w:tc>
          <w:tcPr>
            <w:tcW w:w="8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630,282</w:t>
            </w:r>
          </w:p>
        </w:tc>
        <w:tc>
          <w:tcPr>
            <w:tcW w:w="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4,935</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9,166</w:t>
            </w: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(49)</w:t>
            </w: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(201,906)</w:t>
            </w:r>
          </w:p>
        </w:tc>
        <w:tc>
          <w:tcPr>
            <w:tcW w:w="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(8,004)</w:t>
            </w:r>
          </w:p>
        </w:tc>
        <w:tc>
          <w:tcPr>
            <w:tcW w:w="8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5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 (“U.S.”).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8.</w:t>
      </w:r>
    </w:p>
    <w:p>
      <w:pPr>
        <w:spacing w:after="0" w:line="16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The Condensed Consolidated Financial Statements as of June 30, 2018 and for the three and six months ended June 30, 2018 and 2017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20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i w:val="1"/>
          <w:iCs w:val="1"/>
          <w:color w:val="auto"/>
        </w:rPr>
        <w:t xml:space="preserve">Revenue Recognition — </w:t>
      </w:r>
      <w:r>
        <w:rPr>
          <w:rFonts w:ascii="Arial" w:cs="Arial" w:eastAsia="Arial" w:hAnsi="Arial"/>
          <w:sz w:val="18"/>
          <w:szCs w:val="18"/>
          <w:color w:val="auto"/>
        </w:rPr>
        <w:t>In May 2014, the Financial Accounting Standards Board (“FASB”) issued Accounting Standards</w:t>
      </w:r>
      <w:r>
        <w:rPr>
          <w:rFonts w:ascii="Arial" w:cs="Arial" w:eastAsia="Arial" w:hAnsi="Arial"/>
          <w:sz w:val="18"/>
          <w:szCs w:val="18"/>
          <w:i w:val="1"/>
          <w:iCs w:val="1"/>
          <w:color w:val="auto"/>
        </w:rPr>
        <w:t xml:space="preserve"> </w:t>
      </w:r>
      <w:r>
        <w:rPr>
          <w:rFonts w:ascii="Arial" w:cs="Arial" w:eastAsia="Arial" w:hAnsi="Arial"/>
          <w:sz w:val="18"/>
          <w:szCs w:val="18"/>
          <w:color w:val="auto"/>
        </w:rPr>
        <w:t>Update (“ASU”) 2014-09 associated with revenue recognition. On January 1, 2018, we adopted ASU 2014-09 using the modified retrospective approach for all ongoing customer contracts. Our results of operations for the reported periods after January 1, 2018 are presented under this amended guidance, while prior period amounts are not adjusted and continue to be reported in accordance with historical accounting guidance.</w:t>
      </w:r>
    </w:p>
    <w:p>
      <w:pPr>
        <w:spacing w:after="0" w:line="188" w:lineRule="exact"/>
        <w:rPr>
          <w:sz w:val="20"/>
          <w:szCs w:val="20"/>
          <w:color w:val="auto"/>
        </w:rPr>
      </w:pPr>
    </w:p>
    <w:p>
      <w:pPr>
        <w:jc w:val="both"/>
        <w:ind w:firstLine="259"/>
        <w:spacing w:after="0" w:line="342" w:lineRule="auto"/>
        <w:rPr>
          <w:sz w:val="20"/>
          <w:szCs w:val="20"/>
          <w:color w:val="auto"/>
        </w:rPr>
      </w:pPr>
      <w:r>
        <w:rPr>
          <w:rFonts w:ascii="Arial" w:cs="Arial" w:eastAsia="Arial" w:hAnsi="Arial"/>
          <w:sz w:val="16"/>
          <w:szCs w:val="16"/>
          <w:color w:val="auto"/>
        </w:rPr>
        <w:t>The impact of adopting the amended guidance primarily relates to (i) the deferral of certain sales incentives, which previously were expensed as incurred, but under the new guidance are capitalized as other assets and amortized to selling,</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general and administrative expenses over the expected life of the customer relationship and (ii) the recognition of certain consideration payable to our customers as a reduction in operating revenues, which under historical guidance was recorded as operating expenses. We recognized a net $80 million increase to our retained earnings as of January 1, 2018 for the cumulative impact of adopting the amended guidance associated with the capitalization of sales incentives as contract acquisition costs consisting of a $108 million asset and a related $28 million deferred tax liability. There were no material impacts on our consolidated financial statements, which include these changes, as a result of our adoption of this amended guidance.</w:t>
      </w:r>
    </w:p>
    <w:p>
      <w:pPr>
        <w:spacing w:after="0" w:line="189"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For contracts with an effective term greater than one year, we applied the standard’s practical expedient that permits the exclusion of unsatisfied performance obligations as our right to consideration corresponds directly to the value provided to the customer for services completed to date and all future variable consideration is allocated to wholly unsatisfied performance obligations. We also applied the standard’s optional exemption for performance obligations related to contracts that have an original expected duration of one year or less. See Note 4 for additional information and disclosures related to this amended guidance.</w:t>
      </w:r>
    </w:p>
    <w:p>
      <w:pPr>
        <w:spacing w:after="0" w:line="19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Financial Instruments </w:t>
      </w:r>
      <w:r>
        <w:rPr>
          <w:rFonts w:ascii="Arial" w:cs="Arial" w:eastAsia="Arial" w:hAnsi="Arial"/>
          <w:sz w:val="18"/>
          <w:szCs w:val="18"/>
          <w:color w:val="auto"/>
        </w:rPr>
        <w:t>— In January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01 associated with the recognition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of financial assets and liabilities with further clarifications made in February 2018 with the issuance of ASU 2018-03. The amended guidance requires certain equity investments that are not consolidated and not accounted for under the equity method to be measured at fair value with changes in fair value recognized in net income rather than as a component of accumulated other comprehensive income (loss). It further states that an entity may choose to measure equity investments that do not have readily determinable fair values using a quantitative approach, or measurement alternative, which is equal to its cost minus impairment, if any, plus or minus changes resulting from observable price changes in orderly transactions for the identical or a similar investment of the same issuer. The Company adopted this amended guidance on January 1, 2018 using a prospective transition approach, which did not have an impact on our consolidated financial statements.</w:t>
      </w:r>
    </w:p>
    <w:p>
      <w:pPr>
        <w:spacing w:after="0" w:line="20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concluded that all equity investments within the scope of ASU 2016-01, which primarily relate to equity securities previously accounted for under the cost method, do not have readily determinable fair values. Accordingly, the value of these investments beginning January 1, 2018 has been measured using a quantitative approach, or the measurement alternative, as noted above. As of June 30, 2018, the carrying amount of our investments without readily determinable fair values was $84 million. During the three and six months ended June 30, 2018, we did not recognize any impairments or other adjustments.</w:t>
      </w:r>
    </w:p>
    <w:p>
      <w:pPr>
        <w:spacing w:after="0" w:line="158"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6"/>
          <w:szCs w:val="16"/>
          <w:i w:val="1"/>
          <w:iCs w:val="1"/>
          <w:color w:val="auto"/>
        </w:rPr>
        <w:t xml:space="preserve">Statement of Cash Flows — </w:t>
      </w:r>
      <w:r>
        <w:rPr>
          <w:rFonts w:ascii="Arial" w:cs="Arial" w:eastAsia="Arial" w:hAnsi="Arial"/>
          <w:sz w:val="16"/>
          <w:szCs w:val="16"/>
          <w:color w:val="auto"/>
        </w:rPr>
        <w:t>In August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15 associated with the classification of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cash receipts and cash payments in the statement of cash flows. In November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18 associated with the presentation of restricted cash and cash equivalents in the statement of cash flows. The objective of the amended guidance was to reduce existing diversity in practice. This amended guidance was retrospectively adopted on January 1, 2018 and required the following disclosures and changes to the presentation of our financial statements:</w:t>
      </w:r>
    </w:p>
    <w:p>
      <w:pPr>
        <w:spacing w:after="0" w:line="96" w:lineRule="exact"/>
        <w:rPr>
          <w:sz w:val="20"/>
          <w:szCs w:val="20"/>
          <w:color w:val="auto"/>
        </w:rPr>
      </w:pPr>
    </w:p>
    <w:p>
      <w:pPr>
        <w:jc w:val="both"/>
        <w:ind w:left="660" w:hanging="333"/>
        <w:spacing w:after="0" w:line="30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Cash, cash equivalents and restricted cash and cash equivalents reported on the Condensed Consolidated Statements of Cash Flows now includes restricted cash and cash equivalents of $62 million, $65 million and $271 million as of December 31, 2016, June 30, 2017 and December 31, 2017, respectively, in restricted trust and escrow accounts in our Condensed Consolidated Balance Sheets as well as previously reported cash and cash equivalents.</w:t>
      </w:r>
    </w:p>
    <w:p>
      <w:pPr>
        <w:spacing w:after="0" w:line="46" w:lineRule="exact"/>
        <w:rPr>
          <w:rFonts w:ascii="Arial" w:cs="Arial" w:eastAsia="Arial" w:hAnsi="Arial"/>
          <w:sz w:val="16"/>
          <w:szCs w:val="16"/>
          <w:color w:val="auto"/>
        </w:rPr>
      </w:pPr>
    </w:p>
    <w:p>
      <w:pPr>
        <w:jc w:val="both"/>
        <w:ind w:left="660" w:hanging="333"/>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Cash payments made within 120 days of the acquisition date of a business combination to settle a contingent consideration liability are classified as cash outflows from investing activities. Thereafter, cash payments up to the amount of the contingent consideration liability recognized at the acquisition date (including measurement-period adjustments) are classified as cash outflows from financing activities and any excess is classified as cash outflows from operating activities. The adoption of this amended guidance did not have a material impact on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restricted cash and cash equivalents generally consist of funds deposited into specific accounts for purposes of funding insurance claims and demonstrating our ability to meet our landfill final capping, closure, post-closure and environmental remediation obligations.</w:t>
      </w:r>
    </w:p>
    <w:p>
      <w:pPr>
        <w:spacing w:after="0" w:line="18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Reclassification of Certain Tax Effects from Accumulated Other Comprehensive Income — </w:t>
      </w:r>
      <w:r>
        <w:rPr>
          <w:rFonts w:ascii="Arial" w:cs="Arial" w:eastAsia="Arial" w:hAnsi="Arial"/>
          <w:sz w:val="16"/>
          <w:szCs w:val="16"/>
          <w:color w:val="auto"/>
        </w:rPr>
        <w:t>In February 2018, the FASB</w:t>
      </w:r>
      <w:r>
        <w:rPr>
          <w:rFonts w:ascii="Arial" w:cs="Arial" w:eastAsia="Arial" w:hAnsi="Arial"/>
          <w:sz w:val="16"/>
          <w:szCs w:val="16"/>
          <w:i w:val="1"/>
          <w:iCs w:val="1"/>
          <w:color w:val="auto"/>
        </w:rPr>
        <w:t xml:space="preserve"> </w:t>
      </w:r>
      <w:r>
        <w:rPr>
          <w:rFonts w:ascii="Arial" w:cs="Arial" w:eastAsia="Arial" w:hAnsi="Arial"/>
          <w:sz w:val="16"/>
          <w:szCs w:val="16"/>
          <w:color w:val="auto"/>
        </w:rPr>
        <w:t>issued ASU 2018-02 associated with the reclassification of certain tax effects from accumulated other comprehensive income (loss). This amended guidance allows a reclassification from accumulated other comprehensive income (loss) to retained earnings for stranded tax effects resulting from the Tax Cuts and Jobs Act (the “Act”) which was signed into law on December 22, 2017. We early adopted this amended guidance on January 1, 2018, and as a result, elected to reclassify $5 million of stranded tax effects from accumulated other comprehensive income (loss) to retained earnings using a specific identification approach. See Note 10 for additional disclosures related to this amended guidance.</w:t>
      </w:r>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Income Taxes — </w:t>
      </w:r>
      <w:r>
        <w:rPr>
          <w:rFonts w:ascii="Arial" w:cs="Arial" w:eastAsia="Arial" w:hAnsi="Arial"/>
          <w:sz w:val="18"/>
          <w:szCs w:val="18"/>
          <w:color w:val="auto"/>
        </w:rPr>
        <w:t>In March 2018, the FASB issued ASU 2018-05 associated with the accounting and disclosures around</w:t>
      </w:r>
      <w:r>
        <w:rPr>
          <w:rFonts w:ascii="Arial" w:cs="Arial" w:eastAsia="Arial" w:hAnsi="Arial"/>
          <w:sz w:val="18"/>
          <w:szCs w:val="18"/>
          <w:i w:val="1"/>
          <w:iCs w:val="1"/>
          <w:color w:val="auto"/>
        </w:rPr>
        <w:t xml:space="preserve"> </w:t>
      </w:r>
      <w:r>
        <w:rPr>
          <w:rFonts w:ascii="Arial" w:cs="Arial" w:eastAsia="Arial" w:hAnsi="Arial"/>
          <w:sz w:val="18"/>
          <w:szCs w:val="18"/>
          <w:color w:val="auto"/>
        </w:rPr>
        <w:t>the enactment of the Act and the Securities and Exchange Commission’s Staff Accounting Bulletin No. 118, Income Tax Accounting Implications of the Tax Cuts and Jobs Act (“SAB 118”), which the Company has adopted. See Note 5 for the disclosures related to this amended guidance.</w:t>
      </w:r>
    </w:p>
    <w:p>
      <w:pPr>
        <w:spacing w:after="0" w:line="18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New Accounting Standards Pending Adoption</w:t>
      </w:r>
    </w:p>
    <w:p>
      <w:pPr>
        <w:spacing w:after="0" w:line="225"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13 associated with the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this amended guidance and evaluating the impact on our consolidated financial statements.</w:t>
      </w:r>
    </w:p>
    <w:p>
      <w:pPr>
        <w:spacing w:after="0" w:line="206"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i w:val="1"/>
          <w:iCs w:val="1"/>
          <w:color w:val="auto"/>
        </w:rPr>
        <w:t xml:space="preserve">Leases — </w:t>
      </w:r>
      <w:r>
        <w:rPr>
          <w:rFonts w:ascii="Arial" w:cs="Arial" w:eastAsia="Arial" w:hAnsi="Arial"/>
          <w:sz w:val="16"/>
          <w:szCs w:val="16"/>
          <w:color w:val="auto"/>
        </w:rPr>
        <w:t>In February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02 associated with lease accounting. There have been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including practical expedients, with the issuance of ASU 2018-01 in January 2018. The amended guidance requires the recognition of lease assets and lease liabilities on the balance sheet for those leases with terms in excess of 12 months and currently classified as operating leases. Disclosure of key information about leasing arrangements will also be required. The amended guidance is effective for the Company on January 1, 2019. We are assessing the provisions of this amended guidance and we have (i) formed an implementation work team; (ii) performed training for the various organizations that will be most affected by the new standard; (iii) acquired a software solution to manage and account for leases under the new standard and (iv) identified our initial lease population that will be impacted by the new standard. We are evaluating the impact of this amended guidance on our consolidated financial statements.</w:t>
      </w:r>
    </w:p>
    <w:p>
      <w:pPr>
        <w:spacing w:after="0" w:line="20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20" w:hanging="317"/>
        <w:spacing w:after="0"/>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June 30, 2018</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2017</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Landfill</w:t>
            </w: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Remediation</w:t>
            </w: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1,589</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1,810</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17"/>
        </w:trPr>
        <w:tc>
          <w:tcPr>
            <w:tcW w:w="3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1,968</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six months ended June 30, 2018 are reflected in the table below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Landfill</w:t>
            </w:r>
          </w:p>
        </w:tc>
        <w:tc>
          <w:tcPr>
            <w:tcW w:w="1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10"/>
        </w:trPr>
        <w:tc>
          <w:tcPr>
            <w:tcW w:w="7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7020" w:type="dxa"/>
            <w:vAlign w:val="bottom"/>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demonstrating our ability to meet our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June 30, 2018:</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33"/>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82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w w:val="92"/>
              </w:rPr>
              <w:t>Commercial paper program (weighted average interest rate of 2.4% as of June 30, 2018 and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1.9% as of December 31, 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02"/>
        </w:trPr>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Canadian term loan and revolving credit facility, maturing March 2019 (weighted average</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8"/>
              </w:rPr>
              <w:t>effective interest rate of 2.7% as of June 30, 2018 and 2.5% as of December 31, 2017)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w w:val="94"/>
              </w:rPr>
              <w:t>Senior notes, maturing through 2045, interest rates ranging from 2.4% to 7.75% (weighted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820" w:type="dxa"/>
            <w:vAlign w:val="bottom"/>
          </w:tcPr>
          <w:p>
            <w:pPr>
              <w:spacing w:after="0"/>
              <w:rPr>
                <w:sz w:val="20"/>
                <w:szCs w:val="20"/>
                <w:color w:val="auto"/>
              </w:rPr>
            </w:pPr>
            <w:r>
              <w:rPr>
                <w:rFonts w:ascii="Arial" w:cs="Arial" w:eastAsia="Arial" w:hAnsi="Arial"/>
                <w:sz w:val="18"/>
                <w:szCs w:val="18"/>
                <w:color w:val="auto"/>
              </w:rPr>
              <w:t>average interest rate of 4.3% as of June 30, 2018 and December 31, 2017)</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6,222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6,222</w:t>
            </w:r>
          </w:p>
        </w:tc>
      </w:tr>
      <w:tr>
        <w:trPr>
          <w:trHeight w:val="202"/>
        </w:trPr>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Tax-exempt bonds, maturing through 2045, fixed and variable interest rates ranging from</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w w:val="93"/>
              </w:rPr>
              <w:t>1.35% to 5.7% (weighted average interest rate of 2.2% as of June 30, 2018 and 2.0% as of</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Capital leases and other, maturing through 2040, interest rates up to 12%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Debt issuance costs, discounts and other</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9,796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9,491</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w:t>
            </w:r>
          </w:p>
        </w:tc>
      </w:tr>
      <w:tr>
        <w:trPr>
          <w:trHeight w:val="217"/>
        </w:trPr>
        <w:tc>
          <w:tcPr>
            <w:tcW w:w="6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8,968</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8,752</w:t>
            </w:r>
          </w:p>
        </w:tc>
      </w:tr>
      <w:tr>
        <w:trPr>
          <w:trHeight w:val="864"/>
        </w:trPr>
        <w:tc>
          <w:tcPr>
            <w:tcW w:w="6820" w:type="dxa"/>
            <w:vAlign w:val="bottom"/>
          </w:tcPr>
          <w:p>
            <w:pPr>
              <w:ind w:left="448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29"/>
        </w:trPr>
        <w:tc>
          <w:tcPr>
            <w:tcW w:w="68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1" w:right="14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June 30, 2018, we had $2.1 billion of debt maturing within the next 12 months, including (i) $968 million of short-term borrowings under our commercial paper program; (ii) $796 million of tax-exempt bonds with term interest rate periods that expire within the next 12 months, which is prior to their scheduled maturities; (iii) $265 million of other debt with scheduled maturities within the next 12 months, including $219 million of tax-exempt bonds and (iv) C$94 million, or $71 million, of borrowings under our Canadian term loan. Of the $968 million of short-term borrowings outstanding under our commercial paper program as of June 30, 2018 that are supported by our long-term U.S. and Canadian revolving credit facility (“$2.75 billion revolving credit facility”), we have the intent and ability to refinance or maintain $476 million of these borrowings on a long-term basis, and we have classified these amounts as long-term debt. As of June 30, 2018, we have classified an additional $796 million of debt as long-term because we have the intent and ability to refinance these borrowings on a long-term basis as supported by the forecasted available capacity under our $2.75 billion revolving credit facility, as discussed below. The remaining $828 million is classified as current obligations.</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June 30, 2018, we also have $268 million of variable-rate tax-exempt bonds that are supported by letters of credit under our $2.75 billion revolving credit facility.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availability under our $2.75 billion revolving credit facility to fund these bonds until they are remarketed successfully. Accordingly, we have also classified these borrowings as long-term in our Condensed Consolidated Balance Sheet as of June 30, 2018.</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$2.75 Billion Revolving Credit Facility — </w:t>
      </w:r>
      <w:r>
        <w:rPr>
          <w:rFonts w:ascii="Arial" w:cs="Arial" w:eastAsia="Arial" w:hAnsi="Arial"/>
          <w:sz w:val="16"/>
          <w:szCs w:val="16"/>
          <w:color w:val="auto"/>
        </w:rPr>
        <w:t>In June 2018, we entered into the $2.75 billion revolving credit facility, which</w:t>
      </w:r>
      <w:r>
        <w:rPr>
          <w:rFonts w:ascii="Arial" w:cs="Arial" w:eastAsia="Arial" w:hAnsi="Arial"/>
          <w:sz w:val="16"/>
          <w:szCs w:val="16"/>
          <w:i w:val="1"/>
          <w:iCs w:val="1"/>
          <w:color w:val="auto"/>
        </w:rPr>
        <w:t xml:space="preserve"> </w:t>
      </w:r>
      <w:r>
        <w:rPr>
          <w:rFonts w:ascii="Arial" w:cs="Arial" w:eastAsia="Arial" w:hAnsi="Arial"/>
          <w:sz w:val="16"/>
          <w:szCs w:val="16"/>
          <w:color w:val="auto"/>
        </w:rPr>
        <w:t>amended and restated our prior long-term U.S. revolving credit facility. Amendments to the credit agreement included</w:t>
      </w:r>
    </w:p>
    <w:p>
      <w:pPr>
        <w:jc w:val="both"/>
        <w:ind w:firstLine="3"/>
        <w:spacing w:after="0" w:line="281" w:lineRule="auto"/>
        <w:tabs>
          <w:tab w:leader="none" w:pos="252"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increasing total capacity under the facility from $2.25 billion to $2.75 billion; (ii) establishment of a $750 million accordion feature that may be used to increase total capacity in future periods; (iii) extending the term through June 2023 and</w:t>
      </w:r>
    </w:p>
    <w:p>
      <w:pPr>
        <w:spacing w:after="0" w:line="1" w:lineRule="exact"/>
        <w:rPr>
          <w:rFonts w:ascii="Arial" w:cs="Arial" w:eastAsia="Arial" w:hAnsi="Arial"/>
          <w:sz w:val="16"/>
          <w:szCs w:val="16"/>
          <w:color w:val="auto"/>
        </w:rPr>
      </w:pPr>
    </w:p>
    <w:p>
      <w:pPr>
        <w:jc w:val="both"/>
        <w:ind w:firstLine="3"/>
        <w:spacing w:after="0" w:line="253" w:lineRule="auto"/>
        <w:tabs>
          <w:tab w:leader="none" w:pos="314"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inclusion of two one-year extension options. Waste Management of Canada Corporation and WM Quebec Inc., each an indirect wholly-owned subsidiary of WM, were added as additional borrowers under the $2.75 billion revolving credit facility, and the agreement permits borrowing in Canadian dollars up to the U.S. dollar equivalent of $375 million, with such borrowings to be repaid in Canadian dollars. Waste Management Holdings, Inc., a wholly-owned subsidiary of WM, guarantees all of the obligations under the revolving credit facility.</w:t>
      </w:r>
    </w:p>
    <w:p>
      <w:pPr>
        <w:spacing w:after="0" w:line="19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$2.75 billion revolving credit facility provides us with credit capacity to be used for either cash borrowings or to support letters of credit or commercial paper. The rates we pay for outstanding U.S. or Canadian loans are generally based on LIBOR or CDOR, respectively, plus a spread depending on the Company’s debt rating assigned by Moody’s Investors Service and Standard and Poor’s. As of June 30, 2018, we had no outstanding borrowings under this facility. We had $603 million of letters of credit issued and $968 million of outstanding borrowings under our commercial paper program, both supported by this facility, leaving unused and available credit capacity of $1.2 billion as of June 30, 2018.</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We have a commercial paper program that enables us to borrow funds for up to 397 days</w:t>
      </w:r>
      <w:r>
        <w:rPr>
          <w:rFonts w:ascii="Arial" w:cs="Arial" w:eastAsia="Arial" w:hAnsi="Arial"/>
          <w:sz w:val="18"/>
          <w:szCs w:val="18"/>
          <w:i w:val="1"/>
          <w:iCs w:val="1"/>
          <w:color w:val="auto"/>
        </w:rPr>
        <w:t xml:space="preserve"> </w:t>
      </w:r>
      <w:r>
        <w:rPr>
          <w:rFonts w:ascii="Arial" w:cs="Arial" w:eastAsia="Arial" w:hAnsi="Arial"/>
          <w:sz w:val="18"/>
          <w:szCs w:val="18"/>
          <w:color w:val="auto"/>
        </w:rPr>
        <w:t>at competitive interest rates. The commercial paper program is fully supported by our $2.75 billion revolving credit facility. In the second quarter of 2018, we amended our commercial paper program, increasing our ability to borrow funds from $1.5 billion to $2.75 billion, provided that the aggregate outstanding amount of commercial paper borrowings, together with borrowings and issued letters of credit under the $2.75 billion revolving credit facility, shall not at any time exceed the aggregate authorized borrowing capacity of such facility. As of June 30, 2018, we had $968 million of outstanding borrowings under our commercial paper program.</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Canadian Term Loan and Revolving Credit Facility — </w:t>
      </w:r>
      <w:r>
        <w:rPr>
          <w:rFonts w:ascii="Arial" w:cs="Arial" w:eastAsia="Arial" w:hAnsi="Arial"/>
          <w:sz w:val="18"/>
          <w:szCs w:val="18"/>
          <w:color w:val="auto"/>
        </w:rPr>
        <w:t>We have a Canadian credit agreement (which includes a term loan</w:t>
      </w:r>
      <w:r>
        <w:rPr>
          <w:rFonts w:ascii="Arial" w:cs="Arial" w:eastAsia="Arial" w:hAnsi="Arial"/>
          <w:sz w:val="18"/>
          <w:szCs w:val="18"/>
          <w:i w:val="1"/>
          <w:iCs w:val="1"/>
          <w:color w:val="auto"/>
        </w:rPr>
        <w:t xml:space="preserve"> </w:t>
      </w:r>
      <w:r>
        <w:rPr>
          <w:rFonts w:ascii="Arial" w:cs="Arial" w:eastAsia="Arial" w:hAnsi="Arial"/>
          <w:sz w:val="18"/>
          <w:szCs w:val="18"/>
          <w:color w:val="auto"/>
        </w:rPr>
        <w:t>and revolving credit facility) that matures in March 2019. This agreement provides the Company (i) C$50 million of revolving credit capacity, which can be used for borrowings or letters of credit, and (ii) C$460 million of non-revolving term credit that is prepayable without penalty and principal amounts repaid may not be reborrowed. As of June 30, 2018, we had C$94 million, or $71 million, of outstanding borrowings under our Canadian term loan. During the third quarter of 2018, we expect to incur borrowings under our $2.75 billion revolving credit facility to repay the outstanding borrowings under our Canadian term loan. As of June 30, 2018, we had no borrowings or letters of credit outstanding under the Canadian revolving credit facility.</w:t>
      </w:r>
    </w:p>
    <w:p>
      <w:pPr>
        <w:spacing w:after="0" w:line="19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Facilities — </w:t>
      </w:r>
      <w:r>
        <w:rPr>
          <w:rFonts w:ascii="Arial" w:cs="Arial" w:eastAsia="Arial" w:hAnsi="Arial"/>
          <w:sz w:val="18"/>
          <w:szCs w:val="18"/>
          <w:color w:val="auto"/>
        </w:rPr>
        <w:t>As of June 30, 2018, we utilized $503 million of other letter of credit facilities,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both committed and uncommitted, with terms maturing through June 2019.</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Revolving Credit Facility </w:t>
      </w:r>
      <w:r>
        <w:rPr>
          <w:rFonts w:ascii="Arial" w:cs="Arial" w:eastAsia="Arial" w:hAnsi="Arial"/>
          <w:sz w:val="18"/>
          <w:szCs w:val="18"/>
          <w:color w:val="auto"/>
        </w:rPr>
        <w:t>— During the six months ended June 30, 2018, we borrowed and repaid $28 million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credit facility, which we amended and restated in June 2018, as discussed above.</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six months ended June 30, 2018, we had net cash borrowings of $443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to support new business opportunities and for general corporate purposes.</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Canadian Term Loan and Revolving Credit Facility </w:t>
      </w:r>
      <w:r>
        <w:rPr>
          <w:rFonts w:ascii="Arial" w:cs="Arial" w:eastAsia="Arial" w:hAnsi="Arial"/>
          <w:sz w:val="18"/>
          <w:szCs w:val="18"/>
          <w:color w:val="auto"/>
        </w:rPr>
        <w:t>— During the six months ended June 30, 2018, we had net</w:t>
      </w:r>
      <w:r>
        <w:rPr>
          <w:rFonts w:ascii="Arial" w:cs="Arial" w:eastAsia="Arial" w:hAnsi="Arial"/>
          <w:sz w:val="18"/>
          <w:szCs w:val="18"/>
          <w:i w:val="1"/>
          <w:iCs w:val="1"/>
          <w:color w:val="auto"/>
        </w:rPr>
        <w:t xml:space="preserve"> </w:t>
      </w:r>
      <w:r>
        <w:rPr>
          <w:rFonts w:ascii="Arial" w:cs="Arial" w:eastAsia="Arial" w:hAnsi="Arial"/>
          <w:sz w:val="18"/>
          <w:szCs w:val="18"/>
          <w:color w:val="auto"/>
        </w:rPr>
        <w:t>repayments of C$48 million, or $37 million, of net advances under our Canadian term loan and revolving credit facility with available cash. The remaining change in the carrying value of outstanding borrowings under our Canadian term loan is due to foreign currency translation.</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Tax-Exempt Bonds </w:t>
      </w:r>
      <w:r>
        <w:rPr>
          <w:rFonts w:ascii="Arial" w:cs="Arial" w:eastAsia="Arial" w:hAnsi="Arial"/>
          <w:sz w:val="18"/>
          <w:szCs w:val="18"/>
          <w:color w:val="auto"/>
        </w:rPr>
        <w:t>— During the six months ended June 30, 2018, we repaid $42 million of our tax-exempt bonds with</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cash.</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Capital Leases and Other </w:t>
      </w:r>
      <w:r>
        <w:rPr>
          <w:rFonts w:ascii="Arial" w:cs="Arial" w:eastAsia="Arial" w:hAnsi="Arial"/>
          <w:sz w:val="18"/>
          <w:szCs w:val="18"/>
          <w:color w:val="auto"/>
        </w:rPr>
        <w:t>— During the six months ended June 30, 2018, capital leases and other debt had a net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$67 million, primarily due to divestitures and net cash repayments of debt at maturity.</w:t>
      </w:r>
    </w:p>
    <w:p>
      <w:pPr>
        <w:spacing w:after="0" w:line="1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Operating Revenues</w:t>
      </w:r>
    </w:p>
    <w:p>
      <w:pPr>
        <w:spacing w:after="0" w:line="229" w:lineRule="exact"/>
        <w:rPr>
          <w:sz w:val="20"/>
          <w:szCs w:val="20"/>
          <w:color w:val="auto"/>
        </w:rPr>
      </w:pPr>
    </w:p>
    <w:p>
      <w:pPr>
        <w:jc w:val="both"/>
        <w:ind w:firstLine="259"/>
        <w:spacing w:after="0" w:line="286" w:lineRule="auto"/>
        <w:rPr>
          <w:sz w:val="20"/>
          <w:szCs w:val="20"/>
          <w:color w:val="auto"/>
        </w:rPr>
      </w:pPr>
      <w:r>
        <w:rPr>
          <w:rFonts w:ascii="Arial" w:cs="Arial" w:eastAsia="Arial" w:hAnsi="Arial"/>
          <w:sz w:val="16"/>
          <w:szCs w:val="16"/>
          <w:color w:val="auto"/>
        </w:rPr>
        <w:t>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247"/>
        <w:spacing w:after="0" w:line="264" w:lineRule="auto"/>
        <w:rPr>
          <w:sz w:val="20"/>
          <w:szCs w:val="20"/>
          <w:color w:val="auto"/>
        </w:rPr>
      </w:pPr>
      <w:r>
        <w:rPr>
          <w:rFonts w:ascii="Arial" w:cs="Arial" w:eastAsia="Arial" w:hAnsi="Arial"/>
          <w:sz w:val="18"/>
          <w:szCs w:val="18"/>
          <w:color w:val="auto"/>
        </w:rPr>
        <w:t>Our revenue from sources other than customer contracts primarily relates to lease revenue associated with compactors and balers. Revenue from these leasing arrangements was not material and represented approximately 1% of total revenue for each of the reported periods.</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See Note 8 for additional information related to revenue by reportable segment and major lines of business.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259"/>
        <w:spacing w:after="0" w:line="257" w:lineRule="auto"/>
        <w:rPr>
          <w:sz w:val="20"/>
          <w:szCs w:val="20"/>
          <w:color w:val="auto"/>
        </w:rPr>
      </w:pPr>
      <w:r>
        <w:rPr>
          <w:rFonts w:ascii="Arial" w:cs="Arial" w:eastAsia="Arial" w:hAnsi="Arial"/>
          <w:sz w:val="18"/>
          <w:szCs w:val="18"/>
          <w:color w:val="auto"/>
        </w:rPr>
        <w:t>We generally recognize revenue as services are performed or products are delivered. For example, revenue typically is recognized as waste is collected, tons are received at our landfills or transfer stations, or recycling commodities are collected or delivered as product. We bill for certain services prior to performance. Such services include, among others, certain commercial and residential contracts and equipment rentals. These advance billings are included in deferred revenues and recognized as revenue in the period service is provided.</w:t>
      </w:r>
    </w:p>
    <w:p>
      <w:pPr>
        <w:spacing w:after="0" w:line="16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8" w:lineRule="exact"/>
        <w:rPr>
          <w:sz w:val="20"/>
          <w:szCs w:val="20"/>
          <w:color w:val="auto"/>
        </w:rPr>
      </w:pPr>
    </w:p>
    <w:p>
      <w:pPr>
        <w:jc w:val="both"/>
        <w:ind w:firstLine="259"/>
        <w:spacing w:after="0" w:line="291" w:lineRule="auto"/>
        <w:rPr>
          <w:sz w:val="20"/>
          <w:szCs w:val="20"/>
          <w:color w:val="auto"/>
        </w:rPr>
      </w:pPr>
      <w:r>
        <w:rPr>
          <w:rFonts w:ascii="Arial" w:cs="Arial" w:eastAsia="Arial" w:hAnsi="Arial"/>
          <w:sz w:val="16"/>
          <w:szCs w:val="16"/>
          <w:color w:val="auto"/>
        </w:rPr>
        <w:t>Accounts receivable, which are recorded when billed, when services are performed or when cash is advanced, are claims against third parties that will generally be settled in cash. The carrying value of our receivables, net of the allowance for doubtful accounts, represents the estimated net realizable value. We estimate our allowance for doubtful accounts based on historical collection trends; type of customer, such as municipal or commercial; the age of outstanding receivables and existing economic conditions. If events or changes in circumstances indicate that specific receivable balances may be impaired, further consideration is given to the collectability of those balances and the allowance is adjusted accordingly. Past-due receivable balances are written off when our internal collection efforts have been unsuccessful.</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Deferred Revenues</w:t>
      </w:r>
    </w:p>
    <w:p>
      <w:pPr>
        <w:spacing w:after="0" w:line="19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record deferred revenues when cash payments are received or due in advance of our performance and classify them as current since they are earned within a year and there are no significant financing components. Substantially all our deferred revenues during the reported periods are realized as revenues within one to three months, when the related services are performed.</w:t>
      </w: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225" w:lineRule="exact"/>
        <w:rPr>
          <w:sz w:val="20"/>
          <w:szCs w:val="20"/>
          <w:color w:val="auto"/>
        </w:rPr>
      </w:pPr>
    </w:p>
    <w:p>
      <w:pPr>
        <w:jc w:val="both"/>
        <w:ind w:firstLine="247"/>
        <w:spacing w:after="0" w:line="297" w:lineRule="auto"/>
        <w:rPr>
          <w:sz w:val="20"/>
          <w:szCs w:val="20"/>
          <w:color w:val="auto"/>
        </w:rPr>
      </w:pPr>
      <w:r>
        <w:rPr>
          <w:rFonts w:ascii="Arial" w:cs="Arial" w:eastAsia="Arial" w:hAnsi="Arial"/>
          <w:sz w:val="16"/>
          <w:szCs w:val="16"/>
          <w:color w:val="auto"/>
        </w:rPr>
        <w:t>Our incremental direct costs of obtaining a contract, which consist primarily of sales incentives, are generally deferred and amortized to selling, general and administrative expense over the estimated life of the relevant customer relationship, ranging from 5 to 13 years. Contract acquisition costs that are paid to the customer are deferred and amortized as a reduction in revenue over the contract life. Our contract acquisition costs are classified as current or noncurrent based on the timing of when we expect to recognize amortization and are included in other assets in our Condensed Consolidated Balance Sheet.</w:t>
      </w:r>
    </w:p>
    <w:p>
      <w:pPr>
        <w:spacing w:after="0" w:line="158" w:lineRule="exact"/>
        <w:rPr>
          <w:sz w:val="20"/>
          <w:szCs w:val="20"/>
          <w:color w:val="auto"/>
        </w:rPr>
      </w:pPr>
    </w:p>
    <w:p>
      <w:pPr>
        <w:jc w:val="both"/>
        <w:ind w:firstLine="247"/>
        <w:spacing w:after="0" w:line="259" w:lineRule="auto"/>
        <w:rPr>
          <w:sz w:val="20"/>
          <w:szCs w:val="20"/>
          <w:color w:val="auto"/>
        </w:rPr>
      </w:pPr>
      <w:r>
        <w:rPr>
          <w:rFonts w:ascii="Arial" w:cs="Arial" w:eastAsia="Arial" w:hAnsi="Arial"/>
          <w:sz w:val="18"/>
          <w:szCs w:val="18"/>
          <w:color w:val="auto"/>
        </w:rPr>
        <w:t>As of June 30, 2018, we had $139 million of deferred contract costs, of which $108 million was related to deferred sales incentives. During the three and six months ended June 30, 2018, we amortized $5 million and $11 million of sales incentives to selling, general and administrative expense, and $9 million and $19 million of other contract acquisition costs as a reduction in revenue, respectively.</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Long-Term Contracts</w:t>
      </w:r>
    </w:p>
    <w:p>
      <w:pPr>
        <w:spacing w:after="0" w:line="225" w:lineRule="exact"/>
        <w:rPr>
          <w:sz w:val="20"/>
          <w:szCs w:val="20"/>
          <w:color w:val="auto"/>
        </w:rPr>
      </w:pPr>
    </w:p>
    <w:p>
      <w:pPr>
        <w:jc w:val="both"/>
        <w:ind w:firstLine="247"/>
        <w:spacing w:after="0" w:line="286" w:lineRule="auto"/>
        <w:rPr>
          <w:sz w:val="20"/>
          <w:szCs w:val="20"/>
          <w:color w:val="auto"/>
        </w:rPr>
      </w:pPr>
      <w:r>
        <w:rPr>
          <w:rFonts w:ascii="Arial" w:cs="Arial" w:eastAsia="Arial" w:hAnsi="Arial"/>
          <w:sz w:val="17"/>
          <w:szCs w:val="17"/>
          <w:color w:val="auto"/>
        </w:rPr>
        <w:t>Approximately 30% of our total revenue is derived from contracts with an effective term greater than one year. The consideration for these contracts is variable in nature. The variable elements of these contracts primarily include the number of homes and businesses served and annual rate changes based on consumer price index, fuel prices or other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costs. Such contracts are generally within our collection, recycling and other lines of business and have a weighted average remaining contract life of approximately four years. We do not disclose the value of unsatisfied performance obligations for these contracts as our right to consideration corresponds directly to the value provided to the customer for services completed to date and all future variable consideration is allocated to wholly unsatisfied performance obligations.</w:t>
      </w:r>
    </w:p>
    <w:p>
      <w:pPr>
        <w:spacing w:after="0" w:line="1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effective income tax rate for the three and six months ended June 30, 2018 was 18.1% and 20.2%, respectively, compared with 36.6% and 34.4%, respectively, for the comparable prior year periods. We evaluate our effective income tax rate at each interim period and adjust it as facts and circumstances warrant. The decrease in the effective income tax rate for the three and six months ended June 30, 2018, compared with the prior year periods, was primarily due to the enactment of tax reform, as discussed below.</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difference between federal income taxes computed at the federal statutory rate and reported income taxes for the three and six months ended June 30, 2018 was primarily due to the favorable impact of tax audit settlements and federal tax credits offset, in part, by the unfavorable impact of state and local income taxes. The six-month period was also favorably impacted by excess tax benefits related to equity-based compensation.</w:t>
      </w:r>
    </w:p>
    <w:p>
      <w:pPr>
        <w:spacing w:after="0" w:line="18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difference between federal income taxes computed at the federal statutory rate and reported income taxes for the three months ended June 30, 2017 was primarily due to the unfavorable impact of state and local income taxes offset, in part, by the favorable impact of federal tax credits. The difference between federal income taxes computed at the federal statutory rate and reported income taxes for the six months ended June 30, 2017 was primarily due to the favorable impact of excess tax benefits related to equity-based compensation and federal tax credits offset, in part, by the unfavorable impact of state and local income taxes and the tax implications of impairments.</w:t>
      </w:r>
    </w:p>
    <w:p>
      <w:pPr>
        <w:spacing w:after="0" w:line="17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Enactment of Tax Reform </w:t>
      </w:r>
      <w:r>
        <w:rPr>
          <w:rFonts w:ascii="Arial" w:cs="Arial" w:eastAsia="Arial" w:hAnsi="Arial"/>
          <w:sz w:val="16"/>
          <w:szCs w:val="16"/>
          <w:color w:val="auto"/>
        </w:rPr>
        <w:t>— The Act was signed into law on December 22, 2017. The most significant impacts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Act to the Company include a reduction in the federal corporate income tax rate from 35% to 21%, effective January 1, 2018, and a one-time, mandatory transition tax on deemed repatriation of previously tax-deferred and unremitted foreign earnings.</w:t>
      </w:r>
    </w:p>
    <w:p>
      <w:pPr>
        <w:spacing w:after="0" w:line="14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accordance with ASU 2018-05 and SAB 118, the Company recognized the provisional tax impacts related to the re-measurement of our deferred income tax assets and liabilities and the one-time, mandatory transition tax on deemed repatriation during the year ended December 31, 2017. As of June 30, 2018, we have not made any additional measurement-period adjustments related to these items. Such adjustments may be necessary in future periods due to, among other things, the significant complexity of the Act and anticipated additional regulatory guidance that may be issued by the Internal Revenue Service (“IRS”), changes in analysis, interpretations and assumptions the Company has made and actions the Company may take as a result of the Act. We are continuing to gather information to assess the application of the Act and expect to complete our analysis with the filing of our 2017 income tax returns during 2018.</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Tax Audit Settlements </w:t>
      </w:r>
      <w:r>
        <w:rPr>
          <w:rFonts w:ascii="Arial" w:cs="Arial" w:eastAsia="Arial" w:hAnsi="Arial"/>
          <w:sz w:val="18"/>
          <w:szCs w:val="18"/>
          <w:color w:val="auto"/>
        </w:rPr>
        <w:t>— We are currently under audit by the IRS and various state and local taxing authorities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audits are in various stages of completion. In June 2018, we settled various tax audits, which resulted in a reduction in our income tax expense of $33 million.</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We have significant financial interests in entities established to invest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and manage low-income housing properties and a refined coal facility. We support the operations of these entities in exchange for a pro-rata share of the tax credits they generate. The low-income housing investments and the coal facility’s refinement processes qualify for federal tax credits that we expect to realize through 2020 under Section 42 and through 2019 under Section 45, respectively, of the Internal Revenue Code.</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account for our investments in these entities using the equity method of accounting, recognizing our share of each entity’s results of operations and other reductions in the value of our investments in equity in net losses of unconsolidated entities, in our Condensed Consolidated Statements of Operations. During the three and six months ended June 30, 2018, we recognized $6 million and $12 million of net losses and a reduction in our income tax expense of $12 million and $22 million, respectively, primarily because of tax credits realized from these investments. During the three and six months ended June 30, 2017, we recognized $9 million and $15 million of net losses and a reduction in our income tax expense of $14 million and $25 million, respectively, primarily because of tax credits realized from these investments. Interest expense associated with our investment in low-income housing properties was not material for the periods presented. See Note 13 for additional information related to these unconsolidated variable interest entities.</w:t>
      </w:r>
    </w:p>
    <w:p>
      <w:pPr>
        <w:spacing w:after="0" w:line="18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Equity-Based Compensation </w:t>
      </w:r>
      <w:r>
        <w:rPr>
          <w:rFonts w:ascii="Arial" w:cs="Arial" w:eastAsia="Arial" w:hAnsi="Arial"/>
          <w:sz w:val="18"/>
          <w:szCs w:val="18"/>
          <w:color w:val="auto"/>
        </w:rPr>
        <w:t>— During the three and six months ended June 30, 2018, we recognized a reduction in our</w:t>
      </w:r>
      <w:r>
        <w:rPr>
          <w:rFonts w:ascii="Arial" w:cs="Arial" w:eastAsia="Arial" w:hAnsi="Arial"/>
          <w:sz w:val="18"/>
          <w:szCs w:val="18"/>
          <w:i w:val="1"/>
          <w:iCs w:val="1"/>
          <w:color w:val="auto"/>
        </w:rPr>
        <w:t xml:space="preserve"> </w:t>
      </w:r>
      <w:r>
        <w:rPr>
          <w:rFonts w:ascii="Arial" w:cs="Arial" w:eastAsia="Arial" w:hAnsi="Arial"/>
          <w:sz w:val="18"/>
          <w:szCs w:val="18"/>
          <w:color w:val="auto"/>
        </w:rPr>
        <w:t>income tax expense of $1 million and $12 million, respectively, for excess tax benefits related to the vesting or exercise of equity-based compensation awards compared with $2 million and $34 million, respectively, for the comparable prior year periods.</w:t>
      </w:r>
    </w:p>
    <w:p>
      <w:pPr>
        <w:spacing w:after="0" w:line="183"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7"/>
          <w:szCs w:val="17"/>
          <w:color w:val="auto"/>
        </w:rPr>
        <w:t>Basic and diluted earnings per share were computed using the following common share data (shares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66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5940" w:type="dxa"/>
            <w:vAlign w:val="bottom"/>
          </w:tcPr>
          <w:p>
            <w:pPr>
              <w:spacing w:after="0"/>
              <w:rPr>
                <w:sz w:val="14"/>
                <w:szCs w:val="14"/>
                <w:color w:val="auto"/>
              </w:rPr>
            </w:pPr>
          </w:p>
        </w:tc>
        <w:tc>
          <w:tcPr>
            <w:tcW w:w="100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92"/>
              </w:rPr>
              <w:t>June 30,</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Borders>
              <w:bottom w:val="single" w:sz="8" w:color="auto"/>
            </w:tcBorders>
            <w:gridSpan w:val="3"/>
          </w:tcPr>
          <w:p>
            <w:pPr>
              <w:jc w:val="center"/>
              <w:ind w:left="355"/>
              <w:spacing w:after="0"/>
              <w:rPr>
                <w:sz w:val="20"/>
                <w:szCs w:val="20"/>
                <w:color w:val="auto"/>
              </w:rPr>
            </w:pPr>
            <w:r>
              <w:rPr>
                <w:rFonts w:ascii="Arial" w:cs="Arial" w:eastAsia="Arial" w:hAnsi="Arial"/>
                <w:sz w:val="14"/>
                <w:szCs w:val="14"/>
                <w:b w:val="1"/>
                <w:bCs w:val="1"/>
                <w:color w:val="auto"/>
                <w:w w:val="89"/>
              </w:rPr>
              <w:t>June 30,</w:t>
            </w:r>
          </w:p>
        </w:tc>
        <w:tc>
          <w:tcPr>
            <w:tcW w:w="480" w:type="dxa"/>
            <w:vAlign w:val="bottom"/>
            <w:tcBorders>
              <w:bottom w:val="single" w:sz="8" w:color="auto"/>
            </w:tcBorders>
          </w:tcPr>
          <w:p>
            <w:pPr>
              <w:spacing w:after="0"/>
              <w:rPr>
                <w:sz w:val="14"/>
                <w:szCs w:val="14"/>
                <w:color w:val="auto"/>
              </w:rPr>
            </w:pPr>
          </w:p>
        </w:tc>
      </w:tr>
      <w:tr>
        <w:trPr>
          <w:trHeight w:val="142"/>
        </w:trPr>
        <w:tc>
          <w:tcPr>
            <w:tcW w:w="594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2017</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439.7</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439.7</w:t>
            </w:r>
          </w:p>
        </w:tc>
      </w:tr>
      <w:tr>
        <w:trPr>
          <w:trHeight w:val="216"/>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441.9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441.6</w:t>
            </w:r>
          </w:p>
        </w:tc>
      </w:tr>
      <w:tr>
        <w:trPr>
          <w:trHeight w:val="202"/>
        </w:trPr>
        <w:tc>
          <w:tcPr>
            <w:tcW w:w="5940" w:type="dxa"/>
            <w:vAlign w:val="bottom"/>
          </w:tcPr>
          <w:p>
            <w:pPr>
              <w:ind w:left="220"/>
              <w:spacing w:after="0" w:line="201" w:lineRule="exact"/>
              <w:rPr>
                <w:sz w:val="20"/>
                <w:szCs w:val="20"/>
                <w:color w:val="auto"/>
              </w:rPr>
            </w:pPr>
            <w:r>
              <w:rPr>
                <w:rFonts w:ascii="Arial" w:cs="Arial" w:eastAsia="Arial" w:hAnsi="Arial"/>
                <w:sz w:val="18"/>
                <w:szCs w:val="18"/>
                <w:color w:val="auto"/>
                <w:w w:val="95"/>
              </w:rPr>
              <w:t>Dilutive effect of equity-based compensation awards and other contingently</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30"/>
        </w:trPr>
        <w:tc>
          <w:tcPr>
            <w:tcW w:w="59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issuable shares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444.4</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434.1</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444.4</w:t>
            </w:r>
          </w:p>
        </w:tc>
      </w:tr>
      <w:tr>
        <w:trPr>
          <w:trHeight w:val="203"/>
        </w:trPr>
        <w:tc>
          <w:tcPr>
            <w:tcW w:w="5940" w:type="dxa"/>
            <w:vAlign w:val="bottom"/>
          </w:tcPr>
          <w:p>
            <w:pPr>
              <w:spacing w:after="0" w:line="203" w:lineRule="exact"/>
              <w:rPr>
                <w:sz w:val="20"/>
                <w:szCs w:val="20"/>
                <w:color w:val="auto"/>
              </w:rPr>
            </w:pPr>
            <w:r>
              <w:rPr>
                <w:rFonts w:ascii="Arial" w:cs="Arial" w:eastAsia="Arial" w:hAnsi="Arial"/>
                <w:sz w:val="18"/>
                <w:szCs w:val="18"/>
                <w:color w:val="auto"/>
              </w:rPr>
              <w:t>Potentially issuable shares</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8.0</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8.4</w:t>
            </w:r>
          </w:p>
        </w:tc>
        <w:tc>
          <w:tcPr>
            <w:tcW w:w="1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8.0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jc w:val="right"/>
              <w:spacing w:after="0" w:line="203" w:lineRule="exact"/>
              <w:rPr>
                <w:sz w:val="20"/>
                <w:szCs w:val="20"/>
                <w:color w:val="auto"/>
              </w:rPr>
            </w:pPr>
            <w:r>
              <w:rPr>
                <w:rFonts w:ascii="Arial" w:cs="Arial" w:eastAsia="Arial" w:hAnsi="Arial"/>
                <w:sz w:val="18"/>
                <w:szCs w:val="18"/>
                <w:color w:val="auto"/>
              </w:rPr>
              <w:t>8.4</w:t>
            </w:r>
          </w:p>
        </w:tc>
      </w:tr>
      <w:tr>
        <w:trPr>
          <w:trHeight w:val="202"/>
        </w:trPr>
        <w:tc>
          <w:tcPr>
            <w:tcW w:w="59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common shares outstanding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bl>
    <w:p>
      <w:pPr>
        <w:spacing w:after="0" w:line="21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$2.75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a wholly-owned insurance captive, the sole business of which is to issue surety bonds and/or insurance policies on our behalf.</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automobile liability, workers’ compensation, real and personal property, directors’ and officers’ liability, pollution legal liability and other coverages we believe are customary to the industry. Our exposure to loss for insurance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claims is generally limited to the per incident deductible under the related insurance policy. Our exposure could increase if our insurers are unable to meet their commitments on a timely basis.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portions,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In December 2017, we elected to use a wholly-owned insurance captive to insure the deductibles for our general liability, automobile liability and workers’ compensation claims programs.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do not expect the impact of any known casualty, property, environmental or other contingency to have a material impact on our financial condition, results of operations or cash flows.</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Guarantees — </w:t>
      </w:r>
      <w:r>
        <w:rPr>
          <w:rFonts w:ascii="Arial" w:cs="Arial" w:eastAsia="Arial" w:hAnsi="Arial"/>
          <w:sz w:val="16"/>
          <w:szCs w:val="16"/>
          <w:color w:val="auto"/>
        </w:rPr>
        <w:t>In the ordinary course of our business, WM and WM Holdings enter into guarantee agreements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 See Note 14 for further discussion.</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June 30, 2018, we have guaranteed the obligations and certain performance requirements of third parties in connection with both consolidated and unconsolidated entities, including (i) guarantees to cover certain market value losses for approximately 775 homeowners’ properties adjacent to or near 19 of our landfills and (ii) guarantees totaling $85 million for performance obligations of our Wheelabrator business, divested in 2014. We have also agreed to indemnify certain third-party purchasers against liabilities associated with divested operations prior to such sale.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believe that these contingent obligations will have a material adverse effect on the Company’s financial condition, results of operations or cash flows, and we do not expect the financial impact of operational and financial performance guarantees to materially exceed the recorded fair value.</w:t>
      </w:r>
    </w:p>
    <w:p>
      <w:pPr>
        <w:spacing w:after="0" w:line="1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 as</w:t>
      </w:r>
      <w:r>
        <w:rPr>
          <w:rFonts w:ascii="Arial" w:cs="Arial" w:eastAsia="Arial" w:hAnsi="Arial"/>
          <w:sz w:val="17"/>
          <w:szCs w:val="17"/>
          <w:i w:val="1"/>
          <w:iCs w:val="1"/>
          <w:color w:val="auto"/>
        </w:rPr>
        <w:t xml:space="preserve"> </w:t>
      </w:r>
      <w:r>
        <w:rPr>
          <w:rFonts w:ascii="Arial" w:cs="Arial" w:eastAsia="Arial" w:hAnsi="Arial"/>
          <w:sz w:val="17"/>
          <w:szCs w:val="17"/>
          <w:color w:val="auto"/>
        </w:rPr>
        <w:t>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$145 million higher than the $249 million recorded in the Condensed Consolidated Balance Sheet as of June 30, 2018. Our ultimate responsibility may differ materially from current estimates. It is possible that technological, regulatory or enforcement developments, the results of environmental studies, the inability to identify other PRPs, the inability of other PRPs to</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8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June 30, 2018,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 where no remedy has been selected or the liable parties have been unable to agree on an appropriate allocation, our future costs are uncertain.</w:t>
      </w:r>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operated some of the waste pits from 1965 to 1966 and has been named as a site PRP. In 1998, WM acquired the stock of the parent entity of MIMC. MIMC has been working with the EPA and other named PRPs as the process of addressing the site proceeds. On April 9, 2018, MIMC and International Paper Company entered into an Administrative Order on Consent agreement with the EPA to develop a remedial design for the EPA’s selected remedy for the site. Allocation of responsibility among the PRPs for the selected remedy has not been established. As of June 30, 2018 and December 31, 2017, the recorded liability for MIMC’s estimated potential share of the EPA’s selected remedy and related costs was $55 million. MIMC’s ultimate liability could be materially different from current estimates.</w:t>
      </w:r>
    </w:p>
    <w:p>
      <w:pPr>
        <w:spacing w:after="0" w:line="19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178" w:lineRule="exact"/>
        <w:rPr>
          <w:sz w:val="20"/>
          <w:szCs w:val="20"/>
          <w:color w:val="auto"/>
        </w:rPr>
      </w:pPr>
    </w:p>
    <w:p>
      <w:pPr>
        <w:jc w:val="both"/>
        <w:ind w:left="320" w:firstLine="324"/>
        <w:spacing w:after="0" w:line="279" w:lineRule="auto"/>
        <w:rPr>
          <w:sz w:val="20"/>
          <w:szCs w:val="20"/>
          <w:color w:val="auto"/>
        </w:rPr>
      </w:pPr>
      <w:r>
        <w:rPr>
          <w:rFonts w:ascii="Arial" w:cs="Arial" w:eastAsia="Arial" w:hAnsi="Arial"/>
          <w:sz w:val="17"/>
          <w:szCs w:val="17"/>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320" w:firstLine="324"/>
        <w:spacing w:after="0" w:line="257" w:lineRule="auto"/>
        <w:rPr>
          <w:sz w:val="20"/>
          <w:szCs w:val="20"/>
          <w:color w:val="auto"/>
        </w:rPr>
      </w:pPr>
      <w:r>
        <w:rPr>
          <w:rFonts w:ascii="Arial" w:cs="Arial" w:eastAsia="Arial" w:hAnsi="Arial"/>
          <w:sz w:val="18"/>
          <w:szCs w:val="18"/>
          <w:color w:val="auto"/>
        </w:rPr>
        <w:t>The Hawaii Department of Health and the EPA have asserted civil penalty claims against Waste Management of Hawaii, Inc. (“WMHI”), an indirect wholly-owned subsidiary of WM, based on stormwater discharges at the Waimanalo Gulch Sanitary Landfill following two major rainstorms in December 2010 and January 2011 and alleged violations of stormwater permit requirements prior to and after the storms. WMHI operates the landfill for the City and County of Honolulu.</w:t>
      </w:r>
    </w:p>
    <w:p>
      <w:pPr>
        <w:spacing w:after="0" w:line="18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 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6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As a large company with operations across the U.S. and Canada, we are subject to various proceedings,</w:t>
      </w:r>
      <w:r>
        <w:rPr>
          <w:rFonts w:ascii="Arial" w:cs="Arial" w:eastAsia="Arial" w:hAnsi="Arial"/>
          <w:sz w:val="17"/>
          <w:szCs w:val="17"/>
          <w:i w:val="1"/>
          <w:iCs w:val="1"/>
          <w:color w:val="auto"/>
        </w:rPr>
        <w:t xml:space="preserve"> </w:t>
      </w:r>
      <w:r>
        <w:rPr>
          <w:rFonts w:ascii="Arial" w:cs="Arial" w:eastAsia="Arial" w:hAnsi="Arial"/>
          <w:sz w:val="17"/>
          <w:szCs w:val="17"/>
          <w:color w:val="auto"/>
        </w:rPr>
        <w:t>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2"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or nonrenewal of a customer contract, the decertification of a union, or relocation, reduction or discontinuance of certain operations) may also trigger a complete or partial withdrawal from one or more of these pension plans.</w:t>
      </w:r>
    </w:p>
    <w:p>
      <w:pPr>
        <w:spacing w:after="0" w:line="17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do not believe that any future liability relating to our past or current participation in, or withdrawals from, the Multiemployer Pension Plans to which we contribute will have a material adverse effect on our business, financial condition or liquidity. However, liability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88"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i w:val="1"/>
          <w:iCs w:val="1"/>
          <w:color w:val="auto"/>
        </w:rPr>
        <w:t xml:space="preserve">Tax Matters — </w:t>
      </w:r>
      <w:r>
        <w:rPr>
          <w:rFonts w:ascii="Arial" w:cs="Arial" w:eastAsia="Arial" w:hAnsi="Arial"/>
          <w:sz w:val="18"/>
          <w:szCs w:val="18"/>
          <w:color w:val="auto"/>
        </w:rPr>
        <w:t>We participate in the IRS’s Compliance Assurance Process, which means we work with the IRS</w:t>
      </w:r>
      <w:r>
        <w:rPr>
          <w:rFonts w:ascii="Arial" w:cs="Arial" w:eastAsia="Arial" w:hAnsi="Arial"/>
          <w:sz w:val="18"/>
          <w:szCs w:val="18"/>
          <w:i w:val="1"/>
          <w:iCs w:val="1"/>
          <w:color w:val="auto"/>
        </w:rPr>
        <w:t xml:space="preserve"> </w:t>
      </w:r>
      <w:r>
        <w:rPr>
          <w:rFonts w:ascii="Arial" w:cs="Arial" w:eastAsia="Arial" w:hAnsi="Arial"/>
          <w:sz w:val="18"/>
          <w:szCs w:val="18"/>
          <w:color w:val="auto"/>
        </w:rPr>
        <w:t>throughout the year towards resolving any material issues prior to the filing of our annual tax return. Any unresolved issues as of the tax return filing date are subject to routine examination procedures. We are currently in the examination phase of IRS audits for the 2017 and 2018 tax years and expect these audits to be completed within the next 21 months. We are also currently undergoing audits by various state and local jurisdictions for tax years that date back to 2011.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8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6"/>
          <w:szCs w:val="16"/>
          <w:b w:val="1"/>
          <w:bCs w:val="1"/>
          <w:color w:val="auto"/>
        </w:rPr>
        <w:t>Segment and Related Information</w:t>
      </w:r>
    </w:p>
    <w:p>
      <w:pPr>
        <w:spacing w:after="0" w:line="229"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The 17 Areas constitute our operating segments and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Annually, we analyze the Areas’ income from operations margins for purposes of segment reporting and in the fourth quarter of 2017, we realigned our Solid Waste tiers to reflect changes in their relative economic characteristics and prospects. These changes are the results of various factors including acquisitions, divestments, business mix and the economic climate of various geographies. Reclassifications have been made to our prior period consolidated financial information to conform to the current year presentation.</w:t>
      </w:r>
    </w:p>
    <w:p>
      <w:pPr>
        <w:spacing w:after="0" w:line="18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Tier 1 is comprised of our operations across the Southern U.S., with the exception of Southern California and the Florida peninsula, and also includes the New England states, the tri-state area of Michigan, Indiana and Ohio, and Western Canada. Tier 2 now includes Southern California, Eastern Canada, Wisconsin and Minnesota. Tier 3 now encompasses all the remaining operations including the Pacific Northwest and Northern California, the Mid-Atlantic region of the U.S., the Florida peninsula, Illinois and Missouri.</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Summarized financial information concerning our reportable segments is shown in the following table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1"/>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9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5"/>
              </w:rPr>
              <w:t>Intercompany</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jc w:val="center"/>
              <w:ind w:right="71"/>
              <w:spacing w:after="0"/>
              <w:rPr>
                <w:sz w:val="20"/>
                <w:szCs w:val="20"/>
                <w:color w:val="auto"/>
              </w:rPr>
            </w:pPr>
            <w:r>
              <w:rPr>
                <w:rFonts w:ascii="Arial" w:cs="Arial" w:eastAsia="Arial" w:hAnsi="Arial"/>
                <w:sz w:val="14"/>
                <w:szCs w:val="14"/>
                <w:b w:val="1"/>
                <w:bCs w:val="1"/>
                <w:color w:val="auto"/>
                <w:w w:val="97"/>
              </w:rPr>
              <w:t>Net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6"/>
              </w:rPr>
              <w:t>Operating</w:t>
            </w:r>
          </w:p>
        </w:tc>
        <w:tc>
          <w:tcPr>
            <w:tcW w:w="8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Revenues</w:t>
            </w:r>
          </w:p>
        </w:tc>
        <w:tc>
          <w:tcPr>
            <w:tcW w:w="8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8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June 30:</w:t>
            </w:r>
          </w:p>
        </w:tc>
        <w:tc>
          <w:tcPr>
            <w:tcW w:w="22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1060" w:type="dxa"/>
            <w:vAlign w:val="bottom"/>
            <w:tcBorders>
              <w:top w:val="single" w:sz="8" w:color="CCEEFF"/>
            </w:tcBorders>
          </w:tcPr>
          <w:p>
            <w:pPr>
              <w:spacing w:after="0"/>
              <w:rPr>
                <w:sz w:val="18"/>
                <w:szCs w:val="18"/>
                <w:color w:val="auto"/>
              </w:rPr>
            </w:pPr>
          </w:p>
        </w:tc>
        <w:tc>
          <w:tcPr>
            <w:tcW w:w="22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2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1,485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(269)</w:t>
            </w:r>
          </w:p>
        </w:tc>
        <w:tc>
          <w:tcPr>
            <w:tcW w:w="80" w:type="dxa"/>
            <w:vAlign w:val="bottom"/>
          </w:tcPr>
          <w:p>
            <w:pPr>
              <w:spacing w:after="0"/>
              <w:rPr>
                <w:sz w:val="18"/>
                <w:szCs w:val="18"/>
                <w:color w:val="auto"/>
              </w:rPr>
            </w:pPr>
          </w:p>
        </w:tc>
        <w:tc>
          <w:tcPr>
            <w:tcW w:w="2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1,216</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Tier 3</w:t>
            </w:r>
          </w:p>
        </w:tc>
        <w:tc>
          <w:tcPr>
            <w:tcW w:w="2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Solid Waste</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06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gridSpan w:val="2"/>
          </w:tcPr>
          <w:p>
            <w:pPr>
              <w:ind w:left="300"/>
              <w:spacing w:after="0"/>
              <w:rPr>
                <w:sz w:val="20"/>
                <w:szCs w:val="20"/>
                <w:color w:val="auto"/>
              </w:rPr>
            </w:pPr>
            <w:r>
              <w:rPr>
                <w:rFonts w:ascii="Arial" w:cs="Arial" w:eastAsia="Arial" w:hAnsi="Arial"/>
                <w:sz w:val="18"/>
                <w:szCs w:val="18"/>
                <w:color w:val="auto"/>
              </w:rPr>
              <w:t>Solid Waste</w:t>
            </w:r>
          </w:p>
        </w:tc>
        <w:tc>
          <w:tcPr>
            <w:tcW w:w="2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4,416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8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972"/>
        </w:trPr>
        <w:tc>
          <w:tcPr>
            <w:tcW w:w="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jc w:val="right"/>
              <w:ind w:right="93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Intercompany</w:t>
            </w:r>
          </w:p>
        </w:tc>
        <w:tc>
          <w:tcPr>
            <w:tcW w:w="16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1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Income</w:t>
            </w:r>
          </w:p>
        </w:tc>
      </w:tr>
      <w:tr>
        <w:trPr>
          <w:trHeight w:val="149"/>
        </w:trPr>
        <w:tc>
          <w:tcPr>
            <w:tcW w:w="2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2"/>
                <w:szCs w:val="12"/>
                <w:color w:val="auto"/>
              </w:rPr>
            </w:pPr>
          </w:p>
        </w:tc>
        <w:tc>
          <w:tcPr>
            <w:tcW w:w="94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Operating</w:t>
            </w: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1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r>
      <w:tr>
        <w:trPr>
          <w:trHeight w:val="171"/>
        </w:trPr>
        <w:tc>
          <w:tcPr>
            <w:tcW w:w="2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Revenues</w:t>
            </w:r>
          </w:p>
        </w:tc>
        <w:tc>
          <w:tcPr>
            <w:tcW w:w="100" w:type="dxa"/>
            <w:vAlign w:val="bottom"/>
          </w:tcPr>
          <w:p>
            <w:pPr>
              <w:spacing w:after="0"/>
              <w:rPr>
                <w:sz w:val="14"/>
                <w:szCs w:val="1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Revenues</w:t>
            </w: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Operations</w:t>
            </w:r>
          </w:p>
        </w:tc>
      </w:tr>
      <w:tr>
        <w:trPr>
          <w:trHeight w:val="176"/>
        </w:trPr>
        <w:tc>
          <w:tcPr>
            <w:tcW w:w="3880" w:type="dxa"/>
            <w:vAlign w:val="bottom"/>
            <w:tcBorders>
              <w:top w:val="single" w:sz="8" w:color="CCEEFF"/>
            </w:tcBorders>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Six Months Ended June 30:</w:t>
            </w:r>
          </w:p>
        </w:tc>
        <w:tc>
          <w:tcPr>
            <w:tcW w:w="17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r>
      <w:tr>
        <w:trPr>
          <w:trHeight w:val="216"/>
        </w:trPr>
        <w:tc>
          <w:tcPr>
            <w:tcW w:w="21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176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Tier 1</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2,858</w:t>
            </w:r>
          </w:p>
        </w:tc>
        <w:tc>
          <w:tcPr>
            <w:tcW w:w="1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(510)</w:t>
            </w:r>
          </w:p>
        </w:tc>
        <w:tc>
          <w:tcPr>
            <w:tcW w:w="160" w:type="dxa"/>
            <w:vAlign w:val="bottom"/>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2,348</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760</w:t>
            </w: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Tier 3</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(659)</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586</w:t>
            </w:r>
          </w:p>
        </w:tc>
      </w:tr>
      <w:tr>
        <w:trPr>
          <w:trHeight w:val="210"/>
        </w:trPr>
        <w:tc>
          <w:tcPr>
            <w:tcW w:w="388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Solid Waste</w:t>
            </w:r>
          </w:p>
        </w:tc>
        <w:tc>
          <w:tcPr>
            <w:tcW w:w="1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6,140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1,609</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0"/>
        </w:trPr>
        <w:tc>
          <w:tcPr>
            <w:tcW w:w="21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1,599</w:t>
            </w: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17"/>
        </w:trPr>
        <w:tc>
          <w:tcPr>
            <w:tcW w:w="388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r>
      <w:tr>
        <w:trPr>
          <w:trHeight w:val="216"/>
        </w:trPr>
        <w:tc>
          <w:tcPr>
            <w:tcW w:w="2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2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176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1</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w:t>
            </w:r>
          </w:p>
        </w:tc>
      </w:tr>
      <w:tr>
        <w:trPr>
          <w:trHeight w:val="216"/>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Tier 2</w:t>
            </w:r>
          </w:p>
        </w:tc>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w:t>
            </w:r>
          </w:p>
        </w:tc>
      </w:tr>
      <w:tr>
        <w:trPr>
          <w:trHeight w:val="216"/>
        </w:trPr>
        <w:tc>
          <w:tcPr>
            <w:tcW w:w="3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Tier 3</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(596)</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10"/>
        </w:trPr>
        <w:tc>
          <w:tcPr>
            <w:tcW w:w="3880" w:type="dxa"/>
            <w:vAlign w:val="bottom"/>
            <w:gridSpan w:val="2"/>
          </w:tcPr>
          <w:p>
            <w:pPr>
              <w:ind w:left="320"/>
              <w:spacing w:after="0"/>
              <w:rPr>
                <w:sz w:val="20"/>
                <w:szCs w:val="20"/>
                <w:color w:val="auto"/>
              </w:rPr>
            </w:pPr>
            <w:r>
              <w:rPr>
                <w:rFonts w:ascii="Arial" w:cs="Arial" w:eastAsia="Arial" w:hAnsi="Arial"/>
                <w:sz w:val="18"/>
                <w:szCs w:val="18"/>
                <w:color w:val="auto"/>
              </w:rPr>
              <w:t>Solid Waste</w:t>
            </w:r>
          </w:p>
        </w:tc>
        <w:tc>
          <w:tcPr>
            <w:tcW w:w="1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7,268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(1,307)</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1,583</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10"/>
        </w:trPr>
        <w:tc>
          <w:tcPr>
            <w:tcW w:w="2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8,528</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1,533</w:t>
            </w: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r>
      <w:tr>
        <w:trPr>
          <w:trHeight w:val="217"/>
        </w:trPr>
        <w:tc>
          <w:tcPr>
            <w:tcW w:w="38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7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8,528</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1,231</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mix of operating revenues from our major lines of business are as follows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4"/>
          </w:tcPr>
          <w:p>
            <w:pPr>
              <w:jc w:val="right"/>
              <w:ind w:right="31"/>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ind w:right="111"/>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2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2017</w:t>
            </w: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Residential</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632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3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10"/>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Landfill</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1,603</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Recycling</w:t>
            </w:r>
          </w:p>
        </w:tc>
        <w:tc>
          <w:tcPr>
            <w:tcW w:w="3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Other (a)</w:t>
            </w:r>
          </w:p>
        </w:tc>
        <w:tc>
          <w:tcPr>
            <w:tcW w:w="3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 (b)</w:t>
            </w:r>
          </w:p>
        </w:tc>
        <w:tc>
          <w:tcPr>
            <w:tcW w:w="3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(1,513)</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(1,411)</w:t>
            </w:r>
          </w:p>
        </w:tc>
      </w:tr>
      <w:tr>
        <w:trPr>
          <w:trHeight w:val="217"/>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3,677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r>
      <w:tr>
        <w:trPr>
          <w:trHeight w:val="108"/>
        </w:trPr>
        <w:tc>
          <w:tcPr>
            <w:tcW w:w="2280" w:type="dxa"/>
            <w:vAlign w:val="bottom"/>
            <w:tcBorders>
              <w:bottom w:val="single" w:sz="8" w:color="auto"/>
            </w:tcBorders>
          </w:tcPr>
          <w:p>
            <w:pPr>
              <w:spacing w:after="0"/>
              <w:rPr>
                <w:sz w:val="9"/>
                <w:szCs w:val="9"/>
                <w:color w:val="auto"/>
              </w:rPr>
            </w:pPr>
          </w:p>
        </w:tc>
        <w:tc>
          <w:tcPr>
            <w:tcW w:w="3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net of intercompany activity.</w:t>
      </w:r>
    </w:p>
    <w:p>
      <w:pPr>
        <w:spacing w:after="0" w:line="80"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Fluctuations in our operating results may be caused by many factors, including period-to-period changes in the relative contribution of revenue by each line of business, changes in commodity prices and general economic conditions. In addition,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U.S.,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Acquisitions and Divestitures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six months ended June 30, 2018, we acquired 12 solid waste businesses. Total consideration, net of cash acquired, for these acquisitions was $266 million, which included $256 million in cash paid and $10 million of purchase price holdbacks. The businesses acquired provide collection, transfer and disposal services. As of June 30, 2018, the allocation of the purchase price for these acquisitions is preliminary; fair value estimates of identifiable assets acquired and liabilities assumed are based on management’s estimates, judgments and assumptions and are subject to change until finalized.</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six months ended June 30, 2018, we sold certain ancillary operations and received cash proceeds from these divestitures of $86 million and recognized net gains of $42 million, which are included in (gain) loss from divestitures, asset impairments and unusual items, net in the Condensed Consolidated Statement of Operations.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Available-</w:t>
            </w:r>
          </w:p>
        </w:tc>
        <w:tc>
          <w:tcPr>
            <w:tcW w:w="100" w:type="dxa"/>
            <w:vAlign w:val="bottom"/>
          </w:tcPr>
          <w:p>
            <w:pPr>
              <w:spacing w:after="0"/>
              <w:rPr>
                <w:sz w:val="14"/>
                <w:szCs w:val="14"/>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Post-</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9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Retirement</w:t>
            </w: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for-Sale</w:t>
            </w:r>
          </w:p>
        </w:tc>
        <w:tc>
          <w:tcPr>
            <w:tcW w:w="9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Benefit</w:t>
            </w:r>
          </w:p>
        </w:tc>
        <w:tc>
          <w:tcPr>
            <w:tcW w:w="4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Instruments</w:t>
            </w:r>
          </w:p>
        </w:tc>
        <w:tc>
          <w:tcPr>
            <w:tcW w:w="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Securities</w:t>
            </w:r>
          </w:p>
        </w:tc>
        <w:tc>
          <w:tcPr>
            <w:tcW w:w="9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Adjustments</w:t>
            </w:r>
          </w:p>
        </w:tc>
        <w:tc>
          <w:tcPr>
            <w:tcW w:w="9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0"/>
              </w:rPr>
              <w:t>Obligations</w:t>
            </w:r>
          </w:p>
        </w:tc>
        <w:tc>
          <w:tcPr>
            <w:tcW w:w="4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2"/>
        </w:trPr>
        <w:tc>
          <w:tcPr>
            <w:tcW w:w="49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2"/>
              </w:rPr>
              <w:t>Other comprehensive income (loss) before reclassifications, net</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20" w:type="dxa"/>
            <w:vAlign w:val="bottom"/>
            <w:gridSpan w:val="2"/>
          </w:tcPr>
          <w:p>
            <w:pPr>
              <w:ind w:left="360"/>
              <w:spacing w:after="0"/>
              <w:rPr>
                <w:sz w:val="20"/>
                <w:szCs w:val="20"/>
                <w:color w:val="auto"/>
              </w:rPr>
            </w:pPr>
            <w:r>
              <w:rPr>
                <w:rFonts w:ascii="Arial" w:cs="Arial" w:eastAsia="Arial" w:hAnsi="Arial"/>
                <w:sz w:val="18"/>
                <w:szCs w:val="18"/>
                <w:color w:val="auto"/>
                <w:w w:val="99"/>
              </w:rPr>
              <w:t>of tax expense (benefit) of $0, $0, $0 and $0, respectively</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(56)</w:t>
            </w:r>
          </w:p>
        </w:tc>
        <w:tc>
          <w:tcPr>
            <w:tcW w:w="0" w:type="dxa"/>
            <w:vAlign w:val="bottom"/>
          </w:tcPr>
          <w:p>
            <w:pPr>
              <w:spacing w:after="0"/>
              <w:rPr>
                <w:sz w:val="1"/>
                <w:szCs w:val="1"/>
                <w:color w:val="auto"/>
              </w:rPr>
            </w:pPr>
          </w:p>
        </w:tc>
      </w:tr>
      <w:tr>
        <w:trPr>
          <w:trHeight w:val="202"/>
        </w:trPr>
        <w:tc>
          <w:tcPr>
            <w:tcW w:w="49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Amounts reclassified from accumulated other comprehensive</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5"/>
              </w:rPr>
              <w:t>(income) loss, net of tax (expense) benefit of $2, $0, $0 and</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$0, respectively</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4920" w:type="dxa"/>
            <w:vAlign w:val="bottom"/>
            <w:gridSpan w:val="2"/>
          </w:tcPr>
          <w:p>
            <w:pPr>
              <w:spacing w:after="0"/>
              <w:rPr>
                <w:sz w:val="20"/>
                <w:szCs w:val="20"/>
                <w:color w:val="auto"/>
              </w:rPr>
            </w:pPr>
            <w:r>
              <w:rPr>
                <w:rFonts w:ascii="Arial" w:cs="Arial" w:eastAsia="Arial" w:hAnsi="Arial"/>
                <w:sz w:val="18"/>
                <w:szCs w:val="18"/>
                <w:color w:val="auto"/>
              </w:rPr>
              <w:t>Net current period other comprehensive income (loss)</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216"/>
        </w:trPr>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Adoption of new accounting standard (a)</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7"/>
        </w:trPr>
        <w:tc>
          <w:tcPr>
            <w:tcW w:w="4920" w:type="dxa"/>
            <w:vAlign w:val="bottom"/>
            <w:gridSpan w:val="2"/>
          </w:tcPr>
          <w:p>
            <w:pPr>
              <w:spacing w:after="0"/>
              <w:rPr>
                <w:sz w:val="20"/>
                <w:szCs w:val="20"/>
                <w:color w:val="auto"/>
              </w:rPr>
            </w:pPr>
            <w:r>
              <w:rPr>
                <w:rFonts w:ascii="Arial" w:cs="Arial" w:eastAsia="Arial" w:hAnsi="Arial"/>
                <w:sz w:val="18"/>
                <w:szCs w:val="18"/>
                <w:color w:val="auto"/>
              </w:rPr>
              <w:t>Balance, June 30, 2018</w:t>
            </w:r>
          </w:p>
        </w:tc>
        <w:tc>
          <w:tcPr>
            <w:tcW w:w="1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(49)</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 of January 1, 2018, we adopted ASU 2018-02 and reclassified stranded tax effects to retained earnings. See Note 1 for further discussion of ASU 2018-02.</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had no active derivatives outstanding during the reported periods. Amounts reclassified out of accumulated other comprehensive income (loss) associated with our previously terminated cash flow hedges were not material for the periods presented.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 Repurchase Program</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repurchases shares of its common stock as part of capital allocation programs authorized by our Board of Directors. During the six months ended June 30, 2018, we entered into and completed two accelerated share repurchase agreements to repurchase $450 million of our common stock and received 5.4 million shares based on a final weighted average per share price of $83.87.</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From March 2018 through May 2018, we repurchased an additional 1.2 million shares in open market transactions in compliance with Rule 10b5-1 and Rule 10b-18 of the Exchange Act for $100 million, inclusive of per-share commissions, at a weighted average per share price of $83.20.</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2018, the Company has authorization for $700 million of future share repurchases. Any future share repurchases pursuant to this authorization of our Board of Directors will be made at the discretion of management and will depend on factors similar to those considered by the Board of Directors in making dividend declarations, including our net earnings, financial condition and cash required for future business plans.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assets and liabilities that are measured at fair value on a recurring basis include the following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June 30,</w:t>
            </w: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2018</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4"/>
                <w:szCs w:val="14"/>
                <w:color w:val="auto"/>
              </w:rPr>
            </w:pPr>
          </w:p>
        </w:tc>
      </w:tr>
      <w:tr>
        <w:trPr>
          <w:trHeight w:val="142"/>
        </w:trPr>
        <w:tc>
          <w:tcPr>
            <w:tcW w:w="2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36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76"/>
        </w:trPr>
        <w:tc>
          <w:tcPr>
            <w:tcW w:w="68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Fair Value Measurements Using:</w:t>
            </w: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
        </w:trPr>
        <w:tc>
          <w:tcPr>
            <w:tcW w:w="2280" w:type="dxa"/>
            <w:vAlign w:val="bottom"/>
            <w:tcBorders>
              <w:top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4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Quoted prices in active markets (Level 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200" w:type="dxa"/>
            <w:vAlign w:val="bottom"/>
            <w:shd w:val="clear" w:color="auto" w:fill="CCEEFF"/>
          </w:tcPr>
          <w:p>
            <w:pPr>
              <w:spacing w:after="0"/>
              <w:rPr>
                <w:sz w:val="18"/>
                <w:szCs w:val="18"/>
                <w:color w:val="auto"/>
              </w:rPr>
            </w:pPr>
          </w:p>
        </w:tc>
      </w:tr>
      <w:tr>
        <w:trPr>
          <w:trHeight w:val="210"/>
        </w:trPr>
        <w:tc>
          <w:tcPr>
            <w:tcW w:w="22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43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200" w:type="dxa"/>
            <w:vAlign w:val="bottom"/>
            <w:tcBorders>
              <w:bottom w:val="single" w:sz="8" w:color="CCEEFF"/>
            </w:tcBorders>
          </w:tcPr>
          <w:p>
            <w:pPr>
              <w:spacing w:after="0"/>
              <w:rPr>
                <w:sz w:val="18"/>
                <w:szCs w:val="18"/>
                <w:color w:val="auto"/>
              </w:rPr>
            </w:pPr>
          </w:p>
        </w:tc>
      </w:tr>
      <w:tr>
        <w:trPr>
          <w:trHeight w:val="115"/>
        </w:trPr>
        <w:tc>
          <w:tcPr>
            <w:tcW w:w="2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3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r>
      <w:tr>
        <w:trPr>
          <w:trHeight w:val="216"/>
        </w:trPr>
        <w:tc>
          <w:tcPr>
            <w:tcW w:w="6880" w:type="dxa"/>
            <w:vAlign w:val="bottom"/>
            <w:gridSpan w:val="3"/>
          </w:tcPr>
          <w:p>
            <w:pPr>
              <w:spacing w:after="0"/>
              <w:rPr>
                <w:sz w:val="20"/>
                <w:szCs w:val="20"/>
                <w:color w:val="auto"/>
              </w:rPr>
            </w:pPr>
            <w:r>
              <w:rPr>
                <w:rFonts w:ascii="Arial" w:cs="Arial" w:eastAsia="Arial" w:hAnsi="Arial"/>
                <w:sz w:val="18"/>
                <w:szCs w:val="18"/>
                <w:color w:val="auto"/>
              </w:rPr>
              <w:t>Significant other observable inputs (Level 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8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r>
      <w:tr>
        <w:trPr>
          <w:trHeight w:val="216"/>
        </w:trPr>
        <w:tc>
          <w:tcPr>
            <w:tcW w:w="68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Fixed-income securities</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tcPr>
          <w:p>
            <w:pPr>
              <w:spacing w:after="0"/>
              <w:rPr>
                <w:sz w:val="18"/>
                <w:szCs w:val="18"/>
                <w:color w:val="auto"/>
              </w:rPr>
            </w:pPr>
          </w:p>
        </w:tc>
      </w:tr>
      <w:tr>
        <w:trPr>
          <w:trHeight w:val="210"/>
        </w:trPr>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r>
      <w:tr>
        <w:trPr>
          <w:trHeight w:val="115"/>
        </w:trPr>
        <w:tc>
          <w:tcPr>
            <w:tcW w:w="2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216"/>
        </w:trPr>
        <w:tc>
          <w:tcPr>
            <w:tcW w:w="6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Significant unobservable inputs (Level 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880" w:type="dxa"/>
            <w:vAlign w:val="bottom"/>
            <w:tcBorders>
              <w:bottom w:val="single" w:sz="8" w:color="CCEEFF"/>
            </w:tcBorders>
            <w:gridSpan w:val="3"/>
          </w:tcPr>
          <w:p>
            <w:pPr>
              <w:ind w:left="120"/>
              <w:spacing w:after="0"/>
              <w:rPr>
                <w:sz w:val="20"/>
                <w:szCs w:val="20"/>
                <w:color w:val="auto"/>
              </w:rPr>
            </w:pPr>
            <w:r>
              <w:rPr>
                <w:rFonts w:ascii="Arial" w:cs="Arial" w:eastAsia="Arial" w:hAnsi="Arial"/>
                <w:sz w:val="18"/>
                <w:szCs w:val="18"/>
                <w:color w:val="auto"/>
              </w:rPr>
              <w:t>Redeemable preferred stock (a)</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200" w:type="dxa"/>
            <w:vAlign w:val="bottom"/>
            <w:tcBorders>
              <w:bottom w:val="single" w:sz="8" w:color="CCEEFF"/>
            </w:tcBorders>
          </w:tcPr>
          <w:p>
            <w:pPr>
              <w:spacing w:after="0"/>
              <w:rPr>
                <w:sz w:val="18"/>
                <w:szCs w:val="18"/>
                <w:color w:val="auto"/>
              </w:rPr>
            </w:pPr>
          </w:p>
        </w:tc>
      </w:tr>
      <w:tr>
        <w:trPr>
          <w:trHeight w:val="210"/>
        </w:trPr>
        <w:tc>
          <w:tcPr>
            <w:tcW w:w="2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r>
      <w:tr>
        <w:trPr>
          <w:trHeight w:val="115"/>
        </w:trPr>
        <w:tc>
          <w:tcPr>
            <w:tcW w:w="2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r>
      <w:tr>
        <w:trPr>
          <w:trHeight w:val="223"/>
        </w:trPr>
        <w:tc>
          <w:tcPr>
            <w:tcW w:w="6880" w:type="dxa"/>
            <w:vAlign w:val="bottom"/>
            <w:tcBorders>
              <w:bottom w:val="single" w:sz="8" w:color="CCEEFF"/>
            </w:tcBorders>
            <w:gridSpan w:val="3"/>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tcBorders>
              <w:bottom w:val="single" w:sz="8" w:color="CCEEFF"/>
            </w:tcBorders>
            <w:shd w:val="clear" w:color="auto" w:fill="CCEEFF"/>
          </w:tcPr>
          <w:p>
            <w:pPr>
              <w:spacing w:after="0"/>
              <w:rPr>
                <w:sz w:val="19"/>
                <w:szCs w:val="19"/>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4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5"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techniques, third-party appraisals or industry multiples and public comparables. There has not been any significant change in the fair value of the redeemable preferred stock since our assessment as of December 31, 2017.</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June 30, 2018 and December 31, 2017, the carrying value of our debt was $9.8 billion and $9.5 billion, respectively. The estimated fair value of our debt was approximately $9.9 billion as of June 30, 2018 and December 31, 2017.</w:t>
      </w:r>
    </w:p>
    <w:p>
      <w:pPr>
        <w:spacing w:after="0" w:line="18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Although we have determined the estimated fair value amounts using available market information and commonly accepted valuation methodologies, considerable judgment is required in interpreting market data to develop the estimates 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June 30, 2018 and December 31, 2017. These amounts have not been revalued since those dates, and current estimates of fair value could differ significantly from the amounts presented.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do not consolidate our investments in entities established to manage low-income housing properties and a refined coal facility as we have determined we are not the primary beneficiary of these entities as we do not have the power to individually direct the activities of these entities. Accordingly, we account for these investments under the equity method of accounting. Our aggregate investment balance in these two entities was $48 million and $59 million as of June 30, 2018 and December 31, 2017, respectively. The debt balance related to our investment in low-income housing properties was $23 million and $34 million as of June 30, 2018 and December 31, 2017, respectively. Additional information related to these investments is discussed in Note 5.</w:t>
      </w:r>
    </w:p>
    <w:p>
      <w:pPr>
        <w:spacing w:after="0" w:line="18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host community in which we operate are not consolidated because we are not the primary beneficiary of these entities as we either do not have the (i)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$99 million as of June 30, 2018 and December 31, 2017.</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 we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primary beneficiary. These trust funds are recorded in restricted trust and escrow accounts in our Condensed Consolidated Balance Sheets. Unrealized gains and losses on available-for-sale securities held by these trusts are recorded as a component of our accumulated other comprehensive income (loss). These trusts had a fair value of $102 million and $101 million as of June 30, 2018 and December 31, 2017,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June 30, 2018</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4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WM</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60" w:type="dxa"/>
            <w:vAlign w:val="bottom"/>
          </w:tcPr>
          <w:p>
            <w:pPr>
              <w:spacing w:after="0"/>
              <w:rPr>
                <w:sz w:val="14"/>
                <w:szCs w:val="14"/>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vMerge w:val="restart"/>
          </w:tcPr>
          <w:p>
            <w:pPr>
              <w:spacing w:after="0"/>
              <w:rPr>
                <w:sz w:val="14"/>
                <w:szCs w:val="14"/>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Holdings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1"/>
              </w:rPr>
              <w:t>Subsidiaries</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vMerge w:val="continue"/>
          </w:tcPr>
          <w:p>
            <w:pPr>
              <w:spacing w:after="0"/>
              <w:rPr>
                <w:sz w:val="14"/>
                <w:szCs w:val="14"/>
                <w:color w:val="auto"/>
              </w:rPr>
            </w:pPr>
          </w:p>
        </w:tc>
        <w:tc>
          <w:tcPr>
            <w:tcW w:w="88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center"/>
              <w:ind w:left="50"/>
              <w:spacing w:after="0" w:line="196" w:lineRule="exact"/>
              <w:rPr>
                <w:sz w:val="20"/>
                <w:szCs w:val="20"/>
                <w:color w:val="auto"/>
              </w:rPr>
            </w:pPr>
            <w:r>
              <w:rPr>
                <w:rFonts w:ascii="Arial" w:cs="Arial" w:eastAsia="Arial" w:hAnsi="Arial"/>
                <w:sz w:val="18"/>
                <w:szCs w:val="18"/>
                <w:b w:val="1"/>
                <w:bCs w:val="1"/>
                <w:color w:val="auto"/>
                <w:w w:val="91"/>
              </w:rPr>
              <w:t>ASSETS</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2,326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2,424</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11,625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11,625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23,466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23,921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(47,387)</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15,969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(15,969)</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7,918</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23,565</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23,959</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37,846</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(63,356)</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22,014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gridSpan w:val="8"/>
          </w:tcPr>
          <w:p>
            <w:pPr>
              <w:jc w:val="center"/>
              <w:ind w:left="289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491</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337</w:t>
            </w:r>
          </w:p>
        </w:tc>
        <w:tc>
          <w:tcPr>
            <w:tcW w:w="8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2,477</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3,305</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Due to affiliates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16,069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6,073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(22,323)</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3,681</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3,685</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23,584</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(22,323)</w:t>
            </w:r>
          </w:p>
        </w:tc>
        <w:tc>
          <w:tcPr>
            <w:tcW w:w="1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15,958</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6,054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23,465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23,922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(47,387)</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6,054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(6,073)</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23,465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(41,033)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0" w:type="dxa"/>
            <w:vAlign w:val="bottom"/>
          </w:tcPr>
          <w:p>
            <w:pPr>
              <w:spacing w:after="0"/>
              <w:rPr>
                <w:sz w:val="1"/>
                <w:szCs w:val="1"/>
                <w:color w:val="auto"/>
              </w:rPr>
            </w:pPr>
          </w:p>
        </w:tc>
      </w:tr>
      <w:tr>
        <w:trPr>
          <w:trHeight w:val="217"/>
        </w:trPr>
        <w:tc>
          <w:tcPr>
            <w:tcW w:w="38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23,565</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23,959</w:t>
            </w: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(63,356)</w:t>
            </w:r>
          </w:p>
        </w:tc>
        <w:tc>
          <w:tcPr>
            <w:tcW w:w="14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22,014</w:t>
            </w:r>
          </w:p>
        </w:tc>
        <w:tc>
          <w:tcPr>
            <w:tcW w:w="0" w:type="dxa"/>
            <w:vAlign w:val="bottom"/>
          </w:tcPr>
          <w:p>
            <w:pPr>
              <w:spacing w:after="0"/>
              <w:rPr>
                <w:sz w:val="1"/>
                <w:szCs w:val="1"/>
                <w:color w:val="auto"/>
              </w:rPr>
            </w:pPr>
          </w:p>
        </w:tc>
      </w:tr>
      <w:tr>
        <w:trPr>
          <w:trHeight w:val="864"/>
        </w:trPr>
        <w:tc>
          <w:tcPr>
            <w:tcW w:w="3840" w:type="dxa"/>
            <w:vAlign w:val="bottom"/>
          </w:tcPr>
          <w:p>
            <w:pPr>
              <w:spacing w:after="0"/>
              <w:rPr>
                <w:sz w:val="24"/>
                <w:szCs w:val="24"/>
                <w:color w:val="auto"/>
              </w:rPr>
            </w:pPr>
          </w:p>
        </w:tc>
        <w:tc>
          <w:tcPr>
            <w:tcW w:w="1240" w:type="dxa"/>
            <w:vAlign w:val="bottom"/>
            <w:gridSpan w:val="3"/>
          </w:tcPr>
          <w:p>
            <w:pPr>
              <w:jc w:val="center"/>
              <w:ind w:left="50"/>
              <w:spacing w:after="0"/>
              <w:rPr>
                <w:sz w:val="20"/>
                <w:szCs w:val="20"/>
                <w:color w:val="auto"/>
              </w:rPr>
            </w:pPr>
            <w:r>
              <w:rPr>
                <w:rFonts w:ascii="Arial" w:cs="Arial" w:eastAsia="Arial" w:hAnsi="Arial"/>
                <w:sz w:val="18"/>
                <w:szCs w:val="18"/>
                <w:color w:val="auto"/>
                <w:w w:val="89"/>
              </w:rPr>
              <w:t>25</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WM</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vMerge w:val="restart"/>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Holdings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left="30"/>
              <w:spacing w:after="0" w:line="196" w:lineRule="exact"/>
              <w:rPr>
                <w:sz w:val="20"/>
                <w:szCs w:val="20"/>
                <w:color w:val="auto"/>
              </w:rPr>
            </w:pPr>
            <w:r>
              <w:rPr>
                <w:rFonts w:ascii="Arial" w:cs="Arial" w:eastAsia="Arial" w:hAnsi="Arial"/>
                <w:sz w:val="18"/>
                <w:szCs w:val="18"/>
                <w:b w:val="1"/>
                <w:bCs w:val="1"/>
                <w:color w:val="auto"/>
                <w:w w:val="91"/>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2,624</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11,559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11,559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22,393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22,893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(45,286)</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15,349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(15,349)</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7,646</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22,407</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22,929</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(60,635)</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00" w:type="dxa"/>
            <w:vAlign w:val="bottom"/>
            <w:gridSpan w:val="8"/>
          </w:tcPr>
          <w:p>
            <w:pPr>
              <w:jc w:val="center"/>
              <w:ind w:left="2870"/>
              <w:spacing w:after="0"/>
              <w:rPr>
                <w:sz w:val="20"/>
                <w:szCs w:val="20"/>
                <w:color w:val="auto"/>
              </w:rPr>
            </w:pPr>
            <w:r>
              <w:rPr>
                <w:rFonts w:ascii="Arial" w:cs="Arial" w:eastAsia="Arial" w:hAnsi="Arial"/>
                <w:sz w:val="18"/>
                <w:szCs w:val="18"/>
                <w:b w:val="1"/>
                <w:bCs w:val="1"/>
                <w:color w:val="auto"/>
              </w:rPr>
              <w:t>LIABILITIES AND EQUITY</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2,661</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8,752</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Due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15,404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6,073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(21,701)</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3,773</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22,461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(21,701)</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15,787</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22,392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22,894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(45,286)</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6,019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(6,073)</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22,392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(38,934)</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w:t>
            </w:r>
          </w:p>
        </w:tc>
        <w:tc>
          <w:tcPr>
            <w:tcW w:w="0" w:type="dxa"/>
            <w:vAlign w:val="bottom"/>
          </w:tcPr>
          <w:p>
            <w:pPr>
              <w:spacing w:after="0"/>
              <w:rPr>
                <w:sz w:val="1"/>
                <w:szCs w:val="1"/>
                <w:color w:val="auto"/>
              </w:rPr>
            </w:pPr>
          </w:p>
        </w:tc>
      </w:tr>
      <w:tr>
        <w:trPr>
          <w:trHeight w:val="217"/>
        </w:trPr>
        <w:tc>
          <w:tcPr>
            <w:tcW w:w="38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22,407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22,929</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37,128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(60,635)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21,829</w:t>
            </w:r>
          </w:p>
        </w:tc>
        <w:tc>
          <w:tcPr>
            <w:tcW w:w="0" w:type="dxa"/>
            <w:vAlign w:val="bottom"/>
          </w:tcPr>
          <w:p>
            <w:pPr>
              <w:spacing w:after="0"/>
              <w:rPr>
                <w:sz w:val="1"/>
                <w:szCs w:val="1"/>
                <w:color w:val="auto"/>
              </w:rPr>
            </w:pPr>
          </w:p>
        </w:tc>
      </w:tr>
      <w:tr>
        <w:trPr>
          <w:trHeight w:val="864"/>
        </w:trPr>
        <w:tc>
          <w:tcPr>
            <w:tcW w:w="3840" w:type="dxa"/>
            <w:vAlign w:val="bottom"/>
          </w:tcPr>
          <w:p>
            <w:pPr>
              <w:spacing w:after="0"/>
              <w:rPr>
                <w:sz w:val="24"/>
                <w:szCs w:val="24"/>
                <w:color w:val="auto"/>
              </w:rPr>
            </w:pP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26</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w w:val="98"/>
              </w:rPr>
              <w:t>Non-Guarantor</w:t>
            </w:r>
          </w:p>
        </w:tc>
        <w:tc>
          <w:tcPr>
            <w:tcW w:w="140" w:type="dxa"/>
            <w:vAlign w:val="bottom"/>
          </w:tcPr>
          <w:p>
            <w:pPr>
              <w:spacing w:after="0"/>
              <w:rPr>
                <w:sz w:val="14"/>
                <w:szCs w:val="14"/>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Holdings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Costs and expenses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3,024</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588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591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510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466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16"/>
        </w:trPr>
        <w:tc>
          <w:tcPr>
            <w:tcW w:w="4060" w:type="dxa"/>
            <w:vAlign w:val="bottom"/>
          </w:tcPr>
          <w:p>
            <w:pPr>
              <w:ind w:left="120"/>
              <w:spacing w:after="0"/>
              <w:rPr>
                <w:sz w:val="20"/>
                <w:szCs w:val="20"/>
                <w:color w:val="auto"/>
              </w:rPr>
            </w:pPr>
            <w:r>
              <w:rPr>
                <w:rFonts w:ascii="Arial" w:cs="Arial" w:eastAsia="Arial" w:hAnsi="Arial"/>
                <w:sz w:val="18"/>
                <w:szCs w:val="18"/>
                <w:color w:val="auto"/>
                <w:w w:val="93"/>
              </w:rPr>
              <w:t>Less: Net loss attributable to noncontrolling interests</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Net income attributable to Waste Management, Inc.</w:t>
            </w:r>
          </w:p>
        </w:tc>
        <w:tc>
          <w:tcPr>
            <w:tcW w:w="72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4"/>
              </w:rPr>
              <w:t>$ 499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535"/>
        </w:trPr>
        <w:tc>
          <w:tcPr>
            <w:tcW w:w="5980" w:type="dxa"/>
            <w:vAlign w:val="bottom"/>
            <w:gridSpan w:val="11"/>
          </w:tcPr>
          <w:p>
            <w:pPr>
              <w:jc w:val="center"/>
              <w:ind w:left="3010"/>
              <w:spacing w:after="0"/>
              <w:rPr>
                <w:sz w:val="20"/>
                <w:szCs w:val="20"/>
                <w:color w:val="auto"/>
              </w:rPr>
            </w:pPr>
            <w:r>
              <w:rPr>
                <w:rFonts w:ascii="Arial" w:cs="Arial" w:eastAsia="Arial" w:hAnsi="Arial"/>
                <w:sz w:val="18"/>
                <w:szCs w:val="18"/>
                <w:b w:val="1"/>
                <w:bCs w:val="1"/>
                <w:color w:val="auto"/>
                <w:w w:val="90"/>
              </w:rPr>
              <w:t>Three Months Ended June 30, 2017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p>
        </w:tc>
        <w:tc>
          <w:tcPr>
            <w:tcW w:w="120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WM</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Pr>
          <w:p>
            <w:pPr>
              <w:spacing w:after="0"/>
              <w:rPr>
                <w:sz w:val="21"/>
                <w:szCs w:val="2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06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0"/>
              </w:rPr>
              <w:t>Holdings</w:t>
            </w:r>
          </w:p>
        </w:tc>
        <w:tc>
          <w:tcPr>
            <w:tcW w:w="1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74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20" w:type="dxa"/>
            <w:vAlign w:val="bottom"/>
            <w:shd w:val="clear" w:color="auto" w:fill="CCEEFF"/>
          </w:tcPr>
          <w:p>
            <w:pPr>
              <w:spacing w:after="0"/>
              <w:rPr>
                <w:sz w:val="18"/>
                <w:szCs w:val="18"/>
                <w:color w:val="auto"/>
              </w:rPr>
            </w:pPr>
          </w:p>
        </w:tc>
        <w:tc>
          <w:tcPr>
            <w:tcW w:w="1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0"/>
        </w:trPr>
        <w:tc>
          <w:tcPr>
            <w:tcW w:w="4060" w:type="dxa"/>
            <w:vAlign w:val="bottom"/>
          </w:tcPr>
          <w:p>
            <w:pPr>
              <w:spacing w:after="0"/>
              <w:rPr>
                <w:sz w:val="20"/>
                <w:szCs w:val="20"/>
                <w:color w:val="auto"/>
              </w:rPr>
            </w:pPr>
            <w:r>
              <w:rPr>
                <w:rFonts w:ascii="Arial" w:cs="Arial" w:eastAsia="Arial" w:hAnsi="Arial"/>
                <w:sz w:val="18"/>
                <w:szCs w:val="18"/>
                <w:color w:val="auto"/>
              </w:rPr>
              <w:t>Other income (expense):</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406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4060" w:type="dxa"/>
            <w:vAlign w:val="bottom"/>
            <w:tcBorders>
              <w:bottom w:val="single" w:sz="8" w:color="CCEEFF"/>
            </w:tcBorders>
          </w:tcPr>
          <w:p>
            <w:pPr>
              <w:spacing w:after="0"/>
              <w:rPr>
                <w:sz w:val="18"/>
                <w:szCs w:val="18"/>
                <w:color w:val="auto"/>
              </w:rPr>
            </w:pPr>
          </w:p>
        </w:tc>
        <w:tc>
          <w:tcPr>
            <w:tcW w:w="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332</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332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0"/>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0" w:type="dxa"/>
            <w:vAlign w:val="bottom"/>
          </w:tcPr>
          <w:p>
            <w:pPr>
              <w:spacing w:after="0"/>
              <w:rPr>
                <w:sz w:val="1"/>
                <w:szCs w:val="1"/>
                <w:color w:val="auto"/>
              </w:rPr>
            </w:pPr>
          </w:p>
        </w:tc>
      </w:tr>
      <w:tr>
        <w:trPr>
          <w:trHeight w:val="216"/>
        </w:trPr>
        <w:tc>
          <w:tcPr>
            <w:tcW w:w="40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w w:val="91"/>
              </w:rPr>
              <w:t>Less: Net loss attributable to noncontrolling interests</w:t>
            </w:r>
          </w:p>
        </w:tc>
        <w:tc>
          <w:tcPr>
            <w:tcW w:w="7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Net income attributable to Waste Management, Inc.</w:t>
            </w:r>
          </w:p>
        </w:tc>
        <w:tc>
          <w:tcPr>
            <w:tcW w:w="740" w:type="dxa"/>
            <w:vAlign w:val="bottom"/>
            <w:tcBorders>
              <w:bottom w:val="single" w:sz="8" w:color="CCEEFF"/>
            </w:tcBorders>
            <w:gridSpan w:val="2"/>
            <w:shd w:val="clear" w:color="auto" w:fill="CCEEFF"/>
          </w:tcPr>
          <w:p>
            <w:pPr>
              <w:spacing w:after="0"/>
              <w:rPr>
                <w:sz w:val="19"/>
                <w:szCs w:val="19"/>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$ 362</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851"/>
        </w:trPr>
        <w:tc>
          <w:tcPr>
            <w:tcW w:w="4060" w:type="dxa"/>
            <w:vAlign w:val="bottom"/>
          </w:tcPr>
          <w:p>
            <w:pPr>
              <w:spacing w:after="0"/>
              <w:rPr>
                <w:sz w:val="24"/>
                <w:szCs w:val="24"/>
                <w:color w:val="auto"/>
              </w:rPr>
            </w:pPr>
          </w:p>
        </w:tc>
        <w:tc>
          <w:tcPr>
            <w:tcW w:w="720" w:type="dxa"/>
            <w:vAlign w:val="bottom"/>
          </w:tcPr>
          <w:p>
            <w:pPr>
              <w:jc w:val="center"/>
              <w:ind w:left="130"/>
              <w:spacing w:after="0"/>
              <w:rPr>
                <w:sz w:val="20"/>
                <w:szCs w:val="20"/>
                <w:color w:val="auto"/>
              </w:rPr>
            </w:pPr>
            <w:r>
              <w:rPr>
                <w:rFonts w:ascii="Arial" w:cs="Arial" w:eastAsia="Arial" w:hAnsi="Arial"/>
                <w:sz w:val="18"/>
                <w:szCs w:val="18"/>
                <w:color w:val="auto"/>
                <w:w w:val="89"/>
              </w:rPr>
              <w:t>27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WM</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4"/>
                <w:szCs w:val="14"/>
                <w:b w:val="1"/>
                <w:bCs w:val="1"/>
                <w:color w:val="auto"/>
              </w:rPr>
              <w:t>WM</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3"/>
          </w:tcPr>
          <w:p>
            <w:pPr>
              <w:jc w:val="center"/>
              <w:ind w:right="40"/>
              <w:spacing w:after="0" w:line="161" w:lineRule="exact"/>
              <w:rPr>
                <w:sz w:val="20"/>
                <w:szCs w:val="20"/>
                <w:color w:val="auto"/>
              </w:rPr>
            </w:pPr>
            <w:r>
              <w:rPr>
                <w:rFonts w:ascii="Arial" w:cs="Arial" w:eastAsia="Arial" w:hAnsi="Arial"/>
                <w:sz w:val="14"/>
                <w:szCs w:val="14"/>
                <w:b w:val="1"/>
                <w:bCs w:val="1"/>
                <w:color w:val="auto"/>
                <w:w w:val="98"/>
              </w:rPr>
              <w:t>Non</w:t>
            </w:r>
            <w:r>
              <w:rPr>
                <w:rFonts w:ascii="MS PGothic" w:cs="MS PGothic" w:eastAsia="MS PGothic" w:hAnsi="MS PGothic"/>
                <w:sz w:val="14"/>
                <w:szCs w:val="14"/>
                <w:b w:val="1"/>
                <w:bCs w:val="1"/>
                <w:color w:val="auto"/>
                <w:w w:val="98"/>
              </w:rPr>
              <w:t>‑</w:t>
            </w:r>
            <w:r>
              <w:rPr>
                <w:rFonts w:ascii="Arial" w:cs="Arial" w:eastAsia="Arial" w:hAnsi="Arial"/>
                <w:sz w:val="14"/>
                <w:szCs w:val="14"/>
                <w:b w:val="1"/>
                <w:bCs w:val="1"/>
                <w:color w:val="auto"/>
                <w:w w:val="98"/>
              </w:rPr>
              <w:t>Guarantor</w:t>
            </w:r>
          </w:p>
        </w:tc>
        <w:tc>
          <w:tcPr>
            <w:tcW w:w="140" w:type="dxa"/>
            <w:vAlign w:val="bottom"/>
          </w:tcPr>
          <w:p>
            <w:pPr>
              <w:spacing w:after="0"/>
              <w:rPr>
                <w:sz w:val="14"/>
                <w:szCs w:val="14"/>
                <w:color w:val="auto"/>
              </w:rPr>
            </w:pPr>
          </w:p>
        </w:tc>
        <w:tc>
          <w:tcPr>
            <w:tcW w:w="820" w:type="dxa"/>
            <w:vAlign w:val="bottom"/>
            <w:gridSpan w:val="4"/>
            <w:vMerge w:val="restart"/>
          </w:tcPr>
          <w:p>
            <w:pPr>
              <w:spacing w:after="0"/>
              <w:rPr>
                <w:sz w:val="20"/>
                <w:szCs w:val="20"/>
                <w:color w:val="auto"/>
              </w:rPr>
            </w:pPr>
            <w:r>
              <w:rPr>
                <w:rFonts w:ascii="Arial" w:cs="Arial" w:eastAsia="Arial" w:hAnsi="Arial"/>
                <w:sz w:val="14"/>
                <w:szCs w:val="14"/>
                <w:b w:val="1"/>
                <w:bCs w:val="1"/>
                <w:color w:val="auto"/>
                <w:w w:val="96"/>
              </w:rPr>
              <w:t>Eliminations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5"/>
          </w:tcPr>
          <w:p>
            <w:pPr>
              <w:ind w:left="40"/>
              <w:spacing w:after="0"/>
              <w:rPr>
                <w:sz w:val="20"/>
                <w:szCs w:val="20"/>
                <w:color w:val="auto"/>
              </w:rPr>
            </w:pPr>
            <w:r>
              <w:rPr>
                <w:rFonts w:ascii="Arial" w:cs="Arial" w:eastAsia="Arial" w:hAnsi="Arial"/>
                <w:sz w:val="14"/>
                <w:szCs w:val="14"/>
                <w:b w:val="1"/>
                <w:bCs w:val="1"/>
                <w:color w:val="auto"/>
              </w:rPr>
              <w:t>Holdings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82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5,927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5,927</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(154)</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rPr>
              <w:t>1,073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1,080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1,071</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1,071</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1,073</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w:t>
            </w: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w w:val="92"/>
              </w:rPr>
              <w:t>Less: Net loss attributable to noncontrolling interests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$ 1,073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414"/>
        </w:trPr>
        <w:tc>
          <w:tcPr>
            <w:tcW w:w="5980" w:type="dxa"/>
            <w:vAlign w:val="bottom"/>
            <w:gridSpan w:val="12"/>
          </w:tcPr>
          <w:p>
            <w:pPr>
              <w:ind w:left="3280"/>
              <w:spacing w:after="0"/>
              <w:rPr>
                <w:sz w:val="20"/>
                <w:szCs w:val="20"/>
                <w:color w:val="auto"/>
              </w:rPr>
            </w:pPr>
            <w:r>
              <w:rPr>
                <w:rFonts w:ascii="Arial" w:cs="Arial" w:eastAsia="Arial" w:hAnsi="Arial"/>
                <w:sz w:val="18"/>
                <w:szCs w:val="18"/>
                <w:b w:val="1"/>
                <w:bCs w:val="1"/>
                <w:color w:val="auto"/>
                <w:w w:val="96"/>
              </w:rPr>
              <w:t>Six Months Ended June 30, 2017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180" w:type="dxa"/>
            <w:vAlign w:val="bottom"/>
            <w:gridSpan w:val="5"/>
          </w:tcPr>
          <w:p>
            <w:pPr>
              <w:jc w:val="right"/>
              <w:ind w:right="180"/>
              <w:spacing w:after="0"/>
              <w:rPr>
                <w:sz w:val="20"/>
                <w:szCs w:val="20"/>
                <w:color w:val="auto"/>
              </w:rPr>
            </w:pPr>
            <w:r>
              <w:rPr>
                <w:rFonts w:ascii="Arial" w:cs="Arial" w:eastAsia="Arial" w:hAnsi="Arial"/>
                <w:sz w:val="18"/>
                <w:szCs w:val="18"/>
                <w:b w:val="1"/>
                <w:bCs w:val="1"/>
                <w:color w:val="auto"/>
                <w:w w:val="97"/>
              </w:rPr>
              <w:t>(Unaudited)</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WM</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WM</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60" w:type="dxa"/>
            <w:vAlign w:val="bottom"/>
            <w:gridSpan w:val="3"/>
          </w:tcPr>
          <w:p>
            <w:pPr>
              <w:jc w:val="center"/>
              <w:spacing w:after="0" w:line="161" w:lineRule="exact"/>
              <w:rPr>
                <w:sz w:val="20"/>
                <w:szCs w:val="20"/>
                <w:color w:val="auto"/>
              </w:rPr>
            </w:pPr>
            <w:r>
              <w:rPr>
                <w:rFonts w:ascii="Arial" w:cs="Arial" w:eastAsia="Arial" w:hAnsi="Arial"/>
                <w:sz w:val="14"/>
                <w:szCs w:val="14"/>
                <w:b w:val="1"/>
                <w:bCs w:val="1"/>
                <w:color w:val="auto"/>
                <w:w w:val="98"/>
              </w:rPr>
              <w:t>Non</w:t>
            </w:r>
            <w:r>
              <w:rPr>
                <w:rFonts w:ascii="MS PGothic" w:cs="MS PGothic" w:eastAsia="MS PGothic" w:hAnsi="MS PGothic"/>
                <w:sz w:val="14"/>
                <w:szCs w:val="14"/>
                <w:b w:val="1"/>
                <w:bCs w:val="1"/>
                <w:color w:val="auto"/>
                <w:w w:val="98"/>
              </w:rPr>
              <w:t>‑</w:t>
            </w:r>
            <w:r>
              <w:rPr>
                <w:rFonts w:ascii="Arial" w:cs="Arial" w:eastAsia="Arial" w:hAnsi="Arial"/>
                <w:sz w:val="14"/>
                <w:szCs w:val="14"/>
                <w:b w:val="1"/>
                <w:bCs w:val="1"/>
                <w:color w:val="auto"/>
                <w:w w:val="98"/>
              </w:rPr>
              <w:t>Guarantor</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3"/>
              </w:rPr>
              <w:t>Holdings</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Subsidiaries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5,886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210"/>
        </w:trPr>
        <w:tc>
          <w:tcPr>
            <w:tcW w:w="4000" w:type="dxa"/>
            <w:vAlign w:val="bottom"/>
          </w:tcPr>
          <w:p>
            <w:pPr>
              <w:spacing w:after="0"/>
              <w:rPr>
                <w:sz w:val="20"/>
                <w:szCs w:val="20"/>
                <w:color w:val="auto"/>
              </w:rPr>
            </w:pPr>
            <w:r>
              <w:rPr>
                <w:rFonts w:ascii="Arial" w:cs="Arial" w:eastAsia="Arial" w:hAnsi="Arial"/>
                <w:sz w:val="18"/>
                <w:szCs w:val="18"/>
                <w:color w:val="auto"/>
              </w:rPr>
              <w:t>Other income (expense):</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(148)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400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400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601</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(69)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0"/>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4000" w:type="dxa"/>
            <w:vAlign w:val="bottom"/>
          </w:tcPr>
          <w:p>
            <w:pPr>
              <w:ind w:left="120"/>
              <w:spacing w:after="0"/>
              <w:rPr>
                <w:sz w:val="20"/>
                <w:szCs w:val="20"/>
                <w:color w:val="auto"/>
              </w:rPr>
            </w:pPr>
            <w:r>
              <w:rPr>
                <w:rFonts w:ascii="Arial" w:cs="Arial" w:eastAsia="Arial" w:hAnsi="Arial"/>
                <w:sz w:val="18"/>
                <w:szCs w:val="18"/>
                <w:color w:val="auto"/>
                <w:w w:val="92"/>
              </w:rPr>
              <w:t>Less: Net loss attributable to noncontrolling interests</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Net income attributable to Waste Management, Inc.</w:t>
            </w:r>
          </w:p>
        </w:tc>
        <w:tc>
          <w:tcPr>
            <w:tcW w:w="6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1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851"/>
        </w:trPr>
        <w:tc>
          <w:tcPr>
            <w:tcW w:w="400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0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center"/>
              <w:ind w:right="13"/>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Holdings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June 30:</w:t>
            </w:r>
          </w:p>
        </w:tc>
        <w:tc>
          <w:tcPr>
            <w:tcW w:w="120" w:type="dxa"/>
            <w:vAlign w:val="bottom"/>
            <w:tcBorders>
              <w:top w:val="single" w:sz="8" w:color="CCEEFF"/>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$ 501</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Less: Comprehensive loss attributable to noncontrolling</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89"/>
              </w:rPr>
              <w:t>Comprehensive income attributable to Waste Management, Inc.</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$ 501</w:t>
            </w:r>
          </w:p>
        </w:tc>
        <w:tc>
          <w:tcPr>
            <w:tcW w:w="200" w:type="dxa"/>
            <w:vAlign w:val="bottom"/>
            <w:tcBorders>
              <w:top w:val="single" w:sz="8" w:color="CCEEFF"/>
              <w:left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$ 364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406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439</w:t>
            </w:r>
          </w:p>
        </w:tc>
        <w:tc>
          <w:tcPr>
            <w:tcW w:w="8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(815)</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Less: Comprehensive loss attributable to noncontrolling</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4600" w:type="dxa"/>
            <w:vAlign w:val="bottom"/>
            <w:gridSpan w:val="4"/>
          </w:tcPr>
          <w:p>
            <w:pPr>
              <w:spacing w:after="0"/>
              <w:rPr>
                <w:sz w:val="20"/>
                <w:szCs w:val="20"/>
                <w:color w:val="auto"/>
              </w:rPr>
            </w:pPr>
            <w:r>
              <w:rPr>
                <w:rFonts w:ascii="Arial" w:cs="Arial" w:eastAsia="Arial" w:hAnsi="Arial"/>
                <w:sz w:val="18"/>
                <w:szCs w:val="18"/>
                <w:color w:val="auto"/>
                <w:w w:val="90"/>
              </w:rPr>
              <w:t>Comprehensive income attributable to Waste Management, Inc.</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$ 364</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vMerge w:val="restart"/>
          </w:tcPr>
          <w:p>
            <w:pPr>
              <w:jc w:val="right"/>
              <w:ind w:right="73"/>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center"/>
              <w:ind w:right="53"/>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Pr>
          <w:p>
            <w:pPr>
              <w:spacing w:after="0"/>
              <w:rPr>
                <w:sz w:val="24"/>
                <w:szCs w:val="2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24"/>
                <w:szCs w:val="2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Holdings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8"/>
              </w:rPr>
              <w:t>Subsidiaries</w:t>
            </w: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Six Months Ended June 30:</w:t>
            </w: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7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$ 1,073</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Less: Comprehensive loss attributable to noncontrolling</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interests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3"/>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 Waste</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3"/>
            <w:vMerge w:val="continue"/>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760" w:type="dxa"/>
            <w:vAlign w:val="bottom"/>
            <w:tcBorders>
              <w:lef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$ 1,073</w:t>
            </w:r>
          </w:p>
        </w:tc>
        <w:tc>
          <w:tcPr>
            <w:tcW w:w="260" w:type="dxa"/>
            <w:vAlign w:val="bottom"/>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80" w:type="dxa"/>
            <w:vAlign w:val="bottom"/>
            <w:shd w:val="clear" w:color="auto" w:fill="CCEEFF"/>
          </w:tcPr>
          <w:p>
            <w:pPr>
              <w:spacing w:after="0"/>
              <w:rPr>
                <w:sz w:val="15"/>
                <w:szCs w:val="15"/>
                <w:color w:val="auto"/>
              </w:rPr>
            </w:pPr>
          </w:p>
        </w:tc>
        <w:tc>
          <w:tcPr>
            <w:tcW w:w="260" w:type="dxa"/>
            <w:vAlign w:val="bottom"/>
            <w:gridSpan w:val="2"/>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(2,153)</w:t>
            </w:r>
          </w:p>
        </w:tc>
        <w:tc>
          <w:tcPr>
            <w:tcW w:w="46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Management, Inc.</w:t>
            </w:r>
          </w:p>
        </w:tc>
        <w:tc>
          <w:tcPr>
            <w:tcW w:w="120" w:type="dxa"/>
            <w:vAlign w:val="bottom"/>
            <w:vMerge w:val="continue"/>
            <w:shd w:val="clear" w:color="auto" w:fill="CCEEFF"/>
          </w:tcPr>
          <w:p>
            <w:pPr>
              <w:spacing w:after="0"/>
              <w:rPr>
                <w:sz w:val="19"/>
                <w:szCs w:val="19"/>
                <w:color w:val="auto"/>
              </w:rPr>
            </w:pPr>
          </w:p>
        </w:tc>
        <w:tc>
          <w:tcPr>
            <w:tcW w:w="480" w:type="dxa"/>
            <w:vAlign w:val="bottom"/>
            <w:gridSpan w:val="2"/>
            <w:vMerge w:val="continue"/>
            <w:shd w:val="clear" w:color="auto" w:fill="CCEEFF"/>
          </w:tcPr>
          <w:p>
            <w:pPr>
              <w:spacing w:after="0"/>
              <w:rPr>
                <w:sz w:val="19"/>
                <w:szCs w:val="19"/>
                <w:color w:val="auto"/>
              </w:rPr>
            </w:pPr>
          </w:p>
        </w:tc>
        <w:tc>
          <w:tcPr>
            <w:tcW w:w="760" w:type="dxa"/>
            <w:vAlign w:val="bottom"/>
            <w:tcBorders>
              <w:left w:val="single" w:sz="8" w:color="CCEEFF"/>
            </w:tcBorders>
            <w:gridSpan w:val="3"/>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6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2017</w:t>
            </w:r>
          </w:p>
        </w:tc>
        <w:tc>
          <w:tcPr>
            <w:tcW w:w="22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664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749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26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(1,504)</w:t>
            </w: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705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Less: Comprehensive loss attributable to noncontrolling</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3"/>
            <w:vMerge w:val="restart"/>
          </w:tcPr>
          <w:p>
            <w:pPr>
              <w:spacing w:after="0" w:line="201" w:lineRule="exact"/>
              <w:rPr>
                <w:sz w:val="20"/>
                <w:szCs w:val="20"/>
                <w:color w:val="auto"/>
              </w:rPr>
            </w:pPr>
            <w:r>
              <w:rPr>
                <w:rFonts w:ascii="Arial" w:cs="Arial" w:eastAsia="Arial" w:hAnsi="Arial"/>
                <w:sz w:val="18"/>
                <w:szCs w:val="18"/>
                <w:color w:val="auto"/>
              </w:rPr>
              <w:t>Comprehensive income attributable to Waste</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3"/>
            <w:vMerge w:val="continue"/>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664</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749</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5"/>
                <w:szCs w:val="15"/>
                <w:color w:val="auto"/>
              </w:rPr>
            </w:pPr>
          </w:p>
        </w:tc>
        <w:tc>
          <w:tcPr>
            <w:tcW w:w="260" w:type="dxa"/>
            <w:vAlign w:val="bottom"/>
            <w:gridSpan w:val="2"/>
            <w:vMerge w:val="restart"/>
          </w:tcPr>
          <w:p>
            <w:pPr>
              <w:ind w:left="8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(1,504)</w:t>
            </w:r>
          </w:p>
        </w:tc>
        <w:tc>
          <w:tcPr>
            <w:tcW w:w="46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gridSpan w:val="3"/>
          </w:tcPr>
          <w:p>
            <w:pPr>
              <w:ind w:left="120"/>
              <w:spacing w:after="0"/>
              <w:rPr>
                <w:sz w:val="20"/>
                <w:szCs w:val="20"/>
                <w:color w:val="auto"/>
              </w:rPr>
            </w:pPr>
            <w:r>
              <w:rPr>
                <w:rFonts w:ascii="Arial" w:cs="Arial" w:eastAsia="Arial" w:hAnsi="Arial"/>
                <w:sz w:val="18"/>
                <w:szCs w:val="18"/>
                <w:color w:val="auto"/>
              </w:rPr>
              <w:t>Management, Inc.</w:t>
            </w:r>
          </w:p>
        </w:tc>
        <w:tc>
          <w:tcPr>
            <w:tcW w:w="12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460" w:type="dxa"/>
            <w:vAlign w:val="bottom"/>
            <w:gridSpan w:val="2"/>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Six Months Ended June 30,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WM(a)</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Holdings(a)</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Subsidiaries(a)</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1,784</w:t>
            </w:r>
          </w:p>
        </w:tc>
        <w:tc>
          <w:tcPr>
            <w:tcW w:w="1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1,784</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(1,010)</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(647)</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02"/>
        </w:trPr>
        <w:tc>
          <w:tcPr>
            <w:tcW w:w="44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Effect of exchange rate changes on cash, cash equivalents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restricted cash and 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4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Increase in cash, cash equivalents and restricted cash and</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equivalents at beginning of period</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182"/>
        </w:trPr>
        <w:tc>
          <w:tcPr>
            <w:tcW w:w="44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vMerge w:val="restart"/>
            <w:shd w:val="clear" w:color="auto" w:fill="CCEEFF"/>
          </w:tcPr>
          <w:p>
            <w:pPr>
              <w:spacing w:after="0"/>
              <w:rPr>
                <w:sz w:val="15"/>
                <w:szCs w:val="15"/>
                <w:color w:val="auto"/>
              </w:rPr>
            </w:pPr>
          </w:p>
        </w:tc>
        <w:tc>
          <w:tcPr>
            <w:tcW w:w="1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7"/>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equivalents at end of period</w:t>
            </w:r>
          </w:p>
        </w:tc>
        <w:tc>
          <w:tcPr>
            <w:tcW w:w="100" w:type="dxa"/>
            <w:vAlign w:val="bottom"/>
            <w:vMerge w:val="continue"/>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vMerge w:val="continue"/>
            <w:shd w:val="clear" w:color="auto" w:fill="CCEEFF"/>
          </w:tcPr>
          <w:p>
            <w:pPr>
              <w:spacing w:after="0"/>
              <w:rPr>
                <w:sz w:val="18"/>
                <w:szCs w:val="18"/>
                <w:color w:val="auto"/>
              </w:rPr>
            </w:pPr>
          </w:p>
        </w:tc>
        <w:tc>
          <w:tcPr>
            <w:tcW w:w="640" w:type="dxa"/>
            <w:vAlign w:val="bottom"/>
            <w:gridSpan w:val="2"/>
            <w:vMerge w:val="continue"/>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2300" w:type="dxa"/>
            <w:vAlign w:val="bottom"/>
            <w:gridSpan w:val="2"/>
            <w:shd w:val="clear" w:color="auto" w:fill="CCEEFF"/>
          </w:tcPr>
          <w:p>
            <w:pPr>
              <w:spacing w:after="0"/>
              <w:rPr>
                <w:sz w:val="2"/>
                <w:szCs w:val="2"/>
                <w:color w:val="auto"/>
              </w:rPr>
            </w:pPr>
          </w:p>
        </w:tc>
        <w:tc>
          <w:tcPr>
            <w:tcW w:w="48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20" w:type="dxa"/>
            <w:vAlign w:val="bottom"/>
            <w:gridSpan w:val="2"/>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14"/>
        </w:trPr>
        <w:tc>
          <w:tcPr>
            <w:tcW w:w="2280" w:type="dxa"/>
            <w:vAlign w:val="bottom"/>
          </w:tcPr>
          <w:p>
            <w:pPr>
              <w:spacing w:after="0"/>
              <w:rPr>
                <w:sz w:val="24"/>
                <w:szCs w:val="24"/>
                <w:color w:val="auto"/>
              </w:rPr>
            </w:pPr>
          </w:p>
        </w:tc>
        <w:tc>
          <w:tcPr>
            <w:tcW w:w="3660" w:type="dxa"/>
            <w:vAlign w:val="bottom"/>
            <w:gridSpan w:val="7"/>
          </w:tcPr>
          <w:p>
            <w:pPr>
              <w:jc w:val="center"/>
              <w:ind w:left="750"/>
              <w:spacing w:after="0"/>
              <w:rPr>
                <w:sz w:val="20"/>
                <w:szCs w:val="20"/>
                <w:color w:val="auto"/>
              </w:rPr>
            </w:pPr>
            <w:r>
              <w:rPr>
                <w:rFonts w:ascii="Arial" w:cs="Arial" w:eastAsia="Arial" w:hAnsi="Arial"/>
                <w:sz w:val="18"/>
                <w:szCs w:val="18"/>
                <w:b w:val="1"/>
                <w:bCs w:val="1"/>
                <w:color w:val="auto"/>
                <w:w w:val="89"/>
              </w:rPr>
              <w:t>Six Months Ended June 30, 2017</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2780" w:type="dxa"/>
            <w:vAlign w:val="bottom"/>
            <w:gridSpan w:val="4"/>
          </w:tcPr>
          <w:p>
            <w:pPr>
              <w:jc w:val="center"/>
              <w:ind w:left="16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WM(a)</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ind w:left="60"/>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21"/>
                <w:szCs w:val="21"/>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Non-Guarantor</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Eliminations</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w w:val="90"/>
              </w:rPr>
              <w:t>Holdings(a)</w:t>
            </w:r>
          </w:p>
        </w:tc>
        <w:tc>
          <w:tcPr>
            <w:tcW w:w="160" w:type="dxa"/>
            <w:vAlign w:val="bottom"/>
          </w:tcPr>
          <w:p>
            <w:pPr>
              <w:spacing w:after="0"/>
              <w:rPr>
                <w:sz w:val="14"/>
                <w:szCs w:val="14"/>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Subsidiaries(a)</w:t>
            </w:r>
          </w:p>
        </w:tc>
        <w:tc>
          <w:tcPr>
            <w:tcW w:w="960" w:type="dxa"/>
            <w:vAlign w:val="bottom"/>
            <w:gridSpan w:val="3"/>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1,535</w:t>
            </w:r>
          </w:p>
        </w:tc>
        <w:tc>
          <w:tcPr>
            <w:tcW w:w="16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(673)</w:t>
            </w: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(859)</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2"/>
        </w:trPr>
        <w:tc>
          <w:tcPr>
            <w:tcW w:w="448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0"/>
              </w:rPr>
              <w:t>Effect of exchange rate changes on cash, cash equivalents</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and restricted cash and 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8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44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5"/>
              </w:rPr>
              <w:t>Increase in cash, cash equivalents and restricted cash and</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equivalents</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2"/>
        </w:trPr>
        <w:tc>
          <w:tcPr>
            <w:tcW w:w="4480" w:type="dxa"/>
            <w:vAlign w:val="bottom"/>
            <w:gridSpan w:val="2"/>
          </w:tcPr>
          <w:p>
            <w:pPr>
              <w:spacing w:after="0" w:line="201" w:lineRule="exact"/>
              <w:rPr>
                <w:sz w:val="20"/>
                <w:szCs w:val="20"/>
                <w:color w:val="auto"/>
              </w:rPr>
            </w:pPr>
            <w:r>
              <w:rPr>
                <w:rFonts w:ascii="Arial" w:cs="Arial" w:eastAsia="Arial" w:hAnsi="Arial"/>
                <w:sz w:val="18"/>
                <w:szCs w:val="18"/>
                <w:color w:val="auto"/>
              </w:rPr>
              <w:t>Cash, cash equivalents and restricted cash and cash</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equivalents at beginning of period</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82"/>
        </w:trPr>
        <w:tc>
          <w:tcPr>
            <w:tcW w:w="44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Cash, cash equivalents and restricted cash and cash</w:t>
            </w:r>
          </w:p>
        </w:tc>
        <w:tc>
          <w:tcPr>
            <w:tcW w:w="280" w:type="dxa"/>
            <w:vAlign w:val="bottom"/>
            <w:gridSpan w:val="2"/>
            <w:vMerge w:val="restart"/>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30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56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440" w:type="dxa"/>
            <w:vAlign w:val="bottom"/>
            <w:gridSpan w:val="2"/>
            <w:vMerge w:val="restart"/>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shd w:val="clear" w:color="auto" w:fill="CCEEFF"/>
          </w:tcPr>
          <w:p>
            <w:pPr>
              <w:spacing w:after="0"/>
              <w:rPr>
                <w:sz w:val="15"/>
                <w:szCs w:val="15"/>
                <w:color w:val="auto"/>
              </w:rPr>
            </w:pPr>
          </w:p>
        </w:tc>
        <w:tc>
          <w:tcPr>
            <w:tcW w:w="3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24"/>
        </w:trPr>
        <w:tc>
          <w:tcPr>
            <w:tcW w:w="4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equivalents at end of period</w:t>
            </w:r>
          </w:p>
        </w:tc>
        <w:tc>
          <w:tcPr>
            <w:tcW w:w="280" w:type="dxa"/>
            <w:vAlign w:val="bottom"/>
            <w:gridSpan w:val="2"/>
            <w:vMerge w:val="continue"/>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56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top w:val="single" w:sz="8" w:color="CCEEFF"/>
              <w:bottom w:val="single" w:sz="8" w:color="auto"/>
            </w:tcBorders>
          </w:tcPr>
          <w:p>
            <w:pPr>
              <w:spacing w:after="0"/>
              <w:rPr>
                <w:sz w:val="9"/>
                <w:szCs w:val="9"/>
                <w:color w:val="auto"/>
              </w:rPr>
            </w:pPr>
          </w:p>
        </w:tc>
        <w:tc>
          <w:tcPr>
            <w:tcW w:w="2200" w:type="dxa"/>
            <w:vAlign w:val="bottom"/>
            <w:tcBorders>
              <w:top w:val="single" w:sz="8" w:color="CCEEFF"/>
            </w:tcBorders>
          </w:tcPr>
          <w:p>
            <w:pPr>
              <w:spacing w:after="0"/>
              <w:rPr>
                <w:sz w:val="9"/>
                <w:szCs w:val="9"/>
                <w:color w:val="auto"/>
              </w:rPr>
            </w:pPr>
          </w:p>
        </w:tc>
        <w:tc>
          <w:tcPr>
            <w:tcW w:w="100" w:type="dxa"/>
            <w:vAlign w:val="bottom"/>
            <w:tcBorders>
              <w:top w:val="single" w:sz="8" w:color="CCEEFF"/>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60" w:type="dxa"/>
            <w:vAlign w:val="bottom"/>
            <w:tcBorders>
              <w:top w:val="single" w:sz="8" w:color="CCEEFF"/>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receipts and payments of WM and WM Holdings are transacted by Non-Guarantor Subsidiaries.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0" w:name="page31"/>
    <w:bookmarkEnd w:id="30"/>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2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188"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Some of the risks that we believe could affect our business and financial statements for 2018 and beyond and that could cause actual results to be materially different from those that may be set forth in forward-looking statements made by the Company include the following:</w:t>
      </w:r>
    </w:p>
    <w:p>
      <w:pPr>
        <w:spacing w:after="0" w:line="181" w:lineRule="exact"/>
        <w:rPr>
          <w:sz w:val="20"/>
          <w:szCs w:val="20"/>
          <w:color w:val="auto"/>
        </w:rPr>
      </w:pPr>
    </w:p>
    <w:p>
      <w:pPr>
        <w:jc w:val="both"/>
        <w:ind w:left="660" w:hanging="333"/>
        <w:spacing w:after="0" w:line="264"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pricing strategy may have negative effects on volumes, and inability to execute our pricing strategy while retaining and attracting customers may negatively affect our average yield on our collection and disposal business;</w:t>
      </w:r>
    </w:p>
    <w:p>
      <w:pPr>
        <w:spacing w:after="0" w:line="73"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80"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78" w:lineRule="exact"/>
        <w:rPr>
          <w:rFonts w:ascii="Arial" w:cs="Arial" w:eastAsia="Arial" w:hAnsi="Arial"/>
          <w:sz w:val="18"/>
          <w:szCs w:val="18"/>
          <w:color w:val="auto"/>
        </w:rPr>
      </w:pPr>
    </w:p>
    <w:p>
      <w:pPr>
        <w:jc w:val="both"/>
        <w:ind w:left="660" w:hanging="333"/>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15"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integration of acquisitions and/or new service offerings could increase our exposure to environmental liabilities for past operations and the risk of inadvertent noncompliance with laws and regulations;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1" w:name="page32"/>
    <w:bookmarkEnd w:id="31"/>
    <w:p>
      <w:pPr>
        <w:jc w:val="both"/>
        <w:ind w:left="640" w:hanging="333"/>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73"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possible changes in our estimates of costs for site remediation requirements, final capping, closure and post-closure obligations, compliance and regulatory developments may increase our expenses and future cash outflows;</w:t>
      </w:r>
    </w:p>
    <w:p>
      <w:pPr>
        <w:spacing w:after="0" w:line="15" w:lineRule="exact"/>
        <w:rPr>
          <w:rFonts w:ascii="Arial" w:cs="Arial" w:eastAsia="Arial" w:hAnsi="Arial"/>
          <w:sz w:val="16"/>
          <w:szCs w:val="16"/>
          <w:color w:val="auto"/>
        </w:rPr>
      </w:pPr>
    </w:p>
    <w:p>
      <w:pPr>
        <w:jc w:val="both"/>
        <w:ind w:left="640" w:hanging="333"/>
        <w:spacing w:after="0" w:line="286" w:lineRule="auto"/>
        <w:tabs>
          <w:tab w:leader="none" w:pos="6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57" w:lineRule="exact"/>
        <w:rPr>
          <w:rFonts w:ascii="Arial" w:cs="Arial" w:eastAsia="Arial" w:hAnsi="Arial"/>
          <w:sz w:val="17"/>
          <w:szCs w:val="17"/>
          <w:color w:val="auto"/>
        </w:rPr>
      </w:pPr>
    </w:p>
    <w:p>
      <w:pPr>
        <w:jc w:val="both"/>
        <w:ind w:left="640" w:hanging="333"/>
        <w:spacing w:after="0" w:line="25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significant portion of the recycled fiber we market is shipped to export markets across the globe, particularly China; changes in international or domestic regulations and restrictions or tariffs on American or Chinese imports and exports, including actions taken by the Chinese government, could increase operating expense, result in excess supply and drive down prices;</w:t>
      </w:r>
    </w:p>
    <w:p>
      <w:pPr>
        <w:spacing w:after="0" w:line="78"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EES organization;</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73"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5" w:lineRule="exact"/>
        <w:rPr>
          <w:rFonts w:ascii="Arial" w:cs="Arial" w:eastAsia="Arial" w:hAnsi="Arial"/>
          <w:sz w:val="16"/>
          <w:szCs w:val="16"/>
          <w:color w:val="auto"/>
        </w:rPr>
      </w:pPr>
    </w:p>
    <w:p>
      <w:pPr>
        <w:jc w:val="both"/>
        <w:ind w:left="640" w:hanging="333"/>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73"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78"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8"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affecting their credit risk, which could negatively impact our operating results, due to their credit risk and the impact of the municipal debt market on remarketing of our tax-exempt bonds;</w:t>
      </w:r>
    </w:p>
    <w:p>
      <w:pPr>
        <w:spacing w:after="0" w:line="73" w:lineRule="exact"/>
        <w:rPr>
          <w:rFonts w:ascii="Arial" w:cs="Arial" w:eastAsia="Arial" w:hAnsi="Arial"/>
          <w:sz w:val="18"/>
          <w:szCs w:val="18"/>
          <w:color w:val="auto"/>
        </w:rPr>
      </w:pPr>
    </w:p>
    <w:p>
      <w:pPr>
        <w:ind w:left="680" w:hanging="373"/>
        <w:spacing w:after="0" w:line="277" w:lineRule="auto"/>
        <w:tabs>
          <w:tab w:leader="none" w:pos="6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62"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200" w:lineRule="exact"/>
        <w:rPr>
          <w:sz w:val="20"/>
          <w:szCs w:val="20"/>
          <w:color w:val="auto"/>
        </w:rPr>
      </w:pPr>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341" w:right="1419" w:bottom="1440" w:gutter="0" w:footer="0" w:header="0"/>
        </w:sectPr>
      </w:pPr>
    </w:p>
    <w:bookmarkStart w:id="32" w:name="page33"/>
    <w:bookmarkEnd w:id="32"/>
    <w:p>
      <w:pPr>
        <w:ind w:left="640" w:hanging="333"/>
        <w:spacing w:after="0" w:line="342"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15" w:lineRule="exact"/>
        <w:rPr>
          <w:rFonts w:ascii="Arial" w:cs="Arial" w:eastAsia="Arial" w:hAnsi="Arial"/>
          <w:sz w:val="16"/>
          <w:szCs w:val="16"/>
          <w:color w:val="auto"/>
        </w:rPr>
      </w:pPr>
    </w:p>
    <w:p>
      <w:pPr>
        <w:jc w:val="both"/>
        <w:ind w:left="640" w:hanging="333"/>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problems with the operation of our current information technology systems or the technology systems of third parties on which we rely as well as the development and deployment of new information technology systems could decrease our efficiencies and increase our costs;</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 and expose us to litigation risk;</w:t>
      </w:r>
    </w:p>
    <w:p>
      <w:pPr>
        <w:spacing w:after="0" w:line="62"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78" w:lineRule="exact"/>
        <w:rPr>
          <w:rFonts w:ascii="Arial" w:cs="Arial" w:eastAsia="Arial" w:hAnsi="Arial"/>
          <w:sz w:val="18"/>
          <w:szCs w:val="18"/>
          <w:color w:val="auto"/>
        </w:rPr>
      </w:pPr>
    </w:p>
    <w:p>
      <w:pPr>
        <w:ind w:left="640" w:hanging="333"/>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117" w:lineRule="exact"/>
        <w:rPr>
          <w:rFonts w:ascii="Arial" w:cs="Arial" w:eastAsia="Arial" w:hAnsi="Arial"/>
          <w:sz w:val="18"/>
          <w:szCs w:val="18"/>
          <w:color w:val="auto"/>
        </w:rPr>
      </w:pPr>
    </w:p>
    <w:p>
      <w:pPr>
        <w:jc w:val="both"/>
        <w:ind w:left="640" w:hanging="333"/>
        <w:spacing w:after="0" w:line="293"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56" w:lineRule="exact"/>
        <w:rPr>
          <w:rFonts w:ascii="Arial" w:cs="Arial" w:eastAsia="Arial" w:hAnsi="Arial"/>
          <w:sz w:val="16"/>
          <w:szCs w:val="16"/>
          <w:color w:val="auto"/>
        </w:rPr>
      </w:pPr>
    </w:p>
    <w:p>
      <w:pPr>
        <w:ind w:left="640" w:hanging="333"/>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62"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640" w:hanging="333"/>
        <w:spacing w:after="0" w:line="308"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we may reduce or suspend capital expenditures, growth and acquisition activity, implementation of our business strategy, dividend declarations or share repurchases if we suffer a significant reduction in cash flows;</w:t>
      </w:r>
    </w:p>
    <w:p>
      <w:pPr>
        <w:spacing w:after="0" w:line="38" w:lineRule="exact"/>
        <w:rPr>
          <w:rFonts w:ascii="Arial" w:cs="Arial" w:eastAsia="Arial" w:hAnsi="Arial"/>
          <w:sz w:val="17"/>
          <w:szCs w:val="17"/>
          <w:color w:val="auto"/>
        </w:rPr>
      </w:pPr>
    </w:p>
    <w:p>
      <w:pPr>
        <w:jc w:val="both"/>
        <w:ind w:left="640" w:hanging="333"/>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weather-related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73"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73" w:lineRule="exact"/>
        <w:rPr>
          <w:rFonts w:ascii="Arial" w:cs="Arial" w:eastAsia="Arial" w:hAnsi="Arial"/>
          <w:sz w:val="18"/>
          <w:szCs w:val="18"/>
          <w:color w:val="auto"/>
        </w:rPr>
      </w:pPr>
    </w:p>
    <w:p>
      <w:pPr>
        <w:jc w:val="both"/>
        <w:ind w:left="640" w:hanging="333"/>
        <w:spacing w:after="0" w:line="293"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and</w:t>
      </w:r>
    </w:p>
    <w:p>
      <w:pPr>
        <w:spacing w:after="0" w:line="56" w:lineRule="exact"/>
        <w:rPr>
          <w:rFonts w:ascii="Arial" w:cs="Arial" w:eastAsia="Arial" w:hAnsi="Arial"/>
          <w:sz w:val="16"/>
          <w:szCs w:val="16"/>
          <w:color w:val="auto"/>
        </w:rPr>
      </w:pPr>
    </w:p>
    <w:p>
      <w:pPr>
        <w:ind w:left="640" w:hanging="333"/>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341" w:right="14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Waste Management, Inc. is a holding company listed on the New York Stock Exchange under the symbol “WM” and all operations are conducted by its subsidiaries. 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We own or operate the largest network of landfills in North America. In order to make disposal more practical for larger urban markets, where the distance to landfills is typically farther, we manage transfer stations that consolidate, compact and transport waste efficiently and economically. We also use waste to create energy, recovering the gas produced naturally as waste decomposes in landfills and using the gas in generators to make electricity, and we are a leading recycler in North America, handling materials that include paper, cardboard, glass, plastic and metal. Our “Solid Waste” business is operated and managed locally by our subsidiaries that focus on distinct geographic areas and provides collection, transfer, disposal, and recycling and resource recovery services, and our “Traditional Solid Waste” business excludes our recycling and resource recovery services. Through our subsidiaries, we are also a leading developer, operator and owner of landfill gas-to-energy facilities in the U.S.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 xml:space="preserve">Our Solid Waste operating revenues are primarily generated from fees charged for our collection, transfer, disposal, and recycling and resource recovery services, and from sales of commodities by our recycling and landfill gas-to-energy operations. Revenues from our collection operations are influenced by factors such as collection frequency, type of collection equipment furnished, type and volume or weight of the waste collected, distance to the disposal facility or material recovery facility and our disposal costs. Revenues from our landfill operations consist of tipping fees, which are generally based on the type and weight or volume of waste being disposed of at our disposal facilities. Fees charged at transfer stations are generally based on the weight or volume of waste deposited, taking into account our cost of loading, transporting and disposing of the solid waste at a disposal site. Recycling revenues generally consist of tipping fees and the sale of recycling commodities to third parties. The fees we charge for our services generally include our environmental fee, fuel surcharge and regulatory recovery fee which are intended to pass through to customers direct and indirect costs incurred. We also provide additional services that are not managed through our Solid Waste business, described under </w:t>
      </w:r>
      <w:r>
        <w:rPr>
          <w:rFonts w:ascii="Arial" w:cs="Arial" w:eastAsia="Arial" w:hAnsi="Arial"/>
          <w:sz w:val="16"/>
          <w:szCs w:val="16"/>
          <w:i w:val="1"/>
          <w:iCs w:val="1"/>
          <w:color w:val="auto"/>
        </w:rPr>
        <w:t>Results of Operations</w:t>
      </w:r>
      <w:r>
        <w:rPr>
          <w:rFonts w:ascii="Arial" w:cs="Arial" w:eastAsia="Arial" w:hAnsi="Arial"/>
          <w:sz w:val="16"/>
          <w:szCs w:val="16"/>
          <w:color w:val="auto"/>
        </w:rPr>
        <w:t xml:space="preserve"> below.</w:t>
      </w:r>
    </w:p>
    <w:p>
      <w:pPr>
        <w:spacing w:after="0" w:line="17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Strategy</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Our strategic planning processes appropriately consider that the future of our business and the industry can be influenced by changes in economic conditions, the competitive landscape, the regulatory environment, asset and resource availability and technology. We believe that focused differentiation, which is driven by capitalizing on our unique and extensive network of assets, will deliver profitable growth and position us to leverage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that execution of our strategy will deliver shareholder value and leadership in a dynamic industry.</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Business Environment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waste industry is a comparatively mature and stable industry. However, customers increasingly want more of their waste materials recovered, and waste streams are becoming more complex. In addition, many state and local governments mandate diversion, recycling and waste reduction at the source and prohibit the disposal of certain types of waste at landfills, and we monitor these developments to adapt our services offerings. As companies, individuals and communities look for ways to be more sustainable, we are promoting our comprehensive services that go beyond our core business of collecting and disposing of waste.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4" w:name="page35"/>
    <w:bookmarkEnd w:id="34"/>
    <w:p>
      <w:pPr>
        <w:jc w:val="both"/>
        <w:ind w:firstLine="324"/>
        <w:spacing w:after="0" w:line="270" w:lineRule="auto"/>
        <w:rPr>
          <w:sz w:val="20"/>
          <w:szCs w:val="20"/>
          <w:color w:val="auto"/>
        </w:rPr>
      </w:pPr>
      <w:r>
        <w:rPr>
          <w:rFonts w:ascii="Arial" w:cs="Arial" w:eastAsia="Arial" w:hAnsi="Arial"/>
          <w:sz w:val="17"/>
          <w:szCs w:val="17"/>
          <w:color w:val="auto"/>
        </w:rPr>
        <w:t>Despite some industry consolidation in recent years, we encounter intense competition from governmental, quasi-governmental and private service providers based on pricing, service quality, customer experience and breadth of service offerings. Our industry is directly affected by changes in general economic factors, as increases and decreases in consumer spending and construction starts generally correlate to volumes of waste generated and our revenues. Negative economic conditions, in addition to price competition, can make it more challenging to negotiate and renew service contracts with acceptable margins. General economic factors and the market for consumer goods, in addition to regulatory developments, can also significantly impact commodity prices for recyclable materials we sell. Our operating expenses are directly impacted by volume levels; as volume levels shift, due to economic and other factors, we must manage our network capacity and cost structure accordingly.</w:t>
      </w:r>
    </w:p>
    <w:p>
      <w:pPr>
        <w:spacing w:after="0" w:line="18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generally favorable macro-economic environment, including steady spending by consumers and businesses and construction starts, has benefited our volume growth and gross margins in recent quarters, and we are not expecting any significant shift in the near term. However, we have seen disruption and downward price pressure in the global market for recycling commodities, due in part to actions by the Chinese government that have restricted our ability to sell recycled fiber to Chinese paper mills. We and others in the industry continue to work to adapt to the Chinese government’s regulations and identify alternative markets.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Current Quarter Financial Results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second quarter of 2018, we produced strong operating results from our Traditional Solid Waste business, driven by strong yield and volume growth in our collection and disposal business. Net income and earnings per diluted share growth was even more pronounced given the reduction in our effective tax rate due to the enactment of tax reform and tax audit settlements. The Company continued its commitment to supporting both organic and inorganic growth during the second quarter of 2018, allocating $436 million of available cash to capital expenditures and $21 million to the acquisition of solid waste businesses. We also allocated $500 million to our shareholders during the second quarter of 2018 through common stock repurchases and dividends.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elements of our financial results for the current quarter include:</w:t>
      </w:r>
    </w:p>
    <w:p>
      <w:pPr>
        <w:spacing w:after="0" w:line="117" w:lineRule="exact"/>
        <w:rPr>
          <w:sz w:val="20"/>
          <w:szCs w:val="20"/>
          <w:color w:val="auto"/>
        </w:rPr>
      </w:pPr>
    </w:p>
    <w:p>
      <w:pPr>
        <w:jc w:val="both"/>
        <w:ind w:left="660" w:hanging="333"/>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were $3,739 million compared with $3,677 million in the prior year period, an increase of $62 million, or 1.7%. The increase is primarily attributable to yield and volume growth in our collection and disposal business, partially offset by lower market prices for recycling commodities;</w:t>
      </w:r>
    </w:p>
    <w:p>
      <w:pPr>
        <w:spacing w:after="0" w:line="73" w:lineRule="exact"/>
        <w:rPr>
          <w:rFonts w:ascii="Arial" w:cs="Arial" w:eastAsia="Arial" w:hAnsi="Arial"/>
          <w:sz w:val="18"/>
          <w:szCs w:val="18"/>
          <w:color w:val="auto"/>
        </w:rPr>
      </w:pPr>
    </w:p>
    <w:p>
      <w:pPr>
        <w:jc w:val="both"/>
        <w:ind w:left="660" w:hanging="333"/>
        <w:spacing w:after="0" w:line="31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Operating expenses were $2,313 million, or 61.9% of revenues, compared with $2,290 million, or 62.3% of revenues, in the prior year period. The $23 million increase is primarily attributable to higher volumes in the current year period, partially offset by decreased cost of goods sold due to lower market prices for recycling commodities;</w:t>
      </w:r>
    </w:p>
    <w:p>
      <w:pPr>
        <w:spacing w:after="0" w:line="38" w:lineRule="exact"/>
        <w:rPr>
          <w:rFonts w:ascii="Arial" w:cs="Arial" w:eastAsia="Arial" w:hAnsi="Arial"/>
          <w:sz w:val="16"/>
          <w:szCs w:val="16"/>
          <w:color w:val="auto"/>
        </w:rPr>
      </w:pPr>
    </w:p>
    <w:p>
      <w:pPr>
        <w:jc w:val="both"/>
        <w:ind w:left="660" w:hanging="333"/>
        <w:spacing w:after="0" w:line="26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Selling, general and administrative expenses were $365 million, or 9.8% of revenues, compared with $353 million, or 9.6% or revenues. The $12 million increase is primarily attributable to higher litigation settlement costs in the current year period;</w:t>
      </w:r>
    </w:p>
    <w:p>
      <w:pPr>
        <w:spacing w:after="0" w:line="73"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from operations was $715 million, or 19.1% of revenues, compared with $673 million, or 18.3% of revenues, in the prior year period;</w:t>
      </w:r>
    </w:p>
    <w:p>
      <w:pPr>
        <w:spacing w:after="0" w:line="62"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attributable to Waste Management, Inc. was $499 million, or $1.15 per diluted share, compared with $362 million, or $0.81 per diluted share, in the prior year period. The increase is primarily attributable (i) the tax reform enacted in December 2017 which decreased the federal corporate income tax rate; (ii) improved operating results in our Traditional Solid Waste business; (iii) net gains associated with the sale of certain ancillary operations and (iv) the settlement of various tax audits, which resulted in a reduction in our income tax expense. Partially offsetting the increase is lower earnings from our recycling line of business due to lower market prices for recycling commodities;</w:t>
      </w:r>
    </w:p>
    <w:p>
      <w:pPr>
        <w:spacing w:after="0" w:line="81"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Net cash provided by operating activities was $975 million compared with $813 million in the prior year period; and</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5" w:name="page36"/>
    <w:bookmarkEnd w:id="35"/>
    <w:p>
      <w:pPr>
        <w:jc w:val="both"/>
        <w:ind w:left="660" w:hanging="333"/>
        <w:spacing w:after="0" w:line="259"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Free cash flow was $621 million compared with $520 million in the prior year period. Free cash flow is a non-GAAP measure of liquidity. Refer to </w:t>
      </w:r>
      <w:r>
        <w:rPr>
          <w:rFonts w:ascii="Arial" w:cs="Arial" w:eastAsia="Arial" w:hAnsi="Arial"/>
          <w:sz w:val="18"/>
          <w:szCs w:val="18"/>
          <w:i w:val="1"/>
          <w:iCs w:val="1"/>
          <w:color w:val="auto"/>
        </w:rPr>
        <w:t>Free Cash Flow</w:t>
      </w:r>
      <w:r>
        <w:rPr>
          <w:rFonts w:ascii="Arial" w:cs="Arial" w:eastAsia="Arial" w:hAnsi="Arial"/>
          <w:sz w:val="18"/>
          <w:szCs w:val="18"/>
          <w:color w:val="auto"/>
        </w:rPr>
        <w:t xml:space="preserve"> below for our definition of free cash flow, additional information about our use of this measure, and a reconciliation to net cash provided by operating activities, which is the most comparable GAAP measure.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evaluate, oversee and manage the financial performance of our Solid Waste business subsidiaries through our 17 Areas. We also provide additional services that are not managed through our Solid Waste business, including operations managed by both our Strategic Business Solutions (“WMSBS”) and Energy and Environmental Services (“EES”) organizations, recycling brokerage services, landfill gas-to-energy services and certain other expanded service offerings and solutions. These operations are presented in our “Other” segment in the table below. The following table summarizes revenues during each period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00" w:type="dxa"/>
            <w:vAlign w:val="bottom"/>
            <w:gridSpan w:val="5"/>
          </w:tcPr>
          <w:p>
            <w:pPr>
              <w:jc w:val="right"/>
              <w:ind w:right="114"/>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58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r>
      <w:tr>
        <w:trPr>
          <w:trHeight w:val="142"/>
        </w:trPr>
        <w:tc>
          <w:tcPr>
            <w:tcW w:w="58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2017</w:t>
            </w:r>
          </w:p>
        </w:tc>
      </w:tr>
      <w:tr>
        <w:trPr>
          <w:trHeight w:val="210"/>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3,759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7,268</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(798)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(1,513)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(1,411)</w:t>
            </w:r>
          </w:p>
        </w:tc>
      </w:tr>
      <w:tr>
        <w:trPr>
          <w:trHeight w:val="217"/>
        </w:trPr>
        <w:tc>
          <w:tcPr>
            <w:tcW w:w="5800" w:type="dxa"/>
            <w:vAlign w:val="bottom"/>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3,677</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7,117</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00" w:type="dxa"/>
            <w:vAlign w:val="bottom"/>
            <w:gridSpan w:val="5"/>
          </w:tcPr>
          <w:p>
            <w:pPr>
              <w:jc w:val="right"/>
              <w:ind w:right="111"/>
              <w:spacing w:after="0"/>
              <w:rPr>
                <w:sz w:val="20"/>
                <w:szCs w:val="20"/>
                <w:color w:val="auto"/>
              </w:rPr>
            </w:pPr>
            <w:r>
              <w:rPr>
                <w:rFonts w:ascii="Arial" w:cs="Arial" w:eastAsia="Arial" w:hAnsi="Arial"/>
                <w:sz w:val="14"/>
                <w:szCs w:val="14"/>
                <w:b w:val="1"/>
                <w:bCs w:val="1"/>
                <w:color w:val="auto"/>
                <w:w w:val="97"/>
              </w:rPr>
              <w:t>Six Months Ended</w:t>
            </w:r>
          </w:p>
        </w:tc>
      </w:tr>
      <w:tr>
        <w:trPr>
          <w:trHeight w:val="171"/>
        </w:trPr>
        <w:tc>
          <w:tcPr>
            <w:tcW w:w="22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3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w w:val="96"/>
              </w:rPr>
              <w:t>2017</w:t>
            </w:r>
          </w:p>
        </w:tc>
      </w:tr>
      <w:tr>
        <w:trPr>
          <w:trHeight w:val="210"/>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Residential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1,253</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Industrial</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w:t>
            </w:r>
          </w:p>
        </w:tc>
      </w:tr>
      <w:tr>
        <w:trPr>
          <w:trHeight w:val="216"/>
        </w:trPr>
        <w:tc>
          <w:tcPr>
            <w:tcW w:w="58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10"/>
        </w:trPr>
        <w:tc>
          <w:tcPr>
            <w:tcW w:w="58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4,561</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915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1,720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1,603</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Recycling</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617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747</w:t>
            </w:r>
          </w:p>
        </w:tc>
      </w:tr>
      <w:tr>
        <w:trPr>
          <w:trHeight w:val="216"/>
        </w:trPr>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Intercompany (b)</w:t>
            </w: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(739)</w:t>
            </w:r>
          </w:p>
        </w:tc>
        <w:tc>
          <w:tcPr>
            <w:tcW w:w="12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(1,513)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(1,411)</w:t>
            </w:r>
          </w:p>
        </w:tc>
      </w:tr>
      <w:tr>
        <w:trPr>
          <w:trHeight w:val="217"/>
        </w:trPr>
        <w:tc>
          <w:tcPr>
            <w:tcW w:w="58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3,677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7,117</w:t>
            </w:r>
          </w:p>
        </w:tc>
      </w:tr>
      <w:tr>
        <w:trPr>
          <w:trHeight w:val="108"/>
        </w:trPr>
        <w:tc>
          <w:tcPr>
            <w:tcW w:w="2280" w:type="dxa"/>
            <w:vAlign w:val="bottom"/>
            <w:tcBorders>
              <w:bottom w:val="single" w:sz="8" w:color="auto"/>
            </w:tcBorders>
          </w:tcPr>
          <w:p>
            <w:pPr>
              <w:spacing w:after="0"/>
              <w:rPr>
                <w:sz w:val="9"/>
                <w:szCs w:val="9"/>
                <w:color w:val="auto"/>
              </w:rPr>
            </w:pPr>
          </w:p>
        </w:tc>
        <w:tc>
          <w:tcPr>
            <w:tcW w:w="3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5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“Other” line of business includes (i) our WMSBS organization; (ii) our landfill gas-to-energy operations; (iii) certain services within our EES organization, including our construction and remediation services and our services associated with the disposal of fly ash and (iv) certain other expanded service offerings and solutions. In addition, our “Other” line of business reflects the results of non-operating entities that provide financial assurance and self-insurance support, net of intercompany activity.</w:t>
      </w:r>
    </w:p>
    <w:p>
      <w:pPr>
        <w:spacing w:after="0" w:line="80"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Intercompany revenues between lines of business are eliminated in the Condensed Consolidated Financial Statements included within this report.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6" w:name="page37"/>
    <w:bookmarkEnd w:id="36"/>
    <w:p>
      <w:pPr>
        <w:ind w:firstLine="324"/>
        <w:spacing w:after="0" w:line="277" w:lineRule="auto"/>
        <w:rPr>
          <w:sz w:val="20"/>
          <w:szCs w:val="20"/>
          <w:color w:val="auto"/>
        </w:rPr>
      </w:pPr>
      <w:r>
        <w:rPr>
          <w:rFonts w:ascii="Arial" w:cs="Arial" w:eastAsia="Arial" w:hAnsi="Arial"/>
          <w:sz w:val="18"/>
          <w:szCs w:val="18"/>
          <w:color w:val="auto"/>
        </w:rPr>
        <w:t>The following table provides details associated with the period-to-period changes in revenues and average yield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940" w:type="dxa"/>
            <w:vAlign w:val="bottom"/>
            <w:gridSpan w:val="8"/>
          </w:tcPr>
          <w:p>
            <w:pPr>
              <w:jc w:val="right"/>
              <w:ind w:right="790"/>
              <w:spacing w:after="0"/>
              <w:rPr>
                <w:sz w:val="20"/>
                <w:szCs w:val="20"/>
                <w:color w:val="auto"/>
              </w:rPr>
            </w:pPr>
            <w:r>
              <w:rPr>
                <w:rFonts w:ascii="Arial" w:cs="Arial" w:eastAsia="Arial" w:hAnsi="Arial"/>
                <w:sz w:val="14"/>
                <w:szCs w:val="14"/>
                <w:b w:val="1"/>
                <w:bCs w:val="1"/>
                <w:color w:val="auto"/>
                <w:w w:val="96"/>
              </w:rPr>
              <w:t>Period-to-Period Change for the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760" w:type="dxa"/>
            <w:vAlign w:val="bottom"/>
            <w:gridSpan w:val="8"/>
          </w:tcPr>
          <w:p>
            <w:pPr>
              <w:jc w:val="right"/>
              <w:ind w:right="650"/>
              <w:spacing w:after="0"/>
              <w:rPr>
                <w:sz w:val="20"/>
                <w:szCs w:val="20"/>
                <w:color w:val="auto"/>
              </w:rPr>
            </w:pPr>
            <w:r>
              <w:rPr>
                <w:rFonts w:ascii="Arial" w:cs="Arial" w:eastAsia="Arial" w:hAnsi="Arial"/>
                <w:sz w:val="14"/>
                <w:szCs w:val="14"/>
                <w:b w:val="1"/>
                <w:bCs w:val="1"/>
                <w:color w:val="auto"/>
                <w:w w:val="94"/>
              </w:rPr>
              <w:t>Period-to-Period Change for the</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40" w:type="dxa"/>
            <w:vAlign w:val="bottom"/>
            <w:gridSpan w:val="9"/>
          </w:tcPr>
          <w:p>
            <w:pPr>
              <w:jc w:val="right"/>
              <w:ind w:right="410"/>
              <w:spacing w:after="0"/>
              <w:rPr>
                <w:sz w:val="20"/>
                <w:szCs w:val="20"/>
                <w:color w:val="auto"/>
              </w:rPr>
            </w:pPr>
            <w:r>
              <w:rPr>
                <w:rFonts w:ascii="Arial" w:cs="Arial" w:eastAsia="Arial" w:hAnsi="Arial"/>
                <w:sz w:val="14"/>
                <w:szCs w:val="14"/>
                <w:b w:val="1"/>
                <w:bCs w:val="1"/>
                <w:color w:val="auto"/>
                <w:w w:val="96"/>
              </w:rPr>
              <w:t>Three Months Ended June 30, 2018 vs. 2017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10"/>
          </w:tcPr>
          <w:p>
            <w:pPr>
              <w:jc w:val="right"/>
              <w:ind w:right="350"/>
              <w:spacing w:after="0"/>
              <w:rPr>
                <w:sz w:val="20"/>
                <w:szCs w:val="20"/>
                <w:color w:val="auto"/>
              </w:rPr>
            </w:pPr>
            <w:r>
              <w:rPr>
                <w:rFonts w:ascii="Arial" w:cs="Arial" w:eastAsia="Arial" w:hAnsi="Arial"/>
                <w:sz w:val="14"/>
                <w:szCs w:val="14"/>
                <w:b w:val="1"/>
                <w:bCs w:val="1"/>
                <w:color w:val="auto"/>
              </w:rPr>
              <w:t>Six Months Ended June 30, 2018 vs. 2017</w:t>
            </w:r>
          </w:p>
        </w:tc>
        <w:tc>
          <w:tcPr>
            <w:tcW w:w="0" w:type="dxa"/>
            <w:vAlign w:val="bottom"/>
          </w:tcPr>
          <w:p>
            <w:pPr>
              <w:spacing w:after="0"/>
              <w:rPr>
                <w:sz w:val="1"/>
                <w:szCs w:val="1"/>
                <w:color w:val="auto"/>
              </w:rPr>
            </w:pPr>
          </w:p>
        </w:tc>
      </w:tr>
      <w:tr>
        <w:trPr>
          <w:trHeight w:val="119"/>
        </w:trPr>
        <w:tc>
          <w:tcPr>
            <w:tcW w:w="2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90"/>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Borders>
              <w:top w:val="single" w:sz="8" w:color="auto"/>
            </w:tcBorders>
          </w:tcPr>
          <w:p>
            <w:pPr>
              <w:spacing w:after="0"/>
              <w:rPr>
                <w:sz w:val="10"/>
                <w:szCs w:val="10"/>
                <w:color w:val="auto"/>
              </w:rPr>
            </w:pPr>
          </w:p>
        </w:tc>
        <w:tc>
          <w:tcPr>
            <w:tcW w:w="3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170"/>
              <w:spacing w:after="0" w:line="119" w:lineRule="exact"/>
              <w:rPr>
                <w:sz w:val="20"/>
                <w:szCs w:val="20"/>
                <w:color w:val="auto"/>
              </w:rPr>
            </w:pPr>
            <w:r>
              <w:rPr>
                <w:rFonts w:ascii="Arial" w:cs="Arial" w:eastAsia="Arial" w:hAnsi="Arial"/>
                <w:sz w:val="13"/>
                <w:szCs w:val="13"/>
                <w:b w:val="1"/>
                <w:bCs w:val="1"/>
                <w:color w:val="auto"/>
              </w:rPr>
              <w:t>As a % of</w:t>
            </w:r>
          </w:p>
        </w:tc>
        <w:tc>
          <w:tcPr>
            <w:tcW w:w="12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160" w:type="dxa"/>
            <w:vAlign w:val="bottom"/>
          </w:tcPr>
          <w:p>
            <w:pPr>
              <w:spacing w:after="0"/>
              <w:rPr>
                <w:sz w:val="12"/>
                <w:szCs w:val="12"/>
                <w:color w:val="auto"/>
              </w:rPr>
            </w:pPr>
          </w:p>
        </w:tc>
        <w:tc>
          <w:tcPr>
            <w:tcW w:w="5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2"/>
                <w:szCs w:val="12"/>
                <w:color w:val="auto"/>
              </w:rPr>
            </w:pPr>
          </w:p>
        </w:tc>
        <w:tc>
          <w:tcPr>
            <w:tcW w:w="110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94"/>
              </w:rPr>
              <w:t>Related</w:t>
            </w: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12"/>
                <w:szCs w:val="12"/>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2"/>
                <w:szCs w:val="12"/>
                <w:color w:val="auto"/>
              </w:rPr>
            </w:pPr>
          </w:p>
        </w:tc>
        <w:tc>
          <w:tcPr>
            <w:tcW w:w="10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4"/>
              </w:rPr>
              <w:t>Related</w:t>
            </w:r>
          </w:p>
        </w:tc>
        <w:tc>
          <w:tcPr>
            <w:tcW w:w="6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96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16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8"/>
              </w:rPr>
              <w:t>Business(a)</w:t>
            </w:r>
          </w:p>
        </w:tc>
        <w:tc>
          <w:tcPr>
            <w:tcW w:w="680" w:type="dxa"/>
            <w:vAlign w:val="bottom"/>
            <w:gridSpan w:val="3"/>
            <w:vMerge w:val="continue"/>
          </w:tcPr>
          <w:p>
            <w:pPr>
              <w:spacing w:after="0"/>
              <w:rPr>
                <w:sz w:val="14"/>
                <w:szCs w:val="14"/>
                <w:color w:val="auto"/>
              </w:rPr>
            </w:pPr>
          </w:p>
        </w:tc>
        <w:tc>
          <w:tcPr>
            <w:tcW w:w="10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5"/>
              </w:rPr>
              <w:t>Company(b)</w:t>
            </w:r>
          </w:p>
        </w:tc>
        <w:tc>
          <w:tcPr>
            <w:tcW w:w="80" w:type="dxa"/>
            <w:vAlign w:val="bottom"/>
          </w:tcPr>
          <w:p>
            <w:pPr>
              <w:spacing w:after="0"/>
              <w:rPr>
                <w:sz w:val="14"/>
                <w:szCs w:val="14"/>
                <w:color w:val="auto"/>
              </w:rPr>
            </w:pPr>
          </w:p>
        </w:tc>
        <w:tc>
          <w:tcPr>
            <w:tcW w:w="6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88"/>
              </w:rPr>
              <w:t>Business(a)</w:t>
            </w:r>
          </w:p>
        </w:tc>
        <w:tc>
          <w:tcPr>
            <w:tcW w:w="680" w:type="dxa"/>
            <w:vAlign w:val="bottom"/>
            <w:gridSpan w:val="3"/>
            <w:vMerge w:val="continue"/>
          </w:tcPr>
          <w:p>
            <w:pPr>
              <w:spacing w:after="0"/>
              <w:rPr>
                <w:sz w:val="14"/>
                <w:szCs w:val="14"/>
                <w:color w:val="auto"/>
              </w:rPr>
            </w:pPr>
          </w:p>
        </w:tc>
        <w:tc>
          <w:tcPr>
            <w:tcW w:w="960" w:type="dxa"/>
            <w:vAlign w:val="bottom"/>
            <w:gridSpan w:val="2"/>
          </w:tcPr>
          <w:p>
            <w:pPr>
              <w:jc w:val="center"/>
              <w:ind w:right="50"/>
              <w:spacing w:after="0"/>
              <w:rPr>
                <w:sz w:val="20"/>
                <w:szCs w:val="20"/>
                <w:color w:val="auto"/>
              </w:rPr>
            </w:pPr>
            <w:r>
              <w:rPr>
                <w:rFonts w:ascii="Arial" w:cs="Arial" w:eastAsia="Arial" w:hAnsi="Arial"/>
                <w:sz w:val="14"/>
                <w:szCs w:val="14"/>
                <w:b w:val="1"/>
                <w:bCs w:val="1"/>
                <w:color w:val="auto"/>
                <w:w w:val="95"/>
              </w:rPr>
              <w:t>Company(b)</w:t>
            </w:r>
          </w:p>
        </w:tc>
        <w:tc>
          <w:tcPr>
            <w:tcW w:w="0" w:type="dxa"/>
            <w:vAlign w:val="bottom"/>
          </w:tcPr>
          <w:p>
            <w:pPr>
              <w:spacing w:after="0"/>
              <w:rPr>
                <w:sz w:val="1"/>
                <w:szCs w:val="1"/>
                <w:color w:val="auto"/>
              </w:rPr>
            </w:pPr>
          </w:p>
        </w:tc>
      </w:tr>
      <w:tr>
        <w:trPr>
          <w:trHeight w:val="210"/>
        </w:trPr>
        <w:tc>
          <w:tcPr>
            <w:tcW w:w="2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top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87"/>
              </w:rPr>
              <w:t>%</w:t>
            </w:r>
          </w:p>
        </w:tc>
        <w:tc>
          <w:tcPr>
            <w:tcW w:w="1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Arial" w:cs="Arial" w:eastAsia="Arial" w:hAnsi="Arial"/>
                <w:sz w:val="18"/>
                <w:szCs w:val="18"/>
                <w:color w:val="auto"/>
              </w:rPr>
              <w:t>Recycling commodities</w:t>
            </w: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(88)</w:t>
            </w:r>
          </w:p>
        </w:tc>
        <w:tc>
          <w:tcPr>
            <w:tcW w:w="1240" w:type="dxa"/>
            <w:vAlign w:val="bottom"/>
            <w:gridSpan w:val="3"/>
          </w:tcPr>
          <w:p>
            <w:pPr>
              <w:jc w:val="right"/>
              <w:ind w:right="290"/>
              <w:spacing w:after="0"/>
              <w:rPr>
                <w:sz w:val="20"/>
                <w:szCs w:val="20"/>
                <w:color w:val="auto"/>
              </w:rPr>
            </w:pPr>
            <w:r>
              <w:rPr>
                <w:rFonts w:ascii="Arial" w:cs="Arial" w:eastAsia="Arial" w:hAnsi="Arial"/>
                <w:sz w:val="18"/>
                <w:szCs w:val="18"/>
                <w:color w:val="auto"/>
              </w:rPr>
              <w:t>(23.4)</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(161)</w:t>
            </w:r>
          </w:p>
        </w:tc>
        <w:tc>
          <w:tcPr>
            <w:tcW w:w="1120" w:type="dxa"/>
            <w:vAlign w:val="bottom"/>
            <w:gridSpan w:val="3"/>
          </w:tcPr>
          <w:p>
            <w:pPr>
              <w:jc w:val="right"/>
              <w:ind w:right="150"/>
              <w:spacing w:after="0"/>
              <w:rPr>
                <w:sz w:val="20"/>
                <w:szCs w:val="20"/>
                <w:color w:val="auto"/>
              </w:rPr>
            </w:pPr>
            <w:r>
              <w:rPr>
                <w:rFonts w:ascii="Arial" w:cs="Arial" w:eastAsia="Arial" w:hAnsi="Arial"/>
                <w:sz w:val="18"/>
                <w:szCs w:val="18"/>
                <w:color w:val="auto"/>
              </w:rPr>
              <w:t>(21.6)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Fuel surcharges and</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mandated fees</w:t>
            </w:r>
          </w:p>
        </w:tc>
        <w:tc>
          <w:tcPr>
            <w:tcW w:w="12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220"/>
              <w:spacing w:after="0"/>
              <w:rPr>
                <w:sz w:val="20"/>
                <w:szCs w:val="20"/>
                <w:color w:val="auto"/>
              </w:rPr>
            </w:pPr>
            <w:r>
              <w:rPr>
                <w:rFonts w:ascii="Arial" w:cs="Arial" w:eastAsia="Arial" w:hAnsi="Arial"/>
                <w:sz w:val="18"/>
                <w:szCs w:val="18"/>
                <w:color w:val="auto"/>
              </w:rPr>
              <w:t>Total average yield (c)</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0.4 %</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Volume</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160" w:type="dxa"/>
            <w:vAlign w:val="bottom"/>
          </w:tcPr>
          <w:p>
            <w:pPr>
              <w:ind w:left="220"/>
              <w:spacing w:after="0"/>
              <w:rPr>
                <w:sz w:val="20"/>
                <w:szCs w:val="20"/>
                <w:color w:val="auto"/>
              </w:rPr>
            </w:pPr>
            <w:r>
              <w:rPr>
                <w:rFonts w:ascii="Arial" w:cs="Arial" w:eastAsia="Arial" w:hAnsi="Arial"/>
                <w:sz w:val="18"/>
                <w:szCs w:val="18"/>
                <w:color w:val="auto"/>
              </w:rPr>
              <w:t>Internal revenue growth</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189</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60" w:type="dxa"/>
            <w:vAlign w:val="bottom"/>
          </w:tcPr>
          <w:p>
            <w:pPr>
              <w:ind w:left="220"/>
              <w:spacing w:after="0"/>
              <w:rPr>
                <w:sz w:val="20"/>
                <w:szCs w:val="20"/>
                <w:color w:val="auto"/>
              </w:rPr>
            </w:pPr>
            <w:r>
              <w:rPr>
                <w:rFonts w:ascii="Arial" w:cs="Arial" w:eastAsia="Arial" w:hAnsi="Arial"/>
                <w:sz w:val="18"/>
                <w:szCs w:val="18"/>
                <w:color w:val="auto"/>
              </w:rPr>
              <w:t>Divestitures</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1020" w:type="dxa"/>
            <w:vAlign w:val="bottom"/>
            <w:gridSpan w:val="2"/>
          </w:tcPr>
          <w:p>
            <w:pPr>
              <w:jc w:val="right"/>
              <w:ind w:right="13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960" w:type="dxa"/>
            <w:vAlign w:val="bottom"/>
            <w:gridSpan w:val="2"/>
          </w:tcPr>
          <w:p>
            <w:pPr>
              <w:jc w:val="right"/>
              <w:ind w:right="7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1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Foreign currency</w:t>
            </w: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and other</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(107)</w:t>
            </w:r>
          </w:p>
        </w:tc>
        <w:tc>
          <w:tcPr>
            <w:tcW w:w="9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7"/>
        </w:trPr>
        <w:tc>
          <w:tcPr>
            <w:tcW w:w="2160" w:type="dxa"/>
            <w:vAlign w:val="bottom"/>
          </w:tcPr>
          <w:p>
            <w:pPr>
              <w:ind w:left="440"/>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8"/>
        </w:trPr>
        <w:tc>
          <w:tcPr>
            <w:tcW w:w="21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related business revenue adjusted to exclude the impacts of divestitures for the current year period.</w:t>
      </w:r>
    </w:p>
    <w:p>
      <w:pPr>
        <w:spacing w:after="0" w:line="62" w:lineRule="exact"/>
        <w:rPr>
          <w:rFonts w:ascii="Arial" w:cs="Arial" w:eastAsia="Arial" w:hAnsi="Arial"/>
          <w:sz w:val="18"/>
          <w:szCs w:val="18"/>
          <w:color w:val="auto"/>
        </w:rPr>
      </w:pPr>
    </w:p>
    <w:p>
      <w:pPr>
        <w:ind w:left="320" w:hanging="317"/>
        <w:spacing w:after="0" w:line="277" w:lineRule="auto"/>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w:t>
      </w:r>
    </w:p>
    <w:p>
      <w:pPr>
        <w:spacing w:after="0" w:line="62" w:lineRule="exact"/>
        <w:rPr>
          <w:rFonts w:ascii="Arial" w:cs="Arial" w:eastAsia="Arial" w:hAnsi="Arial"/>
          <w:sz w:val="18"/>
          <w:szCs w:val="18"/>
          <w:color w:val="auto"/>
        </w:rPr>
      </w:pPr>
    </w:p>
    <w:p>
      <w:pPr>
        <w:ind w:left="320" w:right="260" w:hanging="317"/>
        <w:spacing w:after="0" w:line="530" w:lineRule="auto"/>
        <w:tabs>
          <w:tab w:leader="none" w:pos="3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amounts reported herein represent the changes in our revenue attributable to average yield for the total Company. The following provides further details associated with our period-to-period change in revenues: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Collection and Disposal Average Yield </w:t>
      </w:r>
      <w:r>
        <w:rPr>
          <w:rFonts w:ascii="Arial" w:cs="Arial" w:eastAsia="Arial" w:hAnsi="Arial"/>
          <w:sz w:val="17"/>
          <w:szCs w:val="17"/>
          <w:color w:val="auto"/>
        </w:rPr>
        <w:t>— This measure reflects the effect on our revenue from the pricing activities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collection, transfer and landfill lines of business,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7" w:name="page38"/>
    <w:bookmarkEnd w:id="37"/>
    <w:p>
      <w:pPr>
        <w:jc w:val="both"/>
        <w:ind w:firstLine="324"/>
        <w:spacing w:after="0" w:line="264" w:lineRule="auto"/>
        <w:rPr>
          <w:sz w:val="20"/>
          <w:szCs w:val="20"/>
          <w:color w:val="auto"/>
        </w:rPr>
      </w:pPr>
      <w:r>
        <w:rPr>
          <w:rFonts w:ascii="Arial" w:cs="Arial" w:eastAsia="Arial" w:hAnsi="Arial"/>
          <w:sz w:val="18"/>
          <w:szCs w:val="18"/>
          <w:color w:val="auto"/>
        </w:rPr>
        <w:t>Revenue growth from collection and disposal average yield was $72 million, or 2.3%, and $140 million, or 2.3%, for the three and six months ended June 30, 2018, respectively. We experienced growth in our collection and disposal business in the current year periods. The details are as follows (dollars in millions):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center"/>
              <w:ind w:right="345"/>
              <w:spacing w:after="0"/>
              <w:rPr>
                <w:sz w:val="20"/>
                <w:szCs w:val="20"/>
                <w:color w:val="auto"/>
              </w:rPr>
            </w:pPr>
            <w:r>
              <w:rPr>
                <w:rFonts w:ascii="Arial" w:cs="Arial" w:eastAsia="Arial" w:hAnsi="Arial"/>
                <w:sz w:val="14"/>
                <w:szCs w:val="14"/>
                <w:b w:val="1"/>
                <w:bCs w:val="1"/>
                <w:color w:val="auto"/>
                <w:w w:val="93"/>
              </w:rPr>
              <w:t>Period-to-Period Change</w:t>
            </w:r>
          </w:p>
        </w:tc>
        <w:tc>
          <w:tcPr>
            <w:tcW w:w="1800" w:type="dxa"/>
            <w:vAlign w:val="bottom"/>
            <w:gridSpan w:val="5"/>
          </w:tcPr>
          <w:p>
            <w:pPr>
              <w:jc w:val="center"/>
              <w:ind w:right="170"/>
              <w:spacing w:after="0"/>
              <w:rPr>
                <w:sz w:val="20"/>
                <w:szCs w:val="20"/>
                <w:color w:val="auto"/>
              </w:rPr>
            </w:pPr>
            <w:r>
              <w:rPr>
                <w:rFonts w:ascii="Arial" w:cs="Arial" w:eastAsia="Arial" w:hAnsi="Arial"/>
                <w:sz w:val="14"/>
                <w:szCs w:val="14"/>
                <w:b w:val="1"/>
                <w:bCs w:val="1"/>
                <w:color w:val="auto"/>
                <w:w w:val="93"/>
              </w:rPr>
              <w:t>Period-to-Period Change</w:t>
            </w: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left="477"/>
              <w:spacing w:after="0" w:line="149" w:lineRule="exact"/>
              <w:rPr>
                <w:sz w:val="20"/>
                <w:szCs w:val="20"/>
                <w:color w:val="auto"/>
              </w:rPr>
            </w:pPr>
            <w:r>
              <w:rPr>
                <w:rFonts w:ascii="Arial" w:cs="Arial" w:eastAsia="Arial" w:hAnsi="Arial"/>
                <w:sz w:val="14"/>
                <w:szCs w:val="14"/>
                <w:b w:val="1"/>
                <w:bCs w:val="1"/>
                <w:color w:val="auto"/>
                <w:w w:val="96"/>
              </w:rPr>
              <w:t>for the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3"/>
          </w:tcPr>
          <w:p>
            <w:pPr>
              <w:jc w:val="center"/>
              <w:ind w:left="497"/>
              <w:spacing w:after="0" w:line="149" w:lineRule="exact"/>
              <w:rPr>
                <w:sz w:val="20"/>
                <w:szCs w:val="20"/>
                <w:color w:val="auto"/>
              </w:rPr>
            </w:pPr>
            <w:r>
              <w:rPr>
                <w:rFonts w:ascii="Arial" w:cs="Arial" w:eastAsia="Arial" w:hAnsi="Arial"/>
                <w:sz w:val="14"/>
                <w:szCs w:val="14"/>
                <w:b w:val="1"/>
                <w:bCs w:val="1"/>
                <w:color w:val="auto"/>
                <w:w w:val="91"/>
              </w:rPr>
              <w:t>for the</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gridSpan w:val="6"/>
          </w:tcPr>
          <w:p>
            <w:pPr>
              <w:jc w:val="center"/>
              <w:ind w:right="345"/>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800" w:type="dxa"/>
            <w:vAlign w:val="bottom"/>
            <w:gridSpan w:val="5"/>
          </w:tcPr>
          <w:p>
            <w:pPr>
              <w:jc w:val="center"/>
              <w:ind w:right="150"/>
              <w:spacing w:after="0" w:line="149" w:lineRule="exact"/>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6"/>
          </w:tcPr>
          <w:p>
            <w:pPr>
              <w:jc w:val="center"/>
              <w:ind w:right="365"/>
              <w:spacing w:after="0"/>
              <w:rPr>
                <w:sz w:val="20"/>
                <w:szCs w:val="20"/>
                <w:color w:val="auto"/>
              </w:rPr>
            </w:pPr>
            <w:r>
              <w:rPr>
                <w:rFonts w:ascii="Arial" w:cs="Arial" w:eastAsia="Arial" w:hAnsi="Arial"/>
                <w:sz w:val="14"/>
                <w:szCs w:val="14"/>
                <w:b w:val="1"/>
                <w:bCs w:val="1"/>
                <w:color w:val="auto"/>
                <w:w w:val="90"/>
              </w:rPr>
              <w:t>June 30, 2018 vs. 2017</w:t>
            </w:r>
          </w:p>
        </w:tc>
        <w:tc>
          <w:tcPr>
            <w:tcW w:w="1800" w:type="dxa"/>
            <w:vAlign w:val="bottom"/>
            <w:gridSpan w:val="5"/>
          </w:tcPr>
          <w:p>
            <w:pPr>
              <w:jc w:val="center"/>
              <w:ind w:right="150"/>
              <w:spacing w:after="0"/>
              <w:rPr>
                <w:sz w:val="20"/>
                <w:szCs w:val="20"/>
                <w:color w:val="auto"/>
              </w:rPr>
            </w:pPr>
            <w:r>
              <w:rPr>
                <w:rFonts w:ascii="Arial" w:cs="Arial" w:eastAsia="Arial" w:hAnsi="Arial"/>
                <w:sz w:val="14"/>
                <w:szCs w:val="14"/>
                <w:b w:val="1"/>
                <w:bCs w:val="1"/>
                <w:color w:val="auto"/>
                <w:w w:val="90"/>
              </w:rPr>
              <w:t>June 30, 2018 vs. 2017</w:t>
            </w:r>
          </w:p>
        </w:tc>
        <w:tc>
          <w:tcPr>
            <w:tcW w:w="0" w:type="dxa"/>
            <w:vAlign w:val="bottom"/>
          </w:tcPr>
          <w:p>
            <w:pPr>
              <w:spacing w:after="0"/>
              <w:rPr>
                <w:sz w:val="1"/>
                <w:szCs w:val="1"/>
                <w:color w:val="auto"/>
              </w:rPr>
            </w:pPr>
          </w:p>
        </w:tc>
      </w:tr>
      <w:tr>
        <w:trPr>
          <w:trHeight w:val="119"/>
        </w:trPr>
        <w:tc>
          <w:tcPr>
            <w:tcW w:w="37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w:t>
            </w:r>
          </w:p>
        </w:tc>
        <w:tc>
          <w:tcPr>
            <w:tcW w:w="980" w:type="dxa"/>
            <w:vAlign w:val="bottom"/>
            <w:gridSpan w:val="3"/>
          </w:tcPr>
          <w:p>
            <w:pPr>
              <w:jc w:val="center"/>
              <w:ind w:right="325"/>
              <w:spacing w:after="0" w:line="149" w:lineRule="exact"/>
              <w:rPr>
                <w:sz w:val="20"/>
                <w:szCs w:val="20"/>
                <w:color w:val="auto"/>
              </w:rPr>
            </w:pPr>
            <w:r>
              <w:rPr>
                <w:rFonts w:ascii="Arial" w:cs="Arial" w:eastAsia="Arial" w:hAnsi="Arial"/>
                <w:sz w:val="14"/>
                <w:szCs w:val="14"/>
                <w:b w:val="1"/>
                <w:bCs w:val="1"/>
                <w:color w:val="auto"/>
                <w:w w:val="90"/>
              </w:rPr>
              <w:t>Related</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20" w:type="dxa"/>
            <w:vAlign w:val="bottom"/>
            <w:gridSpan w:val="2"/>
          </w:tcPr>
          <w:p>
            <w:pPr>
              <w:jc w:val="center"/>
              <w:ind w:right="13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3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vMerge w:val="continue"/>
          </w:tcPr>
          <w:p>
            <w:pPr>
              <w:spacing w:after="0"/>
              <w:rPr>
                <w:sz w:val="14"/>
                <w:szCs w:val="14"/>
                <w:color w:val="auto"/>
              </w:rPr>
            </w:pPr>
          </w:p>
        </w:tc>
        <w:tc>
          <w:tcPr>
            <w:tcW w:w="980" w:type="dxa"/>
            <w:vAlign w:val="bottom"/>
            <w:gridSpan w:val="3"/>
          </w:tcPr>
          <w:p>
            <w:pPr>
              <w:jc w:val="center"/>
              <w:ind w:right="325"/>
              <w:spacing w:after="0"/>
              <w:rPr>
                <w:sz w:val="20"/>
                <w:szCs w:val="20"/>
                <w:color w:val="auto"/>
              </w:rPr>
            </w:pPr>
            <w:r>
              <w:rPr>
                <w:rFonts w:ascii="Arial" w:cs="Arial" w:eastAsia="Arial" w:hAnsi="Arial"/>
                <w:sz w:val="14"/>
                <w:szCs w:val="14"/>
                <w:b w:val="1"/>
                <w:bCs w:val="1"/>
                <w:color w:val="auto"/>
                <w:w w:val="86"/>
              </w:rPr>
              <w:t>Business</w:t>
            </w:r>
          </w:p>
        </w:tc>
        <w:tc>
          <w:tcPr>
            <w:tcW w:w="980" w:type="dxa"/>
            <w:vAlign w:val="bottom"/>
            <w:gridSpan w:val="3"/>
            <w:vMerge w:val="continue"/>
          </w:tcPr>
          <w:p>
            <w:pPr>
              <w:spacing w:after="0"/>
              <w:rPr>
                <w:sz w:val="14"/>
                <w:szCs w:val="14"/>
                <w:color w:val="auto"/>
              </w:rPr>
            </w:pPr>
          </w:p>
        </w:tc>
        <w:tc>
          <w:tcPr>
            <w:tcW w:w="820" w:type="dxa"/>
            <w:vAlign w:val="bottom"/>
            <w:gridSpan w:val="2"/>
          </w:tcPr>
          <w:p>
            <w:pPr>
              <w:jc w:val="center"/>
              <w:ind w:right="130"/>
              <w:spacing w:after="0"/>
              <w:rPr>
                <w:sz w:val="20"/>
                <w:szCs w:val="20"/>
                <w:color w:val="auto"/>
              </w:rPr>
            </w:pPr>
            <w:r>
              <w:rPr>
                <w:rFonts w:ascii="Arial" w:cs="Arial" w:eastAsia="Arial" w:hAnsi="Arial"/>
                <w:sz w:val="14"/>
                <w:szCs w:val="14"/>
                <w:b w:val="1"/>
                <w:bCs w:val="1"/>
                <w:color w:val="auto"/>
                <w:w w:val="83"/>
              </w:rPr>
              <w:t>Business</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2.8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Industrial</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4.7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121</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1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1.8</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1.6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3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2.3 %</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1"/>
              </w:rPr>
              <w:t>2.3 %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increase in collection and disposal yield for the three and six months ended June 30, 2018, compared to the prior year periods, includes increased revenues of $19 million and $36 million, respectively, from our environmental fees.</w:t>
      </w:r>
    </w:p>
    <w:p>
      <w:pPr>
        <w:spacing w:after="0" w:line="12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Recycling Commodities </w:t>
      </w:r>
      <w:r>
        <w:rPr>
          <w:rFonts w:ascii="Arial" w:cs="Arial" w:eastAsia="Arial" w:hAnsi="Arial"/>
          <w:sz w:val="17"/>
          <w:szCs w:val="17"/>
          <w:color w:val="auto"/>
        </w:rPr>
        <w:t>— Decreases in the market prices for recycling commodities resulted in revenue decline of</w:t>
      </w:r>
      <w:r>
        <w:rPr>
          <w:rFonts w:ascii="Arial" w:cs="Arial" w:eastAsia="Arial" w:hAnsi="Arial"/>
          <w:sz w:val="17"/>
          <w:szCs w:val="17"/>
          <w:i w:val="1"/>
          <w:iCs w:val="1"/>
          <w:color w:val="auto"/>
        </w:rPr>
        <w:t xml:space="preserve"> </w:t>
      </w:r>
      <w:r>
        <w:rPr>
          <w:rFonts w:ascii="Arial" w:cs="Arial" w:eastAsia="Arial" w:hAnsi="Arial"/>
          <w:sz w:val="17"/>
          <w:szCs w:val="17"/>
          <w:color w:val="auto"/>
        </w:rPr>
        <w:t>$88 million and $161 million for the three and six months ended June 30, 2018, respectively, as compared with the prior year periods. Disruptions in the global movement of recycling commodities continued to reduce market prices in the current year periods. Average market prices for recycling commodities at the Company’s facilities were 43% and 40% lower for the three and six months ended June 30, 2018, respectively, compared with the prior year periods. We expect these disruptions in the market to extend through the remainder of 2018, and likely beyond, which will continue to put downward pressure on average market prices for recycling commodities.</w:t>
      </w:r>
    </w:p>
    <w:p>
      <w:pPr>
        <w:spacing w:after="0" w:line="178"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Fuel Surcharges and Mandated Fees — </w:t>
      </w:r>
      <w:r>
        <w:rPr>
          <w:rFonts w:ascii="Arial" w:cs="Arial" w:eastAsia="Arial" w:hAnsi="Arial"/>
          <w:sz w:val="16"/>
          <w:szCs w:val="16"/>
          <w:color w:val="auto"/>
        </w:rPr>
        <w:t>These revenues, which are predominantly generated by our fuel surcharge</w:t>
      </w:r>
      <w:r>
        <w:rPr>
          <w:rFonts w:ascii="Arial" w:cs="Arial" w:eastAsia="Arial" w:hAnsi="Arial"/>
          <w:sz w:val="16"/>
          <w:szCs w:val="16"/>
          <w:i w:val="1"/>
          <w:iCs w:val="1"/>
          <w:color w:val="auto"/>
        </w:rPr>
        <w:t xml:space="preserve"> </w:t>
      </w:r>
      <w:r>
        <w:rPr>
          <w:rFonts w:ascii="Arial" w:cs="Arial" w:eastAsia="Arial" w:hAnsi="Arial"/>
          <w:sz w:val="16"/>
          <w:szCs w:val="16"/>
          <w:color w:val="auto"/>
        </w:rPr>
        <w:t>program, increased $32 million and $56 million for the three and six months ended June 30, 2018, respectively, as compared with the prior year periods. These revenues fluctuate in response to changes in the national average prices for diesel fuel on which our surcharge is based. Market prices for diesel fuel increased 25% and 21% for the three and six months ended June 30, 2018, respectively, compared with the prior year periods. The mandated fees included in this line item are primarily related to pass-through fees and taxes assessed by various state, county and municipal government agencies at our landfills and transfer stations. These fees did not have a significant impact on the comparability of the periods.</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revenues from volumes increased $66 million, or 1.8%, and $154 million, or 2.2%, for the three and six months ended June 30, 2018, respectively, as compared with the prior year periods, excluding volumes from acquisitions and divestitures.</w:t>
      </w:r>
    </w:p>
    <w:p>
      <w:pPr>
        <w:spacing w:after="0" w:line="181" w:lineRule="exact"/>
        <w:rPr>
          <w:sz w:val="20"/>
          <w:szCs w:val="20"/>
          <w:color w:val="auto"/>
        </w:rPr>
      </w:pPr>
    </w:p>
    <w:p>
      <w:pPr>
        <w:jc w:val="both"/>
        <w:ind w:firstLine="259"/>
        <w:spacing w:after="0" w:line="291" w:lineRule="auto"/>
        <w:rPr>
          <w:sz w:val="20"/>
          <w:szCs w:val="20"/>
          <w:color w:val="auto"/>
        </w:rPr>
      </w:pPr>
      <w:r>
        <w:rPr>
          <w:rFonts w:ascii="Arial" w:cs="Arial" w:eastAsia="Arial" w:hAnsi="Arial"/>
          <w:sz w:val="16"/>
          <w:szCs w:val="16"/>
          <w:color w:val="auto"/>
        </w:rPr>
        <w:t>We experienced higher volumes due to improving market conditions in our Traditional Solid Waste business and strong sales performance. Our focus on customer service and disciplined growth delivered consistent operating results throughout 2017 and into the first half of 2018. Two large new contract additions in the second half of 2017 favorably impacted volume growth for our commercial collection and transfer stations. Additionally, clean-up efforts of natural disasters throughout the U.S. in the second half of 2017 continued to favorably affect our landfill volumes through the first quarter of 2018. Our residential collection experienced volume declines in the first six months of 2018 because of our continued focus on renegotiating existing contracts and only entering into new contracts with a reasonable rate of return.</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8" w:name="page39"/>
    <w:bookmarkEnd w:id="38"/>
    <w:p>
      <w:pPr>
        <w:ind w:left="140"/>
        <w:spacing w:after="0"/>
        <w:rPr>
          <w:sz w:val="20"/>
          <w:szCs w:val="20"/>
          <w:color w:val="auto"/>
        </w:rPr>
      </w:pPr>
      <w:r>
        <w:rPr>
          <w:rFonts w:ascii="Arial" w:cs="Arial" w:eastAsia="Arial" w:hAnsi="Arial"/>
          <w:sz w:val="18"/>
          <w:szCs w:val="18"/>
          <w:i w:val="1"/>
          <w:iCs w:val="1"/>
          <w:color w:val="auto"/>
        </w:rPr>
        <w:t>Foreign Currency Translation and Other</w:t>
      </w:r>
    </w:p>
    <w:p>
      <w:pPr>
        <w:spacing w:after="0" w:line="225" w:lineRule="exact"/>
        <w:rPr>
          <w:sz w:val="20"/>
          <w:szCs w:val="20"/>
          <w:color w:val="auto"/>
        </w:rPr>
      </w:pPr>
    </w:p>
    <w:p>
      <w:pPr>
        <w:jc w:val="both"/>
        <w:ind w:firstLine="259"/>
        <w:spacing w:after="0" w:line="221" w:lineRule="exact"/>
        <w:rPr>
          <w:sz w:val="20"/>
          <w:szCs w:val="20"/>
          <w:color w:val="auto"/>
        </w:rPr>
      </w:pPr>
      <w:r>
        <w:rPr>
          <w:rFonts w:ascii="Arial" w:cs="Arial" w:eastAsia="Arial" w:hAnsi="Arial"/>
          <w:sz w:val="16"/>
          <w:szCs w:val="16"/>
          <w:color w:val="auto"/>
        </w:rPr>
        <w:t>Revenue increases from foreign currency translation, which affects revenues from our Canadian operations, were more than offset by the revenue decline associated with the adoption of Accounting Standards Update (“ASU”) 2014-09 and other changes. See Notes 1 and 4 to the Condensed Consolidated Financial Statements for further discussion of ASU 2014</w:t>
      </w:r>
      <w:r>
        <w:rPr>
          <w:rFonts w:ascii="MS PGothic" w:cs="MS PGothic" w:eastAsia="MS PGothic" w:hAnsi="MS PGothic"/>
          <w:sz w:val="16"/>
          <w:szCs w:val="16"/>
          <w:color w:val="auto"/>
        </w:rPr>
        <w:t>‑</w:t>
      </w:r>
      <w:r>
        <w:rPr>
          <w:rFonts w:ascii="Arial" w:cs="Arial" w:eastAsia="Arial" w:hAnsi="Arial"/>
          <w:sz w:val="16"/>
          <w:szCs w:val="16"/>
          <w:color w:val="auto"/>
        </w:rPr>
        <w:t>09.</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major components of our operating expenses (dollars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6"/>
          </w:tcPr>
          <w:p>
            <w:pPr>
              <w:jc w:val="center"/>
              <w:ind w:right="9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500" w:type="dxa"/>
            <w:vAlign w:val="bottom"/>
            <w:gridSpan w:val="4"/>
            <w:vMerge w:val="restart"/>
          </w:tcPr>
          <w:p>
            <w:pPr>
              <w:jc w:val="center"/>
              <w:ind w:right="290"/>
              <w:spacing w:after="0"/>
              <w:rPr>
                <w:sz w:val="20"/>
                <w:szCs w:val="20"/>
                <w:color w:val="auto"/>
              </w:rPr>
            </w:pPr>
            <w:r>
              <w:rPr>
                <w:rFonts w:ascii="Arial" w:cs="Arial" w:eastAsia="Arial" w:hAnsi="Arial"/>
                <w:sz w:val="14"/>
                <w:szCs w:val="14"/>
                <w:b w:val="1"/>
                <w:bCs w:val="1"/>
                <w:color w:val="auto"/>
                <w:w w:val="94"/>
              </w:rPr>
              <w:t>Period-to-Period</w:t>
            </w:r>
          </w:p>
        </w:tc>
        <w:tc>
          <w:tcPr>
            <w:tcW w:w="1540" w:type="dxa"/>
            <w:vAlign w:val="bottom"/>
            <w:gridSpan w:val="4"/>
          </w:tcPr>
          <w:p>
            <w:pPr>
              <w:jc w:val="center"/>
              <w:ind w:right="90"/>
              <w:spacing w:after="0"/>
              <w:rPr>
                <w:sz w:val="20"/>
                <w:szCs w:val="20"/>
                <w:color w:val="auto"/>
              </w:rPr>
            </w:pPr>
            <w:r>
              <w:rPr>
                <w:rFonts w:ascii="Arial" w:cs="Arial" w:eastAsia="Arial" w:hAnsi="Arial"/>
                <w:sz w:val="14"/>
                <w:szCs w:val="14"/>
                <w:b w:val="1"/>
                <w:bCs w:val="1"/>
                <w:color w:val="auto"/>
                <w:w w:val="92"/>
              </w:rPr>
              <w:t>Six Months Ended</w:t>
            </w:r>
          </w:p>
        </w:tc>
        <w:tc>
          <w:tcPr>
            <w:tcW w:w="120" w:type="dxa"/>
            <w:vAlign w:val="bottom"/>
          </w:tcPr>
          <w:p>
            <w:pPr>
              <w:spacing w:after="0"/>
              <w:rPr>
                <w:sz w:val="14"/>
                <w:szCs w:val="14"/>
                <w:color w:val="auto"/>
              </w:rPr>
            </w:pPr>
          </w:p>
        </w:tc>
        <w:tc>
          <w:tcPr>
            <w:tcW w:w="1420" w:type="dxa"/>
            <w:vAlign w:val="bottom"/>
            <w:gridSpan w:val="4"/>
            <w:vMerge w:val="restart"/>
          </w:tcPr>
          <w:p>
            <w:pPr>
              <w:jc w:val="center"/>
              <w:ind w:right="19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3"/>
          </w:tcPr>
          <w:p>
            <w:pPr>
              <w:jc w:val="center"/>
              <w:ind w:left="213"/>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4"/>
            <w:vMerge w:val="continue"/>
          </w:tcPr>
          <w:p>
            <w:pPr>
              <w:spacing w:after="0"/>
              <w:rPr>
                <w:sz w:val="14"/>
                <w:szCs w:val="14"/>
                <w:color w:val="auto"/>
              </w:rPr>
            </w:pPr>
          </w:p>
        </w:tc>
        <w:tc>
          <w:tcPr>
            <w:tcW w:w="1540" w:type="dxa"/>
            <w:vAlign w:val="bottom"/>
            <w:gridSpan w:val="4"/>
          </w:tcPr>
          <w:p>
            <w:pPr>
              <w:jc w:val="center"/>
              <w:ind w:right="13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w w:val="89"/>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left="233"/>
              <w:spacing w:after="0" w:line="142" w:lineRule="exact"/>
              <w:rPr>
                <w:sz w:val="20"/>
                <w:szCs w:val="20"/>
                <w:color w:val="auto"/>
              </w:rPr>
            </w:pPr>
            <w:r>
              <w:rPr>
                <w:rFonts w:ascii="Arial" w:cs="Arial" w:eastAsia="Arial" w:hAnsi="Arial"/>
                <w:sz w:val="14"/>
                <w:szCs w:val="14"/>
                <w:b w:val="1"/>
                <w:bCs w:val="1"/>
                <w:color w:val="auto"/>
                <w:w w:val="93"/>
              </w:rPr>
              <w:t>Change</w:t>
            </w:r>
          </w:p>
        </w:tc>
        <w:tc>
          <w:tcPr>
            <w:tcW w:w="44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top w:val="single" w:sz="8" w:color="auto"/>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left="233"/>
              <w:spacing w:after="0" w:line="142" w:lineRule="exact"/>
              <w:rPr>
                <w:sz w:val="20"/>
                <w:szCs w:val="20"/>
                <w:color w:val="auto"/>
              </w:rPr>
            </w:pPr>
            <w:r>
              <w:rPr>
                <w:rFonts w:ascii="Arial" w:cs="Arial" w:eastAsia="Arial" w:hAnsi="Arial"/>
                <w:sz w:val="14"/>
                <w:szCs w:val="14"/>
                <w:b w:val="1"/>
                <w:bCs w:val="1"/>
                <w:color w:val="auto"/>
                <w:w w:val="89"/>
              </w:rPr>
              <w:t>Change</w:t>
            </w:r>
          </w:p>
        </w:tc>
        <w:tc>
          <w:tcPr>
            <w:tcW w:w="4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$ 1,327</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$ 1,224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539</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49</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Subcontractor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89"/>
              </w:rPr>
              <w:t>(25.9)</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(114)</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9"/>
              </w:rPr>
              <w:t>(23.1)</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Fuel</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23.1</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188</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Disposal and franchise fees and</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taxes</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w w:val="89"/>
              </w:rPr>
              <w:t>(20.1)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8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89"/>
              </w:rPr>
              <w:t>(21.5)</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(8)</w:t>
            </w:r>
          </w:p>
        </w:tc>
        <w:tc>
          <w:tcPr>
            <w:tcW w:w="440" w:type="dxa"/>
            <w:vAlign w:val="bottom"/>
          </w:tcPr>
          <w:p>
            <w:pPr>
              <w:jc w:val="right"/>
              <w:spacing w:after="0"/>
              <w:rPr>
                <w:sz w:val="20"/>
                <w:szCs w:val="20"/>
                <w:color w:val="auto"/>
              </w:rPr>
            </w:pPr>
            <w:r>
              <w:rPr>
                <w:rFonts w:ascii="Arial" w:cs="Arial" w:eastAsia="Arial" w:hAnsi="Arial"/>
                <w:sz w:val="18"/>
                <w:szCs w:val="18"/>
                <w:color w:val="auto"/>
              </w:rPr>
              <w:t>(9.1)</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(9)</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(11.7)</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520" w:type="dxa"/>
            <w:vAlign w:val="bottom"/>
          </w:tcPr>
          <w:p>
            <w:pPr>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5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2,313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2,290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1.0 %</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$ 4,497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$ 4,456</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60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0"/>
        </w:trPr>
        <w:tc>
          <w:tcPr>
            <w:tcW w:w="2520" w:type="dxa"/>
            <w:vAlign w:val="bottom"/>
          </w:tcPr>
          <w:p>
            <w:pPr>
              <w:spacing w:after="0" w:line="203" w:lineRule="exact"/>
              <w:rPr>
                <w:sz w:val="20"/>
                <w:szCs w:val="20"/>
                <w:color w:val="auto"/>
              </w:rPr>
            </w:pPr>
            <w:r>
              <w:rPr>
                <w:rFonts w:ascii="Arial" w:cs="Arial" w:eastAsia="Arial" w:hAnsi="Arial"/>
                <w:sz w:val="18"/>
                <w:szCs w:val="18"/>
                <w:color w:val="auto"/>
              </w:rPr>
              <w:t>Percentage of revenues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61.9</w:t>
            </w:r>
          </w:p>
        </w:tc>
        <w:tc>
          <w:tcPr>
            <w:tcW w:w="160" w:type="dxa"/>
            <w:vAlign w:val="bottom"/>
          </w:tcPr>
          <w:p>
            <w:pPr>
              <w:jc w:val="center"/>
              <w:spacing w:after="0" w:line="203" w:lineRule="exact"/>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62.3</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62.0</w:t>
            </w:r>
          </w:p>
        </w:tc>
        <w:tc>
          <w:tcPr>
            <w:tcW w:w="16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62.6</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The increase in volumes in the current year periods, as compared to the prior year periods, as discussed above in </w:t>
      </w:r>
      <w:r>
        <w:rPr>
          <w:rFonts w:ascii="Arial" w:cs="Arial" w:eastAsia="Arial" w:hAnsi="Arial"/>
          <w:sz w:val="18"/>
          <w:szCs w:val="18"/>
          <w:i w:val="1"/>
          <w:iCs w:val="1"/>
          <w:color w:val="auto"/>
        </w:rPr>
        <w:t>Operating Revenues</w:t>
      </w:r>
      <w:r>
        <w:rPr>
          <w:rFonts w:ascii="Arial" w:cs="Arial" w:eastAsia="Arial" w:hAnsi="Arial"/>
          <w:sz w:val="18"/>
          <w:szCs w:val="18"/>
          <w:color w:val="auto"/>
        </w:rPr>
        <w:t>, affects the comparability of operating expenses for the periods presented.</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significant items affecting the comparability of operating expenses for the periods include: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Labor and Related Benefits </w:t>
      </w:r>
      <w:r>
        <w:rPr>
          <w:rFonts w:ascii="Arial" w:cs="Arial" w:eastAsia="Arial" w:hAnsi="Arial"/>
          <w:sz w:val="18"/>
          <w:szCs w:val="18"/>
          <w:color w:val="auto"/>
        </w:rPr>
        <w:t>— The increase in labor and related benefits costs was driven by (i) volume growth in our</w:t>
      </w:r>
      <w:r>
        <w:rPr>
          <w:rFonts w:ascii="Arial" w:cs="Arial" w:eastAsia="Arial" w:hAnsi="Arial"/>
          <w:sz w:val="18"/>
          <w:szCs w:val="18"/>
          <w:i w:val="1"/>
          <w:iCs w:val="1"/>
          <w:color w:val="auto"/>
        </w:rPr>
        <w:t xml:space="preserve"> </w:t>
      </w:r>
      <w:r>
        <w:rPr>
          <w:rFonts w:ascii="Arial" w:cs="Arial" w:eastAsia="Arial" w:hAnsi="Arial"/>
          <w:sz w:val="18"/>
          <w:szCs w:val="18"/>
          <w:color w:val="auto"/>
        </w:rPr>
        <w:t>collection business, which led to increased training costs; (ii) a bonus plan established in early 2018 targeted at improving employee retention and (iii) merit increases.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Maintenance and Repairs </w:t>
      </w:r>
      <w:r>
        <w:rPr>
          <w:rFonts w:ascii="Arial" w:cs="Arial" w:eastAsia="Arial" w:hAnsi="Arial"/>
          <w:sz w:val="18"/>
          <w:szCs w:val="18"/>
          <w:color w:val="auto"/>
        </w:rPr>
        <w:t>— The increase in maintenance and repairs costs was driven by (i) higher labor costs and</w:t>
      </w:r>
      <w:r>
        <w:rPr>
          <w:rFonts w:ascii="Arial" w:cs="Arial" w:eastAsia="Arial" w:hAnsi="Arial"/>
          <w:sz w:val="18"/>
          <w:szCs w:val="18"/>
          <w:i w:val="1"/>
          <w:iCs w:val="1"/>
          <w:color w:val="auto"/>
        </w:rPr>
        <w:t xml:space="preserve"> </w:t>
      </w:r>
      <w:r>
        <w:rPr>
          <w:rFonts w:ascii="Arial" w:cs="Arial" w:eastAsia="Arial" w:hAnsi="Arial"/>
          <w:sz w:val="18"/>
          <w:szCs w:val="18"/>
          <w:color w:val="auto"/>
        </w:rPr>
        <w:t>(ii) higher parts and third-party service costs.</w:t>
      </w:r>
    </w:p>
    <w:p>
      <w:pPr>
        <w:spacing w:after="0" w:line="170"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 The decrease in cost of goods sold was primarily driven by (i) lower market prices for recycling</w:t>
      </w:r>
      <w:r>
        <w:rPr>
          <w:rFonts w:ascii="Arial" w:cs="Arial" w:eastAsia="Arial" w:hAnsi="Arial"/>
          <w:sz w:val="16"/>
          <w:szCs w:val="16"/>
          <w:i w:val="1"/>
          <w:iCs w:val="1"/>
          <w:color w:val="auto"/>
        </w:rPr>
        <w:t xml:space="preserve"> </w:t>
      </w:r>
      <w:r>
        <w:rPr>
          <w:rFonts w:ascii="Arial" w:cs="Arial" w:eastAsia="Arial" w:hAnsi="Arial"/>
          <w:sz w:val="16"/>
          <w:szCs w:val="16"/>
          <w:color w:val="auto"/>
        </w:rPr>
        <w:t>commodities and (ii) a change in accounting for certain customer rebates due to the adoption of ASU 2014-09 in the current year periods. See Notes 1 and 4 to the Condensed Consolidated Financial Statements for further discussion of ASU 2014</w:t>
      </w:r>
      <w:r>
        <w:rPr>
          <w:rFonts w:ascii="MS PGothic" w:cs="MS PGothic" w:eastAsia="MS PGothic" w:hAnsi="MS PGothic"/>
          <w:sz w:val="16"/>
          <w:szCs w:val="16"/>
          <w:color w:val="auto"/>
        </w:rPr>
        <w:t>‑</w:t>
      </w:r>
      <w:r>
        <w:rPr>
          <w:rFonts w:ascii="Arial" w:cs="Arial" w:eastAsia="Arial" w:hAnsi="Arial"/>
          <w:sz w:val="16"/>
          <w:szCs w:val="16"/>
          <w:color w:val="auto"/>
        </w:rPr>
        <w:t>09.</w:t>
      </w:r>
    </w:p>
    <w:p>
      <w:pPr>
        <w:spacing w:after="0" w:line="20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increase in fuel costs was due to higher market prices for diesel fuel. This increase was offset, in part, by</w:t>
      </w:r>
      <w:r>
        <w:rPr>
          <w:rFonts w:ascii="Arial" w:cs="Arial" w:eastAsia="Arial" w:hAnsi="Arial"/>
          <w:sz w:val="18"/>
          <w:szCs w:val="18"/>
          <w:i w:val="1"/>
          <w:iCs w:val="1"/>
          <w:color w:val="auto"/>
        </w:rPr>
        <w:t xml:space="preserve"> </w:t>
      </w:r>
      <w:r>
        <w:rPr>
          <w:rFonts w:ascii="Arial" w:cs="Arial" w:eastAsia="Arial" w:hAnsi="Arial"/>
          <w:sz w:val="18"/>
          <w:szCs w:val="18"/>
          <w:color w:val="auto"/>
        </w:rPr>
        <w:t>the recognition of a $28 million benefit from the extension of federal natural gas fuel credits. We recognized the benefit in the first quarter of 2018 when the legislation was passed, though the credits relate to 2017 business activity and these credits were not extended into 2018.</w:t>
      </w:r>
    </w:p>
    <w:p>
      <w:pPr>
        <w:spacing w:after="0" w:line="18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i w:val="1"/>
          <w:iCs w:val="1"/>
          <w:color w:val="auto"/>
        </w:rPr>
        <w:t xml:space="preserve">Disposal and Franchise Fees and Taxes </w:t>
      </w:r>
      <w:r>
        <w:rPr>
          <w:rFonts w:ascii="Arial" w:cs="Arial" w:eastAsia="Arial" w:hAnsi="Arial"/>
          <w:sz w:val="17"/>
          <w:szCs w:val="17"/>
          <w:color w:val="auto"/>
        </w:rPr>
        <w:t>— The decrease in disposal and franchise fees and taxes was driven by the</w:t>
      </w:r>
      <w:r>
        <w:rPr>
          <w:rFonts w:ascii="Arial" w:cs="Arial" w:eastAsia="Arial" w:hAnsi="Arial"/>
          <w:sz w:val="17"/>
          <w:szCs w:val="17"/>
          <w:i w:val="1"/>
          <w:iCs w:val="1"/>
          <w:color w:val="auto"/>
        </w:rPr>
        <w:t xml:space="preserve"> </w:t>
      </w:r>
      <w:r>
        <w:rPr>
          <w:rFonts w:ascii="Arial" w:cs="Arial" w:eastAsia="Arial" w:hAnsi="Arial"/>
          <w:sz w:val="17"/>
          <w:szCs w:val="17"/>
          <w:color w:val="auto"/>
        </w:rPr>
        <w:t>adoption of ASU 2014-09 in the current year periods; specifically, certain franchise fees were treated as disposal fees and taxes in the prior year periods and were treated as a reduction to revenue in the current year periods. See Notes 1 and 4 to the Condensed Consolidated Financial Statements for further discussion of ASU 2014-09.</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9" w:name="page40"/>
    <w:bookmarkEnd w:id="39"/>
    <w:p>
      <w:pPr>
        <w:ind w:left="1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(dollars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400" w:type="dxa"/>
            <w:vAlign w:val="bottom"/>
            <w:gridSpan w:val="4"/>
            <w:vMerge w:val="restart"/>
          </w:tcPr>
          <w:p>
            <w:pPr>
              <w:jc w:val="center"/>
              <w:ind w:right="320"/>
              <w:spacing w:after="0"/>
              <w:rPr>
                <w:sz w:val="20"/>
                <w:szCs w:val="20"/>
                <w:color w:val="auto"/>
              </w:rPr>
            </w:pPr>
            <w:r>
              <w:rPr>
                <w:rFonts w:ascii="Arial" w:cs="Arial" w:eastAsia="Arial" w:hAnsi="Arial"/>
                <w:sz w:val="14"/>
                <w:szCs w:val="14"/>
                <w:b w:val="1"/>
                <w:bCs w:val="1"/>
                <w:color w:val="auto"/>
                <w:w w:val="94"/>
              </w:rPr>
              <w:t>Period-to-Period</w:t>
            </w:r>
          </w:p>
        </w:tc>
        <w:tc>
          <w:tcPr>
            <w:tcW w:w="60" w:type="dxa"/>
            <w:vAlign w:val="bottom"/>
          </w:tcPr>
          <w:p>
            <w:pPr>
              <w:spacing w:after="0"/>
              <w:rPr>
                <w:sz w:val="14"/>
                <w:szCs w:val="14"/>
                <w:color w:val="auto"/>
              </w:rPr>
            </w:pPr>
          </w:p>
        </w:tc>
        <w:tc>
          <w:tcPr>
            <w:tcW w:w="1360" w:type="dxa"/>
            <w:vAlign w:val="bottom"/>
            <w:gridSpan w:val="6"/>
          </w:tcPr>
          <w:p>
            <w:pPr>
              <w:jc w:val="center"/>
              <w:ind w:right="5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134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3"/>
          </w:tcPr>
          <w:p>
            <w:pPr>
              <w:jc w:val="center"/>
              <w:ind w:left="174"/>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5"/>
          </w:tcPr>
          <w:p>
            <w:pPr>
              <w:jc w:val="center"/>
              <w:ind w:right="21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13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left="215"/>
              <w:spacing w:after="0" w:line="142" w:lineRule="exact"/>
              <w:rPr>
                <w:sz w:val="20"/>
                <w:szCs w:val="20"/>
                <w:color w:val="auto"/>
              </w:rPr>
            </w:pPr>
            <w:r>
              <w:rPr>
                <w:rFonts w:ascii="Arial" w:cs="Arial" w:eastAsia="Arial" w:hAnsi="Arial"/>
                <w:sz w:val="14"/>
                <w:szCs w:val="14"/>
                <w:b w:val="1"/>
                <w:bCs w:val="1"/>
                <w:color w:val="auto"/>
                <w:w w:val="93"/>
              </w:rPr>
              <w:t>Change</w:t>
            </w:r>
          </w:p>
        </w:tc>
        <w:tc>
          <w:tcPr>
            <w:tcW w:w="40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left="215"/>
              <w:spacing w:after="0" w:line="142" w:lineRule="exact"/>
              <w:rPr>
                <w:sz w:val="20"/>
                <w:szCs w:val="20"/>
                <w:color w:val="auto"/>
              </w:rPr>
            </w:pPr>
            <w:r>
              <w:rPr>
                <w:rFonts w:ascii="Arial" w:cs="Arial" w:eastAsia="Arial" w:hAnsi="Arial"/>
                <w:sz w:val="14"/>
                <w:szCs w:val="14"/>
                <w:b w:val="1"/>
                <w:bCs w:val="1"/>
                <w:color w:val="auto"/>
                <w:w w:val="93"/>
              </w:rPr>
              <w:t>Change</w:t>
            </w:r>
          </w:p>
        </w:tc>
        <w:tc>
          <w:tcPr>
            <w:tcW w:w="38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(0.4)%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(4.8)%</w:t>
            </w: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Professional fees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91"/>
              </w:rPr>
              <w:t>16.0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3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1"/>
              </w:rPr>
              <w:t>15.2</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4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91"/>
              </w:rPr>
              <w:t>11.7</w:t>
            </w:r>
          </w:p>
        </w:tc>
        <w:tc>
          <w:tcPr>
            <w:tcW w:w="2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7.5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3.4 %</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(0.7)%</w:t>
            </w:r>
          </w:p>
        </w:tc>
        <w:tc>
          <w:tcPr>
            <w:tcW w:w="0" w:type="dxa"/>
            <w:vAlign w:val="bottom"/>
          </w:tcPr>
          <w:p>
            <w:pPr>
              <w:spacing w:after="0"/>
              <w:rPr>
                <w:sz w:val="1"/>
                <w:szCs w:val="1"/>
                <w:color w:val="auto"/>
              </w:rPr>
            </w:pPr>
          </w:p>
        </w:tc>
      </w:tr>
      <w:tr>
        <w:trPr>
          <w:trHeight w:val="210"/>
        </w:trPr>
        <w:tc>
          <w:tcPr>
            <w:tcW w:w="2580" w:type="dxa"/>
            <w:vAlign w:val="bottom"/>
          </w:tcPr>
          <w:p>
            <w:pPr>
              <w:spacing w:after="0" w:line="203" w:lineRule="exact"/>
              <w:rPr>
                <w:sz w:val="20"/>
                <w:szCs w:val="20"/>
                <w:color w:val="auto"/>
              </w:rPr>
            </w:pPr>
            <w:r>
              <w:rPr>
                <w:rFonts w:ascii="Arial" w:cs="Arial" w:eastAsia="Arial" w:hAnsi="Arial"/>
                <w:sz w:val="18"/>
                <w:szCs w:val="18"/>
                <w:color w:val="auto"/>
              </w:rPr>
              <w:t>Percentage of revenues</w:t>
            </w:r>
          </w:p>
        </w:tc>
        <w:tc>
          <w:tcPr>
            <w:tcW w:w="6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9.6</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1"/>
              </w:rPr>
              <w:t>10.2</w:t>
            </w:r>
          </w:p>
        </w:tc>
        <w:tc>
          <w:tcPr>
            <w:tcW w:w="160" w:type="dxa"/>
            <w:vAlign w:val="bottom"/>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6"/>
              </w:rPr>
              <w:t>10.4</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4"/>
              </w:rPr>
              <w:t>%</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243"/>
        <w:spacing w:after="0" w:line="255" w:lineRule="auto"/>
        <w:rPr>
          <w:sz w:val="20"/>
          <w:szCs w:val="20"/>
          <w:color w:val="auto"/>
        </w:rPr>
      </w:pPr>
      <w:r>
        <w:rPr>
          <w:rFonts w:ascii="Arial" w:cs="Arial" w:eastAsia="Arial" w:hAnsi="Arial"/>
          <w:sz w:val="18"/>
          <w:szCs w:val="18"/>
          <w:color w:val="auto"/>
        </w:rPr>
        <w:t>The decrease in our labor and related benefits costs during the three and six months ended June 30, 2018, compared to the prior year periods, is largely due to lower incentive compensation accruals in the current year periods. Other items affecting the comparability of our labor and related benefits costs for the reported periods include (i) severance costs for former executives incurred during the first quarter of 2017; (ii) merit increases and (iii) a bonus plan established in early 2018 targeted at improving employee retention. Increases in our other expenses are a result of higher litigation settlement costs in the current year periods.</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the components of our depreciation and amortization expenses (dollars in millions):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1540" w:type="dxa"/>
            <w:vAlign w:val="bottom"/>
            <w:gridSpan w:val="7"/>
          </w:tcPr>
          <w:p>
            <w:pPr>
              <w:jc w:val="center"/>
              <w:ind w:right="7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5"/>
          </w:tcPr>
          <w:p>
            <w:pPr>
              <w:jc w:val="center"/>
              <w:ind w:right="5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14"/>
                <w:szCs w:val="14"/>
                <w:color w:val="auto"/>
              </w:rPr>
            </w:pPr>
          </w:p>
        </w:tc>
        <w:tc>
          <w:tcPr>
            <w:tcW w:w="132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4"/>
          </w:tcPr>
          <w:p>
            <w:pPr>
              <w:jc w:val="center"/>
              <w:ind w:left="195"/>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center"/>
              <w:ind w:right="379"/>
              <w:spacing w:after="0"/>
              <w:rPr>
                <w:sz w:val="20"/>
                <w:szCs w:val="20"/>
                <w:color w:val="auto"/>
              </w:rPr>
            </w:pPr>
            <w:r>
              <w:rPr>
                <w:rFonts w:ascii="Arial" w:cs="Arial" w:eastAsia="Arial" w:hAnsi="Arial"/>
                <w:sz w:val="14"/>
                <w:szCs w:val="14"/>
                <w:b w:val="1"/>
                <w:bCs w:val="1"/>
                <w:color w:val="auto"/>
                <w:w w:val="94"/>
              </w:rPr>
              <w:t>Period-to-Period</w:t>
            </w:r>
          </w:p>
        </w:tc>
        <w:tc>
          <w:tcPr>
            <w:tcW w:w="1240" w:type="dxa"/>
            <w:vAlign w:val="bottom"/>
            <w:gridSpan w:val="4"/>
          </w:tcPr>
          <w:p>
            <w:pPr>
              <w:jc w:val="center"/>
              <w:ind w:right="21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4"/>
                <w:szCs w:val="14"/>
                <w:color w:val="auto"/>
              </w:rPr>
            </w:pPr>
          </w:p>
        </w:tc>
        <w:tc>
          <w:tcPr>
            <w:tcW w:w="13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2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2018</w:t>
            </w:r>
          </w:p>
        </w:tc>
        <w:tc>
          <w:tcPr>
            <w:tcW w:w="1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ind w:left="156"/>
              <w:spacing w:after="0" w:line="142" w:lineRule="exact"/>
              <w:rPr>
                <w:sz w:val="20"/>
                <w:szCs w:val="20"/>
                <w:color w:val="auto"/>
              </w:rPr>
            </w:pPr>
            <w:r>
              <w:rPr>
                <w:rFonts w:ascii="Arial" w:cs="Arial" w:eastAsia="Arial" w:hAnsi="Arial"/>
                <w:sz w:val="14"/>
                <w:szCs w:val="14"/>
                <w:b w:val="1"/>
                <w:bCs w:val="1"/>
                <w:color w:val="auto"/>
                <w:w w:val="93"/>
              </w:rPr>
              <w:t>Change</w:t>
            </w:r>
          </w:p>
        </w:tc>
        <w:tc>
          <w:tcPr>
            <w:tcW w:w="34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2018</w:t>
            </w:r>
          </w:p>
        </w:tc>
        <w:tc>
          <w:tcPr>
            <w:tcW w:w="18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center"/>
              <w:ind w:left="176"/>
              <w:spacing w:after="0" w:line="142" w:lineRule="exact"/>
              <w:rPr>
                <w:sz w:val="20"/>
                <w:szCs w:val="20"/>
                <w:color w:val="auto"/>
              </w:rPr>
            </w:pPr>
            <w:r>
              <w:rPr>
                <w:rFonts w:ascii="Arial" w:cs="Arial" w:eastAsia="Arial" w:hAnsi="Arial"/>
                <w:sz w:val="14"/>
                <w:szCs w:val="14"/>
                <w:b w:val="1"/>
                <w:bCs w:val="1"/>
                <w:color w:val="auto"/>
                <w:w w:val="93"/>
              </w:rPr>
              <w:t>Change</w:t>
            </w:r>
          </w:p>
        </w:tc>
        <w:tc>
          <w:tcPr>
            <w:tcW w:w="34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2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Depreciation of tangible property and</w:t>
            </w: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equipment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380" w:type="dxa"/>
            <w:vAlign w:val="bottom"/>
            <w:shd w:val="clear" w:color="auto" w:fill="CCEEFF"/>
          </w:tcPr>
          <w:p>
            <w:pPr>
              <w:spacing w:after="0"/>
              <w:rPr>
                <w:sz w:val="20"/>
                <w:szCs w:val="20"/>
                <w:color w:val="auto"/>
              </w:rPr>
            </w:pPr>
          </w:p>
        </w:tc>
        <w:tc>
          <w:tcPr>
            <w:tcW w:w="7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8.7 % $</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$ 386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1"/>
              </w:rPr>
              <w:t>7.8 %</w:t>
            </w:r>
          </w:p>
        </w:tc>
        <w:tc>
          <w:tcPr>
            <w:tcW w:w="0" w:type="dxa"/>
            <w:vAlign w:val="bottom"/>
          </w:tcPr>
          <w:p>
            <w:pPr>
              <w:spacing w:after="0"/>
              <w:rPr>
                <w:sz w:val="1"/>
                <w:szCs w:val="1"/>
                <w:color w:val="auto"/>
              </w:rPr>
            </w:pPr>
          </w:p>
        </w:tc>
      </w:tr>
      <w:tr>
        <w:trPr>
          <w:trHeight w:val="216"/>
        </w:trPr>
        <w:tc>
          <w:tcPr>
            <w:tcW w:w="326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6.6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266</w:t>
            </w: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w:t>
            </w:r>
          </w:p>
        </w:tc>
        <w:tc>
          <w:tcPr>
            <w:tcW w:w="380" w:type="dxa"/>
            <w:vAlign w:val="bottom"/>
          </w:tcPr>
          <w:p>
            <w:pPr>
              <w:spacing w:after="0"/>
              <w:rPr>
                <w:sz w:val="18"/>
                <w:szCs w:val="18"/>
                <w:color w:val="auto"/>
              </w:rPr>
            </w:pPr>
          </w:p>
        </w:tc>
        <w:tc>
          <w:tcPr>
            <w:tcW w:w="340" w:type="dxa"/>
            <w:vAlign w:val="bottom"/>
          </w:tcPr>
          <w:p>
            <w:pPr>
              <w:ind w:left="60"/>
              <w:spacing w:after="0"/>
              <w:rPr>
                <w:sz w:val="20"/>
                <w:szCs w:val="20"/>
                <w:color w:val="auto"/>
              </w:rPr>
            </w:pPr>
            <w:r>
              <w:rPr>
                <w:rFonts w:ascii="Arial" w:cs="Arial" w:eastAsia="Arial" w:hAnsi="Arial"/>
                <w:sz w:val="18"/>
                <w:szCs w:val="18"/>
                <w:color w:val="auto"/>
              </w:rPr>
              <w:t>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8.3</w:t>
            </w:r>
          </w:p>
        </w:tc>
        <w:tc>
          <w:tcPr>
            <w:tcW w:w="2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8"/>
                <w:szCs w:val="18"/>
                <w:color w:val="auto"/>
              </w:rPr>
            </w:pPr>
          </w:p>
        </w:tc>
        <w:tc>
          <w:tcPr>
            <w:tcW w:w="340" w:type="dxa"/>
            <w:vAlign w:val="bottom"/>
            <w:shd w:val="clear" w:color="auto" w:fill="CCEEFF"/>
          </w:tcPr>
          <w:p>
            <w:pPr>
              <w:ind w:left="60"/>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38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rPr>
              <w:t>7.9 %</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w:t>
            </w: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$ 684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3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gridSpan w:val="2"/>
          </w:tcPr>
          <w:p>
            <w:pPr>
              <w:ind w:left="60"/>
              <w:spacing w:after="0"/>
              <w:rPr>
                <w:sz w:val="20"/>
                <w:szCs w:val="20"/>
                <w:color w:val="auto"/>
              </w:rPr>
            </w:pPr>
            <w:r>
              <w:rPr>
                <w:rFonts w:ascii="Arial" w:cs="Arial" w:eastAsia="Arial" w:hAnsi="Arial"/>
                <w:sz w:val="18"/>
                <w:szCs w:val="18"/>
                <w:color w:val="auto"/>
                <w:w w:val="91"/>
              </w:rPr>
              <w:t>6.9 %</w:t>
            </w:r>
          </w:p>
        </w:tc>
        <w:tc>
          <w:tcPr>
            <w:tcW w:w="0" w:type="dxa"/>
            <w:vAlign w:val="bottom"/>
          </w:tcPr>
          <w:p>
            <w:pPr>
              <w:spacing w:after="0"/>
              <w:rPr>
                <w:sz w:val="1"/>
                <w:szCs w:val="1"/>
                <w:color w:val="auto"/>
              </w:rPr>
            </w:pPr>
          </w:p>
        </w:tc>
      </w:tr>
      <w:tr>
        <w:trPr>
          <w:trHeight w:val="223"/>
        </w:trPr>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revenues</w:t>
            </w: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10.1</w:t>
            </w:r>
          </w:p>
        </w:tc>
        <w:tc>
          <w:tcPr>
            <w:tcW w:w="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firstLine="324"/>
        <w:spacing w:after="0" w:line="279" w:lineRule="auto"/>
        <w:rPr>
          <w:sz w:val="20"/>
          <w:szCs w:val="20"/>
          <w:color w:val="auto"/>
        </w:rPr>
      </w:pPr>
      <w:r>
        <w:rPr>
          <w:rFonts w:ascii="Arial" w:cs="Arial" w:eastAsia="Arial" w:hAnsi="Arial"/>
          <w:sz w:val="17"/>
          <w:szCs w:val="17"/>
          <w:color w:val="auto"/>
        </w:rPr>
        <w:t>The increase in depreciation of tangible property and equipment during the three and six months ended June 30, 2018, compared to the prior year periods, was primarily due to increased capital expenditures to support organic growth in our business. The increase in amortization of landfill airspace during the three and six months ended June 30, 2018, compared to the prior year periods, was primarily due to increased volumes at our landfills and changes in estimates.</w:t>
      </w:r>
    </w:p>
    <w:p>
      <w:pPr>
        <w:spacing w:after="0" w:line="17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Gain (Loss) from Divestitures, Asset Impairments and Unusual Items, Net</w:t>
      </w:r>
    </w:p>
    <w:p>
      <w:pPr>
        <w:spacing w:after="0" w:line="225" w:lineRule="exact"/>
        <w:rPr>
          <w:sz w:val="20"/>
          <w:szCs w:val="20"/>
          <w:color w:val="auto"/>
        </w:rPr>
      </w:pPr>
    </w:p>
    <w:p>
      <w:pPr>
        <w:jc w:val="both"/>
        <w:ind w:right="40" w:firstLine="324"/>
        <w:spacing w:after="0" w:line="277" w:lineRule="auto"/>
        <w:rPr>
          <w:sz w:val="20"/>
          <w:szCs w:val="20"/>
          <w:color w:val="auto"/>
        </w:rPr>
      </w:pPr>
      <w:r>
        <w:rPr>
          <w:rFonts w:ascii="Arial" w:cs="Arial" w:eastAsia="Arial" w:hAnsi="Arial"/>
          <w:sz w:val="18"/>
          <w:szCs w:val="18"/>
          <w:color w:val="auto"/>
        </w:rPr>
        <w:t>We recognized net gains from divestitures of $39 million and $42 million during the three and six months ended June 30, 2018, respectively, due to the sale of certain ancillary operations.</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341" w:right="1379" w:bottom="1440" w:gutter="0" w:footer="0" w:header="0"/>
        </w:sectPr>
      </w:pPr>
    </w:p>
    <w:bookmarkStart w:id="40" w:name="page41"/>
    <w:bookmarkEnd w:id="40"/>
    <w:p>
      <w:pPr>
        <w:ind w:left="1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income from operations for our reportable segments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600" w:type="dxa"/>
            <w:vAlign w:val="bottom"/>
            <w:gridSpan w:val="5"/>
            <w:vMerge w:val="restart"/>
          </w:tcPr>
          <w:p>
            <w:pPr>
              <w:jc w:val="center"/>
              <w:ind w:right="410"/>
              <w:spacing w:after="0"/>
              <w:rPr>
                <w:sz w:val="20"/>
                <w:szCs w:val="20"/>
                <w:color w:val="auto"/>
              </w:rPr>
            </w:pPr>
            <w:r>
              <w:rPr>
                <w:rFonts w:ascii="Arial" w:cs="Arial" w:eastAsia="Arial" w:hAnsi="Arial"/>
                <w:sz w:val="14"/>
                <w:szCs w:val="14"/>
                <w:b w:val="1"/>
                <w:bCs w:val="1"/>
                <w:color w:val="auto"/>
                <w:w w:val="92"/>
              </w:rPr>
              <w:t>Period-to-Period</w:t>
            </w:r>
          </w:p>
        </w:tc>
        <w:tc>
          <w:tcPr>
            <w:tcW w:w="1440" w:type="dxa"/>
            <w:vAlign w:val="bottom"/>
            <w:gridSpan w:val="6"/>
          </w:tcPr>
          <w:p>
            <w:pPr>
              <w:jc w:val="center"/>
              <w:ind w:right="190"/>
              <w:spacing w:after="0"/>
              <w:rPr>
                <w:sz w:val="20"/>
                <w:szCs w:val="20"/>
                <w:color w:val="auto"/>
              </w:rPr>
            </w:pPr>
            <w:r>
              <w:rPr>
                <w:rFonts w:ascii="Arial" w:cs="Arial" w:eastAsia="Arial" w:hAnsi="Arial"/>
                <w:sz w:val="14"/>
                <w:szCs w:val="14"/>
                <w:b w:val="1"/>
                <w:bCs w:val="1"/>
                <w:color w:val="auto"/>
                <w:w w:val="92"/>
              </w:rPr>
              <w:t>Six Months Ended</w:t>
            </w:r>
          </w:p>
        </w:tc>
        <w:tc>
          <w:tcPr>
            <w:tcW w:w="140" w:type="dxa"/>
            <w:vAlign w:val="bottom"/>
          </w:tcPr>
          <w:p>
            <w:pPr>
              <w:spacing w:after="0"/>
              <w:rPr>
                <w:sz w:val="14"/>
                <w:szCs w:val="14"/>
                <w:color w:val="auto"/>
              </w:rPr>
            </w:pPr>
          </w:p>
        </w:tc>
        <w:tc>
          <w:tcPr>
            <w:tcW w:w="1420" w:type="dxa"/>
            <w:vAlign w:val="bottom"/>
            <w:gridSpan w:val="4"/>
            <w:vMerge w:val="restart"/>
          </w:tcPr>
          <w:p>
            <w:pPr>
              <w:jc w:val="right"/>
              <w:ind w:right="36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5"/>
          </w:tcPr>
          <w:p>
            <w:pPr>
              <w:jc w:val="right"/>
              <w:ind w:right="490"/>
              <w:spacing w:after="0"/>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4"/>
                <w:szCs w:val="14"/>
                <w:color w:val="auto"/>
              </w:rPr>
            </w:pPr>
          </w:p>
        </w:tc>
        <w:tc>
          <w:tcPr>
            <w:tcW w:w="1600" w:type="dxa"/>
            <w:vAlign w:val="bottom"/>
            <w:gridSpan w:val="5"/>
            <w:vMerge w:val="continue"/>
          </w:tcPr>
          <w:p>
            <w:pPr>
              <w:spacing w:after="0"/>
              <w:rPr>
                <w:sz w:val="14"/>
                <w:szCs w:val="14"/>
                <w:color w:val="auto"/>
              </w:rPr>
            </w:pPr>
          </w:p>
        </w:tc>
        <w:tc>
          <w:tcPr>
            <w:tcW w:w="820" w:type="dxa"/>
            <w:vAlign w:val="bottom"/>
            <w:gridSpan w:val="4"/>
          </w:tcPr>
          <w:p>
            <w:pPr>
              <w:jc w:val="center"/>
              <w:ind w:left="215"/>
              <w:spacing w:after="0"/>
              <w:rPr>
                <w:sz w:val="20"/>
                <w:szCs w:val="20"/>
                <w:color w:val="auto"/>
              </w:rPr>
            </w:pPr>
            <w:r>
              <w:rPr>
                <w:rFonts w:ascii="Arial" w:cs="Arial" w:eastAsia="Arial" w:hAnsi="Arial"/>
                <w:sz w:val="14"/>
                <w:szCs w:val="14"/>
                <w:b w:val="1"/>
                <w:bCs w:val="1"/>
                <w:color w:val="auto"/>
                <w:w w:val="92"/>
              </w:rPr>
              <w:t>June 30,</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2018</w:t>
            </w:r>
          </w:p>
        </w:tc>
        <w:tc>
          <w:tcPr>
            <w:tcW w:w="20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9"/>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tcPr>
          <w:p>
            <w:pPr>
              <w:jc w:val="center"/>
              <w:ind w:left="174"/>
              <w:spacing w:after="0" w:line="142" w:lineRule="exact"/>
              <w:rPr>
                <w:sz w:val="20"/>
                <w:szCs w:val="20"/>
                <w:color w:val="auto"/>
              </w:rPr>
            </w:pPr>
            <w:r>
              <w:rPr>
                <w:rFonts w:ascii="Arial" w:cs="Arial" w:eastAsia="Arial" w:hAnsi="Arial"/>
                <w:sz w:val="14"/>
                <w:szCs w:val="14"/>
                <w:b w:val="1"/>
                <w:bCs w:val="1"/>
                <w:color w:val="auto"/>
                <w:w w:val="89"/>
              </w:rPr>
              <w:t>Change</w:t>
            </w:r>
          </w:p>
        </w:tc>
        <w:tc>
          <w:tcPr>
            <w:tcW w:w="40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3"/>
              </w:rPr>
              <w:t>2017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Change</w:t>
            </w:r>
          </w:p>
        </w:tc>
        <w:tc>
          <w:tcPr>
            <w:tcW w:w="440" w:type="dxa"/>
            <w:vAlign w:val="bottom"/>
            <w:tcBorders>
              <w:bottom w:val="single" w:sz="8" w:color="auto"/>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Tier 1</w:t>
            </w:r>
          </w:p>
        </w:tc>
        <w:tc>
          <w:tcPr>
            <w:tcW w:w="680" w:type="dxa"/>
            <w:vAlign w:val="bottom"/>
            <w:gridSpan w:val="2"/>
          </w:tcPr>
          <w:p>
            <w:pPr>
              <w:ind w:left="56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 % $</w:t>
            </w:r>
          </w:p>
        </w:tc>
        <w:tc>
          <w:tcPr>
            <w:tcW w:w="500" w:type="dxa"/>
            <w:vAlign w:val="bottom"/>
          </w:tcPr>
          <w:p>
            <w:pPr>
              <w:jc w:val="right"/>
              <w:spacing w:after="0"/>
              <w:rPr>
                <w:sz w:val="20"/>
                <w:szCs w:val="20"/>
                <w:color w:val="auto"/>
              </w:rPr>
            </w:pPr>
            <w:r>
              <w:rPr>
                <w:rFonts w:ascii="Arial" w:cs="Arial" w:eastAsia="Arial" w:hAnsi="Arial"/>
                <w:sz w:val="18"/>
                <w:szCs w:val="18"/>
                <w:color w:val="auto"/>
              </w:rPr>
              <w:t>760</w:t>
            </w:r>
          </w:p>
        </w:tc>
        <w:tc>
          <w:tcPr>
            <w:tcW w:w="14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761</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Tier 3</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4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1,609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1,583</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Other</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70"/>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(80.0)</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99"/>
              </w:rPr>
              <w:t>(129)</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99"/>
              </w:rPr>
              <w:t>(142)</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(302)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w:t>
            </w: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2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3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8"/>
                <w:szCs w:val="18"/>
                <w:color w:val="auto"/>
              </w:rPr>
              <w:t>6.2 %</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1,323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1,231</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3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3"/>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Percentage of revenues</w:t>
            </w:r>
          </w:p>
        </w:tc>
        <w:tc>
          <w:tcPr>
            <w:tcW w:w="5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4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 Percentage change does not provide a meaningful comparison.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All information presented has been updated to reflect our realigned segments which are discussed further in Note 8 to the Condensed Consolidated Financial Statements.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significant items affecting income from operations for our segments during the three and six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2018, as compared with the prior year periods, are summarized below:</w:t>
      </w:r>
    </w:p>
    <w:p>
      <w:pPr>
        <w:spacing w:after="0" w:line="103" w:lineRule="exact"/>
        <w:rPr>
          <w:sz w:val="20"/>
          <w:szCs w:val="20"/>
          <w:color w:val="auto"/>
        </w:rPr>
      </w:pPr>
    </w:p>
    <w:p>
      <w:pPr>
        <w:jc w:val="both"/>
        <w:ind w:left="500" w:hanging="241"/>
        <w:spacing w:after="0" w:line="259"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Solid Waste </w:t>
      </w:r>
      <w:r>
        <w:rPr>
          <w:rFonts w:ascii="Arial" w:cs="Arial" w:eastAsia="Arial" w:hAnsi="Arial"/>
          <w:sz w:val="18"/>
          <w:szCs w:val="18"/>
          <w:color w:val="auto"/>
        </w:rPr>
        <w:t>— Our Traditional Solid Waste business benefited from internal revenue growth, primarily in Tier 3, and</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natural gas fuel credits in the first quarter of 2018 offset, in part, by (i) lower market prices for recycling commodities; (ii) a bonus plan established in early 2018 targeted at improving employee retention; (iii) merit increases and (iv) increased maintenance and repair costs.</w:t>
      </w:r>
    </w:p>
    <w:p>
      <w:pPr>
        <w:spacing w:after="0" w:line="78" w:lineRule="exact"/>
        <w:rPr>
          <w:rFonts w:ascii="Arial" w:cs="Arial" w:eastAsia="Arial" w:hAnsi="Arial"/>
          <w:sz w:val="18"/>
          <w:szCs w:val="18"/>
          <w:color w:val="auto"/>
        </w:rPr>
      </w:pPr>
    </w:p>
    <w:p>
      <w:pPr>
        <w:ind w:left="500" w:hanging="241"/>
        <w:spacing w:after="0"/>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 Net gains from divestitures of certain ancillary operations in the current year periods.</w:t>
      </w:r>
    </w:p>
    <w:p>
      <w:pPr>
        <w:spacing w:after="0" w:line="117" w:lineRule="exact"/>
        <w:rPr>
          <w:rFonts w:ascii="Arial" w:cs="Arial" w:eastAsia="Arial" w:hAnsi="Arial"/>
          <w:sz w:val="18"/>
          <w:szCs w:val="18"/>
          <w:color w:val="auto"/>
        </w:rPr>
      </w:pPr>
    </w:p>
    <w:p>
      <w:pPr>
        <w:ind w:left="500" w:hanging="241"/>
        <w:spacing w:after="0" w:line="277" w:lineRule="auto"/>
        <w:tabs>
          <w:tab w:leader="none" w:pos="50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 Decreased expenses as a result of lower incentive compensation accruals in the current year</w:t>
      </w:r>
      <w:r>
        <w:rPr>
          <w:rFonts w:ascii="Arial" w:cs="Arial" w:eastAsia="Arial" w:hAnsi="Arial"/>
          <w:sz w:val="18"/>
          <w:szCs w:val="18"/>
          <w:i w:val="1"/>
          <w:iCs w:val="1"/>
          <w:color w:val="auto"/>
        </w:rPr>
        <w:t xml:space="preserve"> </w:t>
      </w:r>
      <w:r>
        <w:rPr>
          <w:rFonts w:ascii="Arial" w:cs="Arial" w:eastAsia="Arial" w:hAnsi="Arial"/>
          <w:sz w:val="18"/>
          <w:szCs w:val="18"/>
          <w:color w:val="auto"/>
        </w:rPr>
        <w:t>periods and severance costs for former executives during the first quarter of 2017.</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recognized equity in net losses of unconsolidated entities of $13 million and $20 million during the three and six months ended June 30, 2018, respectively, compared with $13 million and $45 million during the three and six months ended June 30, 2017, respectively. During the six months ended June 30, 2017, we recognized $28 million of impairment charges to write down equity method investments in waste diversion technology companies to their estimated fair values. The remaining losses for each period are primarily related to our noncontrolling interests in entities established to invest in and manage low-income housing properties and a refined coal facility. Refer to Notes 5 and 13 to the Condensed Consolidated Financial Statements for more information related to these investments.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income tax expense was $110 million and $226 million for the three and six months ended June 30, 2018, respectively, compared to $209 million and $346 million for the three and six months ended June 30, 2017, respectively. Our effective income tax rate was 18.1% and 20.2% for the three and six months ended June 30, 2018, respectively, compared with 36.6% and 34.4% for the three and six months ended June 30, 2017, respectively. The decrease in our income tax expense and effective income tax rates for the three and six months ended June 30, 2018, compared with the prior year periods, was primarily due to the enactment of tax reform, which reduced the federal corporate income tax rate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color w:val="auto"/>
        </w:rPr>
        <w:t>from 35% to 21% effective January 1, 2018. Refer to Note 5 to the Condensed Consolidated Financial Statements for more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Company consistently generates cash flow from operations that meets and exceeds its working capital needs, the payments of its dividend and investment in the business through capital expenditures and acquisitions. We continually monitor our actual and forecasted cash flows, our liquidity and our capital resources, enabling us to plan for our present needs and fund unbudgeted business activities that may arise during the year as a result of changing business conditions or new opportunities. The Company believes that its investment grade credit ratings, large value of unencumbered assets and modest leverage enable it to obtain adequate financing to meet its ongoing capital, operating and other liquidity requirements.</w:t>
      </w:r>
    </w:p>
    <w:p>
      <w:pPr>
        <w:spacing w:after="0" w:line="16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December 31,</w:t>
            </w:r>
          </w:p>
        </w:tc>
      </w:tr>
      <w:tr>
        <w:trPr>
          <w:trHeight w:val="171"/>
        </w:trPr>
        <w:tc>
          <w:tcPr>
            <w:tcW w:w="628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2017</w:t>
            </w:r>
          </w:p>
        </w:tc>
      </w:tr>
      <w:tr>
        <w:trPr>
          <w:trHeight w:val="230"/>
        </w:trPr>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03"/>
        </w:trPr>
        <w:tc>
          <w:tcPr>
            <w:tcW w:w="6280" w:type="dxa"/>
            <w:vAlign w:val="bottom"/>
          </w:tcPr>
          <w:p>
            <w:pPr>
              <w:spacing w:after="0" w:line="203" w:lineRule="exact"/>
              <w:rPr>
                <w:sz w:val="20"/>
                <w:szCs w:val="20"/>
                <w:color w:val="auto"/>
              </w:rPr>
            </w:pPr>
            <w:r>
              <w:rPr>
                <w:rFonts w:ascii="Arial" w:cs="Arial" w:eastAsia="Arial" w:hAnsi="Arial"/>
                <w:sz w:val="18"/>
                <w:szCs w:val="18"/>
                <w:color w:val="auto"/>
              </w:rPr>
              <w:t>Restricted trust and escrow accounts:</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Insurance reserves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7"/>
        </w:trPr>
        <w:tc>
          <w:tcPr>
            <w:tcW w:w="628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restricted trust and escrow accounts</w:t>
            </w:r>
          </w:p>
        </w:tc>
        <w:tc>
          <w:tcPr>
            <w:tcW w:w="7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Debt:</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Current portion</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828</w:t>
            </w:r>
          </w:p>
        </w:tc>
        <w:tc>
          <w:tcPr>
            <w:tcW w:w="200" w:type="dxa"/>
            <w:vAlign w:val="bottom"/>
          </w:tcPr>
          <w:p>
            <w:pPr>
              <w:spacing w:after="0"/>
              <w:rPr>
                <w:sz w:val="18"/>
                <w:szCs w:val="18"/>
                <w:color w:val="auto"/>
              </w:rPr>
            </w:pPr>
          </w:p>
        </w:tc>
        <w:tc>
          <w:tcPr>
            <w:tcW w:w="200" w:type="dxa"/>
            <w:vAlign w:val="bottom"/>
            <w:gridSpan w:val="2"/>
          </w:tcPr>
          <w:p>
            <w:pPr>
              <w:jc w:val="right"/>
              <w:ind w:right="2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739</w:t>
            </w: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portion</w:t>
            </w:r>
          </w:p>
        </w:tc>
        <w:tc>
          <w:tcPr>
            <w:tcW w:w="7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8,752</w:t>
            </w:r>
          </w:p>
        </w:tc>
      </w:tr>
      <w:tr>
        <w:trPr>
          <w:trHeight w:val="217"/>
        </w:trPr>
        <w:tc>
          <w:tcPr>
            <w:tcW w:w="6280" w:type="dxa"/>
            <w:vAlign w:val="bottom"/>
          </w:tcPr>
          <w:p>
            <w:pPr>
              <w:ind w:left="320"/>
              <w:spacing w:after="0"/>
              <w:rPr>
                <w:sz w:val="20"/>
                <w:szCs w:val="20"/>
                <w:color w:val="auto"/>
              </w:rPr>
            </w:pPr>
            <w:r>
              <w:rPr>
                <w:rFonts w:ascii="Arial" w:cs="Arial" w:eastAsia="Arial" w:hAnsi="Arial"/>
                <w:sz w:val="18"/>
                <w:szCs w:val="18"/>
                <w:color w:val="auto"/>
              </w:rPr>
              <w:t>Total debt</w:t>
            </w:r>
          </w:p>
        </w:tc>
        <w:tc>
          <w:tcPr>
            <w:tcW w:w="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w:t>
            </w:r>
          </w:p>
        </w:tc>
      </w:tr>
    </w:tbl>
    <w:p>
      <w:pPr>
        <w:spacing w:after="0" w:line="20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As of June 30, 2018, we had $2.1 billion of debt maturing within the next 12 months, including (i) $968 million of short-term borrowings under our commercial paper program; (ii) $796 million of tax-exempt bonds with term interest rate periods that expire within the next 12 months, which is prior to their scheduled maturities; (iii) $265 million of other debt with scheduled maturities within the next 12 months, including $219 million of tax-exempt bonds and (iv) C$94 million, or $71 million, of borrowings under our Canadian term loan. Of the $968 million of short-term borrowings outstanding under our commercial paper program as of June 30, 2018 that are supported by our long-term U.S. and Canadian revolving credit facility (“$2.75 billion revolving credit facility”), we have the intent and ability to refinance or maintain $476 million of these borrowings on a long-term basis, and we have classified these amounts as long-term debt. As of June 30, 2018, we have classified an additional $796 million of debt as long-term because we have the intent and ability to refinance these borrowings on a long-term basis as supported by the forecasted available capacity under our $2.75 billion revolving credit facility. The remaining $828 million is classified as current obligations.</w:t>
      </w:r>
    </w:p>
    <w:p>
      <w:pPr>
        <w:spacing w:after="0" w:line="18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Refinancing of Revolving Credit Facility</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June 2018, we entered into the $2.75 billion revolving credit facility, which amended and restated our prior long-term U.S. revolving credit facility. Amendments to the credit agreement included (i) increasing total capacity under the facility from $2.25 billion to $2.75 billion; (ii) establishment of a $750 million accordion feature that may be used to increase total capacity in future periods; (iii) extending the term through June 2023 and (iv) inclusion of two one-year extension options. Waste Management of Canada Corporation and WM Quebec Inc., each an indirect wholly-owned subsidiary of WM, were added as additional borrowers under the $2.75 billion revolving credit facility, and the agreement permits borrowing in Canadian dollars up to the U.S. dollar equivalent of $375 million, with such borrowings to be repaid in Canadian dollars. Waste Management Holdings, Inc., a wholly-owned subsidiary of WM, guarantees all of the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2" w:name="page43"/>
    <w:bookmarkEnd w:id="42"/>
    <w:p>
      <w:pPr>
        <w:jc w:val="both"/>
        <w:spacing w:after="0" w:line="277" w:lineRule="auto"/>
        <w:rPr>
          <w:sz w:val="20"/>
          <w:szCs w:val="20"/>
          <w:color w:val="auto"/>
        </w:rPr>
      </w:pPr>
      <w:r>
        <w:rPr>
          <w:rFonts w:ascii="Arial" w:cs="Arial" w:eastAsia="Arial" w:hAnsi="Arial"/>
          <w:sz w:val="18"/>
          <w:szCs w:val="18"/>
          <w:color w:val="auto"/>
        </w:rPr>
        <w:t>obligations under the revolving credit facility. During the third quarter of 2018, we expect to incur borrowings under our $2.75 billion revolving credit facility to repay the outstanding borrowings under our Canadian term loan.</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We believe free cash flow gives investors useful insight into how we view our liquidity, but the use of free cash flow as a liquidity measure has material limitations because it excludes certain expenditures that are required or that we have committed to, such as declared dividend payments and debt service requirements.</w:t>
      </w:r>
    </w:p>
    <w:p>
      <w:pPr>
        <w:spacing w:after="0" w:line="18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440" w:type="dxa"/>
            <w:vAlign w:val="bottom"/>
            <w:gridSpan w:val="5"/>
          </w:tcPr>
          <w:p>
            <w:pPr>
              <w:jc w:val="right"/>
              <w:ind w:right="134"/>
              <w:spacing w:after="0"/>
              <w:rPr>
                <w:sz w:val="20"/>
                <w:szCs w:val="20"/>
                <w:color w:val="auto"/>
              </w:rPr>
            </w:pPr>
            <w:r>
              <w:rPr>
                <w:rFonts w:ascii="Arial" w:cs="Arial" w:eastAsia="Arial" w:hAnsi="Arial"/>
                <w:sz w:val="14"/>
                <w:szCs w:val="14"/>
                <w:b w:val="1"/>
                <w:bCs w:val="1"/>
                <w:color w:val="auto"/>
                <w:w w:val="98"/>
              </w:rPr>
              <w:t>Six Months Ended</w:t>
            </w:r>
          </w:p>
        </w:tc>
      </w:tr>
      <w:tr>
        <w:trPr>
          <w:trHeight w:val="171"/>
        </w:trPr>
        <w:tc>
          <w:tcPr>
            <w:tcW w:w="228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20" w:type="dxa"/>
            <w:vAlign w:val="bottom"/>
            <w:tcBorders>
              <w:bottom w:val="single" w:sz="8" w:color="auto"/>
            </w:tcBorders>
          </w:tcPr>
          <w:p>
            <w:pPr>
              <w:spacing w:after="0"/>
              <w:rPr>
                <w:sz w:val="14"/>
                <w:szCs w:val="14"/>
                <w:color w:val="auto"/>
              </w:rPr>
            </w:pPr>
          </w:p>
        </w:tc>
      </w:tr>
      <w:tr>
        <w:trPr>
          <w:trHeight w:val="142"/>
        </w:trPr>
        <w:tc>
          <w:tcPr>
            <w:tcW w:w="228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96"/>
              </w:rPr>
              <w:t>2017</w:t>
            </w:r>
          </w:p>
        </w:tc>
      </w:tr>
      <w:tr>
        <w:trPr>
          <w:trHeight w:val="21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(a)</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(436)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(299)</w:t>
            </w: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(836)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(631)</w:t>
            </w:r>
          </w:p>
        </w:tc>
      </w:tr>
      <w:tr>
        <w:trPr>
          <w:trHeight w:val="202"/>
        </w:trPr>
        <w:tc>
          <w:tcPr>
            <w:tcW w:w="5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Proceeds from divestitures of businesses and other assets (net of cash</w:t>
            </w: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r>
      <w:tr>
        <w:trPr>
          <w:trHeight w:val="230"/>
        </w:trPr>
        <w:tc>
          <w:tcPr>
            <w:tcW w:w="56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divested)</w:t>
            </w: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7"/>
        </w:trPr>
        <w:tc>
          <w:tcPr>
            <w:tcW w:w="5660" w:type="dxa"/>
            <w:vAlign w:val="bottom"/>
            <w:gridSpan w:val="2"/>
          </w:tcPr>
          <w:p>
            <w:pPr>
              <w:ind w:left="120"/>
              <w:spacing w:after="0"/>
              <w:rPr>
                <w:sz w:val="20"/>
                <w:szCs w:val="20"/>
                <w:color w:val="auto"/>
              </w:rPr>
            </w:pPr>
            <w:r>
              <w:rPr>
                <w:rFonts w:ascii="Arial" w:cs="Arial" w:eastAsia="Arial" w:hAnsi="Arial"/>
                <w:sz w:val="18"/>
                <w:szCs w:val="18"/>
                <w:color w:val="auto"/>
              </w:rPr>
              <w:t>Free cash flow (a)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r>
      <w:tr>
        <w:trPr>
          <w:trHeight w:val="108"/>
        </w:trPr>
        <w:tc>
          <w:tcPr>
            <w:tcW w:w="2280" w:type="dxa"/>
            <w:vAlign w:val="bottom"/>
            <w:tcBorders>
              <w:bottom w:val="single" w:sz="8" w:color="auto"/>
            </w:tcBorders>
          </w:tcPr>
          <w:p>
            <w:pPr>
              <w:spacing w:after="0"/>
              <w:rPr>
                <w:sz w:val="9"/>
                <w:szCs w:val="9"/>
                <w:color w:val="auto"/>
              </w:rPr>
            </w:pPr>
          </w:p>
        </w:tc>
        <w:tc>
          <w:tcPr>
            <w:tcW w:w="3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Prior year information has been revised to reflect the adoption of ASU 2016-18 and conform to our current year presentation. See Note 1 to the Condensed Consolidated Financial Statements for further discussion.</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cash flows for the six months ended June 30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2017(a)</w:t>
            </w:r>
          </w:p>
        </w:tc>
      </w:tr>
      <w:tr>
        <w:trPr>
          <w:trHeight w:val="230"/>
        </w:trPr>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r>
      <w:tr>
        <w:trPr>
          <w:trHeight w:val="210"/>
        </w:trPr>
        <w:tc>
          <w:tcPr>
            <w:tcW w:w="70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(1,010)</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(673)</w:t>
            </w:r>
          </w:p>
        </w:tc>
      </w:tr>
      <w:tr>
        <w:trPr>
          <w:trHeight w:val="223"/>
        </w:trPr>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w:t>
            </w:r>
          </w:p>
        </w:tc>
      </w:tr>
      <w:tr>
        <w:trPr>
          <w:trHeight w:val="115"/>
        </w:trPr>
        <w:tc>
          <w:tcPr>
            <w:tcW w:w="2280" w:type="dxa"/>
            <w:vAlign w:val="bottom"/>
            <w:tcBorders>
              <w:bottom w:val="single" w:sz="8" w:color="auto"/>
            </w:tcBorders>
          </w:tcPr>
          <w:p>
            <w:pPr>
              <w:spacing w:after="0"/>
              <w:rPr>
                <w:sz w:val="10"/>
                <w:szCs w:val="10"/>
                <w:color w:val="auto"/>
              </w:rPr>
            </w:pPr>
          </w:p>
        </w:tc>
        <w:tc>
          <w:tcPr>
            <w:tcW w:w="4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spacing w:after="0"/>
              <w:rPr>
                <w:sz w:val="10"/>
                <w:szCs w:val="10"/>
                <w:color w:val="auto"/>
              </w:rPr>
            </w:pPr>
          </w:p>
        </w:tc>
      </w:tr>
    </w:tbl>
    <w:p>
      <w:pPr>
        <w:spacing w:after="0" w:line="94" w:lineRule="exact"/>
        <w:rPr>
          <w:sz w:val="20"/>
          <w:szCs w:val="20"/>
          <w:color w:val="auto"/>
        </w:rPr>
      </w:pPr>
    </w:p>
    <w:p>
      <w:pPr>
        <w:ind w:left="320" w:hanging="317"/>
        <w:spacing w:after="0" w:line="224" w:lineRule="exact"/>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Prior year information has been revised to reflect the adoption of ASU 2016</w:t>
      </w:r>
      <w:r>
        <w:rPr>
          <w:rFonts w:ascii="MS PGothic" w:cs="MS PGothic" w:eastAsia="MS PGothic" w:hAnsi="MS PGothic"/>
          <w:sz w:val="16"/>
          <w:szCs w:val="16"/>
          <w:color w:val="auto"/>
        </w:rPr>
        <w:t>‑</w:t>
      </w:r>
      <w:r>
        <w:rPr>
          <w:rFonts w:ascii="Arial" w:cs="Arial" w:eastAsia="Arial" w:hAnsi="Arial"/>
          <w:sz w:val="16"/>
          <w:szCs w:val="16"/>
          <w:color w:val="auto"/>
        </w:rPr>
        <w:t>15 and ASU 2016-18 and conform to our current year presentation. See Note 1 to the Condensed Consolidated Financial Statements for further discussion.</w:t>
      </w:r>
    </w:p>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Our operating cash flows increased by $249 million for the six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June 30, 2018, as compared with the prior year period, as a result of (i) lower tax payments and (ii) an increase in income from operations, excluding depreciation and amortization and (gain) loss from divestitures, asset impairments and unusual items, net primarily attributable to higher earnings from our Traditional Solid Waste business, partially offset by lower earnings from our recycling line of business.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2018 and 2017 are summarized below:</w:t>
      </w:r>
    </w:p>
    <w:p>
      <w:pPr>
        <w:spacing w:after="0" w:line="62" w:lineRule="exact"/>
        <w:rPr>
          <w:sz w:val="20"/>
          <w:szCs w:val="20"/>
          <w:color w:val="auto"/>
        </w:rPr>
      </w:pPr>
    </w:p>
    <w:p>
      <w:pPr>
        <w:ind w:left="500" w:hanging="241"/>
        <w:spacing w:after="0" w:line="277" w:lineRule="auto"/>
        <w:tabs>
          <w:tab w:leader="none" w:pos="50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Acquisitions — </w:t>
      </w:r>
      <w:r>
        <w:rPr>
          <w:rFonts w:ascii="Arial" w:cs="Arial" w:eastAsia="Arial" w:hAnsi="Arial"/>
          <w:sz w:val="18"/>
          <w:szCs w:val="18"/>
          <w:color w:val="auto"/>
        </w:rPr>
        <w:t>We spent $263 million and $49 million on acquisitions during the six months ended June 30, 2018 and</w:t>
      </w:r>
      <w:r>
        <w:rPr>
          <w:rFonts w:ascii="Arial" w:cs="Arial" w:eastAsia="Arial" w:hAnsi="Arial"/>
          <w:sz w:val="18"/>
          <w:szCs w:val="18"/>
          <w:i w:val="1"/>
          <w:iCs w:val="1"/>
          <w:color w:val="auto"/>
        </w:rPr>
        <w:t xml:space="preserve"> </w:t>
      </w:r>
      <w:r>
        <w:rPr>
          <w:rFonts w:ascii="Arial" w:cs="Arial" w:eastAsia="Arial" w:hAnsi="Arial"/>
          <w:sz w:val="18"/>
          <w:szCs w:val="18"/>
          <w:color w:val="auto"/>
        </w:rPr>
        <w:t>2017, respectively, related to our Solid Waste business.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3" w:name="page44"/>
    <w:bookmarkEnd w:id="43"/>
    <w:p>
      <w:pPr>
        <w:jc w:val="both"/>
        <w:ind w:left="500" w:hanging="241"/>
        <w:spacing w:after="0" w:line="259"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$836 million and $631 million for capital expenditures during the six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2018 and 2017, respectively. The Company continues to maintain a disciplined focus on capital management and fluctuations in our capital expenditures are a result of new business opportunities, growth in our existing business and the timing of replacement of aging assets.</w:t>
      </w:r>
    </w:p>
    <w:p>
      <w:pPr>
        <w:spacing w:after="0" w:line="18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six months ended June 30, 2018 and 2017 are summarized below:</w:t>
      </w:r>
    </w:p>
    <w:p>
      <w:pPr>
        <w:spacing w:after="0" w:line="62" w:lineRule="exact"/>
        <w:rPr>
          <w:sz w:val="20"/>
          <w:szCs w:val="20"/>
          <w:color w:val="auto"/>
        </w:rPr>
      </w:pPr>
    </w:p>
    <w:p>
      <w:pPr>
        <w:ind w:left="500" w:hanging="241"/>
        <w:spacing w:after="0" w:line="277" w:lineRule="auto"/>
        <w:tabs>
          <w:tab w:leader="none" w:pos="50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Debt Borrowings (Repayments) — </w:t>
      </w:r>
      <w:r>
        <w:rPr>
          <w:rFonts w:ascii="Arial" w:cs="Arial" w:eastAsia="Arial" w:hAnsi="Arial"/>
          <w:sz w:val="18"/>
          <w:szCs w:val="18"/>
          <w:color w:val="auto"/>
        </w:rPr>
        <w:t>The following summarizes our cash borrowings and repayments of debt (excluding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our commercial paper program discussed below) for the six months ended June 30 (in millions):</w:t>
      </w:r>
    </w:p>
    <w:p>
      <w:pPr>
        <w:spacing w:after="0" w:line="68" w:lineRule="exact"/>
        <w:rPr>
          <w:sz w:val="20"/>
          <w:szCs w:val="20"/>
          <w:color w:val="auto"/>
        </w:rPr>
      </w:pPr>
    </w:p>
    <w:tbl>
      <w:tblPr>
        <w:tblLayout w:type="fixed"/>
        <w:tblInd w:w="520" w:type="dxa"/>
        <w:tblCellMar>
          <w:top w:w="0" w:type="dxa"/>
          <w:left w:w="0" w:type="dxa"/>
          <w:bottom w:w="0" w:type="dxa"/>
          <w:right w:w="0" w:type="dxa"/>
        </w:tblCellMar>
      </w:tblPr>
      <w:tr>
        <w:trPr>
          <w:trHeight w:val="171"/>
        </w:trPr>
        <w:tc>
          <w:tcPr>
            <w:tcW w:w="40" w:type="dxa"/>
            <w:vAlign w:val="bottom"/>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28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2017</w:t>
            </w:r>
          </w:p>
        </w:tc>
      </w:tr>
      <w:tr>
        <w:trPr>
          <w:trHeight w:val="210"/>
        </w:trPr>
        <w:tc>
          <w:tcPr>
            <w:tcW w:w="40" w:type="dxa"/>
            <w:vAlign w:val="bottom"/>
          </w:tcPr>
          <w:p>
            <w:pPr>
              <w:spacing w:after="0"/>
              <w:rPr>
                <w:sz w:val="18"/>
                <w:szCs w:val="18"/>
                <w:color w:val="auto"/>
              </w:rPr>
            </w:pPr>
          </w:p>
        </w:tc>
        <w:tc>
          <w:tcPr>
            <w:tcW w:w="49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Revolving credit facility (a)</w:t>
            </w:r>
          </w:p>
        </w:tc>
        <w:tc>
          <w:tcPr>
            <w:tcW w:w="14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0" w:type="dxa"/>
            <w:vAlign w:val="bottom"/>
          </w:tcPr>
          <w:p>
            <w:pPr>
              <w:spacing w:after="0"/>
              <w:rPr>
                <w:sz w:val="18"/>
                <w:szCs w:val="18"/>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Canadian term loan and revolving credit facility</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40" w:type="dxa"/>
            <w:vAlign w:val="bottom"/>
          </w:tcPr>
          <w:p>
            <w:pPr>
              <w:spacing w:after="0"/>
              <w:rPr>
                <w:sz w:val="18"/>
                <w:szCs w:val="18"/>
                <w:color w:val="auto"/>
              </w:rPr>
            </w:pPr>
          </w:p>
        </w:tc>
        <w:tc>
          <w:tcPr>
            <w:tcW w:w="49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debt</w:t>
            </w: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r>
      <w:tr>
        <w:trPr>
          <w:trHeight w:val="210"/>
        </w:trPr>
        <w:tc>
          <w:tcPr>
            <w:tcW w:w="4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10"/>
        </w:trPr>
        <w:tc>
          <w:tcPr>
            <w:tcW w:w="40" w:type="dxa"/>
            <w:vAlign w:val="bottom"/>
          </w:tcPr>
          <w:p>
            <w:pPr>
              <w:spacing w:after="0"/>
              <w:rPr>
                <w:sz w:val="18"/>
                <w:szCs w:val="18"/>
                <w:color w:val="auto"/>
              </w:rPr>
            </w:pPr>
          </w:p>
        </w:tc>
        <w:tc>
          <w:tcPr>
            <w:tcW w:w="4920" w:type="dxa"/>
            <w:vAlign w:val="bottom"/>
            <w:gridSpan w:val="2"/>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40" w:type="dxa"/>
            <w:vAlign w:val="bottom"/>
          </w:tcPr>
          <w:p>
            <w:pPr>
              <w:spacing w:after="0"/>
              <w:rPr>
                <w:sz w:val="18"/>
                <w:szCs w:val="18"/>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Revolving credit facility (a)</w:t>
            </w:r>
          </w:p>
        </w:tc>
        <w:tc>
          <w:tcPr>
            <w:tcW w:w="14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16"/>
        </w:trPr>
        <w:tc>
          <w:tcPr>
            <w:tcW w:w="40" w:type="dxa"/>
            <w:vAlign w:val="bottom"/>
          </w:tcPr>
          <w:p>
            <w:pPr>
              <w:spacing w:after="0"/>
              <w:rPr>
                <w:sz w:val="18"/>
                <w:szCs w:val="18"/>
                <w:color w:val="auto"/>
              </w:rPr>
            </w:pPr>
          </w:p>
        </w:tc>
        <w:tc>
          <w:tcPr>
            <w:tcW w:w="4920" w:type="dxa"/>
            <w:vAlign w:val="bottom"/>
            <w:gridSpan w:val="2"/>
          </w:tcPr>
          <w:p>
            <w:pPr>
              <w:ind w:left="200"/>
              <w:spacing w:after="0"/>
              <w:rPr>
                <w:sz w:val="20"/>
                <w:szCs w:val="20"/>
                <w:color w:val="auto"/>
              </w:rPr>
            </w:pPr>
            <w:r>
              <w:rPr>
                <w:rFonts w:ascii="Arial" w:cs="Arial" w:eastAsia="Arial" w:hAnsi="Arial"/>
                <w:sz w:val="18"/>
                <w:szCs w:val="18"/>
                <w:color w:val="auto"/>
              </w:rPr>
              <w:t>Canadian term loan and revolving credit facility</w:t>
            </w: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40" w:type="dxa"/>
            <w:vAlign w:val="bottom"/>
          </w:tcPr>
          <w:p>
            <w:pPr>
              <w:spacing w:after="0"/>
              <w:rPr>
                <w:sz w:val="18"/>
                <w:szCs w:val="18"/>
                <w:color w:val="auto"/>
              </w:rPr>
            </w:pPr>
          </w:p>
        </w:tc>
        <w:tc>
          <w:tcPr>
            <w:tcW w:w="49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Tax-exempt bonds</w:t>
            </w:r>
          </w:p>
        </w:tc>
        <w:tc>
          <w:tcPr>
            <w:tcW w:w="1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0" w:type="dxa"/>
            <w:vAlign w:val="bottom"/>
          </w:tcPr>
          <w:p>
            <w:pPr>
              <w:spacing w:after="0"/>
              <w:rPr>
                <w:sz w:val="18"/>
                <w:szCs w:val="18"/>
                <w:color w:val="auto"/>
              </w:rPr>
            </w:pPr>
          </w:p>
        </w:tc>
        <w:tc>
          <w:tcPr>
            <w:tcW w:w="492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Other debt</w:t>
            </w:r>
          </w:p>
        </w:tc>
        <w:tc>
          <w:tcPr>
            <w:tcW w:w="1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r>
      <w:tr>
        <w:trPr>
          <w:trHeight w:val="210"/>
        </w:trPr>
        <w:tc>
          <w:tcPr>
            <w:tcW w:w="4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r>
      <w:tr>
        <w:trPr>
          <w:trHeight w:val="217"/>
        </w:trPr>
        <w:tc>
          <w:tcPr>
            <w:tcW w:w="4960" w:type="dxa"/>
            <w:vAlign w:val="bottom"/>
            <w:gridSpan w:val="3"/>
          </w:tcPr>
          <w:p>
            <w:pPr>
              <w:ind w:left="40"/>
              <w:spacing w:after="0"/>
              <w:rPr>
                <w:sz w:val="20"/>
                <w:szCs w:val="20"/>
                <w:color w:val="auto"/>
              </w:rPr>
            </w:pPr>
            <w:r>
              <w:rPr>
                <w:rFonts w:ascii="Arial" w:cs="Arial" w:eastAsia="Arial" w:hAnsi="Arial"/>
                <w:sz w:val="18"/>
                <w:szCs w:val="18"/>
                <w:i w:val="1"/>
                <w:iCs w:val="1"/>
                <w:color w:val="auto"/>
              </w:rPr>
              <w:t>Net cash repayments</w:t>
            </w:r>
          </w:p>
        </w:tc>
        <w:tc>
          <w:tcPr>
            <w:tcW w:w="12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w:t>
            </w:r>
          </w:p>
        </w:tc>
      </w:tr>
      <w:tr>
        <w:trPr>
          <w:trHeight w:val="108"/>
        </w:trPr>
        <w:tc>
          <w:tcPr>
            <w:tcW w:w="4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Our revolving credit facility was amended and restated in June 2018.</w:t>
      </w:r>
    </w:p>
    <w:p>
      <w:pPr>
        <w:spacing w:after="0" w:line="117"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500" w:hanging="241"/>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Commercial Paper Program — </w:t>
      </w:r>
      <w:r>
        <w:rPr>
          <w:rFonts w:ascii="Arial" w:cs="Arial" w:eastAsia="Arial" w:hAnsi="Arial"/>
          <w:sz w:val="18"/>
          <w:szCs w:val="18"/>
          <w:color w:val="auto"/>
        </w:rPr>
        <w:t>During the six months ended June 30, 2018 and 2017, we had net cash borrowings of</w:t>
      </w:r>
      <w:r>
        <w:rPr>
          <w:rFonts w:ascii="Arial" w:cs="Arial" w:eastAsia="Arial" w:hAnsi="Arial"/>
          <w:sz w:val="18"/>
          <w:szCs w:val="18"/>
          <w:i w:val="1"/>
          <w:iCs w:val="1"/>
          <w:color w:val="auto"/>
        </w:rPr>
        <w:t xml:space="preserve"> </w:t>
      </w:r>
      <w:r>
        <w:rPr>
          <w:rFonts w:ascii="Arial" w:cs="Arial" w:eastAsia="Arial" w:hAnsi="Arial"/>
          <w:sz w:val="18"/>
          <w:szCs w:val="18"/>
          <w:color w:val="auto"/>
        </w:rPr>
        <w:t>$443 million and $253 million, respectively, under our commercial paper program. Borrowings were primarily to support new business opportunities and for general corporate purposes.</w:t>
      </w:r>
    </w:p>
    <w:p>
      <w:pPr>
        <w:spacing w:after="0" w:line="73" w:lineRule="exact"/>
        <w:rPr>
          <w:rFonts w:ascii="Arial" w:cs="Arial" w:eastAsia="Arial" w:hAnsi="Arial"/>
          <w:sz w:val="18"/>
          <w:szCs w:val="18"/>
          <w:color w:val="auto"/>
        </w:rPr>
      </w:pPr>
    </w:p>
    <w:p>
      <w:pPr>
        <w:jc w:val="both"/>
        <w:ind w:left="500" w:hanging="241"/>
        <w:spacing w:after="0" w:line="264" w:lineRule="auto"/>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Repurchase Program — </w:t>
      </w:r>
      <w:r>
        <w:rPr>
          <w:rFonts w:ascii="Arial" w:cs="Arial" w:eastAsia="Arial" w:hAnsi="Arial"/>
          <w:sz w:val="18"/>
          <w:szCs w:val="18"/>
          <w:color w:val="auto"/>
        </w:rPr>
        <w:t>We paid $550 million and $250 million for share repurchases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six months ended June 30, 2018 and 2017, respectively. See Note 11 to the Condensed Consolidated Financial Statements for additional information.</w:t>
      </w:r>
    </w:p>
    <w:p>
      <w:pPr>
        <w:spacing w:after="0" w:line="73" w:lineRule="exact"/>
        <w:rPr>
          <w:rFonts w:ascii="Arial" w:cs="Arial" w:eastAsia="Arial" w:hAnsi="Arial"/>
          <w:sz w:val="18"/>
          <w:szCs w:val="18"/>
          <w:color w:val="auto"/>
        </w:rPr>
      </w:pPr>
    </w:p>
    <w:p>
      <w:pPr>
        <w:jc w:val="both"/>
        <w:ind w:left="500" w:hanging="241"/>
        <w:spacing w:after="0" w:line="279" w:lineRule="auto"/>
        <w:tabs>
          <w:tab w:leader="none" w:pos="500" w:val="left"/>
        </w:tabs>
        <w:numPr>
          <w:ilvl w:val="0"/>
          <w:numId w:val="26"/>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We paid cash dividends of $406 million and $381 million during the six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June 30, 2018 and 2017, respectively. The increase in dividend payments is primarily due to our quarterly per share dividend increasing from $0.425 in 2017 to $0.465 in 2018 and has been offset, in part, by a reduction in our common stock outstanding during 2018 as a result of our common stock repurchase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Assumptions</w:t>
      </w:r>
    </w:p>
    <w:p>
      <w:pPr>
        <w:spacing w:after="0" w:line="229"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2017. Actual results could differ materially from the estimates and assumptions that we use in the preparation of our financial statements.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New Accounting Standard Pending Adoption</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Leases </w:t>
      </w:r>
      <w:r>
        <w:rPr>
          <w:rFonts w:ascii="Arial" w:cs="Arial" w:eastAsia="Arial" w:hAnsi="Arial"/>
          <w:sz w:val="16"/>
          <w:szCs w:val="16"/>
          <w:color w:val="auto"/>
        </w:rPr>
        <w:t>— In February 2016, the Financial Accounting Standards Board issued ASU 2016</w:t>
      </w:r>
      <w:r>
        <w:rPr>
          <w:rFonts w:ascii="MS PGothic" w:cs="MS PGothic" w:eastAsia="MS PGothic" w:hAnsi="MS PGothic"/>
          <w:sz w:val="16"/>
          <w:szCs w:val="16"/>
          <w:color w:val="auto"/>
        </w:rPr>
        <w:t>‑</w:t>
      </w:r>
      <w:r>
        <w:rPr>
          <w:rFonts w:ascii="Arial" w:cs="Arial" w:eastAsia="Arial" w:hAnsi="Arial"/>
          <w:sz w:val="16"/>
          <w:szCs w:val="16"/>
          <w:color w:val="auto"/>
        </w:rPr>
        <w:t>02 associated with lease</w:t>
      </w:r>
      <w:r>
        <w:rPr>
          <w:rFonts w:ascii="Arial" w:cs="Arial" w:eastAsia="Arial" w:hAnsi="Arial"/>
          <w:sz w:val="16"/>
          <w:szCs w:val="16"/>
          <w:i w:val="1"/>
          <w:iCs w:val="1"/>
          <w:color w:val="auto"/>
        </w:rPr>
        <w:t xml:space="preserve"> </w:t>
      </w:r>
      <w:r>
        <w:rPr>
          <w:rFonts w:ascii="Arial" w:cs="Arial" w:eastAsia="Arial" w:hAnsi="Arial"/>
          <w:sz w:val="16"/>
          <w:szCs w:val="16"/>
          <w:color w:val="auto"/>
        </w:rPr>
        <w:t>accounting. There have been further amendments, including practical expedients, with the issuance of ASU 2018-01 in January 2018. The amended guidance requires the recognition of lease assets and lease liabilities on the balance sheet for those leases with terms in excess of 12 months and currently classified as operating leases. Disclosure of key information about leasing arrangements will also be required. The amended guidance is effective for the Company on January 1, 2019. We are assessing the provisions of this amended guidance and we have (i) formed an implementation work team;</w:t>
      </w:r>
    </w:p>
    <w:p>
      <w:pPr>
        <w:spacing w:after="0" w:line="5" w:lineRule="exact"/>
        <w:rPr>
          <w:sz w:val="20"/>
          <w:szCs w:val="20"/>
          <w:color w:val="auto"/>
        </w:rPr>
      </w:pPr>
    </w:p>
    <w:p>
      <w:pPr>
        <w:jc w:val="both"/>
        <w:ind w:firstLine="3"/>
        <w:spacing w:after="0" w:line="254" w:lineRule="auto"/>
        <w:tabs>
          <w:tab w:leader="none" w:pos="273"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performed training for the various organizations that will be most affected by the new standard; (iii) acquired a software solution to manage and account for leases under the new standard and (iv) identified our initial lease population that will be impacted by the new standard. We are evaluating the impact of this amended guidance on our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Note 7 to the Condensed Consolidated Financial Statements. These arrangements have not materially affected our financial position, results of operations or liquidity during the six months ended June 30, 2018, nor are they expected to have a material impact on our future financial position, results of operations or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collection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U.S., can increase our revenues in the Areas affected. While weather-related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Information about market risks as of June 30, 2018 does not differ materially from that discussed under Item 7A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5" w:name="page46"/>
    <w:bookmarkEnd w:id="45"/>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June 30, 2018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June 30, 2018. We determined that there were no changes in our internal control over financial reporting during the quarter ended June 30, 2018 that have materially affected, or are reasonably likely to materially affect, our internal control over financial reporting.</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7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There have been no material changes to the risk factors previously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2017 in response to Item 1A to Part I of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following table summarizes common stock repurchases made during the second quarter of 2018 (shares in millions):</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Approximate Maximum</w:t>
            </w: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3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300" w:type="dxa"/>
            <w:vAlign w:val="bottom"/>
          </w:tcPr>
          <w:p>
            <w:pPr>
              <w:spacing w:after="0"/>
              <w:rPr>
                <w:sz w:val="12"/>
                <w:szCs w:val="12"/>
                <w:color w:val="auto"/>
              </w:rPr>
            </w:pPr>
          </w:p>
        </w:tc>
        <w:tc>
          <w:tcPr>
            <w:tcW w:w="9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300" w:type="dxa"/>
            <w:vAlign w:val="bottom"/>
          </w:tcPr>
          <w:p>
            <w:pPr>
              <w:spacing w:after="0"/>
              <w:rPr>
                <w:sz w:val="12"/>
                <w:szCs w:val="12"/>
                <w:color w:val="auto"/>
              </w:rPr>
            </w:pPr>
          </w:p>
        </w:tc>
        <w:tc>
          <w:tcPr>
            <w:tcW w:w="19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1"/>
        </w:trPr>
        <w:tc>
          <w:tcPr>
            <w:tcW w:w="3560" w:type="dxa"/>
            <w:vAlign w:val="bottom"/>
            <w:gridSpan w:val="2"/>
            <w:vMerge w:val="continue"/>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300" w:type="dxa"/>
            <w:vAlign w:val="bottom"/>
          </w:tcPr>
          <w:p>
            <w:pPr>
              <w:spacing w:after="0"/>
              <w:rPr>
                <w:sz w:val="14"/>
                <w:szCs w:val="14"/>
                <w:color w:val="auto"/>
              </w:rPr>
            </w:pPr>
          </w:p>
        </w:tc>
        <w:tc>
          <w:tcPr>
            <w:tcW w:w="9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2"/>
              </w:rPr>
              <w:t>per Share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10"/>
        </w:trPr>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1 — 30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83.34</w:t>
            </w:r>
          </w:p>
        </w:tc>
        <w:tc>
          <w:tcPr>
            <w:tcW w:w="3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908 million</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May 1 — 31</w:t>
            </w:r>
          </w:p>
        </w:tc>
        <w:tc>
          <w:tcPr>
            <w:tcW w:w="68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80.86</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880"/>
              <w:spacing w:after="0"/>
              <w:rPr>
                <w:sz w:val="20"/>
                <w:szCs w:val="20"/>
                <w:color w:val="auto"/>
              </w:rPr>
            </w:pPr>
            <w:r>
              <w:rPr>
                <w:rFonts w:ascii="Arial" w:cs="Arial" w:eastAsia="Arial" w:hAnsi="Arial"/>
                <w:sz w:val="18"/>
                <w:szCs w:val="18"/>
                <w:color w:val="auto"/>
              </w:rPr>
              <w:t>700 million</w:t>
            </w: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1 — 30</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82.32</w:t>
            </w:r>
          </w:p>
        </w:tc>
        <w:tc>
          <w:tcPr>
            <w:tcW w:w="300" w:type="dxa"/>
            <w:vAlign w:val="bottom"/>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700 million</w:t>
            </w:r>
          </w:p>
        </w:tc>
        <w:tc>
          <w:tcPr>
            <w:tcW w:w="0" w:type="dxa"/>
            <w:vAlign w:val="bottom"/>
          </w:tcPr>
          <w:p>
            <w:pPr>
              <w:spacing w:after="0"/>
              <w:rPr>
                <w:sz w:val="1"/>
                <w:szCs w:val="1"/>
                <w:color w:val="auto"/>
              </w:rPr>
            </w:pPr>
          </w:p>
        </w:tc>
      </w:tr>
      <w:tr>
        <w:trPr>
          <w:trHeight w:val="217"/>
        </w:trPr>
        <w:tc>
          <w:tcPr>
            <w:tcW w:w="356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82.58</w:t>
            </w:r>
          </w:p>
        </w:tc>
        <w:tc>
          <w:tcPr>
            <w:tcW w:w="3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second quarter of 2018, we repurchased 1.1 million shares of our common stock in open market transactions in compliance with Rule 10b5-1 and Rule 10b-18 of the Exchange Act for $92 million, inclusive of per-share commissions, at a weighted average per share price of $83.14.</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6" w:name="page47"/>
    <w:bookmarkEnd w:id="46"/>
    <w:p>
      <w:pPr>
        <w:jc w:val="both"/>
        <w:ind w:firstLine="324"/>
        <w:spacing w:after="0" w:line="257" w:lineRule="auto"/>
        <w:rPr>
          <w:sz w:val="20"/>
          <w:szCs w:val="20"/>
          <w:color w:val="auto"/>
        </w:rPr>
      </w:pPr>
      <w:r>
        <w:rPr>
          <w:rFonts w:ascii="Arial" w:cs="Arial" w:eastAsia="Arial" w:hAnsi="Arial"/>
          <w:sz w:val="18"/>
          <w:szCs w:val="18"/>
          <w:color w:val="auto"/>
        </w:rPr>
        <w:t>In May 2018, we entered in to an accelerated share repurchase (“ASR”) agreement to repurchase $200 million of our common stock. At the beginning of the repurchase period, we delivered $200 million in cash and received 2.0 million shares based on a stock price of $80.84. This agreement was completed in June 2018 and we received 0.5 million additional shares. The final average per share price for the completed ASR agreement was $82.32, which is the “Average Price Paid per Share” shown for June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420" w:type="dxa"/>
            <w:vAlign w:val="bottom"/>
            <w:gridSpan w:val="2"/>
          </w:tcPr>
          <w:p>
            <w:pPr>
              <w:ind w:left="6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0" w:type="dxa"/>
            <w:vAlign w:val="bottom"/>
            <w:gridSpan w:val="5"/>
          </w:tcPr>
          <w:p>
            <w:pPr>
              <w:ind w:left="156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20" w:type="dxa"/>
            <w:vAlign w:val="bottom"/>
          </w:tcPr>
          <w:p>
            <w:pPr>
              <w:spacing w:after="0"/>
              <w:rPr>
                <w:sz w:val="16"/>
                <w:szCs w:val="16"/>
                <w:color w:val="auto"/>
              </w:rPr>
            </w:pPr>
          </w:p>
        </w:tc>
        <w:tc>
          <w:tcPr>
            <w:tcW w:w="1420" w:type="dxa"/>
            <w:vAlign w:val="bottom"/>
            <w:gridSpan w:val="2"/>
          </w:tcPr>
          <w:p>
            <w:pPr>
              <w:spacing w:after="0" w:line="189" w:lineRule="exact"/>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2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10.1</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600" w:type="dxa"/>
            <w:vAlign w:val="bottom"/>
            <w:tcBorders>
              <w:top w:val="single" w:sz="8" w:color="auto"/>
              <w:bottom w:val="single" w:sz="8" w:color="0000EE"/>
            </w:tcBorders>
            <w:gridSpan w:val="7"/>
          </w:tcPr>
          <w:p>
            <w:pPr>
              <w:spacing w:after="0" w:line="170" w:lineRule="exact"/>
              <w:rPr>
                <w:rFonts w:ascii="Arial" w:cs="Arial" w:eastAsia="Arial" w:hAnsi="Arial"/>
                <w:sz w:val="18"/>
                <w:szCs w:val="18"/>
                <w:color w:val="0000EE"/>
                <w:w w:val="92"/>
              </w:rPr>
            </w:pPr>
            <w:hyperlink r:id="rId52">
              <w:r>
                <w:rPr>
                  <w:rFonts w:ascii="Arial" w:cs="Arial" w:eastAsia="Arial" w:hAnsi="Arial"/>
                  <w:sz w:val="18"/>
                  <w:szCs w:val="18"/>
                  <w:u w:val="single" w:color="auto"/>
                  <w:color w:val="0000EE"/>
                  <w:w w:val="92"/>
                </w:rPr>
                <w:t>$</w:t>
              </w:r>
              <w:r>
                <w:rPr>
                  <w:rFonts w:ascii="Arial" w:cs="Arial" w:eastAsia="Arial" w:hAnsi="Arial"/>
                  <w:sz w:val="18"/>
                  <w:szCs w:val="18"/>
                  <w:color w:val="0000EE"/>
                  <w:w w:val="92"/>
                </w:rPr>
                <w:t>2.75 Billion Fourth Amended and Restated Revolving Credit Agreement dated as of June 26, 2018 by</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r:id="rId52">
              <w:r>
                <w:rPr>
                  <w:rFonts w:ascii="Arial" w:cs="Arial" w:eastAsia="Arial" w:hAnsi="Arial"/>
                  <w:sz w:val="18"/>
                  <w:szCs w:val="18"/>
                  <w:color w:val="0000EE"/>
                  <w:w w:val="91"/>
                </w:rPr>
                <w:t>and among Waste Management, Inc., Waste Management of Canada Corporation, WM Quebec Inc. and</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tcBorders>
              <w:bottom w:val="single" w:sz="8" w:color="0000EE"/>
            </w:tcBorders>
            <w:gridSpan w:val="8"/>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Waste Management Holdings, Inc., certain banks party thereto, and Bank of America, N.A., as</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20" w:type="dxa"/>
            <w:vAlign w:val="bottom"/>
            <w:gridSpan w:val="8"/>
          </w:tcPr>
          <w:p>
            <w:pPr>
              <w:spacing w:after="0" w:line="196" w:lineRule="exact"/>
              <w:rPr>
                <w:rFonts w:ascii="Arial" w:cs="Arial" w:eastAsia="Arial" w:hAnsi="Arial"/>
                <w:sz w:val="18"/>
                <w:szCs w:val="18"/>
                <w:color w:val="0000EE"/>
                <w:w w:val="99"/>
              </w:rPr>
            </w:pPr>
            <w:hyperlink r:id="rId52">
              <w:r>
                <w:rPr>
                  <w:rFonts w:ascii="Arial" w:cs="Arial" w:eastAsia="Arial" w:hAnsi="Arial"/>
                  <w:sz w:val="18"/>
                  <w:szCs w:val="18"/>
                  <w:color w:val="0000EE"/>
                  <w:w w:val="99"/>
                </w:rPr>
                <w:t>administrative agent [incorporated by reference to Exhibit 10.1 to Form 8-K filed June 29, 2018].</w:t>
              </w:r>
            </w:hyperlink>
          </w:p>
        </w:tc>
      </w:tr>
      <w:tr>
        <w:trPr>
          <w:trHeight w:val="20"/>
        </w:trPr>
        <w:tc>
          <w:tcPr>
            <w:tcW w:w="12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2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31.1*</w:t>
            </w:r>
          </w:p>
        </w:tc>
        <w:tc>
          <w:tcPr>
            <w:tcW w:w="200" w:type="dxa"/>
            <w:vAlign w:val="bottom"/>
          </w:tcPr>
          <w:p>
            <w:pPr>
              <w:spacing w:after="0"/>
              <w:rPr>
                <w:sz w:val="24"/>
                <w:szCs w:val="24"/>
                <w:color w:val="auto"/>
              </w:rPr>
            </w:pPr>
          </w:p>
        </w:tc>
        <w:tc>
          <w:tcPr>
            <w:tcW w:w="7620" w:type="dxa"/>
            <w:vAlign w:val="bottom"/>
            <w:tcBorders>
              <w:bottom w:val="single" w:sz="8" w:color="0000EE"/>
            </w:tcBorders>
            <w:gridSpan w:val="8"/>
          </w:tcPr>
          <w:p>
            <w:pPr>
              <w:spacing w:after="0" w:line="207" w:lineRule="exact"/>
              <w:rPr>
                <w:rFonts w:ascii="Arial" w:cs="Arial" w:eastAsia="Arial" w:hAnsi="Arial"/>
                <w:sz w:val="18"/>
                <w:szCs w:val="18"/>
                <w:color w:val="0000EE"/>
                <w:w w:val="92"/>
              </w:rPr>
            </w:pPr>
            <w:hyperlink w:anchor="page49">
              <w:r>
                <w:rPr>
                  <w:rFonts w:ascii="Arial" w:cs="Arial" w:eastAsia="Arial" w:hAnsi="Arial"/>
                  <w:sz w:val="18"/>
                  <w:szCs w:val="18"/>
                  <w:color w:val="0000EE"/>
                  <w:w w:val="92"/>
                </w:rPr>
                <w:t>Certification Pursuant to Rules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and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under the Securities Exchange Act of 1934, as</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8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amended, of James C. Fish, Jr., President and Chief Executive Officer.</w:t>
              </w:r>
            </w:hyperlink>
          </w:p>
        </w:tc>
        <w:tc>
          <w:tcPr>
            <w:tcW w:w="2540" w:type="dxa"/>
            <w:vAlign w:val="bottom"/>
            <w:gridSpan w:val="4"/>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31.2*</w:t>
            </w:r>
          </w:p>
        </w:tc>
        <w:tc>
          <w:tcPr>
            <w:tcW w:w="200" w:type="dxa"/>
            <w:vAlign w:val="bottom"/>
          </w:tcPr>
          <w:p>
            <w:pPr>
              <w:spacing w:after="0"/>
              <w:rPr>
                <w:sz w:val="24"/>
                <w:szCs w:val="24"/>
                <w:color w:val="auto"/>
              </w:rPr>
            </w:pPr>
          </w:p>
        </w:tc>
        <w:tc>
          <w:tcPr>
            <w:tcW w:w="7620" w:type="dxa"/>
            <w:vAlign w:val="bottom"/>
            <w:tcBorders>
              <w:bottom w:val="single" w:sz="8" w:color="0000EE"/>
            </w:tcBorders>
            <w:gridSpan w:val="8"/>
          </w:tcPr>
          <w:p>
            <w:pPr>
              <w:spacing w:after="0" w:line="207" w:lineRule="exact"/>
              <w:rPr>
                <w:rFonts w:ascii="Arial" w:cs="Arial" w:eastAsia="Arial" w:hAnsi="Arial"/>
                <w:sz w:val="18"/>
                <w:szCs w:val="18"/>
                <w:color w:val="0000EE"/>
                <w:w w:val="92"/>
              </w:rPr>
            </w:pPr>
            <w:hyperlink w:anchor="page50">
              <w:r>
                <w:rPr>
                  <w:rFonts w:ascii="Arial" w:cs="Arial" w:eastAsia="Arial" w:hAnsi="Arial"/>
                  <w:sz w:val="18"/>
                  <w:szCs w:val="18"/>
                  <w:color w:val="0000EE"/>
                  <w:w w:val="92"/>
                </w:rPr>
                <w:t>Certification Pursuant to Rules 13a</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and 15d</w:t>
              </w:r>
              <w:r>
                <w:rPr>
                  <w:rFonts w:ascii="MS PGothic" w:cs="MS PGothic" w:eastAsia="MS PGothic" w:hAnsi="MS PGothic"/>
                  <w:sz w:val="18"/>
                  <w:szCs w:val="18"/>
                  <w:color w:val="0000EE"/>
                  <w:w w:val="92"/>
                </w:rPr>
                <w:t>‑</w:t>
              </w:r>
              <w:r>
                <w:rPr>
                  <w:rFonts w:ascii="Arial" w:cs="Arial" w:eastAsia="Arial" w:hAnsi="Arial"/>
                  <w:sz w:val="18"/>
                  <w:szCs w:val="18"/>
                  <w:color w:val="0000EE"/>
                  <w:w w:val="92"/>
                </w:rPr>
                <w:t>14(a) under the Securities Exchange Act of 1934, as</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9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50">
              <w:r>
                <w:rPr>
                  <w:rFonts w:ascii="Arial" w:cs="Arial" w:eastAsia="Arial" w:hAnsi="Arial"/>
                  <w:sz w:val="18"/>
                  <w:szCs w:val="18"/>
                  <w:color w:val="0000EE"/>
                  <w:w w:val="91"/>
                </w:rPr>
                <w:t>amended, of Devina A. Rankin, Senior Vice President and Chief Financial Officer.</w:t>
              </w:r>
            </w:hyperlink>
          </w:p>
        </w:tc>
        <w:tc>
          <w:tcPr>
            <w:tcW w:w="1660" w:type="dxa"/>
            <w:vAlign w:val="bottom"/>
            <w:gridSpan w:val="3"/>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4"/>
                <w:szCs w:val="24"/>
                <w:color w:val="auto"/>
              </w:rPr>
            </w:pPr>
          </w:p>
        </w:tc>
        <w:tc>
          <w:tcPr>
            <w:tcW w:w="74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1">
              <w:r>
                <w:rPr>
                  <w:rFonts w:ascii="Arial" w:cs="Arial" w:eastAsia="Arial" w:hAnsi="Arial"/>
                  <w:sz w:val="18"/>
                  <w:szCs w:val="18"/>
                  <w:color w:val="0000EE"/>
                  <w:w w:val="90"/>
                </w:rPr>
                <w:t>Certification Pursuant to 18 U.S.C. §1350 of James C. Fish, Jr., President and Chief Executive Officer.</w:t>
              </w:r>
            </w:hyperlink>
          </w:p>
        </w:tc>
        <w:tc>
          <w:tcPr>
            <w:tcW w:w="220" w:type="dxa"/>
            <w:vAlign w:val="bottom"/>
          </w:tcPr>
          <w:p>
            <w:pPr>
              <w:spacing w:after="0"/>
              <w:rPr>
                <w:sz w:val="24"/>
                <w:szCs w:val="24"/>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24"/>
                <w:szCs w:val="24"/>
                <w:color w:val="auto"/>
              </w:rPr>
            </w:pPr>
          </w:p>
        </w:tc>
        <w:tc>
          <w:tcPr>
            <w:tcW w:w="7620" w:type="dxa"/>
            <w:vAlign w:val="bottom"/>
            <w:tcBorders>
              <w:bottom w:val="single" w:sz="8" w:color="0000EE"/>
            </w:tcBorders>
            <w:gridSpan w:val="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Certification Pursuant to 18 U.S.C. §1350 of Devina A. Rankin, Senior Vice President and Chief</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52">
              <w:r>
                <w:rPr>
                  <w:rFonts w:ascii="Arial" w:cs="Arial" w:eastAsia="Arial" w:hAnsi="Arial"/>
                  <w:sz w:val="18"/>
                  <w:szCs w:val="18"/>
                  <w:color w:val="0000EE"/>
                  <w:w w:val="93"/>
                </w:rPr>
                <w:t>Financial Officer.</w:t>
              </w:r>
            </w:hyperlink>
          </w:p>
        </w:tc>
        <w:tc>
          <w:tcPr>
            <w:tcW w:w="6340" w:type="dxa"/>
            <w:vAlign w:val="bottom"/>
            <w:gridSpan w:val="6"/>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24"/>
                <w:szCs w:val="24"/>
                <w:color w:val="auto"/>
              </w:rPr>
            </w:pPr>
          </w:p>
        </w:tc>
        <w:tc>
          <w:tcPr>
            <w:tcW w:w="7620" w:type="dxa"/>
            <w:vAlign w:val="bottom"/>
            <w:gridSpan w:val="8"/>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Mine Safety Disclosures.</w:t>
              </w:r>
            </w:hyperlink>
          </w:p>
        </w:tc>
      </w:tr>
      <w:tr>
        <w:trPr>
          <w:trHeight w:val="20"/>
        </w:trPr>
        <w:tc>
          <w:tcPr>
            <w:tcW w:w="2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20" w:type="dxa"/>
            <w:vAlign w:val="bottom"/>
            <w:gridSpan w:val="3"/>
            <w:shd w:val="clear" w:color="auto" w:fill="0000EE"/>
          </w:tcPr>
          <w:p>
            <w:pPr>
              <w:spacing w:after="0" w:line="20" w:lineRule="exact"/>
              <w:rPr>
                <w:sz w:val="1"/>
                <w:szCs w:val="1"/>
                <w:color w:val="auto"/>
              </w:rPr>
            </w:pPr>
          </w:p>
        </w:tc>
        <w:tc>
          <w:tcPr>
            <w:tcW w:w="5800" w:type="dxa"/>
            <w:vAlign w:val="bottom"/>
            <w:gridSpan w:val="5"/>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2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762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77470</wp:posOffset>
            </wp:positionV>
            <wp:extent cx="14408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9" w:lineRule="exact"/>
        <w:rPr>
          <w:sz w:val="20"/>
          <w:szCs w:val="20"/>
          <w:color w:val="auto"/>
        </w:rPr>
      </w:pPr>
    </w:p>
    <w:p>
      <w:pPr>
        <w:ind w:left="320" w:hanging="317"/>
        <w:spacing w:after="0"/>
        <w:tabs>
          <w:tab w:leader="none" w:pos="3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60" w:type="dxa"/>
            <w:vAlign w:val="bottom"/>
          </w:tcPr>
          <w:p>
            <w:pPr>
              <w:spacing w:after="0"/>
              <w:rPr>
                <w:sz w:val="16"/>
                <w:szCs w:val="16"/>
                <w:color w:val="auto"/>
              </w:rPr>
            </w:pPr>
          </w:p>
        </w:tc>
        <w:tc>
          <w:tcPr>
            <w:tcW w:w="4080" w:type="dxa"/>
            <w:vAlign w:val="bottom"/>
          </w:tcPr>
          <w:p>
            <w:pPr>
              <w:jc w:val="center"/>
              <w:spacing w:after="0" w:line="195" w:lineRule="exact"/>
              <w:rPr>
                <w:sz w:val="20"/>
                <w:szCs w:val="20"/>
                <w:color w:val="auto"/>
              </w:rPr>
            </w:pPr>
            <w:r>
              <w:rPr>
                <w:rFonts w:ascii="Arial" w:cs="Arial" w:eastAsia="Arial" w:hAnsi="Arial"/>
                <w:sz w:val="18"/>
                <w:szCs w:val="18"/>
                <w:color w:val="auto"/>
                <w:w w:val="94"/>
              </w:rPr>
              <w:t>Devina A. Rankin</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30"/>
        </w:trPr>
        <w:tc>
          <w:tcPr>
            <w:tcW w:w="36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432"/>
        </w:trPr>
        <w:tc>
          <w:tcPr>
            <w:tcW w:w="4440" w:type="dxa"/>
            <w:vAlign w:val="bottom"/>
            <w:gridSpan w:val="2"/>
          </w:tcPr>
          <w:p>
            <w:pPr>
              <w:spacing w:after="0"/>
              <w:rPr>
                <w:sz w:val="20"/>
                <w:szCs w:val="20"/>
                <w:color w:val="auto"/>
              </w:rPr>
            </w:pPr>
            <w:r>
              <w:rPr>
                <w:rFonts w:ascii="Arial" w:cs="Arial" w:eastAsia="Arial" w:hAnsi="Arial"/>
                <w:sz w:val="18"/>
                <w:szCs w:val="18"/>
                <w:color w:val="auto"/>
              </w:rPr>
              <w:t>WASTE MANAGEMENT, INC.</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LESLIE K. NAGY</w:t>
            </w:r>
          </w:p>
        </w:tc>
      </w:tr>
      <w:tr>
        <w:trPr>
          <w:trHeight w:val="195"/>
        </w:trPr>
        <w:tc>
          <w:tcPr>
            <w:tcW w:w="360" w:type="dxa"/>
            <w:vAlign w:val="bottom"/>
          </w:tcPr>
          <w:p>
            <w:pPr>
              <w:spacing w:after="0"/>
              <w:rPr>
                <w:sz w:val="16"/>
                <w:szCs w:val="16"/>
                <w:color w:val="auto"/>
              </w:rPr>
            </w:pPr>
          </w:p>
        </w:tc>
        <w:tc>
          <w:tcPr>
            <w:tcW w:w="4080" w:type="dxa"/>
            <w:vAlign w:val="bottom"/>
          </w:tcPr>
          <w:p>
            <w:pPr>
              <w:jc w:val="center"/>
              <w:spacing w:after="0" w:line="195" w:lineRule="exact"/>
              <w:rPr>
                <w:sz w:val="20"/>
                <w:szCs w:val="20"/>
                <w:color w:val="auto"/>
              </w:rPr>
            </w:pPr>
            <w:r>
              <w:rPr>
                <w:rFonts w:ascii="Arial" w:cs="Arial" w:eastAsia="Arial" w:hAnsi="Arial"/>
                <w:sz w:val="18"/>
                <w:szCs w:val="18"/>
                <w:color w:val="auto"/>
                <w:w w:val="93"/>
              </w:rPr>
              <w:t>Leslie K. Nagy</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89"/>
              </w:rPr>
              <w:t>Vice President and</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2"/>
              </w:rPr>
              <w:t>Chief Accounting Officer</w:t>
            </w:r>
          </w:p>
        </w:tc>
      </w:tr>
      <w:tr>
        <w:trPr>
          <w:trHeight w:val="230"/>
        </w:trPr>
        <w:tc>
          <w:tcPr>
            <w:tcW w:w="36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5"/>
              </w:rPr>
              <w:t>(Principal Accounting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58" w:lineRule="exact"/>
        <w:rPr>
          <w:sz w:val="20"/>
          <w:szCs w:val="20"/>
          <w:color w:val="auto"/>
        </w:rPr>
      </w:pPr>
    </w:p>
    <w:p>
      <w:pPr>
        <w:ind w:left="560" w:hanging="233"/>
        <w:spacing w:after="0"/>
        <w:tabs>
          <w:tab w:leader="none" w:pos="5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80" w:type="dxa"/>
            <w:vAlign w:val="bottom"/>
          </w:tcPr>
          <w:p>
            <w:pPr>
              <w:spacing w:after="0"/>
              <w:rPr>
                <w:sz w:val="16"/>
                <w:szCs w:val="16"/>
                <w:color w:val="auto"/>
              </w:rPr>
            </w:pPr>
          </w:p>
        </w:tc>
        <w:tc>
          <w:tcPr>
            <w:tcW w:w="424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8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58" w:lineRule="exact"/>
        <w:rPr>
          <w:sz w:val="20"/>
          <w:szCs w:val="20"/>
          <w:color w:val="auto"/>
        </w:rPr>
      </w:pPr>
    </w:p>
    <w:p>
      <w:pPr>
        <w:ind w:left="560" w:hanging="233"/>
        <w:spacing w:after="0"/>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0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July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2018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right="400" w:firstLine="331"/>
        <w:spacing w:after="0" w:line="277" w:lineRule="auto"/>
        <w:tabs>
          <w:tab w:leader="none" w:pos="941"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C. FISH, JR.</w:t>
            </w:r>
          </w:p>
        </w:tc>
      </w:tr>
      <w:tr>
        <w:trPr>
          <w:trHeight w:val="195"/>
        </w:trPr>
        <w:tc>
          <w:tcPr>
            <w:tcW w:w="34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July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June 30, 2018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firstLine="331"/>
        <w:spacing w:after="0" w:line="277" w:lineRule="auto"/>
        <w:tabs>
          <w:tab w:leader="none" w:pos="9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20" w:type="dxa"/>
            <w:vAlign w:val="bottom"/>
          </w:tcPr>
          <w:p>
            <w:pPr>
              <w:spacing w:after="0"/>
              <w:rPr>
                <w:sz w:val="16"/>
                <w:szCs w:val="16"/>
                <w:color w:val="auto"/>
              </w:rPr>
            </w:pPr>
          </w:p>
        </w:tc>
        <w:tc>
          <w:tcPr>
            <w:tcW w:w="452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rPr>
          <w:sz w:val="20"/>
          <w:szCs w:val="20"/>
          <w:color w:val="auto"/>
        </w:rPr>
      </w:pPr>
      <w:r>
        <w:rPr>
          <w:rFonts w:ascii="Arial" w:cs="Arial" w:eastAsia="Arial" w:hAnsi="Arial"/>
          <w:sz w:val="18"/>
          <w:szCs w:val="18"/>
          <w:color w:val="auto"/>
        </w:rPr>
        <w:t>July 25,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95</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4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21"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During the quarter ended June 30, 2018,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24"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addition, during the quarter ended June 30, 2018,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2"/>
    </w:lvl>
  </w:abstractNum>
  <w:abstractNum w:abstractNumId="4">
    <w:nsid w:val="3F2DBA31"/>
    <w:multiLevelType w:val="hybridMultilevel"/>
    <w:lvl w:ilvl="0">
      <w:lvlJc w:val="left"/>
      <w:lvlText w:val="(%1)"/>
      <w:numFmt w:val="lowerRoman"/>
      <w:start w:val="1"/>
    </w:lvl>
  </w:abstractNum>
  <w:abstractNum w:abstractNumId="5">
    <w:nsid w:val="7C83E458"/>
    <w:multiLevelType w:val="hybridMultilevel"/>
    <w:lvl w:ilvl="0">
      <w:lvlJc w:val="left"/>
      <w:lvlText w:val="(%1)"/>
      <w:numFmt w:val="lowerRoman"/>
      <w:start w:val="4"/>
    </w:lvl>
  </w:abstractNum>
  <w:abstractNum w:abstractNumId="6">
    <w:nsid w:val="257130A3"/>
    <w:multiLevelType w:val="hybridMultilevel"/>
    <w:lvl w:ilvl="0">
      <w:lvlJc w:val="left"/>
      <w:lvlText w:val="%1."/>
      <w:numFmt w:val="decimal"/>
      <w:start w:val="6"/>
    </w:lvl>
  </w:abstractNum>
  <w:abstractNum w:abstractNumId="7">
    <w:nsid w:val="62BBD95A"/>
    <w:multiLevelType w:val="hybridMultilevel"/>
    <w:lvl w:ilvl="0">
      <w:lvlJc w:val="left"/>
      <w:lvlText w:val="(%1)"/>
      <w:numFmt w:val="lowerLetter"/>
      <w:start w:val="1"/>
    </w:lvl>
  </w:abstractNum>
  <w:abstractNum w:abstractNumId="8">
    <w:nsid w:val="436C6125"/>
    <w:multiLevelType w:val="hybridMultilevel"/>
    <w:lvl w:ilvl="0">
      <w:lvlJc w:val="left"/>
      <w:lvlText w:val="(%1)"/>
      <w:numFmt w:val="lowerLetter"/>
      <w:start w:val="1"/>
    </w:lvl>
  </w:abstractNum>
  <w:abstractNum w:abstractNumId="9">
    <w:nsid w:val="628C895D"/>
    <w:multiLevelType w:val="hybridMultilevel"/>
    <w:lvl w:ilvl="0">
      <w:lvlJc w:val="left"/>
      <w:lvlText w:val="(%1)"/>
      <w:numFmt w:val="lowerLetter"/>
      <w:start w:val="1"/>
    </w:lvl>
  </w:abstractNum>
  <w:abstractNum w:abstractNumId="10">
    <w:nsid w:val="333AB105"/>
    <w:multiLevelType w:val="hybridMultilevel"/>
    <w:lvl w:ilvl="0">
      <w:lvlJc w:val="left"/>
      <w:lvlText w:val="(%1)"/>
      <w:numFmt w:val="lowerLetter"/>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lowerLetter"/>
      <w:start w:val="1"/>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lowerRoman"/>
      <w:start w:val="2"/>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1."/>
      <w:numFmt w:val="lowerRoman"/>
      <w:start w:val="1"/>
    </w:lvl>
    <w:lvl w:ilvl="1">
      <w:lvlJc w:val="left"/>
      <w:lvlText w:val="%2."/>
      <w:numFmt w:val="upperLetter"/>
      <w:start w:val="1"/>
    </w:lvl>
  </w:abstractNum>
  <w:abstractNum w:abstractNumId="29">
    <w:nsid w:val="7C3DBD3D"/>
    <w:multiLevelType w:val="hybridMultilevel"/>
    <w:lvl w:ilvl="0">
      <w:lvlJc w:val="left"/>
      <w:lvlText w:val="%1."/>
      <w:numFmt w:val="lowerRoman"/>
      <w:start w:val="1"/>
    </w:lvl>
    <w:lvl w:ilvl="1">
      <w:lvlJc w:val="left"/>
      <w:lvlText w:val="%2."/>
      <w:numFmt w:val="upp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52" Type="http://schemas.openxmlformats.org/officeDocument/2006/relationships/hyperlink" Target="http://www.sec.gov/Archives/edgar/data/823768/000110465918043239/a18-16120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2019-12-28T20:42:23Z</dcterms:created>
  <dcterms:modified xsi:type="dcterms:W3CDTF">2019-12-28T20:42:23Z</dcterms:modified>
</cp:coreProperties>
</file>