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[WM Letterhead]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1, 2016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Terrence O’Brien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  <w:tab/>
        <w:t>Waste Management,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Letter Issued July 29, 2016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Year Ended December 31, 2015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18, 2016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10-Q for the Period Ended June 30, 2016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July 27, 2016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1-12154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O’Brien: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Waste Management, Inc. has received the above referenced comment letter, and in accordance with my conversation with Ms. Tracey McKoy, hereby notifies you that it expects to provide a response by August 26, 2016.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/s/ Courtney A. Tippy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Courtney A. Tippy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4352925</wp:posOffset>
            </wp:positionH>
            <wp:positionV relativeFrom="paragraph">
              <wp:posOffset>-130810</wp:posOffset>
            </wp:positionV>
            <wp:extent cx="289877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 – Securities &amp; Governance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Corporate Secretary</w:t>
      </w:r>
    </w:p>
    <w:sectPr>
      <w:pgSz w:w="11900" w:h="16838" w:orient="portrait"/>
      <w:cols w:equalWidth="0" w:num="1">
        <w:col w:w="11360"/>
      </w:cols>
      <w:pgMar w:left="240" w:top="233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2019-12-05T20:20:34Z</dcterms:created>
  <dcterms:modified xsi:type="dcterms:W3CDTF">2019-12-05T20:20:34Z</dcterms:modified>
</cp:coreProperties>
</file>