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2200" w:hanging="878"/>
        <w:spacing w:after="0"/>
        <w:tabs>
          <w:tab w:leader="none" w:pos="2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For the Quarterly Period Ended September 30, 2011</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2200" w:hanging="848"/>
        <w:spacing w:after="0"/>
        <w:tabs>
          <w:tab w:leader="none" w:pos="22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2200" w:type="dxa"/>
        <w:tblCellMar>
          <w:top w:w="0" w:type="dxa"/>
          <w:left w:w="0" w:type="dxa"/>
          <w:bottom w:w="0" w:type="dxa"/>
          <w:right w:w="0" w:type="dxa"/>
        </w:tblCellMar>
      </w:tblPr>
      <w:tr>
        <w:trPr>
          <w:trHeight w:val="169"/>
        </w:trPr>
        <w:tc>
          <w:tcPr>
            <w:tcW w:w="1740" w:type="dxa"/>
            <w:vAlign w:val="bottom"/>
          </w:tcPr>
          <w:p>
            <w:pPr>
              <w:spacing w:after="0"/>
              <w:rPr>
                <w:sz w:val="20"/>
                <w:szCs w:val="20"/>
                <w:color w:val="auto"/>
              </w:rPr>
            </w:pPr>
            <w:r>
              <w:rPr>
                <w:rFonts w:ascii="Arial" w:cs="Arial" w:eastAsia="Arial" w:hAnsi="Arial"/>
                <w:sz w:val="13"/>
                <w:szCs w:val="13"/>
                <w:b w:val="1"/>
                <w:bCs w:val="1"/>
                <w:color w:val="auto"/>
                <w:w w:val="94"/>
              </w:rPr>
              <w:t>For the transition period from</w:t>
            </w:r>
          </w:p>
        </w:tc>
        <w:tc>
          <w:tcPr>
            <w:tcW w:w="6720" w:type="dxa"/>
            <w:vAlign w:val="bottom"/>
            <w:gridSpan w:val="2"/>
          </w:tcPr>
          <w:p>
            <w:pPr>
              <w:ind w:left="280"/>
              <w:spacing w:after="0"/>
              <w:rPr>
                <w:sz w:val="20"/>
                <w:szCs w:val="20"/>
                <w:color w:val="auto"/>
              </w:rPr>
            </w:pPr>
            <w:r>
              <w:rPr>
                <w:rFonts w:ascii="Arial" w:cs="Arial" w:eastAsia="Arial" w:hAnsi="Arial"/>
                <w:sz w:val="13"/>
                <w:szCs w:val="13"/>
                <w:b w:val="1"/>
                <w:bCs w:val="1"/>
                <w:color w:val="auto"/>
              </w:rPr>
              <w:t>to</w:t>
            </w:r>
          </w:p>
        </w:tc>
      </w:tr>
      <w:tr>
        <w:trPr>
          <w:trHeight w:val="251"/>
        </w:trPr>
        <w:tc>
          <w:tcPr>
            <w:tcW w:w="1740" w:type="dxa"/>
            <w:vAlign w:val="bottom"/>
          </w:tcPr>
          <w:p>
            <w:pPr>
              <w:spacing w:after="0"/>
              <w:rPr>
                <w:sz w:val="21"/>
                <w:szCs w:val="21"/>
                <w:color w:val="auto"/>
              </w:rPr>
            </w:pPr>
          </w:p>
        </w:tc>
        <w:tc>
          <w:tcPr>
            <w:tcW w:w="6720" w:type="dxa"/>
            <w:vAlign w:val="bottom"/>
            <w:gridSpan w:val="2"/>
          </w:tcPr>
          <w:p>
            <w:pPr>
              <w:jc w:val="center"/>
              <w:ind w:right="3188"/>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01"/>
        </w:trPr>
        <w:tc>
          <w:tcPr>
            <w:tcW w:w="1740" w:type="dxa"/>
            <w:vAlign w:val="bottom"/>
          </w:tcPr>
          <w:p>
            <w:pPr>
              <w:spacing w:after="0"/>
              <w:rPr>
                <w:sz w:val="24"/>
                <w:szCs w:val="24"/>
                <w:color w:val="auto"/>
              </w:rPr>
            </w:pPr>
          </w:p>
        </w:tc>
        <w:tc>
          <w:tcPr>
            <w:tcW w:w="6720" w:type="dxa"/>
            <w:vAlign w:val="bottom"/>
            <w:gridSpan w:val="2"/>
          </w:tcPr>
          <w:p>
            <w:pPr>
              <w:jc w:val="center"/>
              <w:ind w:right="3208"/>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740" w:type="dxa"/>
            <w:vAlign w:val="bottom"/>
          </w:tcPr>
          <w:p>
            <w:pPr>
              <w:spacing w:after="0"/>
              <w:rPr>
                <w:sz w:val="11"/>
                <w:szCs w:val="11"/>
                <w:color w:val="auto"/>
              </w:rPr>
            </w:pPr>
          </w:p>
        </w:tc>
        <w:tc>
          <w:tcPr>
            <w:tcW w:w="6720" w:type="dxa"/>
            <w:vAlign w:val="bottom"/>
            <w:gridSpan w:val="2"/>
          </w:tcPr>
          <w:p>
            <w:pPr>
              <w:jc w:val="center"/>
              <w:ind w:right="3188"/>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93"/>
        </w:trPr>
        <w:tc>
          <w:tcPr>
            <w:tcW w:w="1740" w:type="dxa"/>
            <w:vAlign w:val="bottom"/>
          </w:tcPr>
          <w:p>
            <w:pPr>
              <w:jc w:val="center"/>
              <w:ind w:left="161"/>
              <w:spacing w:after="0"/>
              <w:rPr>
                <w:sz w:val="20"/>
                <w:szCs w:val="20"/>
                <w:color w:val="auto"/>
              </w:rPr>
            </w:pPr>
            <w:r>
              <w:rPr>
                <w:rFonts w:ascii="Arial" w:cs="Arial" w:eastAsia="Arial" w:hAnsi="Arial"/>
                <w:sz w:val="13"/>
                <w:szCs w:val="13"/>
                <w:b w:val="1"/>
                <w:bCs w:val="1"/>
                <w:color w:val="auto"/>
                <w:w w:val="91"/>
              </w:rPr>
              <w:t>Delaware</w:t>
            </w:r>
          </w:p>
        </w:tc>
        <w:tc>
          <w:tcPr>
            <w:tcW w:w="6720" w:type="dxa"/>
            <w:vAlign w:val="bottom"/>
            <w:gridSpan w:val="2"/>
          </w:tcPr>
          <w:p>
            <w:pPr>
              <w:jc w:val="center"/>
              <w:ind w:left="1870"/>
              <w:spacing w:after="0"/>
              <w:rPr>
                <w:sz w:val="20"/>
                <w:szCs w:val="20"/>
                <w:color w:val="auto"/>
              </w:rPr>
            </w:pPr>
            <w:r>
              <w:rPr>
                <w:rFonts w:ascii="Arial" w:cs="Arial" w:eastAsia="Arial" w:hAnsi="Arial"/>
                <w:sz w:val="13"/>
                <w:szCs w:val="13"/>
                <w:b w:val="1"/>
                <w:bCs w:val="1"/>
                <w:color w:val="auto"/>
                <w:w w:val="89"/>
              </w:rPr>
              <w:t>73-1309529</w:t>
            </w:r>
          </w:p>
        </w:tc>
      </w:tr>
      <w:tr>
        <w:trPr>
          <w:trHeight w:val="96"/>
        </w:trPr>
        <w:tc>
          <w:tcPr>
            <w:tcW w:w="1740" w:type="dxa"/>
            <w:vAlign w:val="bottom"/>
          </w:tcPr>
          <w:p>
            <w:pPr>
              <w:jc w:val="center"/>
              <w:ind w:left="181"/>
              <w:spacing w:after="0" w:line="96" w:lineRule="exact"/>
              <w:rPr>
                <w:sz w:val="20"/>
                <w:szCs w:val="20"/>
                <w:color w:val="auto"/>
              </w:rPr>
            </w:pPr>
            <w:r>
              <w:rPr>
                <w:rFonts w:ascii="Arial" w:cs="Arial" w:eastAsia="Arial" w:hAnsi="Arial"/>
                <w:sz w:val="10"/>
                <w:szCs w:val="10"/>
                <w:i w:val="1"/>
                <w:iCs w:val="1"/>
                <w:color w:val="auto"/>
                <w:w w:val="97"/>
              </w:rPr>
              <w:t>(State or other jurisdiction of</w:t>
            </w:r>
          </w:p>
        </w:tc>
        <w:tc>
          <w:tcPr>
            <w:tcW w:w="1940" w:type="dxa"/>
            <w:vAlign w:val="bottom"/>
          </w:tcPr>
          <w:p>
            <w:pPr>
              <w:spacing w:after="0"/>
              <w:rPr>
                <w:sz w:val="8"/>
                <w:szCs w:val="8"/>
                <w:color w:val="auto"/>
              </w:rPr>
            </w:pPr>
          </w:p>
        </w:tc>
        <w:tc>
          <w:tcPr>
            <w:tcW w:w="47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740" w:type="dxa"/>
            <w:vAlign w:val="bottom"/>
          </w:tcPr>
          <w:p>
            <w:pPr>
              <w:jc w:val="center"/>
              <w:ind w:left="181"/>
              <w:spacing w:after="0"/>
              <w:rPr>
                <w:sz w:val="20"/>
                <w:szCs w:val="20"/>
                <w:color w:val="auto"/>
              </w:rPr>
            </w:pPr>
            <w:r>
              <w:rPr>
                <w:rFonts w:ascii="Arial" w:cs="Arial" w:eastAsia="Arial" w:hAnsi="Arial"/>
                <w:sz w:val="10"/>
                <w:szCs w:val="10"/>
                <w:i w:val="1"/>
                <w:iCs w:val="1"/>
                <w:color w:val="auto"/>
                <w:w w:val="99"/>
              </w:rPr>
              <w:t>incorporation or organization)</w:t>
            </w:r>
          </w:p>
        </w:tc>
        <w:tc>
          <w:tcPr>
            <w:tcW w:w="1940" w:type="dxa"/>
            <w:vAlign w:val="bottom"/>
          </w:tcPr>
          <w:p>
            <w:pPr>
              <w:spacing w:after="0"/>
              <w:rPr>
                <w:sz w:val="11"/>
                <w:szCs w:val="11"/>
                <w:color w:val="auto"/>
              </w:rPr>
            </w:pPr>
          </w:p>
        </w:tc>
        <w:tc>
          <w:tcPr>
            <w:tcW w:w="4780" w:type="dxa"/>
            <w:vAlign w:val="bottom"/>
          </w:tcPr>
          <w:p>
            <w:pPr>
              <w:jc w:val="center"/>
              <w:spacing w:after="0"/>
              <w:rPr>
                <w:sz w:val="20"/>
                <w:szCs w:val="20"/>
                <w:color w:val="auto"/>
              </w:rPr>
            </w:pPr>
            <w:r>
              <w:rPr>
                <w:rFonts w:ascii="Arial" w:cs="Arial" w:eastAsia="Arial" w:hAnsi="Arial"/>
                <w:sz w:val="10"/>
                <w:szCs w:val="10"/>
                <w:i w:val="1"/>
                <w:iCs w:val="1"/>
                <w:color w:val="auto"/>
              </w:rPr>
              <w:t>Identification No.)</w:t>
            </w:r>
          </w:p>
        </w:tc>
      </w:tr>
      <w:tr>
        <w:trPr>
          <w:trHeight w:val="183"/>
        </w:trPr>
        <w:tc>
          <w:tcPr>
            <w:tcW w:w="1740" w:type="dxa"/>
            <w:vAlign w:val="bottom"/>
          </w:tcPr>
          <w:p>
            <w:pPr>
              <w:spacing w:after="0"/>
              <w:rPr>
                <w:sz w:val="15"/>
                <w:szCs w:val="15"/>
                <w:color w:val="auto"/>
              </w:rPr>
            </w:pPr>
          </w:p>
        </w:tc>
        <w:tc>
          <w:tcPr>
            <w:tcW w:w="6720" w:type="dxa"/>
            <w:vAlign w:val="bottom"/>
            <w:gridSpan w:val="2"/>
          </w:tcPr>
          <w:p>
            <w:pPr>
              <w:jc w:val="center"/>
              <w:ind w:right="3208"/>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740" w:type="dxa"/>
            <w:vAlign w:val="bottom"/>
          </w:tcPr>
          <w:p>
            <w:pPr>
              <w:spacing w:after="0"/>
              <w:rPr>
                <w:sz w:val="13"/>
                <w:szCs w:val="13"/>
                <w:color w:val="auto"/>
              </w:rPr>
            </w:pPr>
          </w:p>
        </w:tc>
        <w:tc>
          <w:tcPr>
            <w:tcW w:w="6720" w:type="dxa"/>
            <w:vAlign w:val="bottom"/>
            <w:gridSpan w:val="2"/>
          </w:tcPr>
          <w:p>
            <w:pPr>
              <w:jc w:val="center"/>
              <w:ind w:right="3208"/>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740" w:type="dxa"/>
            <w:vAlign w:val="bottom"/>
          </w:tcPr>
          <w:p>
            <w:pPr>
              <w:spacing w:after="0"/>
              <w:rPr>
                <w:sz w:val="13"/>
                <w:szCs w:val="13"/>
                <w:color w:val="auto"/>
              </w:rPr>
            </w:pPr>
          </w:p>
        </w:tc>
        <w:tc>
          <w:tcPr>
            <w:tcW w:w="6720" w:type="dxa"/>
            <w:vAlign w:val="bottom"/>
            <w:gridSpan w:val="2"/>
          </w:tcPr>
          <w:p>
            <w:pPr>
              <w:jc w:val="center"/>
              <w:ind w:right="3208"/>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740" w:type="dxa"/>
            <w:vAlign w:val="bottom"/>
          </w:tcPr>
          <w:p>
            <w:pPr>
              <w:spacing w:after="0"/>
              <w:rPr>
                <w:sz w:val="11"/>
                <w:szCs w:val="11"/>
                <w:color w:val="auto"/>
              </w:rPr>
            </w:pPr>
          </w:p>
        </w:tc>
        <w:tc>
          <w:tcPr>
            <w:tcW w:w="6720" w:type="dxa"/>
            <w:vAlign w:val="bottom"/>
            <w:gridSpan w:val="2"/>
          </w:tcPr>
          <w:p>
            <w:pPr>
              <w:jc w:val="center"/>
              <w:ind w:right="3188"/>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72"/>
        </w:trPr>
        <w:tc>
          <w:tcPr>
            <w:tcW w:w="1740" w:type="dxa"/>
            <w:vAlign w:val="bottom"/>
          </w:tcPr>
          <w:p>
            <w:pPr>
              <w:spacing w:after="0"/>
              <w:rPr>
                <w:sz w:val="23"/>
                <w:szCs w:val="23"/>
                <w:color w:val="auto"/>
              </w:rPr>
            </w:pPr>
          </w:p>
        </w:tc>
        <w:tc>
          <w:tcPr>
            <w:tcW w:w="6720" w:type="dxa"/>
            <w:vAlign w:val="bottom"/>
            <w:gridSpan w:val="2"/>
          </w:tcPr>
          <w:p>
            <w:pPr>
              <w:jc w:val="center"/>
              <w:ind w:right="3208"/>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740" w:type="dxa"/>
            <w:vAlign w:val="bottom"/>
          </w:tcPr>
          <w:p>
            <w:pPr>
              <w:spacing w:after="0"/>
              <w:rPr>
                <w:sz w:val="11"/>
                <w:szCs w:val="11"/>
                <w:color w:val="auto"/>
              </w:rPr>
            </w:pPr>
          </w:p>
        </w:tc>
        <w:tc>
          <w:tcPr>
            <w:tcW w:w="6720" w:type="dxa"/>
            <w:vAlign w:val="bottom"/>
            <w:gridSpan w:val="2"/>
          </w:tcPr>
          <w:p>
            <w:pPr>
              <w:jc w:val="center"/>
              <w:ind w:right="3208"/>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0"/>
          <w:szCs w:val="20"/>
          <w:color w:val="auto"/>
        </w:rPr>
      </w:pPr>
    </w:p>
    <w:p>
      <w:pPr>
        <w:ind w:left="680"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40" w:hanging="5069"/>
        <w:spacing w:after="0" w:line="161" w:lineRule="exact"/>
        <w:tabs>
          <w:tab w:leader="none" w:pos="39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0"/>
          <w:szCs w:val="20"/>
          <w:color w:val="auto"/>
        </w:rPr>
      </w:pPr>
    </w:p>
    <w:p>
      <w:pPr>
        <w:ind w:left="1080"/>
        <w:spacing w:after="0" w:line="138" w:lineRule="exact"/>
        <w:tabs>
          <w:tab w:leader="none" w:pos="6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number of shares of Common Stock, $0.01 par value, of the registrant outstanding at October 21, 2011 was 460,330,016 (excluding treasury shares of 169,952,445).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123825</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245745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ind w:right="4059"/>
        <w:spacing w:after="0" w:line="230"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CONDENSED CONSOLIDATED STATEMENTS OF OPERATIONS</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CONDENSED CONSOLIDATED STATEMENTS OF CASH FLOWS</w:t>
        </w:r>
      </w:hyperlink>
      <w:r>
        <w:rPr>
          <w:rFonts w:ascii="Arial" w:cs="Arial" w:eastAsia="Arial" w:hAnsi="Arial"/>
          <w:sz w:val="16"/>
          <w:szCs w:val="16"/>
          <w:u w:val="single" w:color="auto"/>
          <w:color w:val="0000EE"/>
        </w:rPr>
        <w:t xml:space="preserve"> </w:t>
      </w:r>
      <w:hyperlink w:anchor="page7">
        <w:r>
          <w:rPr>
            <w:rFonts w:ascii="Arial" w:cs="Arial" w:eastAsia="Arial" w:hAnsi="Arial"/>
            <w:sz w:val="16"/>
            <w:szCs w:val="16"/>
            <w:u w:val="single" w:color="auto"/>
            <w:color w:val="0000EE"/>
          </w:rPr>
          <w:t>CONDENSED CONSOLIDATED STATEMENT OF CHANGES IN EQUITY</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NOTES TO CONDENSED CONSOLIDATED FINANCIAL STATEMENTS</w:t>
        </w:r>
      </w:hyperlink>
    </w:p>
    <w:p>
      <w:pPr>
        <w:spacing w:after="0" w:line="3" w:lineRule="exact"/>
        <w:rPr>
          <w:rFonts w:ascii="Arial" w:cs="Arial" w:eastAsia="Arial" w:hAnsi="Arial"/>
          <w:sz w:val="16"/>
          <w:szCs w:val="16"/>
          <w:u w:val="single" w:color="auto"/>
          <w:color w:val="0000EE"/>
        </w:rPr>
      </w:pPr>
    </w:p>
    <w:p>
      <w:pPr>
        <w:ind w:left="280"/>
        <w:spacing w:after="0"/>
        <w:rPr>
          <w:rFonts w:ascii="Arial" w:cs="Arial" w:eastAsia="Arial" w:hAnsi="Arial"/>
          <w:sz w:val="13"/>
          <w:szCs w:val="13"/>
          <w:u w:val="single" w:color="auto"/>
          <w:color w:val="0000EE"/>
        </w:rPr>
      </w:pPr>
      <w:hyperlink w:anchor="page36">
        <w:r>
          <w:rPr>
            <w:rFonts w:ascii="Arial" w:cs="Arial" w:eastAsia="Arial" w:hAnsi="Arial"/>
            <w:sz w:val="13"/>
            <w:szCs w:val="13"/>
            <w:u w:val="single" w:color="auto"/>
            <w:color w:val="0000EE"/>
          </w:rPr>
          <w:t>Item 2. Management’s Discussion and Analysis of Financial Condition and Results of Operations.</w:t>
        </w:r>
      </w:hyperlink>
    </w:p>
    <w:p>
      <w:pPr>
        <w:spacing w:after="0" w:line="20"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u w:val="single" w:color="auto"/>
          <w:color w:val="0000EE"/>
        </w:rPr>
        <w:t>EX-4.1</w:t>
      </w:r>
    </w:p>
    <w:p>
      <w:pPr>
        <w:spacing w:after="0" w:line="230" w:lineRule="auto"/>
        <w:rPr>
          <w:sz w:val="20"/>
          <w:szCs w:val="20"/>
          <w:color w:val="auto"/>
        </w:rPr>
      </w:pPr>
      <w:r>
        <w:rPr>
          <w:rFonts w:ascii="Arial" w:cs="Arial" w:eastAsia="Arial" w:hAnsi="Arial"/>
          <w:sz w:val="16"/>
          <w:szCs w:val="16"/>
          <w:u w:val="single" w:color="auto"/>
          <w:color w:val="0000EE"/>
        </w:rPr>
        <w:t>EX-4.2</w:t>
      </w:r>
    </w:p>
    <w:p>
      <w:pPr>
        <w:spacing w:after="0" w:line="231" w:lineRule="auto"/>
        <w:rPr>
          <w:sz w:val="20"/>
          <w:szCs w:val="20"/>
          <w:color w:val="auto"/>
        </w:rPr>
      </w:pPr>
      <w:r>
        <w:rPr>
          <w:rFonts w:ascii="Arial" w:cs="Arial" w:eastAsia="Arial" w:hAnsi="Arial"/>
          <w:sz w:val="16"/>
          <w:szCs w:val="16"/>
          <w:u w:val="single" w:color="auto"/>
          <w:color w:val="0000EE"/>
        </w:rPr>
        <w:t>EX-10.2</w:t>
      </w:r>
    </w:p>
    <w:p>
      <w:pPr>
        <w:spacing w:after="0" w:line="231" w:lineRule="auto"/>
        <w:rPr>
          <w:sz w:val="20"/>
          <w:szCs w:val="20"/>
          <w:color w:val="auto"/>
        </w:rPr>
      </w:pPr>
      <w:r>
        <w:rPr>
          <w:rFonts w:ascii="Arial" w:cs="Arial" w:eastAsia="Arial" w:hAnsi="Arial"/>
          <w:sz w:val="16"/>
          <w:szCs w:val="16"/>
          <w:u w:val="single" w:color="auto"/>
          <w:color w:val="0000EE"/>
        </w:rPr>
        <w:t>EX-10.3</w:t>
      </w:r>
    </w:p>
    <w:p>
      <w:pPr>
        <w:spacing w:after="0" w:line="231" w:lineRule="auto"/>
        <w:rPr>
          <w:sz w:val="20"/>
          <w:szCs w:val="20"/>
          <w:color w:val="auto"/>
        </w:rPr>
      </w:pPr>
      <w:r>
        <w:rPr>
          <w:rFonts w:ascii="Arial" w:cs="Arial" w:eastAsia="Arial" w:hAnsi="Arial"/>
          <w:sz w:val="16"/>
          <w:szCs w:val="16"/>
          <w:u w:val="single" w:color="auto"/>
          <w:color w:val="0000EE"/>
        </w:rPr>
        <w:t>EX-31.1</w:t>
      </w:r>
    </w:p>
    <w:p>
      <w:pPr>
        <w:spacing w:after="0" w:line="230" w:lineRule="auto"/>
        <w:rPr>
          <w:sz w:val="20"/>
          <w:szCs w:val="20"/>
          <w:color w:val="auto"/>
        </w:rPr>
      </w:pPr>
      <w:r>
        <w:rPr>
          <w:rFonts w:ascii="Arial" w:cs="Arial" w:eastAsia="Arial" w:hAnsi="Arial"/>
          <w:sz w:val="16"/>
          <w:szCs w:val="16"/>
          <w:u w:val="single" w:color="auto"/>
          <w:color w:val="0000EE"/>
        </w:rPr>
        <w:t>EX-31.2</w:t>
      </w:r>
    </w:p>
    <w:p>
      <w:pPr>
        <w:spacing w:after="0" w:line="231" w:lineRule="auto"/>
        <w:rPr>
          <w:sz w:val="20"/>
          <w:szCs w:val="20"/>
          <w:color w:val="auto"/>
        </w:rPr>
      </w:pPr>
      <w:r>
        <w:rPr>
          <w:rFonts w:ascii="Arial" w:cs="Arial" w:eastAsia="Arial" w:hAnsi="Arial"/>
          <w:sz w:val="16"/>
          <w:szCs w:val="16"/>
          <w:u w:val="single" w:color="auto"/>
          <w:color w:val="0000EE"/>
        </w:rPr>
        <w:t>EX-32.1</w:t>
      </w:r>
    </w:p>
    <w:p>
      <w:pPr>
        <w:spacing w:after="0" w:line="231" w:lineRule="auto"/>
        <w:rPr>
          <w:sz w:val="20"/>
          <w:szCs w:val="20"/>
          <w:color w:val="auto"/>
        </w:rPr>
      </w:pPr>
      <w:r>
        <w:rPr>
          <w:rFonts w:ascii="Arial" w:cs="Arial" w:eastAsia="Arial" w:hAnsi="Arial"/>
          <w:sz w:val="16"/>
          <w:szCs w:val="16"/>
          <w:u w:val="single" w:color="auto"/>
          <w:color w:val="0000EE"/>
        </w:rPr>
        <w:t>EX-32.2</w:t>
      </w:r>
    </w:p>
    <w:p>
      <w:pPr>
        <w:spacing w:after="0" w:line="231" w:lineRule="auto"/>
        <w:rPr>
          <w:sz w:val="20"/>
          <w:szCs w:val="20"/>
          <w:color w:val="auto"/>
        </w:rPr>
      </w:pPr>
      <w:r>
        <w:rPr>
          <w:rFonts w:ascii="Arial" w:cs="Arial" w:eastAsia="Arial" w:hAnsi="Arial"/>
          <w:sz w:val="16"/>
          <w:szCs w:val="16"/>
          <w:u w:val="single" w:color="auto"/>
          <w:color w:val="0000EE"/>
        </w:rPr>
        <w:t>EX-101 INSTANCE DOCUMENT</w:t>
      </w:r>
    </w:p>
    <w:p>
      <w:pPr>
        <w:spacing w:after="0" w:line="231" w:lineRule="auto"/>
        <w:rPr>
          <w:sz w:val="20"/>
          <w:szCs w:val="20"/>
          <w:color w:val="auto"/>
        </w:rPr>
      </w:pPr>
      <w:r>
        <w:rPr>
          <w:rFonts w:ascii="Arial" w:cs="Arial" w:eastAsia="Arial" w:hAnsi="Arial"/>
          <w:sz w:val="16"/>
          <w:szCs w:val="16"/>
          <w:u w:val="single" w:color="auto"/>
          <w:color w:val="0000EE"/>
        </w:rPr>
        <w:t>EX-101 SCHEMA DOCUMENT</w:t>
      </w:r>
    </w:p>
    <w:p>
      <w:pPr>
        <w:spacing w:after="0" w:line="230" w:lineRule="auto"/>
        <w:rPr>
          <w:sz w:val="20"/>
          <w:szCs w:val="20"/>
          <w:color w:val="auto"/>
        </w:rPr>
      </w:pPr>
      <w:r>
        <w:rPr>
          <w:rFonts w:ascii="Arial" w:cs="Arial" w:eastAsia="Arial" w:hAnsi="Arial"/>
          <w:sz w:val="16"/>
          <w:szCs w:val="16"/>
          <w:u w:val="single" w:color="auto"/>
          <w:color w:val="0000EE"/>
        </w:rPr>
        <w:t>EX-101 CALCULATION LINKBASE DOCUMENT</w:t>
      </w:r>
    </w:p>
    <w:p>
      <w:pPr>
        <w:spacing w:after="0" w:line="231" w:lineRule="auto"/>
        <w:rPr>
          <w:sz w:val="20"/>
          <w:szCs w:val="20"/>
          <w:color w:val="auto"/>
        </w:rPr>
      </w:pPr>
      <w:r>
        <w:rPr>
          <w:rFonts w:ascii="Arial" w:cs="Arial" w:eastAsia="Arial" w:hAnsi="Arial"/>
          <w:sz w:val="16"/>
          <w:szCs w:val="16"/>
          <w:u w:val="single" w:color="auto"/>
          <w:color w:val="0000EE"/>
        </w:rPr>
        <w:t>EX-101 LABELS LINKBASE DOCUMENT</w:t>
      </w:r>
    </w:p>
    <w:p>
      <w:pPr>
        <w:spacing w:after="0" w:line="231" w:lineRule="auto"/>
        <w:rPr>
          <w:sz w:val="20"/>
          <w:szCs w:val="20"/>
          <w:color w:val="auto"/>
        </w:rPr>
      </w:pPr>
      <w:r>
        <w:rPr>
          <w:rFonts w:ascii="Arial" w:cs="Arial" w:eastAsia="Arial" w:hAnsi="Arial"/>
          <w:sz w:val="16"/>
          <w:szCs w:val="16"/>
          <w:u w:val="single" w:color="auto"/>
          <w:color w:val="0000EE"/>
        </w:rPr>
        <w:t>EX-101 PRESENTATION LINKBASE DOCUMENT</w:t>
      </w:r>
    </w:p>
    <w:p>
      <w:pPr>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7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4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720" w:type="dxa"/>
            <w:vAlign w:val="bottom"/>
          </w:tcPr>
          <w:p>
            <w:pPr>
              <w:jc w:val="center"/>
              <w:ind w:left="123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3"/>
                <w:szCs w:val="13"/>
                <w:b w:val="1"/>
                <w:bCs w:val="1"/>
                <w:color w:val="auto"/>
                <w:w w:val="92"/>
              </w:rPr>
              <w:t>Item 1.</w:t>
            </w:r>
          </w:p>
        </w:tc>
        <w:tc>
          <w:tcPr>
            <w:tcW w:w="7300" w:type="dxa"/>
            <w:vAlign w:val="bottom"/>
            <w:gridSpan w:val="2"/>
          </w:tcPr>
          <w:p>
            <w:pPr>
              <w:ind w:left="4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20" w:type="dxa"/>
            <w:vAlign w:val="bottom"/>
          </w:tcPr>
          <w:p>
            <w:pPr>
              <w:jc w:val="center"/>
              <w:ind w:left="125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20" w:type="dxa"/>
            <w:vAlign w:val="bottom"/>
          </w:tcPr>
          <w:p>
            <w:pPr>
              <w:jc w:val="center"/>
              <w:ind w:left="125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720" w:type="dxa"/>
            <w:vAlign w:val="bottom"/>
          </w:tcPr>
          <w:p>
            <w:pPr>
              <w:jc w:val="center"/>
              <w:ind w:left="125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21"/>
                <w:szCs w:val="2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720" w:type="dxa"/>
            <w:vAlign w:val="bottom"/>
            <w:shd w:val="clear" w:color="auto" w:fill="CCEEFF"/>
          </w:tcPr>
          <w:p>
            <w:pPr>
              <w:jc w:val="center"/>
              <w:ind w:left="125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Accounts receivable, net of allowance for doubtful accounts of $31 and $26,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1,510</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Property and equipment, net of accumulated depreciation and amortization of $15,107 and $14,690,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11,911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5,726</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0" w:type="dxa"/>
            <w:vAlign w:val="bottom"/>
          </w:tcPr>
          <w:p>
            <w:pPr>
              <w:spacing w:after="0"/>
              <w:rPr>
                <w:sz w:val="14"/>
                <w:szCs w:val="14"/>
                <w:color w:val="auto"/>
              </w:rPr>
            </w:pPr>
          </w:p>
        </w:tc>
        <w:tc>
          <w:tcPr>
            <w:tcW w:w="73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22,052</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720" w:type="dxa"/>
            <w:vAlign w:val="bottom"/>
            <w:shd w:val="clear" w:color="auto" w:fill="CCEEFF"/>
          </w:tcPr>
          <w:p>
            <w:pPr>
              <w:jc w:val="center"/>
              <w:ind w:left="125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2,485</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9,388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1,447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1,402</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15,767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14,885</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w w:val="95"/>
              </w:rPr>
              <w:t>Equity:</w:t>
            </w:r>
          </w:p>
        </w:tc>
        <w:tc>
          <w:tcPr>
            <w:tcW w:w="5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Waste Management, Inc.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tcPr>
          <w:p>
            <w:pPr>
              <w:ind w:left="28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4,528</w:t>
            </w:r>
          </w:p>
        </w:tc>
        <w:tc>
          <w:tcPr>
            <w:tcW w:w="0" w:type="dxa"/>
            <w:vAlign w:val="bottom"/>
          </w:tcPr>
          <w:p>
            <w:pPr>
              <w:spacing w:after="0"/>
              <w:rPr>
                <w:sz w:val="1"/>
                <w:szCs w:val="1"/>
                <w:color w:val="auto"/>
              </w:rPr>
            </w:pPr>
          </w:p>
        </w:tc>
      </w:tr>
      <w:tr>
        <w:trPr>
          <w:trHeight w:val="157"/>
        </w:trPr>
        <w:tc>
          <w:tcPr>
            <w:tcW w:w="7700" w:type="dxa"/>
            <w:vAlign w:val="bottom"/>
            <w:gridSpan w:val="3"/>
          </w:tcPr>
          <w:p>
            <w:pPr>
              <w:ind w:left="28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6,613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6,400</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7700" w:type="dxa"/>
            <w:vAlign w:val="bottom"/>
            <w:gridSpan w:val="3"/>
          </w:tcPr>
          <w:p>
            <w:pPr>
              <w:ind w:left="280"/>
              <w:spacing w:after="0"/>
              <w:rPr>
                <w:sz w:val="20"/>
                <w:szCs w:val="20"/>
                <w:color w:val="auto"/>
              </w:rPr>
            </w:pPr>
            <w:r>
              <w:rPr>
                <w:rFonts w:ascii="Arial" w:cs="Arial" w:eastAsia="Arial" w:hAnsi="Arial"/>
                <w:sz w:val="13"/>
                <w:szCs w:val="13"/>
                <w:color w:val="auto"/>
              </w:rPr>
              <w:t>Treasury stock at cost, 169,078,749 and 155,235,711 shares, respectively</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(5,368)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Waste Management, Inc.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73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22,052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800" w:type="dxa"/>
            <w:vAlign w:val="bottom"/>
            <w:gridSpan w:val="4"/>
          </w:tcPr>
          <w:p>
            <w:pPr>
              <w:jc w:val="center"/>
              <w:ind w:left="156"/>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91"/>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10"/>
                <w:szCs w:val="10"/>
                <w:color w:val="auto"/>
              </w:rPr>
            </w:pPr>
          </w:p>
        </w:tc>
        <w:tc>
          <w:tcPr>
            <w:tcW w:w="120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2011</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2010</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2011</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3,522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3,235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9,972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9,328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2,261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2,006</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6,396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5,883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380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1,144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1,065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317</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2,979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2,691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8,496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7,786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1,476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421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411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1,108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285</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258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731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272</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244</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695</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0.58</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0.58</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0.51</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1.46</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0.315</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0.945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1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100" w:type="dxa"/>
            <w:vAlign w:val="bottom"/>
          </w:tcPr>
          <w:p>
            <w:pPr>
              <w:ind w:left="49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Nine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731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consolidated net income to net cash provided by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935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provision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Interest accretion on landfill liabilities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Net gain on disposal of assets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 net of dividends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1,737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1,653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Investments in unconsolidated entities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(1,175)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1,001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282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3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8"/>
                <w:szCs w:val="8"/>
                <w:b w:val="1"/>
                <w:bCs w:val="1"/>
                <w:color w:val="auto"/>
                <w:w w:val="91"/>
              </w:rPr>
              <w:t>Waste Management, Inc. Stockholders’ Equity</w:t>
            </w: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69" w:lineRule="exact"/>
              <w:rPr>
                <w:sz w:val="20"/>
                <w:szCs w:val="20"/>
                <w:color w:val="auto"/>
              </w:rPr>
            </w:pPr>
            <w:r>
              <w:rPr>
                <w:rFonts w:ascii="Arial" w:cs="Arial" w:eastAsia="Arial" w:hAnsi="Arial"/>
                <w:sz w:val="8"/>
                <w:szCs w:val="8"/>
                <w:b w:val="1"/>
                <w:bCs w:val="1"/>
                <w:color w:val="auto"/>
                <w:w w:val="87"/>
              </w:rPr>
              <w:t>Accumulated</w:t>
            </w: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3"/>
              </w:rPr>
              <w:t>Other</w:t>
            </w: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3"/>
            <w:vMerge w:val="restart"/>
          </w:tcPr>
          <w:p>
            <w:pPr>
              <w:jc w:val="right"/>
              <w:ind w:right="32"/>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w w:val="76"/>
              </w:rPr>
              <w:t>Additional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6"/>
              </w:rPr>
              <w:t>Comprehensive</w:t>
            </w:r>
          </w:p>
        </w:tc>
        <w:tc>
          <w:tcPr>
            <w:tcW w:w="80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Treasury Stock</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83"/>
              </w:rPr>
              <w:t>Comprehensive</w:t>
            </w:r>
          </w:p>
        </w:tc>
        <w:tc>
          <w:tcPr>
            <w:tcW w:w="860" w:type="dxa"/>
            <w:vAlign w:val="bottom"/>
            <w:tcBorders>
              <w:bottom w:val="single" w:sz="8" w:color="auto"/>
            </w:tcBorders>
            <w:gridSpan w:val="3"/>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gridSpan w:val="2"/>
          </w:tcPr>
          <w:p>
            <w:pPr>
              <w:jc w:val="right"/>
              <w:ind w:right="260"/>
              <w:spacing w:after="0" w:line="88" w:lineRule="exact"/>
              <w:rPr>
                <w:sz w:val="20"/>
                <w:szCs w:val="20"/>
                <w:color w:val="auto"/>
              </w:rPr>
            </w:pPr>
            <w:r>
              <w:rPr>
                <w:rFonts w:ascii="Arial" w:cs="Arial" w:eastAsia="Arial" w:hAnsi="Arial"/>
                <w:sz w:val="8"/>
                <w:szCs w:val="8"/>
                <w:b w:val="1"/>
                <w:bCs w:val="1"/>
                <w:color w:val="auto"/>
                <w:w w:val="89"/>
              </w:rPr>
              <w:t>Paid-In</w:t>
            </w:r>
          </w:p>
        </w:tc>
        <w:tc>
          <w:tcPr>
            <w:tcW w:w="600" w:type="dxa"/>
            <w:vAlign w:val="bottom"/>
            <w:gridSpan w:val="3"/>
          </w:tcPr>
          <w:p>
            <w:pPr>
              <w:jc w:val="right"/>
              <w:ind w:right="240"/>
              <w:spacing w:after="0" w:line="88" w:lineRule="exact"/>
              <w:rPr>
                <w:sz w:val="20"/>
                <w:szCs w:val="20"/>
                <w:color w:val="auto"/>
              </w:rPr>
            </w:pPr>
            <w:r>
              <w:rPr>
                <w:rFonts w:ascii="Arial" w:cs="Arial" w:eastAsia="Arial" w:hAnsi="Arial"/>
                <w:sz w:val="8"/>
                <w:szCs w:val="8"/>
                <w:b w:val="1"/>
                <w:bCs w:val="1"/>
                <w:color w:val="auto"/>
              </w:rPr>
              <w:t>Retained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85"/>
              </w:rPr>
              <w:t>Income</w:t>
            </w:r>
          </w:p>
        </w:tc>
        <w:tc>
          <w:tcPr>
            <w:tcW w:w="800" w:type="dxa"/>
            <w:vAlign w:val="bottom"/>
            <w:tcBorders>
              <w:bottom w:val="single" w:sz="8" w:color="auto"/>
            </w:tcBorders>
            <w:gridSpan w:val="3"/>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180"/>
              <w:spacing w:after="0" w:line="88" w:lineRule="exact"/>
              <w:rPr>
                <w:sz w:val="20"/>
                <w:szCs w:val="20"/>
                <w:color w:val="auto"/>
              </w:rPr>
            </w:pPr>
            <w:r>
              <w:rPr>
                <w:rFonts w:ascii="Arial" w:cs="Arial" w:eastAsia="Arial" w:hAnsi="Arial"/>
                <w:sz w:val="8"/>
                <w:szCs w:val="8"/>
                <w:b w:val="1"/>
                <w:bCs w:val="1"/>
                <w:color w:val="auto"/>
                <w:w w:val="87"/>
              </w:rPr>
              <w:t>Noncontrolling</w:t>
            </w:r>
          </w:p>
        </w:tc>
        <w:tc>
          <w:tcPr>
            <w:tcW w:w="0" w:type="dxa"/>
            <w:vAlign w:val="bottom"/>
          </w:tcPr>
          <w:p>
            <w:pPr>
              <w:spacing w:after="0"/>
              <w:rPr>
                <w:sz w:val="1"/>
                <w:szCs w:val="1"/>
                <w:color w:val="auto"/>
              </w:rPr>
            </w:pPr>
          </w:p>
        </w:tc>
      </w:tr>
      <w:tr>
        <w:trPr>
          <w:trHeight w:val="78"/>
        </w:trPr>
        <w:tc>
          <w:tcPr>
            <w:tcW w:w="3220" w:type="dxa"/>
            <w:vAlign w:val="bottom"/>
          </w:tcPr>
          <w:p>
            <w:pPr>
              <w:spacing w:after="0"/>
              <w:rPr>
                <w:sz w:val="6"/>
                <w:szCs w:val="6"/>
                <w:color w:val="auto"/>
              </w:rPr>
            </w:pPr>
          </w:p>
        </w:tc>
        <w:tc>
          <w:tcPr>
            <w:tcW w:w="520" w:type="dxa"/>
            <w:vAlign w:val="bottom"/>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Total</w:t>
            </w:r>
          </w:p>
        </w:tc>
        <w:tc>
          <w:tcPr>
            <w:tcW w:w="80" w:type="dxa"/>
            <w:vAlign w:val="bottom"/>
          </w:tcPr>
          <w:p>
            <w:pPr>
              <w:spacing w:after="0"/>
              <w:rPr>
                <w:sz w:val="6"/>
                <w:szCs w:val="6"/>
                <w:color w:val="auto"/>
              </w:rPr>
            </w:pPr>
          </w:p>
        </w:tc>
        <w:tc>
          <w:tcPr>
            <w:tcW w:w="800" w:type="dxa"/>
            <w:vAlign w:val="bottom"/>
            <w:gridSpan w:val="2"/>
          </w:tcPr>
          <w:p>
            <w:pPr>
              <w:jc w:val="right"/>
              <w:ind w:right="400"/>
              <w:spacing w:after="0" w:line="79" w:lineRule="exact"/>
              <w:rPr>
                <w:sz w:val="20"/>
                <w:szCs w:val="20"/>
                <w:color w:val="auto"/>
              </w:rPr>
            </w:pPr>
            <w:r>
              <w:rPr>
                <w:rFonts w:ascii="Arial" w:cs="Arial" w:eastAsia="Arial" w:hAnsi="Arial"/>
                <w:sz w:val="8"/>
                <w:szCs w:val="8"/>
                <w:b w:val="1"/>
                <w:bCs w:val="1"/>
                <w:color w:val="auto"/>
              </w:rPr>
              <w:t>Income</w:t>
            </w:r>
          </w:p>
        </w:tc>
        <w:tc>
          <w:tcPr>
            <w:tcW w:w="64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jc w:val="right"/>
              <w:spacing w:after="0" w:line="79" w:lineRule="exact"/>
              <w:rPr>
                <w:sz w:val="20"/>
                <w:szCs w:val="20"/>
                <w:color w:val="auto"/>
              </w:rPr>
            </w:pPr>
            <w:r>
              <w:rPr>
                <w:rFonts w:ascii="Arial" w:cs="Arial" w:eastAsia="Arial" w:hAnsi="Arial"/>
                <w:sz w:val="8"/>
                <w:szCs w:val="8"/>
                <w:b w:val="1"/>
                <w:bCs w:val="1"/>
                <w:color w:val="auto"/>
                <w:w w:val="97"/>
              </w:rPr>
              <w:t>Amounts</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89"/>
              </w:rPr>
              <w:t>Capital</w:t>
            </w:r>
          </w:p>
        </w:tc>
        <w:tc>
          <w:tcPr>
            <w:tcW w:w="600" w:type="dxa"/>
            <w:vAlign w:val="bottom"/>
            <w:gridSpan w:val="3"/>
          </w:tcPr>
          <w:p>
            <w:pPr>
              <w:jc w:val="right"/>
              <w:ind w:right="240"/>
              <w:spacing w:after="0" w:line="79" w:lineRule="exact"/>
              <w:rPr>
                <w:sz w:val="20"/>
                <w:szCs w:val="20"/>
                <w:color w:val="auto"/>
              </w:rPr>
            </w:pPr>
            <w:r>
              <w:rPr>
                <w:rFonts w:ascii="Arial" w:cs="Arial" w:eastAsia="Arial" w:hAnsi="Arial"/>
                <w:sz w:val="8"/>
                <w:szCs w:val="8"/>
                <w:b w:val="1"/>
                <w:bCs w:val="1"/>
                <w:color w:val="auto"/>
                <w:w w:val="99"/>
              </w:rPr>
              <w:t>Earnings</w:t>
            </w: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3"/>
              </w:rPr>
              <w:t>(Loss)</w:t>
            </w:r>
          </w:p>
        </w:tc>
        <w:tc>
          <w:tcPr>
            <w:tcW w:w="680" w:type="dxa"/>
            <w:vAlign w:val="bottom"/>
            <w:gridSpan w:val="2"/>
          </w:tcPr>
          <w:p>
            <w:pPr>
              <w:jc w:val="right"/>
              <w:ind w:right="32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ind w:left="60"/>
              <w:spacing w:after="0" w:line="79" w:lineRule="exact"/>
              <w:rPr>
                <w:sz w:val="20"/>
                <w:szCs w:val="20"/>
                <w:color w:val="auto"/>
              </w:rPr>
            </w:pPr>
            <w:r>
              <w:rPr>
                <w:rFonts w:ascii="Arial" w:cs="Arial" w:eastAsia="Arial" w:hAnsi="Arial"/>
                <w:sz w:val="8"/>
                <w:szCs w:val="8"/>
                <w:b w:val="1"/>
                <w:bCs w:val="1"/>
                <w:color w:val="auto"/>
                <w:w w:val="92"/>
              </w:rPr>
              <w:t>Amounts</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Interests</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2010</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$ 6,591</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630,282</w:t>
            </w:r>
          </w:p>
        </w:tc>
        <w:tc>
          <w:tcPr>
            <w:tcW w:w="220" w:type="dxa"/>
            <w:vAlign w:val="bottom"/>
            <w:shd w:val="clear" w:color="auto" w:fill="CCEEFF"/>
          </w:tcPr>
          <w:p>
            <w:pPr>
              <w:jc w:val="right"/>
              <w:ind w:right="11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4,528</w:t>
            </w:r>
          </w:p>
        </w:tc>
        <w:tc>
          <w:tcPr>
            <w:tcW w:w="120" w:type="dxa"/>
            <w:vAlign w:val="bottom"/>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230</w:t>
            </w:r>
          </w:p>
        </w:tc>
        <w:tc>
          <w:tcPr>
            <w:tcW w:w="6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(155,236)</w:t>
            </w:r>
          </w:p>
        </w:tc>
        <w:tc>
          <w:tcPr>
            <w:tcW w:w="120" w:type="dxa"/>
            <w:vAlign w:val="bottom"/>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4"/>
              </w:rPr>
              <w:t>(4,904)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331</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Consolidated net income</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731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731</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695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08"/>
        </w:trPr>
        <w:tc>
          <w:tcPr>
            <w:tcW w:w="3220" w:type="dxa"/>
            <w:vAlign w:val="bottom"/>
          </w:tcPr>
          <w:p>
            <w:pPr>
              <w:ind w:left="120"/>
              <w:spacing w:after="0" w:line="108" w:lineRule="exact"/>
              <w:rPr>
                <w:sz w:val="20"/>
                <w:szCs w:val="20"/>
                <w:color w:val="auto"/>
              </w:rPr>
            </w:pPr>
            <w:r>
              <w:rPr>
                <w:rFonts w:ascii="Arial" w:cs="Arial" w:eastAsia="Arial" w:hAnsi="Arial"/>
                <w:sz w:val="10"/>
                <w:szCs w:val="10"/>
                <w:color w:val="auto"/>
              </w:rPr>
              <w:t>Other comprehensive income (loss), net of taxes: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Unrealized losses resulting from changes in fair value of derivative</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instruments, net of taxes of $16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tcPr>
          <w:p>
            <w:pPr>
              <w:ind w:left="220"/>
              <w:spacing w:after="0" w:line="95" w:lineRule="exact"/>
              <w:rPr>
                <w:sz w:val="20"/>
                <w:szCs w:val="20"/>
                <w:color w:val="auto"/>
              </w:rPr>
            </w:pPr>
            <w:r>
              <w:rPr>
                <w:rFonts w:ascii="Arial" w:cs="Arial" w:eastAsia="Arial" w:hAnsi="Arial"/>
                <w:sz w:val="10"/>
                <w:szCs w:val="10"/>
                <w:color w:val="auto"/>
              </w:rPr>
              <w:t>Realized gains on derivative instruments reclassified into earnings,</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tcPr>
          <w:p>
            <w:pPr>
              <w:ind w:left="320"/>
              <w:spacing w:after="0"/>
              <w:rPr>
                <w:sz w:val="20"/>
                <w:szCs w:val="20"/>
                <w:color w:val="auto"/>
              </w:rPr>
            </w:pPr>
            <w:r>
              <w:rPr>
                <w:rFonts w:ascii="Arial" w:cs="Arial" w:eastAsia="Arial" w:hAnsi="Arial"/>
                <w:sz w:val="10"/>
                <w:szCs w:val="10"/>
                <w:color w:val="auto"/>
              </w:rPr>
              <w:t>net of taxes of $6</w:t>
            </w: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(9)</w:t>
            </w: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(9)</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Unrealized losses on marketable securities, net of taxes of $3</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ind w:left="220"/>
              <w:spacing w:after="0" w:line="108" w:lineRule="exact"/>
              <w:rPr>
                <w:sz w:val="20"/>
                <w:szCs w:val="20"/>
                <w:color w:val="auto"/>
              </w:rPr>
            </w:pPr>
            <w:r>
              <w:rPr>
                <w:rFonts w:ascii="Arial" w:cs="Arial" w:eastAsia="Arial" w:hAnsi="Arial"/>
                <w:sz w:val="10"/>
                <w:szCs w:val="10"/>
                <w:color w:val="auto"/>
              </w:rPr>
              <w:t>Foreign currency translation adjustments</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(46)</w:t>
            </w:r>
          </w:p>
        </w:tc>
        <w:tc>
          <w:tcPr>
            <w:tcW w:w="80" w:type="dxa"/>
            <w:vAlign w:val="bottom"/>
          </w:tcPr>
          <w:p>
            <w:pPr>
              <w:spacing w:after="0"/>
              <w:rPr>
                <w:sz w:val="9"/>
                <w:szCs w:val="9"/>
                <w:color w:val="auto"/>
              </w:rPr>
            </w:pPr>
          </w:p>
        </w:tc>
        <w:tc>
          <w:tcPr>
            <w:tcW w:w="8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(46)</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(46)</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Change in funded status of post-retirement benefit obligations, net</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of taxes of $1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ind w:left="120"/>
              <w:spacing w:after="0" w:line="108" w:lineRule="exact"/>
              <w:rPr>
                <w:sz w:val="20"/>
                <w:szCs w:val="20"/>
                <w:color w:val="auto"/>
              </w:rPr>
            </w:pPr>
            <w:r>
              <w:rPr>
                <w:rFonts w:ascii="Arial" w:cs="Arial" w:eastAsia="Arial" w:hAnsi="Arial"/>
                <w:sz w:val="10"/>
                <w:szCs w:val="10"/>
                <w:color w:val="auto"/>
              </w:rPr>
              <w:t>Other comprehensive income (loss)</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(86)</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(86)</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Comprehensive income</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645</w:t>
            </w: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20" w:type="dxa"/>
            <w:vAlign w:val="bottom"/>
          </w:tcPr>
          <w:p>
            <w:pPr>
              <w:spacing w:after="0" w:line="108" w:lineRule="exact"/>
              <w:rPr>
                <w:sz w:val="20"/>
                <w:szCs w:val="20"/>
                <w:color w:val="auto"/>
              </w:rPr>
            </w:pPr>
            <w:r>
              <w:rPr>
                <w:rFonts w:ascii="Arial" w:cs="Arial" w:eastAsia="Arial" w:hAnsi="Arial"/>
                <w:sz w:val="10"/>
                <w:szCs w:val="10"/>
                <w:color w:val="auto"/>
              </w:rPr>
              <w:t>Cash dividends declared</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(481)</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(481)</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w w:val="99"/>
              </w:rPr>
              <w:t>Equity-based compensation transactions, including dividend equivalents,</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of taxes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2,572</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82</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Common stock repurchases</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(546)</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(16,424)</w:t>
            </w:r>
          </w:p>
        </w:tc>
        <w:tc>
          <w:tcPr>
            <w:tcW w:w="12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(546)</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Distributions paid to noncontrolling interests</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September 30, 2011</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$ 6,285</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630,282</w:t>
            </w:r>
          </w:p>
        </w:tc>
        <w:tc>
          <w:tcPr>
            <w:tcW w:w="220" w:type="dxa"/>
            <w:vAlign w:val="bottom"/>
            <w:shd w:val="clear" w:color="auto" w:fill="CCEEFF"/>
          </w:tcPr>
          <w:p>
            <w:pPr>
              <w:jc w:val="right"/>
              <w:ind w:right="11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4,553</w:t>
            </w:r>
          </w:p>
        </w:tc>
        <w:tc>
          <w:tcPr>
            <w:tcW w:w="120" w:type="dxa"/>
            <w:vAlign w:val="bottom"/>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6,613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144</w:t>
            </w:r>
          </w:p>
        </w:tc>
        <w:tc>
          <w:tcPr>
            <w:tcW w:w="6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(169,079)</w:t>
            </w:r>
          </w:p>
        </w:tc>
        <w:tc>
          <w:tcPr>
            <w:tcW w:w="120" w:type="dxa"/>
            <w:vAlign w:val="bottom"/>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4"/>
              </w:rPr>
              <w:t>(5,368)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337</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manage and evaluate our principal operations through five Groups. Our four geographic operating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including the operations of Oakleaf Global Holdings (“Oakleaf”) acquired on July 28, 2011, which are presented in this report as “Other.” Additional information related to our segments and to our acquisition of Oakleaf can be found in Note 9 and in Note 10, respectively.</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nine months ended September 30, 2011 and 2010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2010.</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Financial Accounting Standards Board (“FASB”) amended authoritative guidance associated with multiple-deliverable revenue 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 However, our adoption of this guidance may significantly impact our accounting and reporting for future revenue arrangements to the extent they are material.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to our prior period consolidated financial information in order to conform to the current year presentation.</w:t>
      </w:r>
    </w:p>
    <w:p>
      <w:pPr>
        <w:spacing w:after="0" w:line="171"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0"/>
                <w:szCs w:val="10"/>
                <w:b w:val="1"/>
                <w:bCs w:val="1"/>
                <w:color w:val="auto"/>
                <w:w w:val="96"/>
              </w:rPr>
              <w:t>September 30, 2011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2010</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00" w:type="dxa"/>
            <w:vAlign w:val="bottom"/>
          </w:tcPr>
          <w:p>
            <w:pPr>
              <w:spacing w:after="0"/>
              <w:rPr>
                <w:sz w:val="7"/>
                <w:szCs w:val="7"/>
                <w:color w:val="auto"/>
              </w:rPr>
            </w:pPr>
          </w:p>
        </w:tc>
        <w:tc>
          <w:tcPr>
            <w:tcW w:w="84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Landfill</w:t>
            </w:r>
          </w:p>
        </w:tc>
        <w:tc>
          <w:tcPr>
            <w:tcW w:w="120" w:type="dxa"/>
            <w:vAlign w:val="bottom"/>
          </w:tcPr>
          <w:p>
            <w:pPr>
              <w:spacing w:after="0"/>
              <w:rPr>
                <w:sz w:val="7"/>
                <w:szCs w:val="7"/>
                <w:color w:val="auto"/>
              </w:rPr>
            </w:pPr>
          </w:p>
        </w:tc>
        <w:tc>
          <w:tcPr>
            <w:tcW w:w="128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Environmental</w:t>
            </w:r>
          </w:p>
        </w:tc>
        <w:tc>
          <w:tcPr>
            <w:tcW w:w="80" w:type="dxa"/>
            <w:vAlign w:val="bottom"/>
          </w:tcPr>
          <w:p>
            <w:pPr>
              <w:spacing w:after="0"/>
              <w:rPr>
                <w:sz w:val="7"/>
                <w:szCs w:val="7"/>
                <w:color w:val="auto"/>
              </w:rPr>
            </w:pPr>
          </w:p>
        </w:tc>
        <w:tc>
          <w:tcPr>
            <w:tcW w:w="90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w w:val="83"/>
              </w:rPr>
              <w:t>Total</w:t>
            </w:r>
          </w:p>
        </w:tc>
        <w:tc>
          <w:tcPr>
            <w:tcW w:w="7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Landfill</w:t>
            </w:r>
          </w:p>
        </w:tc>
        <w:tc>
          <w:tcPr>
            <w:tcW w:w="80" w:type="dxa"/>
            <w:vAlign w:val="bottom"/>
          </w:tcPr>
          <w:p>
            <w:pPr>
              <w:spacing w:after="0"/>
              <w:rPr>
                <w:sz w:val="7"/>
                <w:szCs w:val="7"/>
                <w:color w:val="auto"/>
              </w:rPr>
            </w:pPr>
          </w:p>
        </w:tc>
        <w:tc>
          <w:tcPr>
            <w:tcW w:w="13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60" w:type="dxa"/>
            <w:vAlign w:val="bottom"/>
          </w:tcPr>
          <w:p>
            <w:pPr>
              <w:spacing w:after="0"/>
              <w:rPr>
                <w:sz w:val="7"/>
                <w:szCs w:val="7"/>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Remediation</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Long-term</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1,207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3"/>
                <w:szCs w:val="13"/>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3"/>
                <w:szCs w:val="13"/>
                <w:color w:val="auto"/>
                <w:w w:val="92"/>
              </w:rPr>
              <w:t>1,447</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1,161</w:t>
            </w:r>
          </w:p>
        </w:tc>
        <w:tc>
          <w:tcPr>
            <w:tcW w:w="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1,402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1,312</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w w:val="92"/>
              </w:rPr>
              <w:t>1,597</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1,266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1,550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2010 and the nine months ended September 30, 2011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30, 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40" w:hanging="393"/>
        <w:spacing w:after="0" w:line="258"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revisions in estimates and interest rate assumptions associated with our environmental remediation liabilities were primarily related to the impact of changes in the risk-free discount rate used to measure the liabilities. As of December 31, 2010, we used a risk-free discount rate for these obligations of 3.5%. The applicable rate decreased to 2.0% effective September 30, 2011. For the three and nine months ended September 30, 2011, this change in the risk-free discount rate resulted in an increase of $25 million to our environmental remediation liabilities and a corresponding increase to “Operating” expenses. This charge was partially offset by a $9 million favorable revision to an environmental remediation liability at a closed site based on the estimated cost of the remediation alternative selected by the EPA.</w:t>
      </w:r>
    </w:p>
    <w:p>
      <w:pPr>
        <w:spacing w:after="0" w:line="71"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fair value of trust funds and escrow accounts for which we are the sole beneficiary was $121 million at September 30, 2011 and is included in long-term “Other assets” in our Condensed Consolidated Balance Sheet. Our portion of the trusts that have been established for the benefit of both the Company and the host community in which we operate had an aggregate carrying value of $108 million at September 30, 2011 and are recorded in “Other receivables” and as long-term “Other assets” in our Condensed Consolidated Balance Sheet. See Note 14 for additional information related to these trusts.</w:t>
      </w:r>
    </w:p>
    <w:p>
      <w:pPr>
        <w:spacing w:after="0" w:line="144"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debt at each balance sheet date (in millions) and provides the maturities and interest rate ranges of each major category as of</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2011:</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effective interest rate of 2.3% at September 30, 2011 and 2.2% at December 31, 2010)</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3"/>
                <w:szCs w:val="13"/>
                <w:color w:val="auto"/>
                <w:w w:val="94"/>
              </w:rPr>
              <w:t>Senior notes and debentures, maturing through 2039, interest rates ranging from 2.60% to 7.75% (weighted average interest rate of 6.0%</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at September 30, 2011 and 6.5% at December 31, 2010)</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6,233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5,452</w:t>
            </w:r>
          </w:p>
        </w:tc>
      </w:tr>
      <w:tr>
        <w:trPr>
          <w:trHeight w:val="149"/>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w w:val="94"/>
              </w:rPr>
              <w:t>Tax-exempt bonds, maturing through 2041, fixed and variable interest rates ranging from 0.2% to 7.4% (weighted average interest rate of</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3.0% at September 30, 2011 and 3.1% at December 31, 2010)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2,696</w:t>
            </w: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3"/>
                <w:szCs w:val="13"/>
                <w:color w:val="auto"/>
                <w:w w:val="94"/>
              </w:rPr>
              <w:t>Tax-exempt project bonds, maturing through 2029, fixed and variable interest rates ranging from 0.2% to 3.4% (weighted average interest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rate of 1.4% at September 30, 2011 and 2.5% at December 31, 2010)</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9,613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8,907</w:t>
            </w: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9,388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8,674</w:t>
            </w: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As of September 30, 2011, we had $348 million of debt maturing within the next twelve months, including U.S. $133 million under our Canadian credit facility. We have classified $123 million of these borrowings as long-term as of September 30, 2011 based on our intent and ability to refinance these borrowings on a long-term basis.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Borrowings and Repayments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2010 to September 30, 2011 are related to the following: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Canadian credit facility — </w:t>
      </w:r>
      <w:r>
        <w:rPr>
          <w:rFonts w:ascii="Arial" w:cs="Arial" w:eastAsia="Arial" w:hAnsi="Arial"/>
          <w:sz w:val="13"/>
          <w:szCs w:val="13"/>
          <w:color w:val="auto"/>
        </w:rPr>
        <w:t>The decrease in the carrying value is primarily due to $77 million of debt repayments during the nine months ended September 30, 2011.</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Senior notes — </w:t>
      </w:r>
      <w:r>
        <w:rPr>
          <w:rFonts w:ascii="Arial" w:cs="Arial" w:eastAsia="Arial" w:hAnsi="Arial"/>
          <w:sz w:val="13"/>
          <w:szCs w:val="13"/>
          <w:color w:val="auto"/>
        </w:rPr>
        <w:t>In February 2011, we issued $400 million of 4.60% senior notes due March 2021. The net proceeds from the debt issuance were $396 million. We used a portion of</w:t>
      </w:r>
      <w:r>
        <w:rPr>
          <w:rFonts w:ascii="Arial" w:cs="Arial" w:eastAsia="Arial" w:hAnsi="Arial"/>
          <w:sz w:val="13"/>
          <w:szCs w:val="13"/>
          <w:i w:val="1"/>
          <w:iCs w:val="1"/>
          <w:color w:val="auto"/>
        </w:rPr>
        <w:t xml:space="preserve"> </w:t>
      </w:r>
      <w:r>
        <w:rPr>
          <w:rFonts w:ascii="Arial" w:cs="Arial" w:eastAsia="Arial" w:hAnsi="Arial"/>
          <w:sz w:val="13"/>
          <w:szCs w:val="13"/>
          <w:color w:val="auto"/>
        </w:rPr>
        <w:t>the proceeds to repay $147 million of 7.65% senior notes that matured in March 2011. In August 2011, we issued $500 million of 2.60% senior notes due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60"/>
        <w:spacing w:after="0" w:line="276" w:lineRule="auto"/>
        <w:rPr>
          <w:sz w:val="20"/>
          <w:szCs w:val="20"/>
          <w:color w:val="auto"/>
        </w:rPr>
      </w:pPr>
      <w:r>
        <w:rPr>
          <w:rFonts w:ascii="Arial" w:cs="Arial" w:eastAsia="Arial" w:hAnsi="Arial"/>
          <w:sz w:val="13"/>
          <w:szCs w:val="13"/>
          <w:color w:val="auto"/>
        </w:rPr>
        <w:t>September 2016. The net proceeds from the debt issuance were $497 million. A portion of the proceeds was used to repay the $100 million borrowing under our $2.0 billion revolving credit facility incurred in connection with our acquisition of Oakleaf, which is discussed below.</w:t>
      </w:r>
    </w:p>
    <w:p>
      <w:pPr>
        <w:spacing w:after="0" w:line="5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i w:val="1"/>
          <w:iCs w:val="1"/>
          <w:color w:val="auto"/>
        </w:rPr>
        <w:t xml:space="preserve">Tax-exempt bonds — </w:t>
      </w:r>
      <w:r>
        <w:rPr>
          <w:rFonts w:ascii="Arial" w:cs="Arial" w:eastAsia="Arial" w:hAnsi="Arial"/>
          <w:sz w:val="13"/>
          <w:szCs w:val="13"/>
          <w:color w:val="auto"/>
        </w:rPr>
        <w:t>We issued $80 million of tax-exempt bonds during the nine months ended September 30, 2011. The proceeds from the issuance of the bonds were deposited</w:t>
      </w:r>
      <w:r>
        <w:rPr>
          <w:rFonts w:ascii="Arial" w:cs="Arial" w:eastAsia="Arial" w:hAnsi="Arial"/>
          <w:sz w:val="13"/>
          <w:szCs w:val="13"/>
          <w:i w:val="1"/>
          <w:iCs w:val="1"/>
          <w:color w:val="auto"/>
        </w:rPr>
        <w:t xml:space="preserve"> </w:t>
      </w:r>
      <w:r>
        <w:rPr>
          <w:rFonts w:ascii="Arial" w:cs="Arial" w:eastAsia="Arial" w:hAnsi="Arial"/>
          <w:sz w:val="13"/>
          <w:szCs w:val="13"/>
          <w:color w:val="auto"/>
        </w:rPr>
        <w:t>directly into a trust fund and may only be used for the specific purpose for which the money was raised. Accordingly, the restricted funds provided by these financing activities have not been included in “New borrowings” in our Condensed Consolidated Statement of Cash Flows. During the nine months ended September 30, 2011, we repaid $25 million of our tax-exempt bonds with available cash.</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Tax-exempt project bonds </w:t>
      </w:r>
      <w:r>
        <w:rPr>
          <w:rFonts w:ascii="Arial" w:cs="Arial" w:eastAsia="Arial" w:hAnsi="Arial"/>
          <w:sz w:val="13"/>
          <w:szCs w:val="13"/>
          <w:color w:val="auto"/>
        </w:rPr>
        <w:t>— We repaid $30 million of tax-exempt project bonds with available cash during the nine months ended September 30, 2011.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decrease in our capital leases and other debt obligations is primarily due to the repayment of various borrowings upon their scheduled maturities.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and Letter of Credit Facilities</w:t>
      </w:r>
    </w:p>
    <w:p>
      <w:pPr>
        <w:spacing w:after="0" w:line="96" w:lineRule="exact"/>
        <w:rPr>
          <w:sz w:val="20"/>
          <w:szCs w:val="20"/>
          <w:color w:val="auto"/>
        </w:rPr>
      </w:pPr>
    </w:p>
    <w:p>
      <w:pPr>
        <w:ind w:left="680" w:right="900" w:firstLine="399"/>
        <w:spacing w:after="0" w:line="256" w:lineRule="auto"/>
        <w:rPr>
          <w:sz w:val="20"/>
          <w:szCs w:val="20"/>
          <w:color w:val="auto"/>
        </w:rPr>
      </w:pPr>
      <w:r>
        <w:rPr>
          <w:rFonts w:ascii="Arial" w:cs="Arial" w:eastAsia="Arial" w:hAnsi="Arial"/>
          <w:sz w:val="13"/>
          <w:szCs w:val="13"/>
          <w:color w:val="auto"/>
        </w:rPr>
        <w:t>As of September 30, 2011, we had an aggregate committed capacity of $2.5 billion for letters of credit under various credit facilities. In May 2011, we amended and restated our $2.0 billion revolving credit facility as a result of changes in market conditions, which significantly reduced the cost of the facility. We also extended the term through May 2016. Our revolving credit facility is our primary source of letter of credit capacity. Our remaining letter of credit capacity is provided under facilities with terms that extend from June 2013 to June 2015. As of September 30, 2011, we had an aggregate of $1.5 billion of letters of credit outstanding under various credit facilities. Approximately $1.0 billion of these letters of credit have been issued under our revolving credit facility. During the third quarter of 2011, we borrowed $100 million under our revolving credit facility in connection with our acquisition of Oakleaf. These borrowings were repaid with proceeds from our August 2011 issuance of senior notes. See Note 10 for additional information related to this acquisition. There were no outstanding borrowings under these credit facilities as of September 30, 2011.</w:t>
      </w:r>
    </w:p>
    <w:p>
      <w:pPr>
        <w:spacing w:after="0" w:line="148"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values of derivative instruments recorded in our Condensed Consolidated Balance Sheet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w:t>
            </w:r>
          </w:p>
        </w:tc>
        <w:tc>
          <w:tcPr>
            <w:tcW w:w="220" w:type="dxa"/>
            <w:vAlign w:val="bottom"/>
          </w:tcPr>
          <w:p>
            <w:pPr>
              <w:spacing w:after="0"/>
              <w:rPr>
                <w:sz w:val="10"/>
                <w:szCs w:val="10"/>
                <w:color w:val="auto"/>
              </w:rPr>
            </w:pPr>
          </w:p>
        </w:tc>
        <w:tc>
          <w:tcPr>
            <w:tcW w:w="2480" w:type="dxa"/>
            <w:vAlign w:val="bottom"/>
            <w:vMerge w:val="restart"/>
          </w:tcPr>
          <w:p>
            <w:pPr>
              <w:ind w:left="72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Electricity commodity contracts</w:t>
            </w:r>
          </w:p>
        </w:tc>
        <w:tc>
          <w:tcPr>
            <w:tcW w:w="2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Arial" w:cs="Arial" w:eastAsia="Arial" w:hAnsi="Arial"/>
                <w:sz w:val="13"/>
                <w:szCs w:val="13"/>
                <w:color w:val="auto"/>
              </w:rPr>
              <w:t>Current other assets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Long-term other assets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2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Arial" w:cs="Arial" w:eastAsia="Arial" w:hAnsi="Arial"/>
                <w:sz w:val="13"/>
                <w:szCs w:val="13"/>
                <w:color w:val="auto"/>
              </w:rPr>
              <w:t>Long-term other assets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 assets</w:t>
            </w:r>
          </w:p>
        </w:tc>
        <w:tc>
          <w:tcPr>
            <w:tcW w:w="2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tcPr>
          <w:p>
            <w:pPr>
              <w:spacing w:after="0"/>
              <w:rPr>
                <w:sz w:val="2"/>
                <w:szCs w:val="2"/>
                <w:color w:val="auto"/>
              </w:rPr>
            </w:pPr>
          </w:p>
        </w:tc>
        <w:tc>
          <w:tcPr>
            <w:tcW w:w="2480" w:type="dxa"/>
            <w:vAlign w:val="bottom"/>
            <w:vMerge w:val="restart"/>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Electricity commodity contracts</w:t>
            </w:r>
          </w:p>
        </w:tc>
        <w:tc>
          <w:tcPr>
            <w:tcW w:w="2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2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Total derivative liabilities</w:t>
            </w: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700" w:type="dxa"/>
            <w:vAlign w:val="bottom"/>
            <w:gridSpan w:val="2"/>
          </w:tcPr>
          <w:p>
            <w:pPr>
              <w:jc w:val="right"/>
              <w:ind w:right="2316"/>
              <w:spacing w:after="0"/>
              <w:rPr>
                <w:sz w:val="20"/>
                <w:szCs w:val="20"/>
                <w:color w:val="auto"/>
              </w:rPr>
            </w:pPr>
            <w:r>
              <w:rPr>
                <w:rFonts w:ascii="Arial" w:cs="Arial" w:eastAsia="Arial" w:hAnsi="Arial"/>
                <w:sz w:val="13"/>
                <w:szCs w:val="13"/>
                <w:color w:val="auto"/>
              </w:rPr>
              <w:t>9</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have not offset fair value amounts recognized for our derivative instruments. For information related to the methods used to measure our derivative assets and liabilities at fair value, refer to Note 13.</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use interest rate swaps to maintain a portion of our debt obligations at variable market interest rates. As of September 30, 2011, we had approximately $6.1 billion in fixed-rate senior notes outstanding compared with $5.4 billion as of December 31, 2010. As of September 30, 2011, the interest payments on $1 billion, or 16%, of these senior notes have been swapped to variable interest rates to protect the debt against changes in fair value due to changes in benchmark interest rates, compared with $500 million, or 9%, as of December 31, 2010. The increase in the notional amount of our interest rate swaps from December 31, 2010 to September 30, 2011 was due to the execution of $600 million of interest rate swaps in March 2011 partially offset by the scheduled maturity of $100 million of interest rate swaps in March 2011.</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has increased the carrying value of our debt instruments by $108 million as of September 30, 2011 and $79 million as of December 31, 2010.</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interest rate swaps and the underlying hedged items on our results of operations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4"/>
              </w:rPr>
              <w:t>Three Months</w:t>
            </w:r>
          </w:p>
        </w:tc>
        <w:tc>
          <w:tcPr>
            <w:tcW w:w="114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11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114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r>
      <w:tr>
        <w:trPr>
          <w:trHeight w:val="125"/>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Ended September 30,</w:t>
            </w:r>
          </w:p>
        </w:tc>
        <w:tc>
          <w:tcPr>
            <w:tcW w:w="1140" w:type="dxa"/>
            <w:vAlign w:val="bottom"/>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116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Swap</w:t>
            </w:r>
          </w:p>
        </w:tc>
        <w:tc>
          <w:tcPr>
            <w:tcW w:w="1140" w:type="dxa"/>
            <w:vAlign w:val="bottom"/>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r>
    </w:tbl>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020" w:type="dxa"/>
            <w:vAlign w:val="bottom"/>
          </w:tcPr>
          <w:p>
            <w:pPr>
              <w:jc w:val="center"/>
              <w:spacing w:after="0"/>
              <w:rPr>
                <w:sz w:val="20"/>
                <w:szCs w:val="20"/>
                <w:color w:val="auto"/>
              </w:rPr>
            </w:pPr>
            <w:r>
              <w:rPr>
                <w:rFonts w:ascii="Arial" w:cs="Arial" w:eastAsia="Arial" w:hAnsi="Arial"/>
                <w:sz w:val="13"/>
                <w:szCs w:val="13"/>
                <w:color w:val="auto"/>
                <w:w w:val="89"/>
              </w:rPr>
              <w:t>2011</w:t>
            </w:r>
          </w:p>
        </w:tc>
        <w:tc>
          <w:tcPr>
            <w:tcW w:w="11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2280" w:type="dxa"/>
            <w:vAlign w:val="bottom"/>
            <w:gridSpan w:val="2"/>
          </w:tcPr>
          <w:p>
            <w:pPr>
              <w:ind w:left="1580"/>
              <w:spacing w:after="0"/>
              <w:rPr>
                <w:sz w:val="20"/>
                <w:szCs w:val="20"/>
                <w:color w:val="auto"/>
              </w:rPr>
            </w:pPr>
            <w:r>
              <w:rPr>
                <w:rFonts w:ascii="Arial" w:cs="Arial" w:eastAsia="Arial" w:hAnsi="Arial"/>
                <w:sz w:val="13"/>
                <w:szCs w:val="13"/>
                <w:color w:val="auto"/>
              </w:rPr>
              <w:t>$25</w:t>
            </w:r>
          </w:p>
        </w:tc>
        <w:tc>
          <w:tcPr>
            <w:tcW w:w="2500" w:type="dxa"/>
            <w:vAlign w:val="bottom"/>
            <w:gridSpan w:val="2"/>
          </w:tcPr>
          <w:p>
            <w:pPr>
              <w:jc w:val="center"/>
              <w:ind w:left="1074"/>
              <w:spacing w:after="0"/>
              <w:rPr>
                <w:sz w:val="20"/>
                <w:szCs w:val="20"/>
                <w:color w:val="auto"/>
              </w:rPr>
            </w:pPr>
            <w:r>
              <w:rPr>
                <w:rFonts w:ascii="Arial" w:cs="Arial" w:eastAsia="Arial" w:hAnsi="Arial"/>
                <w:sz w:val="13"/>
                <w:szCs w:val="13"/>
                <w:color w:val="auto"/>
                <w:w w:val="92"/>
              </w:rPr>
              <w:t>$(25)</w:t>
            </w:r>
          </w:p>
        </w:tc>
      </w:tr>
      <w:tr>
        <w:trPr>
          <w:trHeight w:val="165"/>
        </w:trPr>
        <w:tc>
          <w:tcPr>
            <w:tcW w:w="202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2280" w:type="dxa"/>
            <w:vAlign w:val="bottom"/>
            <w:gridSpan w:val="2"/>
          </w:tcPr>
          <w:p>
            <w:pPr>
              <w:ind w:left="1580"/>
              <w:spacing w:after="0"/>
              <w:rPr>
                <w:sz w:val="20"/>
                <w:szCs w:val="20"/>
                <w:color w:val="auto"/>
              </w:rPr>
            </w:pPr>
            <w:r>
              <w:rPr>
                <w:rFonts w:ascii="Arial" w:cs="Arial" w:eastAsia="Arial" w:hAnsi="Arial"/>
                <w:sz w:val="13"/>
                <w:szCs w:val="13"/>
                <w:color w:val="auto"/>
              </w:rPr>
              <w:t>$10</w:t>
            </w:r>
          </w:p>
        </w:tc>
        <w:tc>
          <w:tcPr>
            <w:tcW w:w="2500" w:type="dxa"/>
            <w:vAlign w:val="bottom"/>
            <w:gridSpan w:val="2"/>
          </w:tcPr>
          <w:p>
            <w:pPr>
              <w:jc w:val="center"/>
              <w:ind w:left="1074"/>
              <w:spacing w:after="0"/>
              <w:rPr>
                <w:sz w:val="20"/>
                <w:szCs w:val="20"/>
                <w:color w:val="auto"/>
              </w:rPr>
            </w:pPr>
            <w:r>
              <w:rPr>
                <w:rFonts w:ascii="Arial" w:cs="Arial" w:eastAsia="Arial" w:hAnsi="Arial"/>
                <w:sz w:val="13"/>
                <w:szCs w:val="13"/>
                <w:color w:val="auto"/>
                <w:w w:val="92"/>
              </w:rPr>
              <w:t>$(10)</w:t>
            </w:r>
          </w:p>
        </w:tc>
      </w:tr>
      <w:tr>
        <w:trPr>
          <w:trHeight w:val="269"/>
        </w:trPr>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114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1160" w:type="dxa"/>
            <w:vAlign w:val="bottom"/>
          </w:tcPr>
          <w:p>
            <w:pPr>
              <w:spacing w:after="0"/>
              <w:rPr>
                <w:sz w:val="23"/>
                <w:szCs w:val="23"/>
                <w:color w:val="auto"/>
              </w:rPr>
            </w:pPr>
          </w:p>
        </w:tc>
        <w:tc>
          <w:tcPr>
            <w:tcW w:w="1120" w:type="dxa"/>
            <w:vAlign w:val="bottom"/>
          </w:tcPr>
          <w:p>
            <w:pPr>
              <w:ind w:left="220"/>
              <w:spacing w:after="0"/>
              <w:rPr>
                <w:sz w:val="20"/>
                <w:szCs w:val="20"/>
                <w:color w:val="auto"/>
              </w:rPr>
            </w:pPr>
            <w:r>
              <w:rPr>
                <w:rFonts w:ascii="Arial" w:cs="Arial" w:eastAsia="Arial" w:hAnsi="Arial"/>
                <w:sz w:val="10"/>
                <w:szCs w:val="10"/>
                <w:b w:val="1"/>
                <w:bCs w:val="1"/>
                <w:color w:val="auto"/>
              </w:rPr>
              <w:t>Gain (Loss) on</w:t>
            </w:r>
          </w:p>
        </w:tc>
        <w:tc>
          <w:tcPr>
            <w:tcW w:w="114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r>
      <w:tr>
        <w:trPr>
          <w:trHeight w:val="125"/>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Ended September 30,</w:t>
            </w:r>
          </w:p>
        </w:tc>
        <w:tc>
          <w:tcPr>
            <w:tcW w:w="1140" w:type="dxa"/>
            <w:vAlign w:val="bottom"/>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1160" w:type="dxa"/>
            <w:vAlign w:val="bottom"/>
          </w:tcPr>
          <w:p>
            <w:pPr>
              <w:spacing w:after="0"/>
              <w:rPr>
                <w:sz w:val="10"/>
                <w:szCs w:val="10"/>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Swap</w:t>
            </w:r>
          </w:p>
        </w:tc>
        <w:tc>
          <w:tcPr>
            <w:tcW w:w="1140" w:type="dxa"/>
            <w:vAlign w:val="bottom"/>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r>
      <w:tr>
        <w:trPr>
          <w:trHeight w:val="178"/>
        </w:trPr>
        <w:tc>
          <w:tcPr>
            <w:tcW w:w="2020" w:type="dxa"/>
            <w:vAlign w:val="bottom"/>
          </w:tcPr>
          <w:p>
            <w:pPr>
              <w:jc w:val="center"/>
              <w:spacing w:after="0"/>
              <w:rPr>
                <w:sz w:val="20"/>
                <w:szCs w:val="20"/>
                <w:color w:val="auto"/>
              </w:rPr>
            </w:pPr>
            <w:r>
              <w:rPr>
                <w:rFonts w:ascii="Arial" w:cs="Arial" w:eastAsia="Arial" w:hAnsi="Arial"/>
                <w:sz w:val="13"/>
                <w:szCs w:val="13"/>
                <w:color w:val="auto"/>
                <w:w w:val="89"/>
              </w:rPr>
              <w:t>2011</w:t>
            </w:r>
          </w:p>
        </w:tc>
        <w:tc>
          <w:tcPr>
            <w:tcW w:w="11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2280" w:type="dxa"/>
            <w:vAlign w:val="bottom"/>
            <w:gridSpan w:val="2"/>
          </w:tcPr>
          <w:p>
            <w:pPr>
              <w:ind w:left="1580"/>
              <w:spacing w:after="0"/>
              <w:rPr>
                <w:sz w:val="20"/>
                <w:szCs w:val="20"/>
                <w:color w:val="auto"/>
              </w:rPr>
            </w:pPr>
            <w:r>
              <w:rPr>
                <w:rFonts w:ascii="Arial" w:cs="Arial" w:eastAsia="Arial" w:hAnsi="Arial"/>
                <w:sz w:val="13"/>
                <w:szCs w:val="13"/>
                <w:color w:val="auto"/>
              </w:rPr>
              <w:t>$37</w:t>
            </w:r>
          </w:p>
        </w:tc>
        <w:tc>
          <w:tcPr>
            <w:tcW w:w="2500" w:type="dxa"/>
            <w:vAlign w:val="bottom"/>
            <w:gridSpan w:val="2"/>
          </w:tcPr>
          <w:p>
            <w:pPr>
              <w:jc w:val="center"/>
              <w:ind w:left="1074"/>
              <w:spacing w:after="0"/>
              <w:rPr>
                <w:sz w:val="20"/>
                <w:szCs w:val="20"/>
                <w:color w:val="auto"/>
              </w:rPr>
            </w:pPr>
            <w:r>
              <w:rPr>
                <w:rFonts w:ascii="Arial" w:cs="Arial" w:eastAsia="Arial" w:hAnsi="Arial"/>
                <w:sz w:val="13"/>
                <w:szCs w:val="13"/>
                <w:color w:val="auto"/>
                <w:w w:val="92"/>
              </w:rPr>
              <w:t>$(37)</w:t>
            </w:r>
          </w:p>
        </w:tc>
      </w:tr>
      <w:tr>
        <w:trPr>
          <w:trHeight w:val="165"/>
        </w:trPr>
        <w:tc>
          <w:tcPr>
            <w:tcW w:w="202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2280" w:type="dxa"/>
            <w:vAlign w:val="bottom"/>
            <w:gridSpan w:val="2"/>
          </w:tcPr>
          <w:p>
            <w:pPr>
              <w:ind w:left="1580"/>
              <w:spacing w:after="0"/>
              <w:rPr>
                <w:sz w:val="20"/>
                <w:szCs w:val="20"/>
                <w:color w:val="auto"/>
              </w:rPr>
            </w:pPr>
            <w:r>
              <w:rPr>
                <w:rFonts w:ascii="Arial" w:cs="Arial" w:eastAsia="Arial" w:hAnsi="Arial"/>
                <w:sz w:val="13"/>
                <w:szCs w:val="13"/>
                <w:color w:val="auto"/>
              </w:rPr>
              <w:t>$24</w:t>
            </w:r>
          </w:p>
        </w:tc>
        <w:tc>
          <w:tcPr>
            <w:tcW w:w="2500" w:type="dxa"/>
            <w:vAlign w:val="bottom"/>
            <w:gridSpan w:val="2"/>
          </w:tcPr>
          <w:p>
            <w:pPr>
              <w:jc w:val="center"/>
              <w:ind w:left="1074"/>
              <w:spacing w:after="0"/>
              <w:rPr>
                <w:sz w:val="20"/>
                <w:szCs w:val="20"/>
                <w:color w:val="auto"/>
              </w:rPr>
            </w:pPr>
            <w:r>
              <w:rPr>
                <w:rFonts w:ascii="Arial" w:cs="Arial" w:eastAsia="Arial" w:hAnsi="Arial"/>
                <w:sz w:val="13"/>
                <w:szCs w:val="13"/>
                <w:color w:val="auto"/>
                <w:w w:val="92"/>
              </w:rPr>
              <w:t>$(24)</w:t>
            </w:r>
          </w:p>
        </w:tc>
      </w:tr>
    </w:tbl>
    <w:p>
      <w:pPr>
        <w:spacing w:after="0" w:line="81"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Nine Months</w:t>
            </w:r>
          </w:p>
        </w:tc>
        <w:tc>
          <w:tcPr>
            <w:tcW w:w="0" w:type="dxa"/>
            <w:vAlign w:val="bottom"/>
          </w:tcPr>
          <w:p>
            <w:pPr>
              <w:spacing w:after="0"/>
              <w:rPr>
                <w:sz w:val="1"/>
                <w:szCs w:val="1"/>
                <w:color w:val="auto"/>
              </w:rPr>
            </w:pPr>
          </w:p>
        </w:tc>
      </w:tr>
      <w:tr>
        <w:trPr>
          <w:trHeight w:val="125"/>
        </w:trPr>
        <w:tc>
          <w:tcPr>
            <w:tcW w:w="75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Decrease to Interest Expense Due to Hedge Accounting for Interest Rate Swaps</w:t>
            </w:r>
          </w:p>
        </w:tc>
        <w:tc>
          <w:tcPr>
            <w:tcW w:w="1360" w:type="dxa"/>
            <w:vAlign w:val="bottom"/>
            <w:gridSpan w:val="6"/>
          </w:tcPr>
          <w:p>
            <w:pPr>
              <w:ind w:left="20"/>
              <w:spacing w:after="0"/>
              <w:rPr>
                <w:sz w:val="20"/>
                <w:szCs w:val="20"/>
                <w:color w:val="auto"/>
              </w:rPr>
            </w:pPr>
            <w:r>
              <w:rPr>
                <w:rFonts w:ascii="Arial" w:cs="Arial" w:eastAsia="Arial" w:hAnsi="Arial"/>
                <w:sz w:val="10"/>
                <w:szCs w:val="10"/>
                <w:b w:val="1"/>
                <w:bCs w:val="1"/>
                <w:color w:val="auto"/>
              </w:rPr>
              <w:t>Ended September 30,</w:t>
            </w:r>
          </w:p>
        </w:tc>
        <w:tc>
          <w:tcPr>
            <w:tcW w:w="110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Ended September 30,</w:t>
            </w:r>
          </w:p>
        </w:tc>
        <w:tc>
          <w:tcPr>
            <w:tcW w:w="0" w:type="dxa"/>
            <w:vAlign w:val="bottom"/>
          </w:tcPr>
          <w:p>
            <w:pPr>
              <w:spacing w:after="0"/>
              <w:rPr>
                <w:sz w:val="1"/>
                <w:szCs w:val="1"/>
                <w:color w:val="auto"/>
              </w:rPr>
            </w:pPr>
          </w:p>
        </w:tc>
      </w:tr>
      <w:tr>
        <w:trPr>
          <w:trHeight w:val="98"/>
        </w:trPr>
        <w:tc>
          <w:tcPr>
            <w:tcW w:w="7520" w:type="dxa"/>
            <w:vAlign w:val="bottom"/>
            <w:gridSpan w:val="3"/>
            <w:vMerge w:val="continue"/>
          </w:tcPr>
          <w:p>
            <w:pPr>
              <w:spacing w:after="0"/>
              <w:rPr>
                <w:sz w:val="8"/>
                <w:szCs w:val="8"/>
                <w:color w:val="auto"/>
              </w:rPr>
            </w:pPr>
          </w:p>
        </w:tc>
        <w:tc>
          <w:tcPr>
            <w:tcW w:w="720" w:type="dxa"/>
            <w:vAlign w:val="bottom"/>
            <w:tcBorders>
              <w:top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2011</w:t>
            </w:r>
          </w:p>
        </w:tc>
        <w:tc>
          <w:tcPr>
            <w:tcW w:w="2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2011</w:t>
            </w:r>
          </w:p>
        </w:tc>
        <w:tc>
          <w:tcPr>
            <w:tcW w:w="5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60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w w:val="86"/>
              </w:rPr>
              <w:t>$ 18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$ 24</w:t>
            </w:r>
          </w:p>
        </w:tc>
        <w:tc>
          <w:tcPr>
            <w:tcW w:w="0" w:type="dxa"/>
            <w:vAlign w:val="bottom"/>
          </w:tcPr>
          <w:p>
            <w:pPr>
              <w:spacing w:after="0"/>
              <w:rPr>
                <w:sz w:val="1"/>
                <w:szCs w:val="1"/>
                <w:color w:val="auto"/>
              </w:rPr>
            </w:pPr>
          </w:p>
        </w:tc>
      </w:tr>
      <w:tr>
        <w:trPr>
          <w:trHeight w:val="157"/>
        </w:trPr>
        <w:tc>
          <w:tcPr>
            <w:tcW w:w="7520" w:type="dxa"/>
            <w:vAlign w:val="bottom"/>
            <w:gridSpan w:val="3"/>
          </w:tcPr>
          <w:p>
            <w:pPr>
              <w:spacing w:after="0"/>
              <w:rPr>
                <w:sz w:val="20"/>
                <w:szCs w:val="20"/>
                <w:color w:val="auto"/>
              </w:rPr>
            </w:pPr>
            <w:r>
              <w:rPr>
                <w:rFonts w:ascii="Arial" w:cs="Arial" w:eastAsia="Arial" w:hAnsi="Arial"/>
                <w:sz w:val="13"/>
                <w:szCs w:val="13"/>
                <w:color w:val="auto"/>
              </w:rPr>
              <w:t>Terminated swap agreements</w:t>
            </w:r>
          </w:p>
        </w:tc>
        <w:tc>
          <w:tcPr>
            <w:tcW w:w="100" w:type="dxa"/>
            <w:vAlign w:val="bottom"/>
          </w:tcPr>
          <w:p>
            <w:pPr>
              <w:spacing w:after="0"/>
              <w:rPr>
                <w:sz w:val="13"/>
                <w:szCs w:val="13"/>
                <w:color w:val="auto"/>
              </w:rPr>
            </w:pPr>
          </w:p>
        </w:tc>
        <w:tc>
          <w:tcPr>
            <w:tcW w:w="620" w:type="dxa"/>
            <w:vAlign w:val="bottom"/>
            <w:gridSpan w:val="2"/>
          </w:tcPr>
          <w:p>
            <w:pPr>
              <w:jc w:val="right"/>
              <w:ind w:right="52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760" w:type="dxa"/>
            <w:vAlign w:val="bottom"/>
            <w:gridSpan w:val="2"/>
          </w:tcPr>
          <w:p>
            <w:pPr>
              <w:jc w:val="right"/>
              <w:ind w:right="520"/>
              <w:spacing w:after="0"/>
              <w:rPr>
                <w:sz w:val="20"/>
                <w:szCs w:val="20"/>
                <w:color w:val="auto"/>
              </w:rPr>
            </w:pPr>
            <w:r>
              <w:rPr>
                <w:rFonts w:ascii="Arial" w:cs="Arial" w:eastAsia="Arial" w:hAnsi="Arial"/>
                <w:sz w:val="13"/>
                <w:szCs w:val="13"/>
                <w:color w:val="auto"/>
              </w:rPr>
              <w:t>8</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10</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w w:val="86"/>
              </w:rPr>
              <w:t>$ 26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$ 39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40" w:hanging="393"/>
        <w:spacing w:after="0" w:line="276" w:lineRule="auto"/>
        <w:tabs>
          <w:tab w:leader="none" w:pos="10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the first quarter of 2011, $150 million of these forward-starting interest rate swaps were terminated contemporaneously with the actual issuance of senior notes in February 2011, and we paid cash of $9 million to settle the liability related to these swap agreements. The ineffectiveness recognized upon termination of the hedges was immaterial and the related deferred loss continues to be recognized as a component of “Accumulated other comprehensive income.” The deferred loss is being amortized as an increase to interest expense over the ten-year life of the senior notes issued in February 2011 using the effective interest method. The incremental interest expense associated with these forward-starting interest rate swaps was immaterial during the three and nine months ended September 30, 2011. As of September 30, 2011, the amount scheduled to be reclassified as an increase to interest expense over the next twelve months is immaterial.</w:t>
      </w:r>
    </w:p>
    <w:p>
      <w:pPr>
        <w:spacing w:after="0" w:line="72"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forward-starting interest rate swaps outstanding as of September 30, 2011 relate to anticipated debt issuances in November 2012 and March 2014. As of September 30, 2011, the fair value of these active interest rate derivatives was comprised of $68 million of long-term liabilities compared with $13 million of long-term liabilities as of December 31, 2010.</w:t>
      </w:r>
    </w:p>
    <w:p>
      <w:pPr>
        <w:spacing w:after="0" w:line="35" w:lineRule="exact"/>
        <w:rPr>
          <w:sz w:val="20"/>
          <w:szCs w:val="20"/>
          <w:color w:val="auto"/>
        </w:rPr>
      </w:pPr>
    </w:p>
    <w:p>
      <w:pPr>
        <w:jc w:val="both"/>
        <w:ind w:left="680" w:right="80" w:firstLine="399"/>
        <w:spacing w:after="0" w:line="258" w:lineRule="auto"/>
        <w:rPr>
          <w:sz w:val="20"/>
          <w:szCs w:val="20"/>
          <w:color w:val="auto"/>
        </w:rPr>
      </w:pPr>
      <w:r>
        <w:rPr>
          <w:rFonts w:ascii="Arial" w:cs="Arial" w:eastAsia="Arial" w:hAnsi="Arial"/>
          <w:sz w:val="13"/>
          <w:szCs w:val="13"/>
          <w:color w:val="auto"/>
        </w:rPr>
        <w:t>We recognized pre-tax and after-tax losses of $46 million and $28 million, respectively, to other comprehensive income for changes in the fair value of our forward-starting interest rate swaps during the three months ended September 30, 2011 and $53 million and $33 million, respectively, during the nine months ended September 30, 2011. We recognized pre-tax and after-tax losses of $22 million and $13 million, respectively, to other comprehensive income for changes in the fair value of our forward-starting interest rate swaps during the three months ended September 30, 2010 and $68 million and $41 million, respectively, during the nine months ended September 30, 2010. There was no significant ineffectiveness associated with these hedges during the three and nine months ended September 30, 2011 or 2010.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prior years, we used Treasury rate locks to secure underlying interest rates in anticipation of senior note issuances. These cash flow hedging agreements resulted in deferred losses, net of taxes, of $13 million at September 30, 2011 and $16 million at December 31, 2010, which are included in “Accumulated other comprehensive income.” These deferred losses are reclassified as an increase to interest expense over the life of the related senior note issuances, which extend through 2032. Pre-tax and after-tax amounts of $2 million and $1 million, respectively, for the three-month periods ended September 30, 2011 and September 30, 2010, and pre-tax and after-tax amounts of $6 million and $3 million, respectively, for the nine-month periods ended September 30, 2011 and September 30, 2010, were reclassified out of accumulated other comprehensive income and into interest expense. As of September 30, 2011, $7 million (on a pre-tax basis) is scheduled to be reclassified as an increase to interest expense over the next twelve months.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Credit-Risk-Related Contingent Features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Certain of our interest rate derivative instruments contain provisions related to the Company’s credit rating. If the Company’s credit rating were to fall to specified levels below investment grade, the counterparties have the ability to terminate the derivative agreements, resulting in settlement of all affected transactions. As of September 30, 2011, we had not experienced any credit events that would trigger these provisions, nor did we have any derivative instruments with credit-risk-related contingent features that were in a net liability position.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Derivatives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use foreign currency exchange rate derivatives to hedge our exposure to fluctuations in exchange rates for anticipated intercompany cash transactions between Waste Management Holdings, Inc., a wholly-owned subsidiary (“WM Holdings”), and its Canadian subsidiaries. As of September 30, 2011, we had foreign currency forward contracts outstanding for all of the anticipated cash flows associated with a debt arrangement between these wholly-owned subsidiaries. The hedged cash flows include C$370 million of principal, which is scheduled for payment on October 31, 2013, and interest payments scheduled as follows: C$10 million on November 30, 2011, C$11 million on November 30, 2012 and C$10 million on October 31, 2013. We designated our foreign currency derivatives as cash flow hedges.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Gains or losses on the underlying hedged items attributable to foreign currency exchange risk are recognized in current earnings. The gains or losses on our foreign currency forward contracts that are reclassified out of accumulated other comprehensive income are recognized as adjustments to other income and expense, which is the same financial statement line item where offsetting gains or losses on the related hedged items are recorded. The following table summarizes the pre-tax impacts of our foreign currency cash flow derivatives on our comprehensive income and results of operations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8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20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84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8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8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20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w:t>
            </w:r>
          </w:p>
        </w:tc>
        <w:tc>
          <w:tcPr>
            <w:tcW w:w="84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Ended September 30,</w:t>
            </w:r>
          </w:p>
        </w:tc>
        <w:tc>
          <w:tcPr>
            <w:tcW w:w="84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(Effective Portion)</w:t>
            </w:r>
          </w:p>
        </w:tc>
        <w:tc>
          <w:tcPr>
            <w:tcW w:w="840" w:type="dxa"/>
            <w:vAlign w:val="bottom"/>
          </w:tcPr>
          <w:p>
            <w:pPr>
              <w:spacing w:after="0"/>
              <w:rPr>
                <w:sz w:val="10"/>
                <w:szCs w:val="1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Classification</w:t>
            </w:r>
          </w:p>
        </w:tc>
        <w:tc>
          <w:tcPr>
            <w:tcW w:w="86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020" w:type="dxa"/>
            <w:vAlign w:val="bottom"/>
          </w:tcPr>
          <w:p>
            <w:pPr>
              <w:jc w:val="center"/>
              <w:spacing w:after="0"/>
              <w:rPr>
                <w:sz w:val="20"/>
                <w:szCs w:val="20"/>
                <w:color w:val="auto"/>
              </w:rPr>
            </w:pPr>
            <w:r>
              <w:rPr>
                <w:rFonts w:ascii="Arial" w:cs="Arial" w:eastAsia="Arial" w:hAnsi="Arial"/>
                <w:sz w:val="13"/>
                <w:szCs w:val="13"/>
                <w:color w:val="auto"/>
                <w:w w:val="82"/>
              </w:rPr>
              <w:t>2011</w:t>
            </w:r>
          </w:p>
        </w:tc>
        <w:tc>
          <w:tcPr>
            <w:tcW w:w="2380" w:type="dxa"/>
            <w:vAlign w:val="bottom"/>
            <w:gridSpan w:val="2"/>
          </w:tcPr>
          <w:p>
            <w:pPr>
              <w:jc w:val="right"/>
              <w:ind w:right="648"/>
              <w:spacing w:after="0"/>
              <w:rPr>
                <w:sz w:val="20"/>
                <w:szCs w:val="20"/>
                <w:color w:val="auto"/>
              </w:rPr>
            </w:pPr>
            <w:r>
              <w:rPr>
                <w:rFonts w:ascii="Arial" w:cs="Arial" w:eastAsia="Arial" w:hAnsi="Arial"/>
                <w:sz w:val="13"/>
                <w:szCs w:val="13"/>
                <w:color w:val="auto"/>
              </w:rPr>
              <w:t>$ 25</w:t>
            </w:r>
          </w:p>
        </w:tc>
        <w:tc>
          <w:tcPr>
            <w:tcW w:w="860" w:type="dxa"/>
            <w:vAlign w:val="bottom"/>
          </w:tcPr>
          <w:p>
            <w:pPr>
              <w:spacing w:after="0"/>
              <w:rPr>
                <w:sz w:val="13"/>
                <w:szCs w:val="13"/>
                <w:color w:val="auto"/>
              </w:rPr>
            </w:pPr>
          </w:p>
        </w:tc>
        <w:tc>
          <w:tcPr>
            <w:tcW w:w="2340" w:type="dxa"/>
            <w:vAlign w:val="bottom"/>
          </w:tcPr>
          <w:p>
            <w:pPr>
              <w:ind w:left="520"/>
              <w:spacing w:after="0"/>
              <w:rPr>
                <w:sz w:val="20"/>
                <w:szCs w:val="20"/>
                <w:color w:val="auto"/>
              </w:rPr>
            </w:pPr>
            <w:r>
              <w:rPr>
                <w:rFonts w:ascii="Arial" w:cs="Arial" w:eastAsia="Arial" w:hAnsi="Arial"/>
                <w:sz w:val="13"/>
                <w:szCs w:val="13"/>
                <w:color w:val="auto"/>
              </w:rPr>
              <w:t>Other income (expense)</w:t>
            </w:r>
          </w:p>
        </w:tc>
        <w:tc>
          <w:tcPr>
            <w:tcW w:w="2380" w:type="dxa"/>
            <w:vAlign w:val="bottom"/>
            <w:gridSpan w:val="2"/>
          </w:tcPr>
          <w:p>
            <w:pPr>
              <w:jc w:val="right"/>
              <w:ind w:right="628"/>
              <w:spacing w:after="0"/>
              <w:rPr>
                <w:sz w:val="20"/>
                <w:szCs w:val="20"/>
                <w:color w:val="auto"/>
              </w:rPr>
            </w:pPr>
            <w:r>
              <w:rPr>
                <w:rFonts w:ascii="Arial" w:cs="Arial" w:eastAsia="Arial" w:hAnsi="Arial"/>
                <w:sz w:val="13"/>
                <w:szCs w:val="13"/>
                <w:color w:val="auto"/>
              </w:rPr>
              <w:t>$ 33</w:t>
            </w:r>
          </w:p>
        </w:tc>
        <w:tc>
          <w:tcPr>
            <w:tcW w:w="0" w:type="dxa"/>
            <w:vAlign w:val="bottom"/>
          </w:tcPr>
          <w:p>
            <w:pPr>
              <w:spacing w:after="0"/>
              <w:rPr>
                <w:sz w:val="1"/>
                <w:szCs w:val="1"/>
                <w:color w:val="auto"/>
              </w:rPr>
            </w:pPr>
          </w:p>
        </w:tc>
      </w:tr>
      <w:tr>
        <w:trPr>
          <w:trHeight w:val="165"/>
        </w:trPr>
        <w:tc>
          <w:tcPr>
            <w:tcW w:w="2020" w:type="dxa"/>
            <w:vAlign w:val="bottom"/>
          </w:tcPr>
          <w:p>
            <w:pPr>
              <w:jc w:val="right"/>
              <w:ind w:right="839"/>
              <w:spacing w:after="0"/>
              <w:rPr>
                <w:sz w:val="20"/>
                <w:szCs w:val="20"/>
                <w:color w:val="auto"/>
              </w:rPr>
            </w:pPr>
            <w:r>
              <w:rPr>
                <w:rFonts w:ascii="Arial" w:cs="Arial" w:eastAsia="Arial" w:hAnsi="Arial"/>
                <w:sz w:val="13"/>
                <w:szCs w:val="13"/>
                <w:color w:val="auto"/>
              </w:rPr>
              <w:t>2010</w:t>
            </w:r>
          </w:p>
        </w:tc>
        <w:tc>
          <w:tcPr>
            <w:tcW w:w="2380" w:type="dxa"/>
            <w:vAlign w:val="bottom"/>
            <w:gridSpan w:val="2"/>
          </w:tcPr>
          <w:p>
            <w:pPr>
              <w:jc w:val="right"/>
              <w:ind w:right="608"/>
              <w:spacing w:after="0"/>
              <w:rPr>
                <w:sz w:val="20"/>
                <w:szCs w:val="20"/>
                <w:color w:val="auto"/>
              </w:rPr>
            </w:pPr>
            <w:r>
              <w:rPr>
                <w:rFonts w:ascii="Arial" w:cs="Arial" w:eastAsia="Arial" w:hAnsi="Arial"/>
                <w:sz w:val="13"/>
                <w:szCs w:val="13"/>
                <w:color w:val="auto"/>
              </w:rPr>
              <w:t>$(12)</w:t>
            </w:r>
          </w:p>
        </w:tc>
        <w:tc>
          <w:tcPr>
            <w:tcW w:w="860" w:type="dxa"/>
            <w:vAlign w:val="bottom"/>
          </w:tcPr>
          <w:p>
            <w:pPr>
              <w:spacing w:after="0"/>
              <w:rPr>
                <w:sz w:val="14"/>
                <w:szCs w:val="14"/>
                <w:color w:val="auto"/>
              </w:rPr>
            </w:pPr>
          </w:p>
        </w:tc>
        <w:tc>
          <w:tcPr>
            <w:tcW w:w="2340" w:type="dxa"/>
            <w:vAlign w:val="bottom"/>
          </w:tcPr>
          <w:p>
            <w:pPr>
              <w:ind w:left="520"/>
              <w:spacing w:after="0"/>
              <w:rPr>
                <w:sz w:val="20"/>
                <w:szCs w:val="20"/>
                <w:color w:val="auto"/>
              </w:rPr>
            </w:pPr>
            <w:r>
              <w:rPr>
                <w:rFonts w:ascii="Arial" w:cs="Arial" w:eastAsia="Arial" w:hAnsi="Arial"/>
                <w:sz w:val="13"/>
                <w:szCs w:val="13"/>
                <w:color w:val="auto"/>
              </w:rPr>
              <w:t>Other income (expense)</w:t>
            </w:r>
          </w:p>
        </w:tc>
        <w:tc>
          <w:tcPr>
            <w:tcW w:w="2380" w:type="dxa"/>
            <w:vAlign w:val="bottom"/>
            <w:gridSpan w:val="2"/>
          </w:tcPr>
          <w:p>
            <w:pPr>
              <w:jc w:val="right"/>
              <w:ind w:right="588"/>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1"/>
        </w:trPr>
        <w:tc>
          <w:tcPr>
            <w:tcW w:w="2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2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8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Recognized</w:t>
            </w:r>
          </w:p>
        </w:tc>
        <w:tc>
          <w:tcPr>
            <w:tcW w:w="86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8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w:t>
            </w:r>
          </w:p>
        </w:tc>
        <w:tc>
          <w:tcPr>
            <w:tcW w:w="86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Ended September 30,</w:t>
            </w:r>
          </w:p>
        </w:tc>
        <w:tc>
          <w:tcPr>
            <w:tcW w:w="8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(Effective Portion)</w:t>
            </w:r>
          </w:p>
        </w:tc>
        <w:tc>
          <w:tcPr>
            <w:tcW w:w="860" w:type="dxa"/>
            <w:vAlign w:val="bottom"/>
          </w:tcPr>
          <w:p>
            <w:pPr>
              <w:spacing w:after="0"/>
              <w:rPr>
                <w:sz w:val="10"/>
                <w:szCs w:val="1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Classification</w:t>
            </w:r>
          </w:p>
        </w:tc>
        <w:tc>
          <w:tcPr>
            <w:tcW w:w="8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178"/>
        </w:trPr>
        <w:tc>
          <w:tcPr>
            <w:tcW w:w="2020" w:type="dxa"/>
            <w:vAlign w:val="bottom"/>
          </w:tcPr>
          <w:p>
            <w:pPr>
              <w:jc w:val="center"/>
              <w:spacing w:after="0"/>
              <w:rPr>
                <w:sz w:val="20"/>
                <w:szCs w:val="20"/>
                <w:color w:val="auto"/>
              </w:rPr>
            </w:pPr>
            <w:r>
              <w:rPr>
                <w:rFonts w:ascii="Arial" w:cs="Arial" w:eastAsia="Arial" w:hAnsi="Arial"/>
                <w:sz w:val="13"/>
                <w:szCs w:val="13"/>
                <w:color w:val="auto"/>
                <w:w w:val="82"/>
              </w:rPr>
              <w:t>2011</w:t>
            </w:r>
          </w:p>
        </w:tc>
        <w:tc>
          <w:tcPr>
            <w:tcW w:w="2380" w:type="dxa"/>
            <w:vAlign w:val="bottom"/>
            <w:gridSpan w:val="2"/>
          </w:tcPr>
          <w:p>
            <w:pPr>
              <w:jc w:val="right"/>
              <w:ind w:right="648"/>
              <w:spacing w:after="0"/>
              <w:rPr>
                <w:sz w:val="20"/>
                <w:szCs w:val="20"/>
                <w:color w:val="auto"/>
              </w:rPr>
            </w:pPr>
            <w:r>
              <w:rPr>
                <w:rFonts w:ascii="Arial" w:cs="Arial" w:eastAsia="Arial" w:hAnsi="Arial"/>
                <w:sz w:val="13"/>
                <w:szCs w:val="13"/>
                <w:color w:val="auto"/>
              </w:rPr>
              <w:t>$11</w:t>
            </w:r>
          </w:p>
        </w:tc>
        <w:tc>
          <w:tcPr>
            <w:tcW w:w="86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2380" w:type="dxa"/>
            <w:vAlign w:val="bottom"/>
            <w:gridSpan w:val="2"/>
          </w:tcPr>
          <w:p>
            <w:pPr>
              <w:jc w:val="right"/>
              <w:ind w:right="628"/>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5"/>
        </w:trPr>
        <w:tc>
          <w:tcPr>
            <w:tcW w:w="202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2380" w:type="dxa"/>
            <w:vAlign w:val="bottom"/>
            <w:gridSpan w:val="2"/>
          </w:tcPr>
          <w:p>
            <w:pPr>
              <w:jc w:val="right"/>
              <w:ind w:right="608"/>
              <w:spacing w:after="0"/>
              <w:rPr>
                <w:sz w:val="20"/>
                <w:szCs w:val="20"/>
                <w:color w:val="auto"/>
              </w:rPr>
            </w:pPr>
            <w:r>
              <w:rPr>
                <w:rFonts w:ascii="Arial" w:cs="Arial" w:eastAsia="Arial" w:hAnsi="Arial"/>
                <w:sz w:val="13"/>
                <w:szCs w:val="13"/>
                <w:color w:val="auto"/>
              </w:rPr>
              <w:t>$ (7)</w:t>
            </w:r>
          </w:p>
        </w:tc>
        <w:tc>
          <w:tcPr>
            <w:tcW w:w="8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2380" w:type="dxa"/>
            <w:vAlign w:val="bottom"/>
            <w:gridSpan w:val="2"/>
          </w:tcPr>
          <w:p>
            <w:pPr>
              <w:jc w:val="right"/>
              <w:ind w:right="588"/>
              <w:spacing w:after="0"/>
              <w:rPr>
                <w:sz w:val="20"/>
                <w:szCs w:val="20"/>
                <w:color w:val="auto"/>
              </w:rPr>
            </w:pPr>
            <w:r>
              <w:rPr>
                <w:rFonts w:ascii="Arial" w:cs="Arial" w:eastAsia="Arial" w:hAnsi="Arial"/>
                <w:sz w:val="13"/>
                <w:szCs w:val="13"/>
                <w:color w:val="auto"/>
              </w:rPr>
              <w:t>$ (7)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gains of $15 million and $7 million during the three and nine months ended September 30, 2011, respectively, as compared with the recognition of after-tax losses of $7 million and $4 million during the three and nine months ended September 30, 2010, respectively. After-tax adjustments for the reclassification of gains from accumulated other comprehensive income into income were $20 million and $13 million during the three and nine months ended September 30, 2011, respectively. After-tax adjustments for the reclassification of losses from accumulated other comprehensive income into income were $7 million and $4 million during the three and nine months ended September 30, 2010, respectively. There was no significant ineffectiveness associated with these hedges during the three and nine months ended September 30, 2011 or 2010.</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As a result of the expiration of certain long-term electricity contracts at our waste-to-energy facilities, we use short-term “receive fixed, pay variable” electricity commodity swaps to mitigate the variability in our revenues and cash flows caused by fluctuations in the market prices for electricity. We hedged 672,360 megawatt hours, or approximately 26%, of our Wheelabrator Group’s full year 2010 merchant electricity sales, and the swaps executed through September 30, 2011 are expected to hedge about 1.6 million megawatt hours, or 49%, of the Group’s full year 2011 merchant electricity sales. For the three-month periods ended September 30, 2011 and 2010, we hedged 46% and 22%, respectively, of our merchant electricity sales. For the nine-month periods ended September 30, 2011 and 2010, we hedged 49% and 24%, respectively, of our merchant electricity sales. There was no significant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ineffectiveness associated with these cash flow hedges and all financial statement impacts associated with these derivatives were immaterial for the three and nine-month periods ended September 30, 2011 and 2010.</w:t>
      </w:r>
    </w:p>
    <w:p>
      <w:pPr>
        <w:spacing w:after="0" w:line="134"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effective income tax rate for the three and nine months ended September 30, 2011 was 32.3% and 34.0%, respectively, compared with 37.3% and 39.8% for the comparable prior year periods. We evaluate our effective income tax rate at each interim period and adjust it accordingly as facts and circumstances warrant. The differences between federal income taxes computed at the federal statutory rate and reported income taxes for the three and nine months ended September 30, 2011 were primarily due to the favorable impact of federal tax credits, audit settlements and adjustments to our accruals due to the filing of our 2010 income tax returns offset in part by the unfavorable impact of state and local income taxes. The differences between federal income taxes computed at the federal statutory rate and reported income taxes for the three and nine months ended September 30, 2010 were primarily due to an increase in our state deferred income taxes to reflect the impact of changes in the estimated income tax rate at which temporary differences would be realized and the unfavorable impact of state and local income taxes, offset in part by the favorable impact of federal tax credits.</w:t>
      </w:r>
    </w:p>
    <w:p>
      <w:pPr>
        <w:spacing w:after="0" w:line="5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Investment in Refined Coal Facility </w:t>
      </w:r>
      <w:r>
        <w:rPr>
          <w:rFonts w:ascii="Arial" w:cs="Arial" w:eastAsia="Arial" w:hAnsi="Arial"/>
          <w:sz w:val="13"/>
          <w:szCs w:val="13"/>
          <w:color w:val="auto"/>
        </w:rPr>
        <w:t>— In January 2011, we acquired a noncontrolling interest in a limited liability company, which was established to invest in and manage a refined</w:t>
      </w:r>
      <w:r>
        <w:rPr>
          <w:rFonts w:ascii="Arial" w:cs="Arial" w:eastAsia="Arial" w:hAnsi="Arial"/>
          <w:sz w:val="13"/>
          <w:szCs w:val="13"/>
          <w:i w:val="1"/>
          <w:iCs w:val="1"/>
          <w:color w:val="auto"/>
        </w:rPr>
        <w:t xml:space="preserve"> </w:t>
      </w:r>
      <w:r>
        <w:rPr>
          <w:rFonts w:ascii="Arial" w:cs="Arial" w:eastAsia="Arial" w:hAnsi="Arial"/>
          <w:sz w:val="13"/>
          <w:szCs w:val="13"/>
          <w:color w:val="auto"/>
        </w:rPr>
        <w:t>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Losses relating to our investment in this entity were immaterial for the three and nine months ended September 30, 2011. Our tax provision for the three and nine months ended September 30, 2011 was reduced by $4 million and $11 million, respectively, primarily as a result of tax credits realized from this investment. See Note 14 for additional information related to this investment.</w:t>
      </w:r>
    </w:p>
    <w:p>
      <w:pPr>
        <w:spacing w:after="0" w:line="7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Investment in Federal Low-income Housing Tax Credits </w:t>
      </w:r>
      <w:r>
        <w:rPr>
          <w:rFonts w:ascii="Arial" w:cs="Arial" w:eastAsia="Arial" w:hAnsi="Arial"/>
          <w:sz w:val="13"/>
          <w:szCs w:val="13"/>
          <w:color w:val="auto"/>
        </w:rPr>
        <w:t>— In April 2010, we acquired a noncontrolling interest in a limited liability company established to invest in and manage</w:t>
      </w:r>
      <w:r>
        <w:rPr>
          <w:rFonts w:ascii="Arial" w:cs="Arial" w:eastAsia="Arial" w:hAnsi="Arial"/>
          <w:sz w:val="13"/>
          <w:szCs w:val="13"/>
          <w:i w:val="1"/>
          <w:iCs w:val="1"/>
          <w:color w:val="auto"/>
        </w:rPr>
        <w:t xml:space="preserve"> </w:t>
      </w:r>
      <w:r>
        <w:rPr>
          <w:rFonts w:ascii="Arial" w:cs="Arial" w:eastAsia="Arial" w:hAnsi="Arial"/>
          <w:sz w:val="13"/>
          <w:szCs w:val="13"/>
          <w:color w:val="auto"/>
        </w:rPr>
        <w:t>low-income housing properties. The entity’s low-income housing investments qualify for federal tax credits that are expected to be realized through 2020 in accordance with Section 42 of the Internal Revenue Code.</w:t>
      </w:r>
    </w:p>
    <w:p>
      <w:pPr>
        <w:spacing w:after="0" w:line="6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the three and nine months ended September 30, 2011, we recognized $5 million and $17 million of losses relating to our equity investment in this entity, $2 million and $6 million of interest expense, and a reduction in our tax provision of $9 million (including $7 million of tax credits) and $27 million (including $18 million of tax credits), respectively. During the three and nine months ended September 30, 2010, we recognized $4 million and $12 million of losses associated with our equity investment, $3 million and $4 million of interest expense, and a reduction in our tax provision of $7 million (including $4 million of tax credits) and $18 million (including $12 million of tax credits), respectively.</w:t>
      </w:r>
    </w:p>
    <w:p>
      <w:pPr>
        <w:spacing w:after="0" w:line="59" w:lineRule="exact"/>
        <w:rPr>
          <w:sz w:val="20"/>
          <w:szCs w:val="20"/>
          <w:color w:val="auto"/>
        </w:rPr>
      </w:pPr>
    </w:p>
    <w:p>
      <w:pPr>
        <w:ind w:left="680" w:right="120" w:firstLine="399"/>
        <w:spacing w:after="0" w:line="305" w:lineRule="auto"/>
        <w:rPr>
          <w:sz w:val="20"/>
          <w:szCs w:val="20"/>
          <w:color w:val="auto"/>
        </w:rPr>
      </w:pPr>
      <w:r>
        <w:rPr>
          <w:rFonts w:ascii="Arial" w:cs="Arial" w:eastAsia="Arial" w:hAnsi="Arial"/>
          <w:sz w:val="11"/>
          <w:szCs w:val="11"/>
          <w:i w:val="1"/>
          <w:iCs w:val="1"/>
          <w:color w:val="auto"/>
        </w:rPr>
        <w:t xml:space="preserve">Recent Legislation </w:t>
      </w:r>
      <w:r>
        <w:rPr>
          <w:rFonts w:ascii="Arial" w:cs="Arial" w:eastAsia="Arial" w:hAnsi="Arial"/>
          <w:sz w:val="11"/>
          <w:szCs w:val="11"/>
          <w:color w:val="auto"/>
        </w:rPr>
        <w:t>— The Tax Relief, Unemployment Insurance Reauthorization, and Job Creation Act, signed into law on December 17, 2010, included an extension of the bonus</w:t>
      </w:r>
      <w:r>
        <w:rPr>
          <w:rFonts w:ascii="Arial" w:cs="Arial" w:eastAsia="Arial" w:hAnsi="Arial"/>
          <w:sz w:val="11"/>
          <w:szCs w:val="11"/>
          <w:i w:val="1"/>
          <w:iCs w:val="1"/>
          <w:color w:val="auto"/>
        </w:rPr>
        <w:t xml:space="preserve"> </w:t>
      </w:r>
      <w:r>
        <w:rPr>
          <w:rFonts w:ascii="Arial" w:cs="Arial" w:eastAsia="Arial" w:hAnsi="Arial"/>
          <w:sz w:val="11"/>
          <w:szCs w:val="11"/>
          <w:color w:val="auto"/>
        </w:rPr>
        <w:t>depreciation allowance through the end of 2012 and increased the amount of qualifying capital expenditures that can be depreciated immediately from 50 percent to 100 percent. The</w:t>
      </w:r>
    </w:p>
    <w:p>
      <w:pPr>
        <w:spacing w:after="0" w:line="1"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100 percent depreciation deduction applies to qualifying property placed in service from September 8, 2010 through December 31, 2011. The acceleration of deductions on 2011 capital expenditures resulting from the bonus depreciation provision will have no impact on our effective tax rate. However, the ability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100"/>
        <w:spacing w:after="0" w:line="276" w:lineRule="auto"/>
        <w:rPr>
          <w:sz w:val="20"/>
          <w:szCs w:val="20"/>
          <w:color w:val="auto"/>
        </w:rPr>
      </w:pPr>
      <w:r>
        <w:rPr>
          <w:rFonts w:ascii="Arial" w:cs="Arial" w:eastAsia="Arial" w:hAnsi="Arial"/>
          <w:sz w:val="13"/>
          <w:szCs w:val="13"/>
          <w:color w:val="auto"/>
        </w:rPr>
        <w:t>accelerate depreciation deductions is expected to decrease our 2011 cash taxes by approximately $190 million. Taking the accelerated tax depreciation in the current period will result in increased cash taxes in future periods when the accelerated deductions for these capital expenditures would have otherwise been taken.</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61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1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Nine Months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0"/>
                <w:szCs w:val="10"/>
                <w:b w:val="1"/>
                <w:bCs w:val="1"/>
                <w:color w:val="auto"/>
              </w:rPr>
              <w:t>Ended September 30,</w:t>
            </w:r>
          </w:p>
        </w:tc>
        <w:tc>
          <w:tcPr>
            <w:tcW w:w="120" w:type="dxa"/>
            <w:vAlign w:val="bottom"/>
          </w:tcPr>
          <w:p>
            <w:pPr>
              <w:spacing w:after="0"/>
              <w:rPr>
                <w:sz w:val="10"/>
                <w:szCs w:val="10"/>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Ended September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56"/>
        </w:trPr>
        <w:tc>
          <w:tcPr>
            <w:tcW w:w="630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marketable securities, net of taxes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1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funded status of post-retirement benefit obligations, net of taxes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3"/>
                <w:szCs w:val="13"/>
                <w:color w:val="auto"/>
              </w:rPr>
              <w:t>Other comprehensive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(115)</w:t>
            </w:r>
          </w:p>
        </w:tc>
        <w:tc>
          <w:tcPr>
            <w:tcW w:w="1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3"/>
                <w:szCs w:val="13"/>
                <w:color w:val="auto"/>
              </w:rPr>
              <w:t>Comprehensive income attributable to noncontrolling interests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components of accumulated other comprehensive income, which is included as a component of Waste Management, Inc. stockholders’ equity,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3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adjustments</w:t>
            </w: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Funded status of post-retirement benefit obligations, net of taxes</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60" w:type="dxa"/>
            <w:vAlign w:val="bottom"/>
          </w:tcPr>
          <w:p>
            <w:pPr>
              <w:jc w:val="right"/>
              <w:ind w:right="2374"/>
              <w:spacing w:after="0"/>
              <w:rPr>
                <w:sz w:val="20"/>
                <w:szCs w:val="20"/>
                <w:color w:val="auto"/>
              </w:rPr>
            </w:pPr>
            <w:r>
              <w:rPr>
                <w:rFonts w:ascii="Arial" w:cs="Arial" w:eastAsia="Arial" w:hAnsi="Arial"/>
                <w:sz w:val="13"/>
                <w:szCs w:val="13"/>
                <w:color w:val="auto"/>
              </w:rPr>
              <w:t>14</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6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880" w:type="dxa"/>
            <w:vAlign w:val="bottom"/>
            <w:gridSpan w:val="3"/>
          </w:tcPr>
          <w:p>
            <w:pPr>
              <w:ind w:left="300"/>
              <w:spacing w:after="0"/>
              <w:rPr>
                <w:sz w:val="20"/>
                <w:szCs w:val="20"/>
                <w:color w:val="auto"/>
              </w:rPr>
            </w:pPr>
            <w:r>
              <w:rPr>
                <w:rFonts w:ascii="Arial" w:cs="Arial" w:eastAsia="Arial" w:hAnsi="Arial"/>
                <w:sz w:val="10"/>
                <w:szCs w:val="10"/>
                <w:b w:val="1"/>
                <w:bCs w:val="1"/>
                <w:color w:val="auto"/>
                <w:w w:val="93"/>
              </w:rPr>
              <w:t>Nine Months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6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2"/>
              </w:rPr>
              <w:t>Ended September 30,</w:t>
            </w:r>
          </w:p>
        </w:tc>
        <w:tc>
          <w:tcPr>
            <w:tcW w:w="128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rPr>
              <w:t>Ended September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461.2</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475.7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475.7</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7.1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3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468.3</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477.3</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472.7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481.7</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1.4</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w:t>
            </w:r>
          </w:p>
        </w:tc>
        <w:tc>
          <w:tcPr>
            <w:tcW w:w="3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481.0</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474.5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484.9</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17.3</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14.7</w:t>
            </w:r>
          </w:p>
        </w:tc>
        <w:tc>
          <w:tcPr>
            <w:tcW w:w="3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55"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50"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70"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any known casualty, property, environmental or other contingency to have a material impact on our financial condition, results of operations or cash flows.</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 and WM Holdings enter into guarantee agreements associated with their subsidiaries’ operations. Additionally, WM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senior debt of the other entity. No additional liabilities have been recorded for these intercompany guarantees because all of the underlying obligations are reflected in our Condensed Consolidated Balance Sheets.</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September 30, 2011 include (i) guarantees of unconsolidated entities’ financial obligations maturing through 2020 for maximum future payments of $11 million; and (ii) agreements guaranteeing certain market value losses for approximately 900 homeowners’ properties adjacent to or near 21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$285 million recorded in the Condensed Consolidated Financial Statements as of September 30, 2011.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September 30, 2011, we had been notified that we are a PRP in connection with 79 locations listed on the EPA’s Superfund National Priorities List, or NPL. Of the 79 sites at which claims have been made against us, 17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62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70"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In April 2002, certain former participants in the ERISA plans of WM Holdings filed a lawsuit in the U.S. District Court for the District of Columbia in a case entitled</w:t>
      </w:r>
      <w:r>
        <w:rPr>
          <w:rFonts w:ascii="Arial" w:cs="Arial" w:eastAsia="Arial" w:hAnsi="Arial"/>
          <w:sz w:val="13"/>
          <w:szCs w:val="13"/>
          <w:i w:val="1"/>
          <w:iCs w:val="1"/>
          <w:color w:val="auto"/>
        </w:rPr>
        <w:t xml:space="preserve"> William S. Harris, et al. v. James E. Koenig, et al</w:t>
      </w:r>
      <w:r>
        <w:rPr>
          <w:rFonts w:ascii="Arial" w:cs="Arial" w:eastAsia="Arial" w:hAnsi="Arial"/>
          <w:sz w:val="13"/>
          <w:szCs w:val="13"/>
          <w:color w:val="auto"/>
        </w:rPr>
        <w:t>. The lawsuit attempts to increase the recovery of a class of ERISA plan participants on behalf of the plan based on allegations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71"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The Court still has under consideration additional motions that, if granted, would resolve the few remaining claims against WM and its Committees. The outcome of this lawsuit cannot be predicted with certainty. The defendants intend to defend themselves vigorously in this litigation.</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Two separate wage and hour lawsuits were commenced in October 2006 and March 2007 against certain of our subsidiaries in California, each seeking class certification. The actions were coordinated to proceed in San Diego County Superior Court. Both lawsuits make the same general allegations that our subsidiaries failed to comply with certain California wage and hour laws, including allegedly failing to provide meal and rest periods and failing to properly pay hourly and overtime wages. We have executed a settlement agreement in connection with this matter. Following hearings held on July 15, 2011 and October 21, 2011, the Court approved the class action settlement and final judgment. The settlement did not have a material effect on our consolidated financial statements.</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Additionally, in July 2008, we were named as a defendant in a purported class action in the Circuit Court of Bullock County, Alabama, which was subsequently removed to the United States District Court for the Northern District of Alabama. This suit pertained to our fuel and environmental charge in our customer service agreements and generally alleged that such charges were not properly disclosed, were unfair and were contrary to the contracts. We filed a motion to dismiss that was partially granted during the third quarter of 2010, resulting in dismissal of the plaintiffs’ national class action claims. During the third quarter of 2011, the plaintiffs filed and the Court granted a motion to dismiss the litigation without prejudice.</w:t>
      </w:r>
    </w:p>
    <w:p>
      <w:pPr>
        <w:spacing w:after="0" w:line="53"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In October 2011, we were named as a defendant in a purported class action in the Circuit Court of Sarasota County, Florida. This suit was filed by the same law firm that brought the Alabama litigation discussed in the prior paragraph, and it also pertains to our fuel and environmental charges in our customer service agreements, generally alleging that such charges were not properly disclosed, were unfair and were contrary to the contracts. We will vigorously defend this matter. Given the inherent uncertainties of litigation, the ultimate outcome of this case cannot be predicted at this time, nor can possible damages, if any, be reasonably estimated.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In May 2008, Mnoian Management, Inc. filed suit in Los Angeles County Superior Court seeking remediation and increased compaction of a site we had previously leased for landfill purposes. The parties have completed a binding arbitration and are awaiting the arbitrator’s decision.</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as noted above,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WM’s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 has entered into separate indemnification agreements with each of the members of its Board of Directors as well as its President and Chief Executive Officer, and its principal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pending as of September 30, 2011 is disclosed in accordance with that requirement:</w:t>
      </w:r>
    </w:p>
    <w:p>
      <w:pPr>
        <w:spacing w:after="0" w:line="67" w:lineRule="exact"/>
        <w:rPr>
          <w:sz w:val="20"/>
          <w:szCs w:val="20"/>
          <w:color w:val="auto"/>
        </w:rPr>
      </w:pPr>
    </w:p>
    <w:p>
      <w:pPr>
        <w:ind w:left="1080" w:right="60" w:firstLine="383"/>
        <w:spacing w:after="0" w:line="285" w:lineRule="auto"/>
        <w:rPr>
          <w:sz w:val="20"/>
          <w:szCs w:val="20"/>
          <w:color w:val="auto"/>
        </w:rPr>
      </w:pPr>
      <w:r>
        <w:rPr>
          <w:rFonts w:ascii="Arial" w:cs="Arial" w:eastAsia="Arial" w:hAnsi="Arial"/>
          <w:sz w:val="12"/>
          <w:szCs w:val="12"/>
          <w:color w:val="auto"/>
        </w:rPr>
        <w:t>On April 4, 2006, the EPA issued a Notice of Violation (“NOV”) to Waste Management of Hawaii, Inc., an indirect wholly-owned subsidiary of WM, and to the City and County of Honolulu for alleged violations of the federal Clean Air Act, based on an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the following matters previously reported were resolved during the third quarter of 2011 as set forth below.</w:t>
      </w:r>
    </w:p>
    <w:p>
      <w:pPr>
        <w:spacing w:after="0" w:line="96" w:lineRule="exact"/>
        <w:rPr>
          <w:sz w:val="20"/>
          <w:szCs w:val="20"/>
          <w:color w:val="auto"/>
        </w:rPr>
      </w:pPr>
    </w:p>
    <w:p>
      <w:pPr>
        <w:ind w:left="1080" w:firstLine="383"/>
        <w:spacing w:after="0" w:line="258" w:lineRule="auto"/>
        <w:rPr>
          <w:sz w:val="20"/>
          <w:szCs w:val="20"/>
          <w:color w:val="auto"/>
        </w:rPr>
      </w:pPr>
      <w:r>
        <w:rPr>
          <w:rFonts w:ascii="Arial" w:cs="Arial" w:eastAsia="Arial" w:hAnsi="Arial"/>
          <w:sz w:val="13"/>
          <w:szCs w:val="13"/>
          <w:color w:val="auto"/>
        </w:rPr>
        <w:t>On February 25, 2011, the EPA issued an NOV to Chemical Waste Management, Inc.’s Kettleman Hills facility for alleged violations of the Resource Conservation and Recovery Act (“RCRA”). In this matter, the EPA sought civil penalties for the violations alleged, which related primarily to management of landfill leachate, laboratory protocols, and the management and disposal of certain hazardous waste. On August 23, 2011, Chemical Waste Management, Inc. settled the RCRA enforcement action with the EPA through entry of a Consent Agreement/Final Order. Under the agreement, Chemical Waste Management, Inc. paid a penalty of $400,000 on September 12, 2011 and will implement certain corrective actions and process changes.</w:t>
      </w:r>
    </w:p>
    <w:p>
      <w:pPr>
        <w:spacing w:after="0" w:line="71"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color w:val="auto"/>
        </w:rPr>
        <w:t>On April 11, 2011, Waste Management LampTracker, Inc.’s Kaiser, Missouri facility was notified that the EPA would be filing an administrative complaint and assessing civil penalties for alleged RCRA violations relating to container and facility management and the handling of certain waste. On September 12, 2011, Waste Management LampTracker, Inc. settled the RCRA enforcement action with the EPA through entry of a Consent Agreement/Final Order and paid a penalty of $118,800. As a result of the agreement, Waste Management LampTracker, Inc. will implement a corrective action at the facility.</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About 20% of our workforce is covered by collective bargaining agreements with various union locals across the United States and</w:t>
      </w:r>
      <w:r>
        <w:rPr>
          <w:rFonts w:ascii="Arial" w:cs="Arial" w:eastAsia="Arial" w:hAnsi="Arial"/>
          <w:sz w:val="13"/>
          <w:szCs w:val="13"/>
          <w:i w:val="1"/>
          <w:iCs w:val="1"/>
          <w:color w:val="auto"/>
        </w:rPr>
        <w:t xml:space="preserve"> </w:t>
      </w:r>
      <w:r>
        <w:rPr>
          <w:rFonts w:ascii="Arial" w:cs="Arial" w:eastAsia="Arial" w:hAnsi="Arial"/>
          <w:sz w:val="13"/>
          <w:szCs w:val="13"/>
          <w:color w:val="auto"/>
        </w:rPr>
        <w:t>Canada. As a result of some of these agreements, certain of our subsidiaries are participating employers in a number of trustee-managed multiemployer, defined benefit pension plans for the affected employees. One of the most significant multiemployer pension plans in which we have participated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In October 2011, our last remaining group of employees that were active participants in the Central States Pension Plan voted to decertify the union that represented them, ceasing any contribution obligation and effectively withdrawing them from the Central States Pension Plan.</w:t>
      </w:r>
    </w:p>
    <w:p>
      <w:pPr>
        <w:spacing w:after="0" w:line="53" w:lineRule="exact"/>
        <w:rPr>
          <w:sz w:val="20"/>
          <w:szCs w:val="20"/>
          <w:color w:val="auto"/>
        </w:rPr>
      </w:pPr>
    </w:p>
    <w:p>
      <w:pPr>
        <w:jc w:val="both"/>
        <w:ind w:left="680" w:right="120" w:firstLine="399"/>
        <w:spacing w:after="0" w:line="285" w:lineRule="auto"/>
        <w:rPr>
          <w:sz w:val="20"/>
          <w:szCs w:val="20"/>
          <w:color w:val="auto"/>
        </w:rPr>
      </w:pPr>
      <w:r>
        <w:rPr>
          <w:rFonts w:ascii="Arial" w:cs="Arial" w:eastAsia="Arial" w:hAnsi="Arial"/>
          <w:sz w:val="12"/>
          <w:szCs w:val="12"/>
          <w:color w:val="auto"/>
        </w:rPr>
        <w:t>We recognized charges to “Operating” expenses of $26 million, largely in the first quarter of 2010, associated with the withdrawal of three bargaining units from the Central States Pension Plan in connection with our negotiations of these units’ agreements. We are still negotiating and litigating final resolutions of our withdrawal liability for previous withdrawals and our recent final withdrawal referenced above, which could be materially higher than the charges we have recognized. We do not believe that our withdrawals from the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in the examination phase of IRS audits for the tax years 2010 and 2011 and expect these audits to be completed within the next three and 15 months,</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In the third quarter of 2010, we finalized audits in Canada through the 2005 tax year and are not currently under audit for any subsequent tax years. On July 28, 2011, we acquired Oakleaf, which is currently under IRS examination for the tax periods ended December 31, 2005 through December 31,</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920"/>
        <w:spacing w:after="0" w:line="296" w:lineRule="auto"/>
        <w:rPr>
          <w:sz w:val="20"/>
          <w:szCs w:val="20"/>
          <w:color w:val="auto"/>
        </w:rPr>
      </w:pPr>
      <w:r>
        <w:rPr>
          <w:rFonts w:ascii="Arial" w:cs="Arial" w:eastAsia="Arial" w:hAnsi="Arial"/>
          <w:sz w:val="12"/>
          <w:szCs w:val="12"/>
          <w:color w:val="auto"/>
        </w:rPr>
        <w:t>2008. We expect this examination to be completed within the next 12 months. In addition, Oakleaf is subject to state income tax examinations for years dating back to 2002. Pursuant to the terms of our acquisition of Oakleaf, we are entitled to indemnification for Oakleaf’s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24" w:lineRule="exact"/>
        <w:rPr>
          <w:sz w:val="20"/>
          <w:szCs w:val="20"/>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The operations not managed through our five operating Groups, including the Oakleaf operations we acquired on July 28, 2011, are presented herein as “Other.” See Note 10 for additional information related to our acquisition of Oakleaf.</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nine months ended September 30 is shown in the following table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Three Months Ended:</w:t>
            </w: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September 30, 2011</w:t>
            </w:r>
          </w:p>
        </w:tc>
        <w:tc>
          <w:tcPr>
            <w:tcW w:w="1840" w:type="dxa"/>
            <w:vAlign w:val="bottom"/>
            <w:tcBorders>
              <w:top w:val="single" w:sz="8" w:color="CCEEFF"/>
            </w:tcBorders>
          </w:tcPr>
          <w:p>
            <w:pPr>
              <w:spacing w:after="0"/>
              <w:rPr>
                <w:sz w:val="13"/>
                <w:szCs w:val="13"/>
                <w:color w:val="auto"/>
              </w:rPr>
            </w:pPr>
          </w:p>
        </w:tc>
        <w:tc>
          <w:tcPr>
            <w:tcW w:w="2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(531)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September 30, 2010</w:t>
            </w:r>
          </w:p>
        </w:tc>
        <w:tc>
          <w:tcPr>
            <w:tcW w:w="2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792</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jc w:val="right"/>
              <w:ind w:right="274"/>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118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2"/>
              </w:rPr>
              <w:t>Nine Months Ended:</w:t>
            </w:r>
          </w:p>
        </w:tc>
        <w:tc>
          <w:tcPr>
            <w:tcW w:w="4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2,403</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2,048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2,456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2,120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664</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1,044</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8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9,972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1,919</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1,476</w:t>
            </w:r>
          </w:p>
        </w:tc>
        <w:tc>
          <w:tcPr>
            <w:tcW w:w="0" w:type="dxa"/>
            <w:vAlign w:val="bottom"/>
          </w:tcPr>
          <w:p>
            <w:pPr>
              <w:spacing w:after="0"/>
              <w:rPr>
                <w:sz w:val="1"/>
                <w:szCs w:val="1"/>
                <w:color w:val="auto"/>
              </w:rPr>
            </w:pPr>
          </w:p>
        </w:tc>
      </w:tr>
      <w:tr>
        <w:trPr>
          <w:trHeight w:val="166"/>
        </w:trPr>
        <w:tc>
          <w:tcPr>
            <w:tcW w:w="54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2010</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1,930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2,372</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2,044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8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(1,474)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1,859</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(1,474)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1,542</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During 2010, our Midwest Group recognized $26 million in charges, largely in the first quarter, as a result of bargaining unit employees in Michigan and Ohio agreeing to our proposal to withdraw them from an underfunded multiemployer pension plan. Refer to Note 8 for additional information related to our participation in multiemployer pension plans.</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 of Oakleaf Global Holdings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July 28, 2011, we paid $432 million, net of cash received of $4 million and inclusive of certain adjustments, to acquire Oakleaf Global Holdings and its primary operations. Oakleaf provides outsourced waste and recycling services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three and nine months ended September 30, 2011, we incurred $1 million of acquisition-related costs, which are classified as Selling, general and administrative expense. Since the acquisition date, Oakleaf has recognized revenues of $112 million and net losses of less than $1 million, which are included in our Condensed Consolidated Statement of Operations. We have recorded a preliminary allocation of the purchase price to Oakleaf tangible and intangible assets acquired and liabilities assumed based on their estimated fair values as of July 28, 2011. The allocation of the purchase price shown in the table below is preliminary and subject to change based on the finalization of our detailed valuations. The preliminary purchase price allocation is as follows (in millions):</w:t>
      </w:r>
    </w:p>
    <w:p>
      <w:pPr>
        <w:spacing w:after="0" w:line="7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Accounts and other receivables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320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Accounts payable</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Accrued liabilities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Deferred income taxes, net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Total purchase price</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432</w:t>
            </w:r>
          </w:p>
        </w:tc>
        <w:tc>
          <w:tcPr>
            <w:tcW w:w="0" w:type="dxa"/>
            <w:vAlign w:val="bottom"/>
          </w:tcPr>
          <w:p>
            <w:pPr>
              <w:spacing w:after="0"/>
              <w:rPr>
                <w:sz w:val="1"/>
                <w:szCs w:val="1"/>
                <w:color w:val="auto"/>
              </w:rPr>
            </w:pPr>
          </w:p>
        </w:tc>
      </w:tr>
      <w:tr>
        <w:trPr>
          <w:trHeight w:val="254"/>
        </w:trPr>
        <w:tc>
          <w:tcPr>
            <w:tcW w:w="8600" w:type="dxa"/>
            <w:vAlign w:val="bottom"/>
            <w:gridSpan w:val="4"/>
          </w:tcPr>
          <w:p>
            <w:pPr>
              <w:ind w:left="400"/>
              <w:spacing w:after="0"/>
              <w:rPr>
                <w:sz w:val="20"/>
                <w:szCs w:val="20"/>
                <w:color w:val="auto"/>
              </w:rPr>
            </w:pPr>
            <w:r>
              <w:rPr>
                <w:rFonts w:ascii="Arial" w:cs="Arial" w:eastAsia="Arial" w:hAnsi="Arial"/>
                <w:sz w:val="13"/>
                <w:szCs w:val="13"/>
                <w:color w:val="auto"/>
                <w:w w:val="95"/>
              </w:rPr>
              <w:t>The following table presents the preliminary allocation of the purchase price to intangible assets (amounts in millions, except for amortization periods):</w:t>
            </w:r>
          </w:p>
        </w:tc>
        <w:tc>
          <w:tcPr>
            <w:tcW w:w="10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center"/>
              <w:ind w:left="183"/>
              <w:spacing w:after="0"/>
              <w:rPr>
                <w:sz w:val="20"/>
                <w:szCs w:val="20"/>
                <w:color w:val="auto"/>
              </w:rPr>
            </w:pPr>
            <w:r>
              <w:rPr>
                <w:rFonts w:ascii="Arial" w:cs="Arial" w:eastAsia="Arial" w:hAnsi="Arial"/>
                <w:sz w:val="10"/>
                <w:szCs w:val="10"/>
                <w:b w:val="1"/>
                <w:bCs w:val="1"/>
                <w:color w:val="auto"/>
                <w:w w:val="93"/>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jc w:val="center"/>
              <w:ind w:left="163"/>
              <w:spacing w:after="0" w:line="108" w:lineRule="exact"/>
              <w:rPr>
                <w:sz w:val="20"/>
                <w:szCs w:val="20"/>
                <w:color w:val="auto"/>
              </w:rPr>
            </w:pPr>
            <w:r>
              <w:rPr>
                <w:rFonts w:ascii="Arial" w:cs="Arial" w:eastAsia="Arial" w:hAnsi="Arial"/>
                <w:sz w:val="10"/>
                <w:szCs w:val="10"/>
                <w:b w:val="1"/>
                <w:bCs w:val="1"/>
                <w:color w:val="auto"/>
                <w:w w:val="98"/>
              </w:rPr>
              <w:t>Amortization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1060" w:type="dxa"/>
            <w:vAlign w:val="bottom"/>
          </w:tcPr>
          <w:p>
            <w:pPr>
              <w:jc w:val="center"/>
              <w:ind w:left="183"/>
              <w:spacing w:after="0" w:line="108" w:lineRule="exact"/>
              <w:rPr>
                <w:sz w:val="20"/>
                <w:szCs w:val="20"/>
                <w:color w:val="auto"/>
              </w:rPr>
            </w:pPr>
            <w:r>
              <w:rPr>
                <w:rFonts w:ascii="Arial" w:cs="Arial" w:eastAsia="Arial" w:hAnsi="Arial"/>
                <w:sz w:val="10"/>
                <w:szCs w:val="10"/>
                <w:b w:val="1"/>
                <w:bCs w:val="1"/>
                <w:color w:val="auto"/>
                <w:w w:val="92"/>
              </w:rPr>
              <w:t>Periods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60" w:type="dxa"/>
            <w:vAlign w:val="bottom"/>
          </w:tcPr>
          <w:p>
            <w:pPr>
              <w:jc w:val="center"/>
              <w:ind w:left="163"/>
              <w:spacing w:after="0"/>
              <w:rPr>
                <w:sz w:val="20"/>
                <w:szCs w:val="20"/>
                <w:color w:val="auto"/>
              </w:rPr>
            </w:pPr>
            <w:r>
              <w:rPr>
                <w:rFonts w:ascii="Arial" w:cs="Arial" w:eastAsia="Arial" w:hAnsi="Arial"/>
                <w:sz w:val="10"/>
                <w:szCs w:val="10"/>
                <w:b w:val="1"/>
                <w:bCs w:val="1"/>
                <w:color w:val="auto"/>
                <w:w w:val="96"/>
              </w:rPr>
              <w:t>(in Years)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8"/>
              </w:rPr>
              <w:t>10.0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Vendor relationships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78"/>
              </w:rPr>
              <w:t>10.0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Trademarks</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8"/>
              </w:rPr>
              <w:t>15.0</w:t>
            </w:r>
          </w:p>
        </w:tc>
        <w:tc>
          <w:tcPr>
            <w:tcW w:w="0" w:type="dxa"/>
            <w:vAlign w:val="bottom"/>
          </w:tcPr>
          <w:p>
            <w:pPr>
              <w:spacing w:after="0"/>
              <w:rPr>
                <w:sz w:val="1"/>
                <w:szCs w:val="1"/>
                <w:color w:val="auto"/>
              </w:rPr>
            </w:pPr>
          </w:p>
        </w:tc>
      </w:tr>
      <w:tr>
        <w:trPr>
          <w:trHeight w:val="166"/>
        </w:trPr>
        <w:tc>
          <w:tcPr>
            <w:tcW w:w="7700" w:type="dxa"/>
            <w:vAlign w:val="bottom"/>
          </w:tcPr>
          <w:p>
            <w:pPr>
              <w:spacing w:after="0"/>
              <w:rPr>
                <w:sz w:val="20"/>
                <w:szCs w:val="20"/>
                <w:color w:val="auto"/>
              </w:rPr>
            </w:pPr>
            <w:r>
              <w:rPr>
                <w:rFonts w:ascii="Arial" w:cs="Arial" w:eastAsia="Arial" w:hAnsi="Arial"/>
                <w:sz w:val="13"/>
                <w:szCs w:val="13"/>
                <w:color w:val="auto"/>
              </w:rPr>
              <w:t>Total intangible assets subject to amortization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78"/>
              </w:rPr>
              <w:t>10.5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Goodwill of $320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Goodwill acquired will be allocated to our operating segments upon completion of our detailed valuations. Goodwill is not deductible for income tax purposes.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pro forma consolidated results of operations have been prepared as if the acquisition of Oakleaf occurred at January 1, 2010 (in millions, except per share amounts):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40" w:type="dxa"/>
            <w:vAlign w:val="bottom"/>
            <w:gridSpan w:val="3"/>
            <w:vMerge w:val="restart"/>
          </w:tcPr>
          <w:p>
            <w:pPr>
              <w:jc w:val="center"/>
              <w:ind w:left="320"/>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3"/>
          </w:tcPr>
          <w:p>
            <w:pPr>
              <w:jc w:val="center"/>
              <w:ind w:left="320"/>
              <w:spacing w:after="0"/>
              <w:rPr>
                <w:sz w:val="20"/>
                <w:szCs w:val="20"/>
                <w:color w:val="auto"/>
              </w:rPr>
            </w:pPr>
            <w:r>
              <w:rPr>
                <w:rFonts w:ascii="Arial" w:cs="Arial" w:eastAsia="Arial" w:hAnsi="Arial"/>
                <w:sz w:val="10"/>
                <w:szCs w:val="10"/>
                <w:b w:val="1"/>
                <w:bCs w:val="1"/>
                <w:color w:val="auto"/>
                <w:w w:val="96"/>
              </w:rPr>
              <w:t>Nine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82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2"/>
              </w:rPr>
              <w:t>Ended September 30,</w:t>
            </w:r>
          </w:p>
        </w:tc>
        <w:tc>
          <w:tcPr>
            <w:tcW w:w="1080" w:type="dxa"/>
            <w:vAlign w:val="bottom"/>
            <w:gridSpan w:val="3"/>
          </w:tcPr>
          <w:p>
            <w:pPr>
              <w:jc w:val="center"/>
              <w:ind w:left="320"/>
              <w:spacing w:after="0"/>
              <w:rPr>
                <w:sz w:val="20"/>
                <w:szCs w:val="20"/>
                <w:color w:val="auto"/>
              </w:rPr>
            </w:pPr>
            <w:r>
              <w:rPr>
                <w:rFonts w:ascii="Arial" w:cs="Arial" w:eastAsia="Arial" w:hAnsi="Arial"/>
                <w:sz w:val="10"/>
                <w:szCs w:val="10"/>
                <w:b w:val="1"/>
                <w:bCs w:val="1"/>
                <w:color w:val="auto"/>
                <w:w w:val="90"/>
              </w:rPr>
              <w:t>September 30,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ind w:right="100"/>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3,566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10,287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9,740</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Net income attributable to Waste Management, Inc.</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580" w:type="dxa"/>
            <w:vAlign w:val="bottom"/>
          </w:tcPr>
          <w:p>
            <w:pPr>
              <w:jc w:val="right"/>
              <w:spacing w:after="0"/>
              <w:rPr>
                <w:sz w:val="20"/>
                <w:szCs w:val="20"/>
                <w:color w:val="auto"/>
              </w:rPr>
            </w:pPr>
            <w:r>
              <w:rPr>
                <w:rFonts w:ascii="Arial" w:cs="Arial" w:eastAsia="Arial" w:hAnsi="Arial"/>
                <w:sz w:val="13"/>
                <w:szCs w:val="13"/>
                <w:color w:val="auto"/>
              </w:rPr>
              <w:t>689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5"/>
        </w:trPr>
        <w:tc>
          <w:tcPr>
            <w:tcW w:w="660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0.58</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0.50</w:t>
            </w:r>
          </w:p>
        </w:tc>
        <w:tc>
          <w:tcPr>
            <w:tcW w:w="580" w:type="dxa"/>
            <w:vAlign w:val="bottom"/>
          </w:tcPr>
          <w:p>
            <w:pPr>
              <w:jc w:val="right"/>
              <w:spacing w:after="0"/>
              <w:rPr>
                <w:sz w:val="20"/>
                <w:szCs w:val="20"/>
                <w:color w:val="auto"/>
              </w:rPr>
            </w:pPr>
            <w:r>
              <w:rPr>
                <w:rFonts w:ascii="Arial" w:cs="Arial" w:eastAsia="Arial" w:hAnsi="Arial"/>
                <w:sz w:val="13"/>
                <w:szCs w:val="13"/>
                <w:color w:val="auto"/>
              </w:rPr>
              <w:t>1.45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July 2011, we took steps to streamline our organization as part of our cost savings programs. This reorganization eliminated over 700 employee positions throughout the Company, including approximately 300 open positions. During the three and nine months ended September 30, 2011, we recognized $14 million of pre-tax restructuring charges related to employee severance and benefit costs associated with this reorganization. The following table summarizes the employee severance and benefit costs and other charges recognized for this restructuring by each of our current reportable segments and our Corporate and Other organization for the three and nine months ended September 30, 2011 (in millions):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20"/>
        </w:trPr>
        <w:tc>
          <w:tcPr>
            <w:tcW w:w="9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15</w:t>
            </w:r>
          </w:p>
        </w:tc>
      </w:tr>
      <w:tr>
        <w:trPr>
          <w:trHeight w:val="29"/>
        </w:trPr>
        <w:tc>
          <w:tcPr>
            <w:tcW w:w="9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Through September 30, 2011, we have paid approximately $4 million of the employee severance and benefit costs incurred as a result of this restructuring.</w:t>
      </w:r>
    </w:p>
    <w:p>
      <w:pPr>
        <w:spacing w:after="0" w:line="171"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the third quarter of 2011, we recognized impairment charges relating to two facilities in our medical waste services business as a result of the closure of one site and as a result of continuing operating losses at the other site. We wrote down the net book values of the sites to their estimated fair values.</w:t>
      </w:r>
    </w:p>
    <w:p>
      <w:pPr>
        <w:spacing w:after="0" w:line="59"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Accordingly, in 2009, we recognized a non-cash charge of $51 million for the abandonment of the licensed software. In April 2010, we settled the lawsuit and received a one-time cash payment. The settlement increased our “Income from operations” for the nine months ended September 30, 2010 by $77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assets and liabilities that are measured at fair value on a recurring basis include the following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September 30, 2011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$ 185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185</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$ 431</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December 31, 2010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$ 468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468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$ 654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Electricity commodity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At September 30, 2011, the carrying value of our debt was approximately $9.6 billion compared with $8.9 billion at December 31, 2010. The carrying value of our debt includes adjustments for both the unamortized fair value adjustments related to terminated hedge arrangements and fair value adjustments of debt instruments that are currently hedged.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80" w:firstLine="399"/>
        <w:spacing w:after="0" w:line="285" w:lineRule="auto"/>
        <w:rPr>
          <w:sz w:val="20"/>
          <w:szCs w:val="20"/>
          <w:color w:val="auto"/>
        </w:rPr>
      </w:pPr>
      <w:r>
        <w:rPr>
          <w:rFonts w:ascii="Arial" w:cs="Arial" w:eastAsia="Arial" w:hAnsi="Arial"/>
          <w:sz w:val="12"/>
          <w:szCs w:val="12"/>
          <w:color w:val="auto"/>
        </w:rPr>
        <w:t>The estimated fair value of our debt was approximately $10.6 billion at September 30, 2011 and approximately $9.2 billion at December 31, 2010. The estimated fair value of our senior notes is based on quoted market prices. The carrying value of remarketable debt approximates fair value due to the short-term nature of the interest rates. The fair value of our other debt is estimated using discounted cash flow analysis, based on rates we would currently pay for similar types of instruments. The increase in the fair value of our debt when comparing September 30, 2011 with December 31, 2010 is primarily related to $753 million of net borrowings during 2011 associated with our senior notes. Increases in market prices for corporate debt securities and decreases in current market rates on fixed-rate tax-exempt bonds also contributed to the increase in the fair value of debt for the reported period.</w:t>
      </w:r>
    </w:p>
    <w:p>
      <w:pPr>
        <w:spacing w:after="0" w:line="55"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September 30, 2011 and December 31, 2010. These amounts have not been revalued since those dates, and current estimates of fair value could differ significantly from the amounts presented.</w:t>
      </w:r>
    </w:p>
    <w:p>
      <w:pPr>
        <w:spacing w:after="0" w:line="146"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72"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ownership interests. All capital allocations made through September 30, 2011 have been based on initial capital account balances as the target returns have not yet been achieved.</w:t>
      </w:r>
    </w:p>
    <w:p>
      <w:pPr>
        <w:spacing w:after="0" w:line="5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As of September 30, 2011, our Condensed Consolidated Balance Sheet includes $310 million of net property and equipment associated with the LLCs’ waste-to-energy facilities and $248 million in noncontrolling interests associated with Hancock’s and CIT’s interests in the LLCs. As of September 30, 2011, all debt obligations of the LLCs have been paid in full and, therefore, the LLCs have no liabilities. We recognized reductions in earnings of $13 million and $38 million for the three and nine months ended September 30, 2011 and 2010,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Investment in Refined Coal Facility </w:t>
      </w:r>
      <w:r>
        <w:rPr>
          <w:rFonts w:ascii="Arial" w:cs="Arial" w:eastAsia="Arial" w:hAnsi="Arial"/>
          <w:sz w:val="13"/>
          <w:szCs w:val="13"/>
          <w:color w:val="auto"/>
        </w:rPr>
        <w:t>— In January 2011, we acquired a noncontrolling interest in a limited liability company, which was established to invest in and manage a refined</w:t>
      </w:r>
      <w:r>
        <w:rPr>
          <w:rFonts w:ascii="Arial" w:cs="Arial" w:eastAsia="Arial" w:hAnsi="Arial"/>
          <w:sz w:val="13"/>
          <w:szCs w:val="13"/>
          <w:i w:val="1"/>
          <w:iCs w:val="1"/>
          <w:color w:val="auto"/>
        </w:rPr>
        <w:t xml:space="preserve"> </w:t>
      </w:r>
      <w:r>
        <w:rPr>
          <w:rFonts w:ascii="Arial" w:cs="Arial" w:eastAsia="Arial" w:hAnsi="Arial"/>
          <w:sz w:val="13"/>
          <w:szCs w:val="13"/>
          <w:color w:val="auto"/>
        </w:rPr>
        <w:t>coal facility. Along with the other equity investor, we support the operations of the entity in exchange for a pro-rata share of the tax credits it generates. Our initial consideration for this investment consisted of a cash payment of $48 million. At September 30, 2011, our investment balance was $42 million,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7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Investment in Federal Low-income Housing Tax Credits </w:t>
      </w:r>
      <w:r>
        <w:rPr>
          <w:rFonts w:ascii="Arial" w:cs="Arial" w:eastAsia="Arial" w:hAnsi="Arial"/>
          <w:sz w:val="12"/>
          <w:szCs w:val="12"/>
          <w:color w:val="auto"/>
        </w:rPr>
        <w:t>— In April 2010, we acquired a noncontrolling interest in a limited liability company established to invest in and manage</w:t>
      </w:r>
      <w:r>
        <w:rPr>
          <w:rFonts w:ascii="Arial" w:cs="Arial" w:eastAsia="Arial" w:hAnsi="Arial"/>
          <w:sz w:val="12"/>
          <w:szCs w:val="12"/>
          <w:i w:val="1"/>
          <w:iCs w:val="1"/>
          <w:color w:val="auto"/>
        </w:rPr>
        <w:t xml:space="preserve"> </w:t>
      </w:r>
      <w:r>
        <w:rPr>
          <w:rFonts w:ascii="Arial" w:cs="Arial" w:eastAsia="Arial" w:hAnsi="Arial"/>
          <w:sz w:val="12"/>
          <w:szCs w:val="12"/>
          <w:color w:val="auto"/>
        </w:rPr>
        <w:t>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September 30, 2011, our investment balance was $184 million and our debt balance was $181 million.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Trusts for Final Capping, Closure, Post-Closure or Environmental Remediation Obligations </w:t>
      </w:r>
      <w:r>
        <w:rPr>
          <w:rFonts w:ascii="Arial" w:cs="Arial" w:eastAsia="Arial" w:hAnsi="Arial"/>
          <w:sz w:val="13"/>
          <w:szCs w:val="13"/>
          <w:color w:val="auto"/>
        </w:rPr>
        <w:t>— We have significant financial interests in trust funds that were created to settle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of our final capping, closure, post-closure or environmental remediation obligations. We have determined that we are not the primary beneficiary of certain of these trust funds because power over the trusts’ significant activities is shared.</w:t>
      </w:r>
    </w:p>
    <w:p>
      <w:pPr>
        <w:spacing w:after="0" w:line="67"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Our interests in these variable interest entities are accounted for as equity investments in unconsolidated entities and receivables. These amounts are recorded in “Other receivables” and as long-term “Other assets” in our Condensed Consolidated Balance Sheet. Our investments and receivables related to the trusts had an aggregate carrying value of $108 million as of September 30, 2011. We reflect our interests in the unrealized gains and losses on marketable securities held by these trusts as a component of “Accumulated other comprehensive income.”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44"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September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11,911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11,911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11,664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14,576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(29,269)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7,569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(29,269)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2,393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5,846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5,948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14,134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(29,269)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14,134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15,472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(29,269)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11,991</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14,588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24,742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(29,269)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22,052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27</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2010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11,868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10,757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6,260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28</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Three Months Ended September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Costs and expenses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2,979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323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238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238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272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$ 272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20" w:type="dxa"/>
            <w:vAlign w:val="bottom"/>
            <w:gridSpan w:val="7"/>
          </w:tcPr>
          <w:p>
            <w:pPr>
              <w:jc w:val="center"/>
              <w:ind w:left="14"/>
              <w:spacing w:after="0"/>
              <w:rPr>
                <w:sz w:val="20"/>
                <w:szCs w:val="20"/>
                <w:color w:val="auto"/>
              </w:rPr>
            </w:pPr>
            <w:r>
              <w:rPr>
                <w:rFonts w:ascii="Arial" w:cs="Arial" w:eastAsia="Arial" w:hAnsi="Arial"/>
                <w:sz w:val="13"/>
                <w:szCs w:val="13"/>
                <w:b w:val="1"/>
                <w:bCs w:val="1"/>
                <w:color w:val="auto"/>
                <w:w w:val="91"/>
              </w:rPr>
              <w:t>Three Months Ended September 30, 2010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20" w:type="dxa"/>
            <w:vAlign w:val="bottom"/>
            <w:gridSpan w:val="4"/>
          </w:tcPr>
          <w:p>
            <w:pPr>
              <w:jc w:val="center"/>
              <w:ind w:left="91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Costs and expenses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$ 244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29</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Nine Months Ended September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Costs and expenses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8,496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850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865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(1,715)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840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(1,715)</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0"/>
              </w:rPr>
              <w:t>Nine Months Ended September 30, 2010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0" w:type="dxa"/>
            <w:vAlign w:val="bottom"/>
            <w:gridSpan w:val="4"/>
          </w:tcPr>
          <w:p>
            <w:pPr>
              <w:jc w:val="center"/>
              <w:ind w:left="8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Costs and expenses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7,786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819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808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5"/>
              <w:spacing w:after="0"/>
              <w:rPr>
                <w:sz w:val="20"/>
                <w:szCs w:val="20"/>
                <w:color w:val="auto"/>
              </w:rPr>
            </w:pPr>
            <w:r>
              <w:rPr>
                <w:rFonts w:ascii="Arial" w:cs="Arial" w:eastAsia="Arial" w:hAnsi="Arial"/>
                <w:sz w:val="13"/>
                <w:szCs w:val="13"/>
                <w:color w:val="auto"/>
                <w:w w:val="82"/>
              </w:rPr>
              <w:t>30</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Nine Months Ended September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1,009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(909)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(481)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31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Nine Months Ended September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672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(617)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457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 Pending Adoption</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Fair Value Measurement </w:t>
      </w:r>
      <w:r>
        <w:rPr>
          <w:rFonts w:ascii="Arial" w:cs="Arial" w:eastAsia="Arial" w:hAnsi="Arial"/>
          <w:sz w:val="12"/>
          <w:szCs w:val="12"/>
          <w:color w:val="auto"/>
        </w:rPr>
        <w:t>— In May 2011, the FASB amended authoritative guidance associated with fair value measurements. This amended guidance defines certain requirements</w:t>
      </w:r>
      <w:r>
        <w:rPr>
          <w:rFonts w:ascii="Arial" w:cs="Arial" w:eastAsia="Arial" w:hAnsi="Arial"/>
          <w:sz w:val="12"/>
          <w:szCs w:val="12"/>
          <w:i w:val="1"/>
          <w:iCs w:val="1"/>
          <w:color w:val="auto"/>
        </w:rPr>
        <w:t xml:space="preserve"> </w:t>
      </w:r>
      <w:r>
        <w:rPr>
          <w:rFonts w:ascii="Arial" w:cs="Arial" w:eastAsia="Arial" w:hAnsi="Arial"/>
          <w:sz w:val="12"/>
          <w:szCs w:val="12"/>
          <w:color w:val="auto"/>
        </w:rPr>
        <w:t>for measuring fair value and for disclosing information about fair value measurements in accordance with U.S. generally accepted accounting principles. The amendments to authoritative guidance associated with fair value measurements are effective for the Company on January 1, 2012 and are to be applied prospectively. We are in the process of assessing the provisions of this new guidance and currently do not expect that the adoption will have a material impact on our consolidated financial statements.</w:t>
      </w:r>
    </w:p>
    <w:p>
      <w:pPr>
        <w:spacing w:after="0" w:line="53"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Goodwill Impairment Testing </w:t>
      </w:r>
      <w:r>
        <w:rPr>
          <w:rFonts w:ascii="Arial" w:cs="Arial" w:eastAsia="Arial" w:hAnsi="Arial"/>
          <w:sz w:val="12"/>
          <w:szCs w:val="12"/>
          <w:color w:val="auto"/>
        </w:rPr>
        <w:t>— In September 2011, the FASB amended authoritative guidance associated with goodwill impairment testing. The amended guidance provides</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is permitted. We are in the process of assessing the provisions of this new guidance and currently do not expect that the adoption will have a material impact on our consolidated financial statements.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Multiemployer Pension Plans </w:t>
      </w:r>
      <w:r>
        <w:rPr>
          <w:rFonts w:ascii="Arial" w:cs="Arial" w:eastAsia="Arial" w:hAnsi="Arial"/>
          <w:sz w:val="13"/>
          <w:szCs w:val="13"/>
          <w:color w:val="auto"/>
        </w:rPr>
        <w:t>— In September 2011, the FASB amended authoritative guidance associated with disclosures about an employer’s participation in a multiemployer</w:t>
      </w:r>
      <w:r>
        <w:rPr>
          <w:rFonts w:ascii="Arial" w:cs="Arial" w:eastAsia="Arial" w:hAnsi="Arial"/>
          <w:sz w:val="13"/>
          <w:szCs w:val="13"/>
          <w:i w:val="1"/>
          <w:iCs w:val="1"/>
          <w:color w:val="auto"/>
        </w:rPr>
        <w:t xml:space="preserve"> </w:t>
      </w:r>
      <w:r>
        <w:rPr>
          <w:rFonts w:ascii="Arial" w:cs="Arial" w:eastAsia="Arial" w:hAnsi="Arial"/>
          <w:sz w:val="13"/>
          <w:szCs w:val="13"/>
          <w:color w:val="auto"/>
        </w:rPr>
        <w:t>plan. The amended disclosure requirements are intended to provide more information about an employer’s financial obligations to multiemployer plans and, therefore, help financial statement users better understand the financial health of all of the significant plans in which the employer participates. The revised standard is effective for fiscal years ending after December 15, 2011 and retrospective application is required for all years presented. We are in the process of assessing the provisions of this new guidance and currently do not expect that the adoption of these new disclosure requirements will have a material impact on our consolidated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2010.</w:t>
      </w:r>
    </w:p>
    <w:p>
      <w:pPr>
        <w:spacing w:after="0" w:line="67"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50"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Some of the risks that we face and that could affect our financial statements for 2011 and beyond and that could cause actual results to be materially different from those that may be set forth in forward-looking statements made by the Company include the following:</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and other general and local economic conditions may negatively affect the volumes of waste generated;</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9" w:lineRule="exact"/>
        <w:rPr>
          <w:rFonts w:ascii="Arial" w:cs="Arial" w:eastAsia="Arial" w:hAnsi="Arial"/>
          <w:sz w:val="13"/>
          <w:szCs w:val="13"/>
          <w:color w:val="auto"/>
        </w:rPr>
      </w:pPr>
    </w:p>
    <w:p>
      <w:pPr>
        <w:ind w:left="1280" w:right="440" w:hanging="190"/>
        <w:spacing w:after="0" w:line="320" w:lineRule="auto"/>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fail in implementing our optimization initiatives and business strategy, which could adversely impact our financial performance and growth;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weather conditions and one-time special projects cause our results to fluctuate, and harsh weather or natural disasters may cause us to temporarily suspend operations;</w:t>
      </w:r>
    </w:p>
    <w:p>
      <w:pPr>
        <w:spacing w:after="0" w:line="97" w:lineRule="exact"/>
        <w:rPr>
          <w:rFonts w:ascii="Arial" w:cs="Arial" w:eastAsia="Arial" w:hAnsi="Arial"/>
          <w:sz w:val="12"/>
          <w:szCs w:val="12"/>
          <w:color w:val="auto"/>
        </w:rPr>
      </w:pPr>
    </w:p>
    <w:p>
      <w:pPr>
        <w:ind w:left="1280" w:right="2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1280" w:right="160" w:hanging="190"/>
        <w:spacing w:after="0" w:line="320" w:lineRule="auto"/>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adverse publicity (whether or not justified) relating to activities by our operations, employees or agents could tarnish our reputation and reduce the value of our brand;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 could negatively impact our liquidity and increase our liabilities;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jc w:val="both"/>
        <w:ind w:left="1280" w:right="14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could face significant liability for withdrawal from multiemployer pension plans;</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reduce or suspend capital expenditures, acquisition activity, dividend declarations or share repurchases if we suffer a significant reduction in cash flows; and</w:t>
      </w:r>
    </w:p>
    <w:p>
      <w:pPr>
        <w:spacing w:after="0" w:line="97"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are the leading provider of comprehensive waste management services in North America. Our subsidiaries provide collection, transfer, recycling and disposal services. We are also a leading developer, operator and owner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waste-to-energy and landfill gas-to-energy facilities in the United States. Our customers include residential, commercial, industrial and municipal customers throughout North America.</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Our strategic focus is centered on three long-term goals: know more about our customers and how to service them than anyone else; use conversion and processing technology to extract more value from the materials we manage; and continuously improve our operational efficiency. Our strategy considers the increasing focus on waste reduction at the source and diversion from landfills as customers seek alternative methods of disposal. Accordingly, our strategic focus is reflective of current developments in our industry. We intend to pursue achievement of our long-term goals in the short-term through efforts to:</w:t>
      </w:r>
    </w:p>
    <w:p>
      <w:pPr>
        <w:spacing w:after="0" w:line="70" w:lineRule="exact"/>
        <w:rPr>
          <w:sz w:val="20"/>
          <w:szCs w:val="20"/>
          <w:color w:val="auto"/>
        </w:rPr>
      </w:pPr>
    </w:p>
    <w:p>
      <w:pPr>
        <w:ind w:left="1280" w:right="18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Grow our markets by implementing customer-focused growth, through customer segmentation and through strategic acquisitions, while maintaining our pricing discipline and increasing the amount of recyclable materials we handle each year;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Grow our customer loyalty;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Grow into new markets by investing in greener technologies;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Pursue initiatives that improve our operations and cost structure.</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These efforts will be enabled by improved information technologies. We believe that execution of our strategy, including making the investments required by our strategy, will provide long-term value to our stockholders.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third quarter of 2011 results of operations reflect the impact of improved recyclable commodity prices and recycling volumes, our discipline in pricing and our continued investment in our strategic initiatives, including our July 28, 2011 acquisition of the primary operations of Oakleaf Global Holdings. Highlights of our financial results for the current quarter include:</w:t>
      </w:r>
    </w:p>
    <w:p>
      <w:pPr>
        <w:spacing w:after="0" w:line="6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Revenues of $3,522 million compared with $3,235 million in the third quarter of 2010, an increase of $287 million, or 8.9%. This increase in revenues is primarily attributable to:</w:t>
      </w:r>
    </w:p>
    <w:p>
      <w:pPr>
        <w:spacing w:after="0" w:line="107" w:lineRule="exact"/>
        <w:rPr>
          <w:rFonts w:ascii="Arial" w:cs="Arial" w:eastAsia="Arial" w:hAnsi="Arial"/>
          <w:sz w:val="12"/>
          <w:szCs w:val="12"/>
          <w:color w:val="auto"/>
        </w:rPr>
      </w:pPr>
    </w:p>
    <w:p>
      <w:pPr>
        <w:ind w:left="1500" w:hanging="214"/>
        <w:spacing w:after="0"/>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Internal revenue growth from yield on our collection and disposal business of 1.6% in the current period, which increased revenue by $43 million;</w:t>
      </w:r>
    </w:p>
    <w:p>
      <w:pPr>
        <w:spacing w:after="0" w:line="86" w:lineRule="exact"/>
        <w:rPr>
          <w:rFonts w:ascii="Arial" w:cs="Arial" w:eastAsia="Arial" w:hAnsi="Arial"/>
          <w:sz w:val="13"/>
          <w:szCs w:val="13"/>
          <w:color w:val="auto"/>
        </w:rPr>
      </w:pPr>
    </w:p>
    <w:p>
      <w:pPr>
        <w:ind w:left="1500" w:right="400" w:hanging="214"/>
        <w:spacing w:after="0" w:line="276" w:lineRule="auto"/>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Increases from recyclable commodity prices of $104 million; increases primarily from our fuel surcharge program of $47 million; and increases from foreign currency translation of $11 million; and</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Increases associated with acquired businesses of $150 million, driven in large part by our acquisition of Oakleaf Global Holdings;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Internal revenue growth from volume was negative 2.0%, compared with negative 0.7% in 2010. The year-over-year decline in internal revenue growth due to volume was</w:t>
      </w:r>
    </w:p>
    <w:p>
      <w:pPr>
        <w:spacing w:after="0" w:line="26" w:lineRule="exact"/>
        <w:rPr>
          <w:rFonts w:ascii="Arial" w:cs="Arial" w:eastAsia="Arial" w:hAnsi="Arial"/>
          <w:sz w:val="12"/>
          <w:szCs w:val="12"/>
          <w:color w:val="auto"/>
        </w:rPr>
      </w:pPr>
    </w:p>
    <w:p>
      <w:pPr>
        <w:ind w:left="1280" w:right="220"/>
        <w:spacing w:after="0" w:line="258" w:lineRule="auto"/>
        <w:rPr>
          <w:rFonts w:ascii="Arial" w:cs="Arial" w:eastAsia="Arial" w:hAnsi="Arial"/>
          <w:sz w:val="12"/>
          <w:szCs w:val="12"/>
          <w:color w:val="auto"/>
        </w:rPr>
      </w:pPr>
      <w:r>
        <w:rPr>
          <w:rFonts w:ascii="Arial" w:cs="Arial" w:eastAsia="Arial" w:hAnsi="Arial"/>
          <w:sz w:val="13"/>
          <w:szCs w:val="13"/>
          <w:color w:val="auto"/>
        </w:rPr>
        <w:t>$64 million, of which $56 million relates to volume we received from the oil spill clean-up project in the gulf coast region in 2010. We continued to experience an increase in recycling volumes in both our brokerage business and our material recovery facilities, and when excluding volume associated with the oil spill clean-up project, our rate of volume decline improved over the prior year;</w:t>
      </w:r>
    </w:p>
    <w:p>
      <w:pPr>
        <w:spacing w:after="0" w:line="60" w:lineRule="exact"/>
        <w:rPr>
          <w:rFonts w:ascii="Arial" w:cs="Arial" w:eastAsia="Arial" w:hAnsi="Arial"/>
          <w:sz w:val="12"/>
          <w:szCs w:val="12"/>
          <w:color w:val="auto"/>
        </w:rPr>
      </w:pPr>
    </w:p>
    <w:p>
      <w:pPr>
        <w:ind w:left="128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Operating expenses of $2,261 million, or 64.2% of revenues, compared with $2,006 million, or 62.0% of revenues, in the third quarter of 2010. This increase of $255 million, or 12.7%, is due primarily to higher customer rebates because of higher recyclable commodity prices, increases resulting from acquisitions, growth initiatives and higher fuel prices, all of which have related revenue increases as noted above;</w:t>
      </w:r>
    </w:p>
    <w:p>
      <w:pPr>
        <w:spacing w:after="0" w:line="57"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Selling, general and administrative expenses increased by $11 million, or 3.0%, from $369 million in the third quarter of 2010 to $380 million in the third quarter of 2011, largely due to acquisitions and costs incurred to support our strategic growth plans and cost savings programs. We have begun to see the associated benefits of these programs and expect the benefits to accelerate into future quarters;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Income from operations of $543 million, or 15.4% of revenues, compared with $544 million, or 16.8% of revenues, in the third quarter of 2010; and</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 income attributable to Waste Management, Inc. of $272 million, or $0.58 per diluted share, as compared with $244 million, or $0.51 per diluted share in the third quarter of 2010.</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comparability of our third quarter of 2011 results with the third quarter of 2010 has been affected by certain items management believes are not representative or indicative of our performance. Our third quarter of 2011 results were affected by the following:</w:t>
      </w:r>
    </w:p>
    <w:p>
      <w:pPr>
        <w:spacing w:after="0" w:line="59" w:lineRule="exact"/>
        <w:rPr>
          <w:sz w:val="20"/>
          <w:szCs w:val="20"/>
          <w:color w:val="auto"/>
        </w:rPr>
      </w:pPr>
    </w:p>
    <w:p>
      <w:pPr>
        <w:ind w:left="1280" w:right="280" w:hanging="190"/>
        <w:spacing w:after="0" w:line="320" w:lineRule="auto"/>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recognition of pre-tax restructuring charges, excluding charges recognized in the operating results of Oakleaf, of $14 million related to our cost savings programs. These charges were primarily related to employee severance and benefit costs and had a negative impact of $0.02 on our diluted earnings per share;</w:t>
      </w:r>
    </w:p>
    <w:p>
      <w:pPr>
        <w:spacing w:after="0" w:line="25" w:lineRule="exact"/>
        <w:rPr>
          <w:rFonts w:ascii="Arial" w:cs="Arial" w:eastAsia="Arial" w:hAnsi="Arial"/>
          <w:sz w:val="12"/>
          <w:szCs w:val="12"/>
          <w:color w:val="auto"/>
        </w:rPr>
      </w:pPr>
    </w:p>
    <w:p>
      <w:pPr>
        <w:jc w:val="both"/>
        <w:ind w:left="1280" w:hanging="190"/>
        <w:spacing w:after="0" w:line="264"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recognition of net non-cash, pre-tax charges of $8 million arising from the accounting effect of lower ten-year Treasury rates, which are used to discount remediation reserves and related recovery assets at our landfills, offset in part by the favorable impact from a revision to an environmental remediation liability at a closed landfill. The net charges had a negative impact of $0.01 on our diluted earnings per share;</w:t>
      </w:r>
    </w:p>
    <w:p>
      <w:pPr>
        <w:spacing w:after="0" w:line="57"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reduction in pre-tax earnings of approximately $6 million related to the Oakleaf acquisition, which includes the operating results of Oakleaf and related interest expense and integration costs. These items had a negative impact of $0.01 on our diluted earnings per share;</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recognition of non-cash, pre-tax charges of $6 million related to impairments at two of our medical waste services facilities. The impairment charges had a negative impact of $0.01 on our diluted earnings per share; and</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recognition of a tax benefit of $10 million due to favorable tax audit settlements and favorable adjustments relating to the finalization of our 2010 tax returns. These items had a positive impact of $0.02 on our diluted earnings per share.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third quarter of 2010 results were affected by the following:</w:t>
      </w:r>
    </w:p>
    <w:p>
      <w:pPr>
        <w:spacing w:after="0" w:line="96" w:lineRule="exact"/>
        <w:rPr>
          <w:sz w:val="20"/>
          <w:szCs w:val="20"/>
          <w:color w:val="auto"/>
        </w:rPr>
      </w:pPr>
    </w:p>
    <w:p>
      <w:pPr>
        <w:ind w:left="1280" w:right="14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recognition of pre-tax, non-cash charges aggregating $18 million related to remediation and closure costs at three closed sites, which had a negative impact of $0.02 on our diluted earnings per share;</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recognition of a non-cash, pre-tax charge of $6 million arising from the accounting effect of lower ten-year Treasury rates, which are used to discount remediation reserves and related recovery assets at our landfills. This charge had a negative impact of $0.01 on our diluted earnings per share; and</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recognition of net tax charges of $4 million due to adjustments relating to the finalization of our 2009 tax returns, partially offset by favorable tax audit settlements, which, combined, had a negative impact of $0.01 on our diluted earnings per share.</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intend to continue our commitment to investing in and executing our strategy. On the revenue front, we continue to expect our overall revenue growth from yield to be approximately 2.0% for the full year. Additionally, based on our results in the first nine months of 2011 and our economic outlook for the remainder of the year, we continue to expect our revenue growth from volumes to be in the range of negative 1.5% to negative 2.5% for the full year.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left="120"/>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left="180"/>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51"/>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120"/>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center"/>
              <w:ind w:left="20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w w:val="89"/>
              </w:rPr>
              <w:t>2011</w:t>
            </w:r>
          </w:p>
        </w:tc>
        <w:tc>
          <w:tcPr>
            <w:tcW w:w="40" w:type="dxa"/>
            <w:vAlign w:val="bottom"/>
          </w:tcPr>
          <w:p>
            <w:pPr>
              <w:spacing w:after="0"/>
              <w:rPr>
                <w:sz w:val="8"/>
                <w:szCs w:val="8"/>
                <w:color w:val="auto"/>
              </w:rPr>
            </w:pPr>
          </w:p>
        </w:tc>
        <w:tc>
          <w:tcPr>
            <w:tcW w:w="760" w:type="dxa"/>
            <w:vAlign w:val="bottom"/>
            <w:gridSpan w:val="3"/>
          </w:tcPr>
          <w:p>
            <w:pPr>
              <w:jc w:val="right"/>
              <w:ind w:right="34"/>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2011</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1,653</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(313)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(262)</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(909)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assets(a)</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372</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424</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867</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952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80" w:right="80" w:hanging="393"/>
        <w:spacing w:after="0" w:line="371" w:lineRule="auto"/>
        <w:tabs>
          <w:tab w:leader="none" w:pos="10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Proceeds from divestitures of businesses for the three and nine months ended September 30, 2011 includes the receipt of a payment of $17 million related to a note receivable from a prior year divestiture. This repayment is included as a component of “Other” within “Cash flows from investing activities” in our Condensed Consolidated Statement of Cash Flows.</w:t>
      </w:r>
    </w:p>
    <w:p>
      <w:pPr>
        <w:spacing w:after="0" w:line="12"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cash flow from operating activities decreased $18 million in the third quarter of 2011 as compared with the third quarter of 2010 and increased $84 million during the nine months ended September 30, 2011 as compared with the same prior year period. Both comparisons were significantly affected by a decline in cash paid for income taxes, offset, to different extents, by non-recurring cash inflows to our operating cash during the three and nine months ended September 30, 2010. Our cash payments for income taxes decreased $55 million and $226 million in the three- and nine-month comparisons, respectively. In the second quarter of 2010, we received $77 million for a litigation settlement, and in the third quarter of 2010, we received a $65 million federal tax refund related to the liquidation of a foreign subsidiary in 2009.</w:t>
      </w:r>
    </w:p>
    <w:p>
      <w:pPr>
        <w:spacing w:after="0" w:line="71"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The increase in capital expenditures is a result of our increased spending on natural gas vehicles and fueling infrastructure, information technology infrastructure and growth initiatives and taking advantage of bonus depreciation legislation. The nine-month increase in capital expenditures was also affected by timing differences associated with cash payments for the previous years’ fourth quarter capital spending. We generally use a significant portion of our free cash flow on capital spending in the fourth quarter of each year. A more significant portion of our fourth quarter 2010 spending was paid in cash in the first quarter of 2011 than the amount of our fourth quarter 2009 spending that was paid in cash in the first quarter of 2010.</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Oakleaf Global Holdings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July 28, 2011, we paid $432 million, net of cash received of $4 million and inclusive of certain adjustments, to acquire Oakleaf Global Holdings and its primary operations. Oakleaf provides outsourced waste and recycling services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three and nine months ended September 30, 2011, we incurred $1 million of acquisition-related costs, which are classified as Selling, general and administrative expense. Since the acquisition date, Oakleaf has recognized revenues of $112 million and net losses of less than $1 million, which are included in our Condensed Consolidated Statement of Operations. We have recorded a preliminary allocation of the purchase price to Oakleaf tangible and intangible assets acquired and liabilities assumed based on their estimated fair values as of July 28,</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2011. The allocation of the purchase price shown in the table below is preliminary and subject to change based on the finalization of our detailed valuations. The preliminary purchase price allocation is as follows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Accounts and other receivables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320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Accounts payable</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Accrued liabilities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Deferred income taxes, net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Total purchase price</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432</w:t>
            </w:r>
          </w:p>
        </w:tc>
        <w:tc>
          <w:tcPr>
            <w:tcW w:w="0" w:type="dxa"/>
            <w:vAlign w:val="bottom"/>
          </w:tcPr>
          <w:p>
            <w:pPr>
              <w:spacing w:after="0"/>
              <w:rPr>
                <w:sz w:val="1"/>
                <w:szCs w:val="1"/>
                <w:color w:val="auto"/>
              </w:rPr>
            </w:pPr>
          </w:p>
        </w:tc>
      </w:tr>
      <w:tr>
        <w:trPr>
          <w:trHeight w:val="254"/>
        </w:trPr>
        <w:tc>
          <w:tcPr>
            <w:tcW w:w="8600" w:type="dxa"/>
            <w:vAlign w:val="bottom"/>
            <w:gridSpan w:val="4"/>
          </w:tcPr>
          <w:p>
            <w:pPr>
              <w:ind w:left="400"/>
              <w:spacing w:after="0"/>
              <w:rPr>
                <w:sz w:val="20"/>
                <w:szCs w:val="20"/>
                <w:color w:val="auto"/>
              </w:rPr>
            </w:pPr>
            <w:r>
              <w:rPr>
                <w:rFonts w:ascii="Arial" w:cs="Arial" w:eastAsia="Arial" w:hAnsi="Arial"/>
                <w:sz w:val="13"/>
                <w:szCs w:val="13"/>
                <w:color w:val="auto"/>
                <w:w w:val="95"/>
              </w:rPr>
              <w:t>The following table presents the preliminary allocation of the purchase price to intangible assets (amounts in millions, except for amortization periods):</w:t>
            </w:r>
          </w:p>
        </w:tc>
        <w:tc>
          <w:tcPr>
            <w:tcW w:w="10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center"/>
              <w:ind w:left="183"/>
              <w:spacing w:after="0"/>
              <w:rPr>
                <w:sz w:val="20"/>
                <w:szCs w:val="20"/>
                <w:color w:val="auto"/>
              </w:rPr>
            </w:pPr>
            <w:r>
              <w:rPr>
                <w:rFonts w:ascii="Arial" w:cs="Arial" w:eastAsia="Arial" w:hAnsi="Arial"/>
                <w:sz w:val="10"/>
                <w:szCs w:val="10"/>
                <w:b w:val="1"/>
                <w:bCs w:val="1"/>
                <w:color w:val="auto"/>
                <w:w w:val="93"/>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jc w:val="center"/>
              <w:ind w:left="163"/>
              <w:spacing w:after="0" w:line="108" w:lineRule="exact"/>
              <w:rPr>
                <w:sz w:val="20"/>
                <w:szCs w:val="20"/>
                <w:color w:val="auto"/>
              </w:rPr>
            </w:pPr>
            <w:r>
              <w:rPr>
                <w:rFonts w:ascii="Arial" w:cs="Arial" w:eastAsia="Arial" w:hAnsi="Arial"/>
                <w:sz w:val="10"/>
                <w:szCs w:val="10"/>
                <w:b w:val="1"/>
                <w:bCs w:val="1"/>
                <w:color w:val="auto"/>
                <w:w w:val="98"/>
              </w:rPr>
              <w:t>Amortization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1060" w:type="dxa"/>
            <w:vAlign w:val="bottom"/>
          </w:tcPr>
          <w:p>
            <w:pPr>
              <w:jc w:val="center"/>
              <w:ind w:left="183"/>
              <w:spacing w:after="0" w:line="108" w:lineRule="exact"/>
              <w:rPr>
                <w:sz w:val="20"/>
                <w:szCs w:val="20"/>
                <w:color w:val="auto"/>
              </w:rPr>
            </w:pPr>
            <w:r>
              <w:rPr>
                <w:rFonts w:ascii="Arial" w:cs="Arial" w:eastAsia="Arial" w:hAnsi="Arial"/>
                <w:sz w:val="10"/>
                <w:szCs w:val="10"/>
                <w:b w:val="1"/>
                <w:bCs w:val="1"/>
                <w:color w:val="auto"/>
                <w:w w:val="92"/>
              </w:rPr>
              <w:t>Periods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60" w:type="dxa"/>
            <w:vAlign w:val="bottom"/>
          </w:tcPr>
          <w:p>
            <w:pPr>
              <w:jc w:val="center"/>
              <w:ind w:left="163"/>
              <w:spacing w:after="0"/>
              <w:rPr>
                <w:sz w:val="20"/>
                <w:szCs w:val="20"/>
                <w:color w:val="auto"/>
              </w:rPr>
            </w:pPr>
            <w:r>
              <w:rPr>
                <w:rFonts w:ascii="Arial" w:cs="Arial" w:eastAsia="Arial" w:hAnsi="Arial"/>
                <w:sz w:val="10"/>
                <w:szCs w:val="10"/>
                <w:b w:val="1"/>
                <w:bCs w:val="1"/>
                <w:color w:val="auto"/>
                <w:w w:val="96"/>
              </w:rPr>
              <w:t>(in Years)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8"/>
              </w:rPr>
              <w:t>10.0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Vendor relationships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78"/>
              </w:rPr>
              <w:t>10.0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Trademarks</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8"/>
              </w:rPr>
              <w:t>15.0</w:t>
            </w:r>
          </w:p>
        </w:tc>
        <w:tc>
          <w:tcPr>
            <w:tcW w:w="0" w:type="dxa"/>
            <w:vAlign w:val="bottom"/>
          </w:tcPr>
          <w:p>
            <w:pPr>
              <w:spacing w:after="0"/>
              <w:rPr>
                <w:sz w:val="1"/>
                <w:szCs w:val="1"/>
                <w:color w:val="auto"/>
              </w:rPr>
            </w:pPr>
          </w:p>
        </w:tc>
      </w:tr>
      <w:tr>
        <w:trPr>
          <w:trHeight w:val="166"/>
        </w:trPr>
        <w:tc>
          <w:tcPr>
            <w:tcW w:w="7700" w:type="dxa"/>
            <w:vAlign w:val="bottom"/>
          </w:tcPr>
          <w:p>
            <w:pPr>
              <w:spacing w:after="0"/>
              <w:rPr>
                <w:sz w:val="20"/>
                <w:szCs w:val="20"/>
                <w:color w:val="auto"/>
              </w:rPr>
            </w:pPr>
            <w:r>
              <w:rPr>
                <w:rFonts w:ascii="Arial" w:cs="Arial" w:eastAsia="Arial" w:hAnsi="Arial"/>
                <w:sz w:val="13"/>
                <w:szCs w:val="13"/>
                <w:color w:val="auto"/>
              </w:rPr>
              <w:t>Total intangible assets subject to amortization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78"/>
              </w:rPr>
              <w:t>10.5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Goodwill of $320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 network expands our partnership with third-party service providers. In many cases we can provide vendor haulers with opportunities to maintain and increase their business by utilizing our extensive post-collection network. We believe this will generate significant benefits for the Company and for the vendor haulers. Goodwill acquired will be allocated to our operating segments upon completion of our detailed valuations. Goodwill is not deductible for income tax purposes.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pro forma consolidated results of operations have been prepared as if the acquisition of Oakleaf occurred at January 1, 2010 (in millions, except per share amounts):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40" w:type="dxa"/>
            <w:vAlign w:val="bottom"/>
            <w:gridSpan w:val="4"/>
          </w:tcPr>
          <w:p>
            <w:pPr>
              <w:jc w:val="center"/>
              <w:ind w:left="320"/>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3"/>
          </w:tcPr>
          <w:p>
            <w:pPr>
              <w:jc w:val="center"/>
              <w:ind w:left="320"/>
              <w:spacing w:after="0"/>
              <w:rPr>
                <w:sz w:val="20"/>
                <w:szCs w:val="20"/>
                <w:color w:val="auto"/>
              </w:rPr>
            </w:pPr>
            <w:r>
              <w:rPr>
                <w:rFonts w:ascii="Arial" w:cs="Arial" w:eastAsia="Arial" w:hAnsi="Arial"/>
                <w:sz w:val="10"/>
                <w:szCs w:val="10"/>
                <w:b w:val="1"/>
                <w:bCs w:val="1"/>
                <w:color w:val="auto"/>
                <w:w w:val="96"/>
              </w:rPr>
              <w:t>Nine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8"/>
              </w:rPr>
              <w:t>Ended</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6600" w:type="dxa"/>
            <w:vAlign w:val="bottom"/>
          </w:tcPr>
          <w:p>
            <w:pPr>
              <w:spacing w:after="0"/>
              <w:rPr>
                <w:sz w:val="10"/>
                <w:szCs w:val="10"/>
                <w:color w:val="auto"/>
              </w:rPr>
            </w:pPr>
          </w:p>
        </w:tc>
        <w:tc>
          <w:tcPr>
            <w:tcW w:w="1040" w:type="dxa"/>
            <w:vAlign w:val="bottom"/>
            <w:tcBorders>
              <w:bottom w:val="single" w:sz="8" w:color="auto"/>
            </w:tcBorders>
            <w:gridSpan w:val="4"/>
          </w:tcPr>
          <w:p>
            <w:pPr>
              <w:jc w:val="center"/>
              <w:ind w:left="340"/>
              <w:spacing w:after="0"/>
              <w:rPr>
                <w:sz w:val="20"/>
                <w:szCs w:val="20"/>
                <w:color w:val="auto"/>
              </w:rPr>
            </w:pPr>
            <w:r>
              <w:rPr>
                <w:rFonts w:ascii="Arial" w:cs="Arial" w:eastAsia="Arial" w:hAnsi="Arial"/>
                <w:sz w:val="10"/>
                <w:szCs w:val="10"/>
                <w:b w:val="1"/>
                <w:bCs w:val="1"/>
                <w:color w:val="auto"/>
                <w:w w:val="93"/>
              </w:rPr>
              <w:t>September 30,</w:t>
            </w: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0"/>
                <w:szCs w:val="10"/>
                <w:b w:val="1"/>
                <w:bCs w:val="1"/>
                <w:color w:val="auto"/>
                <w:w w:val="90"/>
              </w:rPr>
              <w:t>September 30,</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600" w:type="dxa"/>
            <w:vAlign w:val="bottom"/>
          </w:tcPr>
          <w:p>
            <w:pPr>
              <w:spacing w:after="0"/>
              <w:rPr>
                <w:sz w:val="8"/>
                <w:szCs w:val="8"/>
                <w:color w:val="auto"/>
              </w:rPr>
            </w:pPr>
          </w:p>
        </w:tc>
        <w:tc>
          <w:tcPr>
            <w:tcW w:w="520" w:type="dxa"/>
            <w:vAlign w:val="bottom"/>
            <w:tcBorders>
              <w:bottom w:val="single" w:sz="8" w:color="auto"/>
            </w:tcBorders>
          </w:tcPr>
          <w:p>
            <w:pPr>
              <w:jc w:val="right"/>
              <w:ind w:right="100"/>
              <w:spacing w:after="0" w:line="98" w:lineRule="exact"/>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r>
      <w:tr>
        <w:trPr>
          <w:trHeight w:val="29"/>
        </w:trPr>
        <w:tc>
          <w:tcPr>
            <w:tcW w:w="6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3,566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10,287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9,740</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Net income attributable to Waste Management, Inc.</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272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580" w:type="dxa"/>
            <w:vAlign w:val="bottom"/>
          </w:tcPr>
          <w:p>
            <w:pPr>
              <w:jc w:val="right"/>
              <w:spacing w:after="0"/>
              <w:rPr>
                <w:sz w:val="20"/>
                <w:szCs w:val="20"/>
                <w:color w:val="auto"/>
              </w:rPr>
            </w:pPr>
            <w:r>
              <w:rPr>
                <w:rFonts w:ascii="Arial" w:cs="Arial" w:eastAsia="Arial" w:hAnsi="Arial"/>
                <w:sz w:val="13"/>
                <w:szCs w:val="13"/>
                <w:color w:val="auto"/>
              </w:rPr>
              <w:t>689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660</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0.58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r>
      <w:tr>
        <w:trPr>
          <w:trHeight w:val="165"/>
        </w:trPr>
        <w:tc>
          <w:tcPr>
            <w:tcW w:w="660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0.58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0.50</w:t>
            </w:r>
          </w:p>
        </w:tc>
        <w:tc>
          <w:tcPr>
            <w:tcW w:w="580" w:type="dxa"/>
            <w:vAlign w:val="bottom"/>
          </w:tcPr>
          <w:p>
            <w:pPr>
              <w:jc w:val="right"/>
              <w:spacing w:after="0"/>
              <w:rPr>
                <w:sz w:val="20"/>
                <w:szCs w:val="20"/>
                <w:color w:val="auto"/>
              </w:rPr>
            </w:pPr>
            <w:r>
              <w:rPr>
                <w:rFonts w:ascii="Arial" w:cs="Arial" w:eastAsia="Arial" w:hAnsi="Arial"/>
                <w:sz w:val="13"/>
                <w:szCs w:val="13"/>
                <w:color w:val="auto"/>
              </w:rPr>
              <w:t>1.45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Financial Accounting Standards Board (“FASB”) amended authoritative guidance associated with multiple-deliverable revenue 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71" w:lineRule="auto"/>
        <w:rPr>
          <w:sz w:val="20"/>
          <w:szCs w:val="20"/>
          <w:color w:val="auto"/>
        </w:rPr>
      </w:pPr>
      <w:r>
        <w:rPr>
          <w:rFonts w:ascii="Arial" w:cs="Arial" w:eastAsia="Arial" w:hAnsi="Arial"/>
          <w:sz w:val="11"/>
          <w:szCs w:val="11"/>
          <w:color w:val="auto"/>
        </w:rPr>
        <w:t>been applied prospectively to arrangements entered into or materially modified after the date of adoption. The adoption of this guidance has not had a material impact on our consolidated financial statements. However, our adoption of this guidance may significantly impact our accounting and reporting for future revenue arrangements to the extent they are material.</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Pronouncements Pending Adoption</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Fair Value Measurement </w:t>
      </w:r>
      <w:r>
        <w:rPr>
          <w:rFonts w:ascii="Arial" w:cs="Arial" w:eastAsia="Arial" w:hAnsi="Arial"/>
          <w:sz w:val="12"/>
          <w:szCs w:val="12"/>
          <w:color w:val="auto"/>
        </w:rPr>
        <w:t>— In May 2011, the FASB amended authoritative guidance associated with fair value measurements. This amended guidance defines certain requirements</w:t>
      </w:r>
      <w:r>
        <w:rPr>
          <w:rFonts w:ascii="Arial" w:cs="Arial" w:eastAsia="Arial" w:hAnsi="Arial"/>
          <w:sz w:val="12"/>
          <w:szCs w:val="12"/>
          <w:i w:val="1"/>
          <w:iCs w:val="1"/>
          <w:color w:val="auto"/>
        </w:rPr>
        <w:t xml:space="preserve"> </w:t>
      </w:r>
      <w:r>
        <w:rPr>
          <w:rFonts w:ascii="Arial" w:cs="Arial" w:eastAsia="Arial" w:hAnsi="Arial"/>
          <w:sz w:val="12"/>
          <w:szCs w:val="12"/>
          <w:color w:val="auto"/>
        </w:rPr>
        <w:t>for measuring fair value and for disclosing information about fair value measurements in accordance with U.S. generally accepted accounting principles. The amendments to authoritative guidance associated with fair value measurements are effective for the Company on January 1, 2012 and are to be applied prospectively. We are in the process of assessing the provisions of this new guidance and currently do not expect that the adoption will have a material impact on our consolidated financial statements.</w:t>
      </w:r>
    </w:p>
    <w:p>
      <w:pPr>
        <w:spacing w:after="0" w:line="5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Goodwill Impairment Testing </w:t>
      </w:r>
      <w:r>
        <w:rPr>
          <w:rFonts w:ascii="Arial" w:cs="Arial" w:eastAsia="Arial" w:hAnsi="Arial"/>
          <w:sz w:val="13"/>
          <w:szCs w:val="13"/>
          <w:color w:val="auto"/>
        </w:rPr>
        <w:t>— In September 2011, the FASB amended authoritative guidance associated with goodwill impairment testing. The amended guidance provides</w:t>
      </w:r>
      <w:r>
        <w:rPr>
          <w:rFonts w:ascii="Arial" w:cs="Arial" w:eastAsia="Arial" w:hAnsi="Arial"/>
          <w:sz w:val="13"/>
          <w:szCs w:val="13"/>
          <w:i w:val="1"/>
          <w:iCs w:val="1"/>
          <w:color w:val="auto"/>
        </w:rPr>
        <w:t xml:space="preserve"> </w:t>
      </w:r>
      <w:r>
        <w:rPr>
          <w:rFonts w:ascii="Arial" w:cs="Arial" w:eastAsia="Arial" w:hAnsi="Arial"/>
          <w:sz w:val="13"/>
          <w:szCs w:val="13"/>
          <w:color w:val="auto"/>
        </w:rPr>
        <w:t>companies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is permitted. We are in the process of assessing the provisions of this new guidance and currently do not expect that the adoption will have a material impact on our consolidated financial statements.</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Multiemployer Pension Plans </w:t>
      </w:r>
      <w:r>
        <w:rPr>
          <w:rFonts w:ascii="Arial" w:cs="Arial" w:eastAsia="Arial" w:hAnsi="Arial"/>
          <w:sz w:val="13"/>
          <w:szCs w:val="13"/>
          <w:color w:val="auto"/>
        </w:rPr>
        <w:t>— In September 2011, the FASB amended authoritative guidance associated with disclosures about an employer’s participation in a multiemployer</w:t>
      </w:r>
      <w:r>
        <w:rPr>
          <w:rFonts w:ascii="Arial" w:cs="Arial" w:eastAsia="Arial" w:hAnsi="Arial"/>
          <w:sz w:val="13"/>
          <w:szCs w:val="13"/>
          <w:i w:val="1"/>
          <w:iCs w:val="1"/>
          <w:color w:val="auto"/>
        </w:rPr>
        <w:t xml:space="preserve"> </w:t>
      </w:r>
      <w:r>
        <w:rPr>
          <w:rFonts w:ascii="Arial" w:cs="Arial" w:eastAsia="Arial" w:hAnsi="Arial"/>
          <w:sz w:val="13"/>
          <w:szCs w:val="13"/>
          <w:color w:val="auto"/>
        </w:rPr>
        <w:t>plan. The amended disclosure requirements are intended to provide more information about an employer’s financial obligations to multiemployer plans and, therefore, help financial statement users better understand the financial health of all of the significant plans in which the employer participates. The revised standard is effective for fiscal years ending after December 15, 2011 and retrospective application is required for all years presented. We are in the process of assessing the provisions of this new guidance and currently do not expect that the adoption of these new disclosure requirements will have a material impact on our consolidated financial statements.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2010. Actual results could differ materially from the estimates and assumptions that we use in the preparation of our financial statements.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manage and evaluate our principal operations through five Groups. Our four geographic Groups, comprised of our Eastern, Midwest, Southern and Western Groups, provide collection, transfer, disposal (in both solid waste and hazardous waste landfills) and recycling services. Our fifth Group is the Wheelabrator Group,</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which provides waste-to-energy services and manages waste-to-energy facilities and independent power production plants.</w:t>
      </w:r>
    </w:p>
    <w:p>
      <w:pPr>
        <w:spacing w:after="0" w:line="96" w:lineRule="exact"/>
        <w:rPr>
          <w:sz w:val="20"/>
          <w:szCs w:val="20"/>
          <w:color w:val="auto"/>
        </w:rPr>
      </w:pPr>
    </w:p>
    <w:p>
      <w:pPr>
        <w:ind w:left="680" w:right="960" w:firstLine="399"/>
        <w:spacing w:after="0" w:line="285" w:lineRule="auto"/>
        <w:rPr>
          <w:sz w:val="20"/>
          <w:szCs w:val="20"/>
          <w:color w:val="auto"/>
        </w:rPr>
      </w:pPr>
      <w:r>
        <w:rPr>
          <w:rFonts w:ascii="Arial" w:cs="Arial" w:eastAsia="Arial" w:hAnsi="Arial"/>
          <w:sz w:val="12"/>
          <w:szCs w:val="12"/>
          <w:color w:val="auto"/>
        </w:rPr>
        <w:t>We also provide additional services that are not managed through our five Groups, including our recent acquisition of Oakleaf, recycling brokerage services, electronic recycling services, in-plant services, landfill gas-to-energy services, and integrated medical waste services. Part of our expansion of service offerings and solutions includes portable self-storage services and fluorescent bulb and universal waste mail-back through our LampTracker</w:t>
      </w:r>
      <w:r>
        <w:rPr>
          <w:rFonts w:ascii="Arial" w:cs="Arial" w:eastAsia="Arial" w:hAnsi="Arial"/>
          <w:sz w:val="10"/>
          <w:szCs w:val="10"/>
          <w:color w:val="auto"/>
        </w:rPr>
        <w:t>®</w:t>
      </w:r>
      <w:r>
        <w:rPr>
          <w:rFonts w:ascii="Arial" w:cs="Arial" w:eastAsia="Arial" w:hAnsi="Arial"/>
          <w:sz w:val="12"/>
          <w:szCs w:val="12"/>
          <w:color w:val="auto"/>
        </w:rPr>
        <w:t xml:space="preserve"> program. In addition, we have made investments that involve the acquisition and development of interests in oil and gas producing properties, and we will continue to consider similar investments in the future. These operations are presented as “Other” in the table below. Shown below (in millions) is the contribution to revenues during each period provided by our five Groups and our Other services: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2011</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2011</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2,326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847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792</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2,403</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2,553</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841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2,456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228</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664</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462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1,085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(509)</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(1,515)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3,522</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3,235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9,972</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9,328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65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2011</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2011</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6,287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690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674</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1,940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965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228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664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438</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210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404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(509)</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(1,515)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3,522</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3,235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9,972</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9,328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500" w:type="dxa"/>
            <w:vAlign w:val="bottom"/>
          </w:tcPr>
          <w:p>
            <w:pPr>
              <w:ind w:left="4940"/>
              <w:spacing w:after="0"/>
              <w:rPr>
                <w:sz w:val="20"/>
                <w:szCs w:val="20"/>
                <w:color w:val="auto"/>
              </w:rPr>
            </w:pPr>
            <w:r>
              <w:rPr>
                <w:rFonts w:ascii="Arial" w:cs="Arial" w:eastAsia="Arial" w:hAnsi="Arial"/>
                <w:sz w:val="13"/>
                <w:szCs w:val="13"/>
                <w:color w:val="auto"/>
              </w:rPr>
              <w:t>41</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4"/>
          </w:tcPr>
          <w:p>
            <w:pPr>
              <w:jc w:val="center"/>
              <w:ind w:right="880"/>
              <w:spacing w:after="0"/>
              <w:rPr>
                <w:sz w:val="20"/>
                <w:szCs w:val="20"/>
                <w:color w:val="auto"/>
              </w:rPr>
            </w:pPr>
            <w:r>
              <w:rPr>
                <w:rFonts w:ascii="Arial" w:cs="Arial" w:eastAsia="Arial" w:hAnsi="Arial"/>
                <w:sz w:val="10"/>
                <w:szCs w:val="10"/>
                <w:b w:val="1"/>
                <w:bCs w:val="1"/>
                <w:color w:val="auto"/>
                <w:w w:val="94"/>
              </w:rPr>
              <w:t>Period-to-Period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tcPr>
          <w:p>
            <w:pPr>
              <w:jc w:val="center"/>
              <w:ind w:right="940"/>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6"/>
              </w:rPr>
              <w:t>Change for the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gridSpan w:val="5"/>
          </w:tcPr>
          <w:p>
            <w:pPr>
              <w:jc w:val="center"/>
              <w:ind w:right="600"/>
              <w:spacing w:after="0" w:line="108" w:lineRule="exact"/>
              <w:rPr>
                <w:sz w:val="20"/>
                <w:szCs w:val="20"/>
                <w:color w:val="auto"/>
              </w:rPr>
            </w:pPr>
            <w:r>
              <w:rPr>
                <w:rFonts w:ascii="Arial" w:cs="Arial" w:eastAsia="Arial" w:hAnsi="Arial"/>
                <w:sz w:val="10"/>
                <w:szCs w:val="10"/>
                <w:b w:val="1"/>
                <w:bCs w:val="1"/>
                <w:color w:val="auto"/>
                <w:w w:val="97"/>
              </w:rPr>
              <w:t>Three Months Ended</w:t>
            </w:r>
          </w:p>
        </w:tc>
        <w:tc>
          <w:tcPr>
            <w:tcW w:w="160" w:type="dxa"/>
            <w:vAlign w:val="bottom"/>
          </w:tcPr>
          <w:p>
            <w:pPr>
              <w:spacing w:after="0"/>
              <w:rPr>
                <w:sz w:val="9"/>
                <w:szCs w:val="9"/>
                <w:color w:val="auto"/>
              </w:rPr>
            </w:pPr>
          </w:p>
        </w:tc>
        <w:tc>
          <w:tcPr>
            <w:tcW w:w="1740" w:type="dxa"/>
            <w:vAlign w:val="bottom"/>
            <w:gridSpan w:val="5"/>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Nine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tcPr>
          <w:p>
            <w:pPr>
              <w:jc w:val="center"/>
              <w:ind w:right="96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3"/>
          </w:tcPr>
          <w:p>
            <w:pPr>
              <w:jc w:val="center"/>
              <w:ind w:right="940"/>
              <w:spacing w:after="0"/>
              <w:rPr>
                <w:sz w:val="20"/>
                <w:szCs w:val="20"/>
                <w:color w:val="auto"/>
              </w:rPr>
            </w:pPr>
            <w:r>
              <w:rPr>
                <w:rFonts w:ascii="Arial" w:cs="Arial" w:eastAsia="Arial" w:hAnsi="Arial"/>
                <w:sz w:val="10"/>
                <w:szCs w:val="10"/>
                <w:b w:val="1"/>
                <w:bCs w:val="1"/>
                <w:color w:val="auto"/>
                <w:w w:val="90"/>
              </w:rPr>
              <w:t>2011 vs. 2010</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0"/>
              </w:rPr>
              <w:t>2011 vs. 2010</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540" w:type="dxa"/>
            <w:vAlign w:val="bottom"/>
            <w:gridSpan w:val="3"/>
            <w:vMerge w:val="restart"/>
          </w:tcPr>
          <w:p>
            <w:pPr>
              <w:jc w:val="right"/>
              <w:ind w:right="6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560" w:type="dxa"/>
            <w:vAlign w:val="bottom"/>
            <w:gridSpan w:val="3"/>
            <w:vMerge w:val="restart"/>
          </w:tcPr>
          <w:p>
            <w:pPr>
              <w:jc w:val="right"/>
              <w:ind w:right="6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Company(a)</w:t>
            </w:r>
          </w:p>
        </w:tc>
        <w:tc>
          <w:tcPr>
            <w:tcW w:w="5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191</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526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Volume</w:t>
            </w:r>
          </w:p>
        </w:tc>
        <w:tc>
          <w:tcPr>
            <w:tcW w:w="1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1640" w:type="dxa"/>
            <w:vAlign w:val="bottom"/>
            <w:gridSpan w:val="3"/>
          </w:tcPr>
          <w:p>
            <w:pPr>
              <w:jc w:val="right"/>
              <w:ind w:right="36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(167)</w:t>
            </w:r>
          </w:p>
        </w:tc>
        <w:tc>
          <w:tcPr>
            <w:tcW w:w="1340" w:type="dxa"/>
            <w:vAlign w:val="bottom"/>
            <w:gridSpan w:val="3"/>
          </w:tcPr>
          <w:p>
            <w:pPr>
              <w:jc w:val="right"/>
              <w:ind w:right="6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127</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359</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80" w:type="dxa"/>
            <w:vAlign w:val="bottom"/>
          </w:tcPr>
          <w:p>
            <w:pPr>
              <w:spacing w:after="0"/>
              <w:rPr>
                <w:sz w:val="13"/>
                <w:szCs w:val="13"/>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150</w:t>
            </w:r>
          </w:p>
        </w:tc>
        <w:tc>
          <w:tcPr>
            <w:tcW w:w="1640" w:type="dxa"/>
            <w:vAlign w:val="bottom"/>
            <w:gridSpan w:val="3"/>
          </w:tcPr>
          <w:p>
            <w:pPr>
              <w:jc w:val="right"/>
              <w:ind w:right="400"/>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3"/>
                <w:szCs w:val="13"/>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3"/>
                <w:szCs w:val="13"/>
                <w:color w:val="auto"/>
              </w:rPr>
              <w:t>255</w:t>
            </w:r>
          </w:p>
        </w:tc>
        <w:tc>
          <w:tcPr>
            <w:tcW w:w="1340" w:type="dxa"/>
            <w:vAlign w:val="bottom"/>
            <w:gridSpan w:val="3"/>
          </w:tcPr>
          <w:p>
            <w:pPr>
              <w:jc w:val="right"/>
              <w:ind w:right="12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180" w:type="dxa"/>
            <w:vAlign w:val="bottom"/>
          </w:tcPr>
          <w:p>
            <w:pPr>
              <w:spacing w:after="0"/>
              <w:rPr>
                <w:sz w:val="13"/>
                <w:szCs w:val="13"/>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11</w:t>
            </w:r>
          </w:p>
        </w:tc>
        <w:tc>
          <w:tcPr>
            <w:tcW w:w="1640" w:type="dxa"/>
            <w:vAlign w:val="bottom"/>
            <w:gridSpan w:val="3"/>
          </w:tcPr>
          <w:p>
            <w:pPr>
              <w:jc w:val="right"/>
              <w:ind w:right="400"/>
              <w:spacing w:after="0"/>
              <w:rPr>
                <w:sz w:val="20"/>
                <w:szCs w:val="20"/>
                <w:color w:val="auto"/>
              </w:rPr>
            </w:pPr>
            <w:r>
              <w:rPr>
                <w:rFonts w:ascii="Arial" w:cs="Arial" w:eastAsia="Arial" w:hAnsi="Arial"/>
                <w:sz w:val="13"/>
                <w:szCs w:val="13"/>
                <w:color w:val="auto"/>
              </w:rPr>
              <w:t>0.4</w:t>
            </w:r>
          </w:p>
        </w:tc>
        <w:tc>
          <w:tcPr>
            <w:tcW w:w="160" w:type="dxa"/>
            <w:vAlign w:val="bottom"/>
          </w:tcPr>
          <w:p>
            <w:pPr>
              <w:spacing w:after="0"/>
              <w:rPr>
                <w:sz w:val="13"/>
                <w:szCs w:val="13"/>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3"/>
                <w:szCs w:val="13"/>
                <w:color w:val="auto"/>
              </w:rPr>
              <w:t>32</w:t>
            </w:r>
          </w:p>
        </w:tc>
        <w:tc>
          <w:tcPr>
            <w:tcW w:w="1340" w:type="dxa"/>
            <w:vAlign w:val="bottom"/>
            <w:gridSpan w:val="3"/>
          </w:tcPr>
          <w:p>
            <w:pPr>
              <w:jc w:val="right"/>
              <w:ind w:right="1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287</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8.9%</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644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60" w:hanging="393"/>
        <w:spacing w:after="0" w:line="276"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Calculated by dividing the amount of current period increase or decrease by the prior period’s total Company revenue adjusted to exclude the impacts of divestitures for the current period ($3,234 million and $9,326 million for the three- and nine-month periods, respectively).</w:t>
      </w:r>
    </w:p>
    <w:p>
      <w:pPr>
        <w:spacing w:after="0" w:line="10" w:lineRule="exact"/>
        <w:rPr>
          <w:rFonts w:ascii="Arial" w:cs="Arial" w:eastAsia="Arial" w:hAnsi="Arial"/>
          <w:sz w:val="13"/>
          <w:szCs w:val="13"/>
          <w:color w:val="auto"/>
        </w:rPr>
      </w:pPr>
    </w:p>
    <w:p>
      <w:pPr>
        <w:ind w:left="1080" w:right="80" w:hanging="393"/>
        <w:spacing w:after="0" w:line="264"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4"/>
          </w:tcPr>
          <w:p>
            <w:pPr>
              <w:jc w:val="center"/>
              <w:ind w:right="680"/>
              <w:spacing w:after="0"/>
              <w:rPr>
                <w:sz w:val="20"/>
                <w:szCs w:val="20"/>
                <w:color w:val="auto"/>
              </w:rPr>
            </w:pPr>
            <w:r>
              <w:rPr>
                <w:rFonts w:ascii="Arial" w:cs="Arial" w:eastAsia="Arial" w:hAnsi="Arial"/>
                <w:sz w:val="10"/>
                <w:szCs w:val="10"/>
                <w:b w:val="1"/>
                <w:bCs w:val="1"/>
                <w:color w:val="auto"/>
                <w:w w:val="94"/>
              </w:rPr>
              <w:t>Period-to-Period</w:t>
            </w:r>
          </w:p>
        </w:tc>
        <w:tc>
          <w:tcPr>
            <w:tcW w:w="180" w:type="dxa"/>
            <w:vAlign w:val="bottom"/>
          </w:tcPr>
          <w:p>
            <w:pPr>
              <w:spacing w:after="0"/>
              <w:rPr>
                <w:sz w:val="10"/>
                <w:szCs w:val="10"/>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tcPr>
          <w:p>
            <w:pPr>
              <w:jc w:val="center"/>
              <w:ind w:right="680"/>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180" w:type="dxa"/>
            <w:vAlign w:val="bottom"/>
          </w:tcPr>
          <w:p>
            <w:pPr>
              <w:spacing w:after="0"/>
              <w:rPr>
                <w:sz w:val="9"/>
                <w:szCs w:val="9"/>
                <w:color w:val="auto"/>
              </w:rPr>
            </w:pPr>
          </w:p>
        </w:tc>
        <w:tc>
          <w:tcPr>
            <w:tcW w:w="1500" w:type="dxa"/>
            <w:vAlign w:val="bottom"/>
            <w:gridSpan w:val="4"/>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Change for the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tcPr>
          <w:p>
            <w:pPr>
              <w:jc w:val="center"/>
              <w:ind w:right="660"/>
              <w:spacing w:after="0" w:line="108" w:lineRule="exact"/>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Pr>
          <w:p>
            <w:pPr>
              <w:spacing w:after="0"/>
              <w:rPr>
                <w:sz w:val="9"/>
                <w:szCs w:val="9"/>
                <w:color w:val="auto"/>
              </w:rPr>
            </w:pPr>
          </w:p>
        </w:tc>
        <w:tc>
          <w:tcPr>
            <w:tcW w:w="1500" w:type="dxa"/>
            <w:vAlign w:val="bottom"/>
            <w:gridSpan w:val="4"/>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Nine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tcPr>
          <w:p>
            <w:pPr>
              <w:jc w:val="center"/>
              <w:ind w:right="66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80" w:type="dxa"/>
            <w:vAlign w:val="bottom"/>
          </w:tcPr>
          <w:p>
            <w:pPr>
              <w:spacing w:after="0"/>
              <w:rPr>
                <w:sz w:val="9"/>
                <w:szCs w:val="9"/>
                <w:color w:val="auto"/>
              </w:rPr>
            </w:pPr>
          </w:p>
        </w:tc>
        <w:tc>
          <w:tcPr>
            <w:tcW w:w="1500" w:type="dxa"/>
            <w:vAlign w:val="bottom"/>
            <w:gridSpan w:val="4"/>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4"/>
          </w:tcPr>
          <w:p>
            <w:pPr>
              <w:jc w:val="center"/>
              <w:ind w:right="680"/>
              <w:spacing w:after="0"/>
              <w:rPr>
                <w:sz w:val="20"/>
                <w:szCs w:val="20"/>
                <w:color w:val="auto"/>
              </w:rPr>
            </w:pPr>
            <w:r>
              <w:rPr>
                <w:rFonts w:ascii="Arial" w:cs="Arial" w:eastAsia="Arial" w:hAnsi="Arial"/>
                <w:sz w:val="10"/>
                <w:szCs w:val="10"/>
                <w:b w:val="1"/>
                <w:bCs w:val="1"/>
                <w:color w:val="auto"/>
                <w:w w:val="90"/>
              </w:rPr>
              <w:t>2011 vs. 2010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93"/>
              </w:rPr>
              <w:t>2011 vs. 2010</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6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95"/>
              </w:rPr>
              <w:t>Amount</w:t>
            </w:r>
          </w:p>
        </w:tc>
        <w:tc>
          <w:tcPr>
            <w:tcW w:w="130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9"/>
              </w:rPr>
              <w:t>Related</w:t>
            </w: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8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88"/>
              </w:rPr>
              <w:t>Business(i)</w:t>
            </w:r>
          </w:p>
        </w:tc>
        <w:tc>
          <w:tcPr>
            <w:tcW w:w="4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Business(i)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Collection, landfill and transfer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45</w:t>
            </w:r>
          </w:p>
        </w:tc>
        <w:tc>
          <w:tcPr>
            <w:tcW w:w="40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1.7%</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155</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Waste-to-energy disposal(ii)</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3"/>
                <w:szCs w:val="13"/>
                <w:color w:val="auto"/>
              </w:rPr>
              <w:t>Collection and disposal(ii)</w:t>
            </w: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400" w:type="dxa"/>
            <w:vAlign w:val="bottom"/>
          </w:tcPr>
          <w:p>
            <w:pPr>
              <w:spacing w:after="0"/>
              <w:rPr>
                <w:sz w:val="13"/>
                <w:szCs w:val="13"/>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3"/>
                <w:szCs w:val="13"/>
                <w:color w:val="auto"/>
              </w:rPr>
              <w:t>1.6</w:t>
            </w: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4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34.9</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Electricity(ii)</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300" w:type="dxa"/>
            <w:vAlign w:val="bottom"/>
            <w:gridSpan w:val="2"/>
          </w:tcPr>
          <w:p>
            <w:pPr>
              <w:jc w:val="right"/>
              <w:ind w:right="580"/>
              <w:spacing w:after="0"/>
              <w:rPr>
                <w:sz w:val="20"/>
                <w:szCs w:val="20"/>
                <w:color w:val="auto"/>
              </w:rPr>
            </w:pPr>
            <w:r>
              <w:rPr>
                <w:rFonts w:ascii="Arial" w:cs="Arial" w:eastAsia="Arial" w:hAnsi="Arial"/>
                <w:sz w:val="13"/>
                <w:szCs w:val="13"/>
                <w:color w:val="auto"/>
              </w:rPr>
              <w:t>(4.1)</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4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41.2</w:t>
            </w:r>
          </w:p>
        </w:tc>
        <w:tc>
          <w:tcPr>
            <w:tcW w:w="1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66"/>
        </w:trPr>
        <w:tc>
          <w:tcPr>
            <w:tcW w:w="6100" w:type="dxa"/>
            <w:vAlign w:val="bottom"/>
            <w:gridSpan w:val="2"/>
          </w:tcPr>
          <w:p>
            <w:pPr>
              <w:spacing w:after="0"/>
              <w:rPr>
                <w:sz w:val="20"/>
                <w:szCs w:val="20"/>
                <w:color w:val="auto"/>
              </w:rPr>
            </w:pPr>
            <w:r>
              <w:rPr>
                <w:rFonts w:ascii="Arial" w:cs="Arial" w:eastAsia="Arial" w:hAnsi="Arial"/>
                <w:sz w:val="13"/>
                <w:szCs w:val="13"/>
                <w:color w:val="auto"/>
              </w:rPr>
              <w:t>Total</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40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5.9%</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60" w:hanging="493"/>
        <w:spacing w:after="0" w:line="371" w:lineRule="auto"/>
        <w:tabs>
          <w:tab w:leader="none" w:pos="11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nine months ended September 30, 2010 adjusted to exclude the impacts of divestitures:</w:t>
      </w: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42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Denominator</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1"/>
        </w:trPr>
        <w:tc>
          <w:tcPr>
            <w:tcW w:w="6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Three Months</w:t>
            </w:r>
          </w:p>
        </w:tc>
        <w:tc>
          <w:tcPr>
            <w:tcW w:w="120" w:type="dxa"/>
            <w:vAlign w:val="bottom"/>
          </w:tcPr>
          <w:p>
            <w:pPr>
              <w:spacing w:after="0"/>
              <w:rPr>
                <w:sz w:val="7"/>
                <w:szCs w:val="7"/>
                <w:color w:val="auto"/>
              </w:rPr>
            </w:pPr>
          </w:p>
        </w:tc>
        <w:tc>
          <w:tcPr>
            <w:tcW w:w="780" w:type="dxa"/>
            <w:vAlign w:val="bottom"/>
          </w:tcPr>
          <w:p>
            <w:pPr>
              <w:jc w:val="center"/>
              <w:ind w:right="59"/>
              <w:spacing w:after="0" w:line="81" w:lineRule="exact"/>
              <w:rPr>
                <w:sz w:val="20"/>
                <w:szCs w:val="20"/>
                <w:color w:val="auto"/>
              </w:rPr>
            </w:pPr>
            <w:r>
              <w:rPr>
                <w:rFonts w:ascii="Arial" w:cs="Arial" w:eastAsia="Arial" w:hAnsi="Arial"/>
                <w:sz w:val="9"/>
                <w:szCs w:val="9"/>
                <w:b w:val="1"/>
                <w:bCs w:val="1"/>
                <w:color w:val="auto"/>
              </w:rPr>
              <w:t>Nine Months</w:t>
            </w:r>
          </w:p>
        </w:tc>
        <w:tc>
          <w:tcPr>
            <w:tcW w:w="80" w:type="dxa"/>
            <w:vAlign w:val="bottom"/>
          </w:tcPr>
          <w:p>
            <w:pPr>
              <w:spacing w:after="0"/>
              <w:rPr>
                <w:sz w:val="7"/>
                <w:szCs w:val="7"/>
                <w:color w:val="auto"/>
              </w:rPr>
            </w:pPr>
          </w:p>
        </w:tc>
      </w:tr>
      <w:tr>
        <w:trPr>
          <w:trHeight w:val="108"/>
        </w:trPr>
        <w:tc>
          <w:tcPr>
            <w:tcW w:w="6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25"/>
        </w:trPr>
        <w:tc>
          <w:tcPr>
            <w:tcW w:w="6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September 30</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September 30</w:t>
            </w:r>
          </w:p>
        </w:tc>
      </w:tr>
      <w:tr>
        <w:trPr>
          <w:trHeight w:val="29"/>
        </w:trPr>
        <w:tc>
          <w:tcPr>
            <w:tcW w:w="66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Related business revenues: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668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2,624</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7,583</w:t>
            </w:r>
          </w:p>
        </w:tc>
      </w:tr>
      <w:tr>
        <w:trPr>
          <w:trHeight w:val="157"/>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3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3"/>
                <w:szCs w:val="13"/>
                <w:color w:val="auto"/>
              </w:rPr>
            </w:pPr>
          </w:p>
        </w:tc>
      </w:tr>
      <w:tr>
        <w:trPr>
          <w:trHeight w:val="156"/>
        </w:trPr>
        <w:tc>
          <w:tcPr>
            <w:tcW w:w="6680" w:type="dxa"/>
            <w:vAlign w:val="bottom"/>
          </w:tcPr>
          <w:p>
            <w:pPr>
              <w:spacing w:after="0"/>
              <w:rPr>
                <w:sz w:val="20"/>
                <w:szCs w:val="20"/>
                <w:color w:val="auto"/>
              </w:rPr>
            </w:pPr>
            <w:r>
              <w:rPr>
                <w:rFonts w:ascii="Arial" w:cs="Arial" w:eastAsia="Arial" w:hAnsi="Arial"/>
                <w:sz w:val="13"/>
                <w:szCs w:val="13"/>
                <w:color w:val="auto"/>
              </w:rPr>
              <w:t>Collection and disposal</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2,748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7,930</w:t>
            </w:r>
          </w:p>
        </w:tc>
      </w:tr>
      <w:tr>
        <w:trPr>
          <w:trHeight w:val="15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868</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Electricity</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202</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3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3"/>
                <w:szCs w:val="13"/>
                <w:color w:val="auto"/>
              </w:rPr>
            </w:pPr>
          </w:p>
        </w:tc>
      </w:tr>
      <w:tr>
        <w:trPr>
          <w:trHeight w:val="166"/>
        </w:trPr>
        <w:tc>
          <w:tcPr>
            <w:tcW w:w="6680" w:type="dxa"/>
            <w:vAlign w:val="bottom"/>
          </w:tcPr>
          <w:p>
            <w:pPr>
              <w:spacing w:after="0"/>
              <w:rPr>
                <w:sz w:val="20"/>
                <w:szCs w:val="20"/>
                <w:color w:val="auto"/>
              </w:rPr>
            </w:pPr>
            <w:r>
              <w:rPr>
                <w:rFonts w:ascii="Arial" w:cs="Arial" w:eastAsia="Arial" w:hAnsi="Arial"/>
                <w:sz w:val="13"/>
                <w:szCs w:val="13"/>
                <w:color w:val="auto"/>
              </w:rPr>
              <w:t>Total Company</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3,234</w:t>
            </w:r>
          </w:p>
        </w:tc>
        <w:tc>
          <w:tcPr>
            <w:tcW w:w="3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9,326</w:t>
            </w: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1180" w:right="20" w:hanging="493"/>
        <w:spacing w:after="0" w:line="276"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Average revenue growth from yield for “Collection and disposal” excludes all electricity-related revenues generated by our Wheelabrator Group, which are reported as “Electricity” revenues.</w:t>
      </w:r>
    </w:p>
    <w:p>
      <w:pPr>
        <w:spacing w:after="0" w:line="59"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Our revenues increased $287 million, or 8.9%, for the three months ended September 30, 2011 as compared with the prior year period and $644 million, or 6.9%, for the nine months ended September 30, 2011 as compared with the prior year period. During the three- and nine-month periods, our current period revenue growth has been driven by (i) market factors, including higher recyclable commodity prices; higher diesel fuel prices, which increase revenues provided by our fuel surcharge program; and foreign currency translation, which affects revenues from our Canadian operations; (ii) revenue growth from average yield on our collection and disposal operations; and (iii) acquisitions, particularly the acquisition of Oakleaf, which increased consolidated revenues by $106 million for the three and nine months ended September 30, 2011. Offsetting these revenue increases were revenue declines due to lower volumes.</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For the first nine months of 2011, our revenue growth from yield on our collection and disposal lines of business was $155 million, or 2.0%. This increase in revenue from yield was primarily driven by our collection operations, which experienced yield growth in all lines of business and in every geographic operating Group. As discussed below, increased collection revenues due to average yield have been more than offset by revenue declines from lower collection volumes. However, revenue growth from yield on base business and our efforts toward controlling variable costs continue to favorably influence margin changes in our collection line of business.</w:t>
      </w:r>
    </w:p>
    <w:p>
      <w:pPr>
        <w:spacing w:after="0" w:line="7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The current quarter revenue growth from collection and disposal average yield was $43 million, or 1.6%, as compared with the prior year period. This revenue increase from yield was primarily driven by our collection operations; however, we also experienced yield growth from our disposal operations. Our 1.6% increase for the three months ended September 30, 2011 is less than the 2.0% increase for the nine-month period. This is due in large part to our residential line of business, in which we have experienced downward pressure on our revenue growth from yield across most of our geographic Groups, most notably in our Eastern and Southern Groups. Because it has become increasingly difficult to retain customers and to win new contracts at current average rates due to competition, the Company, in many instances, has offered increased services, principally recycling services, without a commensurate rate increase when bidding on or renewing residential contracts. In addition, the subscription component of our residential business is experiencing similar competitive challenges. This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combination of increased competition and bundling of certain complementary services in the residential line of business has put added pressure on our revenue growth from yield.</w:t>
      </w:r>
    </w:p>
    <w:p>
      <w:pPr>
        <w:spacing w:after="0" w:line="108"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total collection and disposal revenue growth from yield has also been negatively affected during the third quarter of 2011 by other factors, primarily in our Southern Group, including the negative effect of changes in the mix of our temporary and permanent customers in our industrial business, particularly in North and South Florida. Overall, we have found that increasing our revenue growth from yield in today’s market is a challenge given the reduced volume levels resulting from the economic slowdown, the increased service offerings in many of our new contracts, and the highly competitive environment. Additionally, a significant portion of our collection revenues are generated under long-term franchise agreements with municipalities or similar local or regional authorities. Price adjustments under these agreements are typically based on inflation indices, which have been at historic lows over the past two years, although recent data has trended upward. Despite this headwind, we are committed to maintaining pricing discipline in order to improve revenue growth from yield on our base business for the remainder of 2011.</w:t>
      </w:r>
    </w:p>
    <w:p>
      <w:pPr>
        <w:spacing w:after="0" w:line="7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Revenues from our environmental fee, which are included in average revenue growth from yield on collection and disposal, increased $8 million for the three month year-over-year comparison, and increased $20 million for the nine month year-over-year comparison. These revenues were $77 million and $206 million during the three and nine months ended September 30, 2011, respectively, as compared with $69 million and $186 million, respectively, in the comparable prior year periods.</w:t>
      </w:r>
    </w:p>
    <w:p>
      <w:pPr>
        <w:spacing w:after="0" w:line="67"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i w:val="1"/>
          <w:iCs w:val="1"/>
          <w:color w:val="auto"/>
        </w:rPr>
        <w:t xml:space="preserve">Recycling commodities </w:t>
      </w:r>
      <w:r>
        <w:rPr>
          <w:rFonts w:ascii="Arial" w:cs="Arial" w:eastAsia="Arial" w:hAnsi="Arial"/>
          <w:sz w:val="13"/>
          <w:szCs w:val="13"/>
          <w:color w:val="auto"/>
        </w:rPr>
        <w:t>— Increases in the prices of the recycling commodities we process resulted in an increase in revenues of $104 million for the three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2011 and $236 million for the nine months ended September 30, 2011 as compared with the respective prior year periods. For the first nine months of 2011, our overall commodity prices have increased approximately 26% as compared with the first nine months of the prior year.</w:t>
      </w:r>
    </w:p>
    <w:p>
      <w:pPr>
        <w:spacing w:after="0" w:line="67"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i w:val="1"/>
          <w:iCs w:val="1"/>
          <w:color w:val="auto"/>
        </w:rPr>
        <w:t xml:space="preserve">Fuel surcharges and mandated fees — </w:t>
      </w:r>
      <w:r>
        <w:rPr>
          <w:rFonts w:ascii="Arial" w:cs="Arial" w:eastAsia="Arial" w:hAnsi="Arial"/>
          <w:sz w:val="12"/>
          <w:szCs w:val="12"/>
          <w:color w:val="auto"/>
        </w:rPr>
        <w:t>These revenues, which are predominantly generated by our fuel surcharge program, increased by $47 million and $135 million during the three</w:t>
      </w:r>
      <w:r>
        <w:rPr>
          <w:rFonts w:ascii="Arial" w:cs="Arial" w:eastAsia="Arial" w:hAnsi="Arial"/>
          <w:sz w:val="12"/>
          <w:szCs w:val="12"/>
          <w:i w:val="1"/>
          <w:iCs w:val="1"/>
          <w:color w:val="auto"/>
        </w:rPr>
        <w:t xml:space="preserve"> </w:t>
      </w:r>
      <w:r>
        <w:rPr>
          <w:rFonts w:ascii="Arial" w:cs="Arial" w:eastAsia="Arial" w:hAnsi="Arial"/>
          <w:sz w:val="12"/>
          <w:szCs w:val="12"/>
          <w:color w:val="auto"/>
        </w:rPr>
        <w:t>and nine months ended September 30, 2011, respectively. This increase is directly attributable to higher national average prices for diesel fuel that we use for our fuel surcharge program. 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53"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Our revenue decline due to volume was $64 million, or 2.0%, and $167 million, or 1.8%, for the three and nine months ended September 30, 2011, respectively. Volume</w:t>
      </w:r>
      <w:r>
        <w:rPr>
          <w:rFonts w:ascii="Arial" w:cs="Arial" w:eastAsia="Arial" w:hAnsi="Arial"/>
          <w:sz w:val="13"/>
          <w:szCs w:val="13"/>
          <w:i w:val="1"/>
          <w:iCs w:val="1"/>
          <w:color w:val="auto"/>
        </w:rPr>
        <w:t xml:space="preserve"> </w:t>
      </w:r>
      <w:r>
        <w:rPr>
          <w:rFonts w:ascii="Arial" w:cs="Arial" w:eastAsia="Arial" w:hAnsi="Arial"/>
          <w:sz w:val="13"/>
          <w:szCs w:val="13"/>
          <w:color w:val="auto"/>
        </w:rPr>
        <w:t>declines are generally attributable to economic conditions, pricing, competition and increasing focus on waste reduction and diversion by consumers. Additionally, the oil spill clean-up project in the gulf coast region in 2010 unfavorably impacted our year-over-year volume change by $56 million and $66 million for the three and nine months ended September 30, 2011, respectively.</w:t>
      </w:r>
    </w:p>
    <w:p>
      <w:pPr>
        <w:spacing w:after="0" w:line="7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Volume declines from our collection business accounted for $102 million and $274 million of volume-related revenue decline for the three and nine months ended September 30, 2011, respectively. For the first nine months of 2011, we experienced commercial and residential collection revenue declines due to lower volume that we attribute to the overall weakness in the economy, as well as the effects of pricing, competition and diversion of waste by consumers. Our industrial collection operations continued to be affected by the current economic environment due to the construction slowdown across the United States. Lower third-party volumes in our transfer station operations also caused revenue declines in the current year period and can generally be attributed to economic conditions and the effects of pricing and competition. Furthermore, as discussed above, the overall year-over-year comparison of volumes in the collection line of business was unfavorably impacted by volume we received from the oil spill clean-up project in the gulf coast region in 2010. Additionally, for the first nine months of 2011, we experienced revenue declines due to lower volumes at our waste-to-energy facilities, primarily driven by the expiration of a long-term electric power capacity agreement on December 31, 2010, although these declines were offset, to some extent, by volume-related revenue increases associated with an increase in tons of waste processed by our waste-to-energy plants and electricity production.</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Revenue declines due to volume detailed above were offset in part by revenue increases of $24 million and $95 million for the three and nine months ended September 30, 2011, respectively, primarily from year-over-year volume improvements in our recycling brokerage business and in our material recovery facilities. Our continued pursuit of municipal volumes as well as the addition of new single stream recycling facilities during 2011 contributed to these revenue increases due to volume. We also experienced volume-related revenue increases of $9 million and $33 million for the three and nine months ended September 30, 2011, respectively, from our strategic growth businesses and our landfill gas-to-energy operations. Additionally, our total landfill revenues increased $3 million and $12 million due to higher third-party volumes during the three and nine months ended September 30, 2011, respectively, as compared with the same prior year periods. However, our landfill municipal solid waste volumes continued to decline during the three and nine months ended September 30, 2011 as compared with the same prior year periods due to economic conditions, increased pricing, competition and increased focus on waste reduction and diversion by consumers.</w:t>
      </w:r>
    </w:p>
    <w:p>
      <w:pPr>
        <w:spacing w:after="0" w:line="5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continue to strive for positive revenue growth from volumes; however, the impacts of (i) the continued weakness of the overall economic environment on our commercial and residential businesses; (ii) increasing focus on waste reduction and diversion by consumers; and (iii) pricing and competition continue to present challenges to maintaining and growing volumes.</w:t>
      </w:r>
    </w:p>
    <w:p>
      <w:pPr>
        <w:spacing w:after="0" w:line="67" w:lineRule="exact"/>
        <w:rPr>
          <w:sz w:val="20"/>
          <w:szCs w:val="20"/>
          <w:color w:val="auto"/>
        </w:rPr>
      </w:pPr>
    </w:p>
    <w:p>
      <w:pPr>
        <w:jc w:val="both"/>
        <w:ind w:left="680" w:right="400" w:firstLine="399"/>
        <w:spacing w:after="0" w:line="371" w:lineRule="auto"/>
        <w:rPr>
          <w:sz w:val="20"/>
          <w:szCs w:val="20"/>
          <w:color w:val="auto"/>
        </w:rPr>
      </w:pPr>
      <w:r>
        <w:rPr>
          <w:rFonts w:ascii="Arial" w:cs="Arial" w:eastAsia="Arial" w:hAnsi="Arial"/>
          <w:sz w:val="11"/>
          <w:szCs w:val="11"/>
          <w:i w:val="1"/>
          <w:iCs w:val="1"/>
          <w:color w:val="auto"/>
        </w:rPr>
        <w:t xml:space="preserve">Acquisitions and divestitures </w:t>
      </w:r>
      <w:r>
        <w:rPr>
          <w:rFonts w:ascii="Arial" w:cs="Arial" w:eastAsia="Arial" w:hAnsi="Arial"/>
          <w:sz w:val="11"/>
          <w:szCs w:val="11"/>
          <w:color w:val="auto"/>
        </w:rPr>
        <w:t>— Revenue increased $150 million and $255 million for the three and nine months ended September 30, 2011, respectively, due to acquisitions,</w:t>
      </w:r>
      <w:r>
        <w:rPr>
          <w:rFonts w:ascii="Arial" w:cs="Arial" w:eastAsia="Arial" w:hAnsi="Arial"/>
          <w:sz w:val="11"/>
          <w:szCs w:val="11"/>
          <w:i w:val="1"/>
          <w:iCs w:val="1"/>
          <w:color w:val="auto"/>
        </w:rPr>
        <w:t xml:space="preserve"> </w:t>
      </w:r>
      <w:r>
        <w:rPr>
          <w:rFonts w:ascii="Arial" w:cs="Arial" w:eastAsia="Arial" w:hAnsi="Arial"/>
          <w:sz w:val="11"/>
          <w:szCs w:val="11"/>
          <w:color w:val="auto"/>
        </w:rPr>
        <w:t>principally associated with Oakleaf in our “Other” businesses, demonstrating our current focus on identifying strategic growth opportunities in new, complementary lines of business.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Our operating expenses increased $255 million, or 12.7%, and $513 million, or 8.7%, when comparing the three and nine months ended September 30, 2011 with the comparable prior-year periods, respectively. Our operating expenses as a percentage of revenues increased from 62.0% in the third quarter of 2010 to 64.2% in the current quarter, and increased from 63.1% for the nine months ended September 30, 2010 to 64.1% for the nine months ended September 30, 2011. The changes in our operating expenses during the three and nine months ended September 30, 2011 can largely be attributed to the following:</w:t>
      </w:r>
    </w:p>
    <w:p>
      <w:pPr>
        <w:spacing w:after="0" w:line="70" w:lineRule="exact"/>
        <w:rPr>
          <w:sz w:val="20"/>
          <w:szCs w:val="20"/>
          <w:color w:val="auto"/>
        </w:rPr>
      </w:pPr>
    </w:p>
    <w:p>
      <w:pPr>
        <w:ind w:left="1280" w:right="140" w:hanging="190"/>
        <w:spacing w:after="0" w:line="285" w:lineRule="auto"/>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Higher market prices for recyclable commodities — </w:t>
      </w:r>
      <w:r>
        <w:rPr>
          <w:rFonts w:ascii="Arial" w:cs="Arial" w:eastAsia="Arial" w:hAnsi="Arial"/>
          <w:sz w:val="12"/>
          <w:szCs w:val="12"/>
          <w:color w:val="auto"/>
        </w:rPr>
        <w:t>Overall, market prices for recyclable commodities increased approximately 26% as compared with prior year levels on a</w:t>
      </w:r>
      <w:r>
        <w:rPr>
          <w:rFonts w:ascii="Arial" w:cs="Arial" w:eastAsia="Arial" w:hAnsi="Arial"/>
          <w:sz w:val="12"/>
          <w:szCs w:val="12"/>
          <w:i w:val="1"/>
          <w:iCs w:val="1"/>
          <w:color w:val="auto"/>
        </w:rPr>
        <w:t xml:space="preserve"> </w:t>
      </w:r>
      <w:r>
        <w:rPr>
          <w:rFonts w:ascii="Arial" w:cs="Arial" w:eastAsia="Arial" w:hAnsi="Arial"/>
          <w:sz w:val="12"/>
          <w:szCs w:val="12"/>
          <w:color w:val="auto"/>
        </w:rPr>
        <w:t>year-to-date basis. The year-over-year increase is the result of the continued increase in recyclable commodity prices from the near-historic lows reached in late 2008 and early 2009. In March 2011, market prices almost attained the decade-high levels reached during the third quarter of 2008. Market pricing held very close to these levels during the second quarter of 2011 and, in the third quarter of 2011, reached new all time highs. This increase in market prices was the main driver of the current quarter increase in cost of goods sold, primarily customer recycling rebates, as presented in the table below and has also resulted in increased revenues and earnings this year;</w:t>
      </w:r>
    </w:p>
    <w:p>
      <w:pPr>
        <w:spacing w:after="0" w:line="45" w:lineRule="exact"/>
        <w:rPr>
          <w:rFonts w:ascii="Arial" w:cs="Arial" w:eastAsia="Arial" w:hAnsi="Arial"/>
          <w:sz w:val="12"/>
          <w:szCs w:val="12"/>
          <w:color w:val="auto"/>
        </w:rPr>
      </w:pPr>
    </w:p>
    <w:p>
      <w:pPr>
        <w:ind w:left="1280" w:right="140" w:hanging="190"/>
        <w:spacing w:after="0" w:line="289" w:lineRule="auto"/>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Fuel cost increases — </w:t>
      </w:r>
      <w:r>
        <w:rPr>
          <w:rFonts w:ascii="Arial" w:cs="Arial" w:eastAsia="Arial" w:hAnsi="Arial"/>
          <w:sz w:val="12"/>
          <w:szCs w:val="12"/>
          <w:color w:val="auto"/>
        </w:rPr>
        <w:t>On average, diesel fuel prices increased 32% from $2.94 per gallon in the third quarter of 2010 to $3.87 per gallon in the third quarter of 2011. On a</w:t>
      </w:r>
      <w:r>
        <w:rPr>
          <w:rFonts w:ascii="Arial" w:cs="Arial" w:eastAsia="Arial" w:hAnsi="Arial"/>
          <w:sz w:val="12"/>
          <w:szCs w:val="12"/>
          <w:i w:val="1"/>
          <w:iCs w:val="1"/>
          <w:color w:val="auto"/>
        </w:rPr>
        <w:t xml:space="preserve"> </w:t>
      </w:r>
      <w:r>
        <w:rPr>
          <w:rFonts w:ascii="Arial" w:cs="Arial" w:eastAsia="Arial" w:hAnsi="Arial"/>
          <w:sz w:val="12"/>
          <w:szCs w:val="12"/>
          <w:color w:val="auto"/>
        </w:rPr>
        <w:t>year-to-date basis, diesel fuel prices increased 31% from $2.94 per gallon in the first nine months of 2010 to $3.84 per gallon in the first nine months of 2011. Higher fuel costs caused increases in both our direct fuel costs and in the fuel component of our subcontractor costs for the three and nine months ended September 30, 2011. The unfavorable impact of year-over-year increases in fuel prices on our operating costs was offset by increased revenues attributable to our fuel surcharge program;</w:t>
      </w:r>
    </w:p>
    <w:p>
      <w:pPr>
        <w:spacing w:after="0" w:line="43" w:lineRule="exact"/>
        <w:rPr>
          <w:rFonts w:ascii="Arial" w:cs="Arial" w:eastAsia="Arial" w:hAnsi="Arial"/>
          <w:sz w:val="12"/>
          <w:szCs w:val="12"/>
          <w:color w:val="auto"/>
        </w:rPr>
      </w:pPr>
    </w:p>
    <w:p>
      <w:pPr>
        <w:ind w:left="1280" w:hanging="190"/>
        <w:spacing w:after="0" w:line="258"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 </w:t>
      </w:r>
      <w:r>
        <w:rPr>
          <w:rFonts w:ascii="Arial" w:cs="Arial" w:eastAsia="Arial" w:hAnsi="Arial"/>
          <w:sz w:val="13"/>
          <w:szCs w:val="13"/>
          <w:color w:val="auto"/>
        </w:rPr>
        <w:t>We have experienced cost increases attributable to recently acquired businesses and, to a lesser extent,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We estimate that these cost increases affected each of the operating cost categories identified in the table below and accounted for over 40% of our total $513 million year-to-date increase in operating expenses. Our acquisition of Oakleaf increased operating costs by $91 million in the current quarter, primarily impacting subcontractor costs and, to a lesser extent, the cost of goods sold and other categories. The increase in operating expenses resulting from acquired businesses was more than offset by increased revenues from acquired businesses; and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0" w:hanging="190"/>
        <w:spacing w:after="0" w:line="260"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Volume declines — </w:t>
      </w:r>
      <w:r>
        <w:rPr>
          <w:rFonts w:ascii="Arial" w:cs="Arial" w:eastAsia="Arial" w:hAnsi="Arial"/>
          <w:sz w:val="13"/>
          <w:szCs w:val="13"/>
          <w:color w:val="auto"/>
        </w:rPr>
        <w:t>During the three and nine months ended September 30, 2011, we continued to experience volume declines as a result of the ongoing weakness of the overall</w:t>
      </w:r>
      <w:r>
        <w:rPr>
          <w:rFonts w:ascii="Arial" w:cs="Arial" w:eastAsia="Arial" w:hAnsi="Arial"/>
          <w:sz w:val="13"/>
          <w:szCs w:val="13"/>
          <w:i w:val="1"/>
          <w:iCs w:val="1"/>
          <w:color w:val="auto"/>
        </w:rPr>
        <w:t xml:space="preserve"> </w:t>
      </w:r>
      <w:r>
        <w:rPr>
          <w:rFonts w:ascii="Arial" w:cs="Arial" w:eastAsia="Arial" w:hAnsi="Arial"/>
          <w:sz w:val="13"/>
          <w:szCs w:val="13"/>
          <w:color w:val="auto"/>
        </w:rPr>
        <w:t>economic environment, pricing, competition and increased focus on waste reduction and diversion by consumers. We continue to manage our fixed costs and reduce our variable costs as we experience volume declines and have achieved cost savings as a result. These cost decreases have benefited each of the operating cost categories identified in the table below.</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which include the impact of foreign currency translation, for the three- and nine-month periods ended September 30 (dollars in millions):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4"/>
          </w:tcPr>
          <w:p>
            <w:pPr>
              <w:jc w:val="center"/>
              <w:ind w:left="159"/>
              <w:spacing w:after="0"/>
              <w:rPr>
                <w:sz w:val="20"/>
                <w:szCs w:val="20"/>
                <w:color w:val="auto"/>
              </w:rPr>
            </w:pPr>
            <w:r>
              <w:rPr>
                <w:rFonts w:ascii="Arial" w:cs="Arial" w:eastAsia="Arial" w:hAnsi="Arial"/>
                <w:sz w:val="9"/>
                <w:szCs w:val="9"/>
                <w:b w:val="1"/>
                <w:bCs w:val="1"/>
                <w:color w:val="auto"/>
                <w:w w:val="94"/>
              </w:rPr>
              <w:t>Three Months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9"/>
                <w:szCs w:val="9"/>
                <w:b w:val="1"/>
                <w:bCs w:val="1"/>
                <w:color w:val="auto"/>
                <w:w w:val="96"/>
              </w:rPr>
              <w:t>Nine Months</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4"/>
              </w:rPr>
              <w:t>Ended</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Period-to-</w:t>
            </w: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tcPr>
          <w:p>
            <w:pPr>
              <w:jc w:val="center"/>
              <w:ind w:right="620"/>
              <w:spacing w:after="0" w:line="98" w:lineRule="exact"/>
              <w:rPr>
                <w:sz w:val="20"/>
                <w:szCs w:val="20"/>
                <w:color w:val="auto"/>
              </w:rPr>
            </w:pPr>
            <w:r>
              <w:rPr>
                <w:rFonts w:ascii="Arial" w:cs="Arial" w:eastAsia="Arial" w:hAnsi="Arial"/>
                <w:sz w:val="9"/>
                <w:szCs w:val="9"/>
                <w:b w:val="1"/>
                <w:bCs w:val="1"/>
                <w:color w:val="auto"/>
                <w:w w:val="87"/>
              </w:rPr>
              <w:t>Ended</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Period-to-</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1"/>
        </w:trPr>
        <w:tc>
          <w:tcPr>
            <w:tcW w:w="4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center"/>
              <w:ind w:left="159"/>
              <w:spacing w:after="0"/>
              <w:rPr>
                <w:sz w:val="20"/>
                <w:szCs w:val="20"/>
                <w:color w:val="auto"/>
              </w:rPr>
            </w:pPr>
            <w:r>
              <w:rPr>
                <w:rFonts w:ascii="Arial" w:cs="Arial" w:eastAsia="Arial" w:hAnsi="Arial"/>
                <w:sz w:val="9"/>
                <w:szCs w:val="9"/>
                <w:b w:val="1"/>
                <w:bCs w:val="1"/>
                <w:color w:val="auto"/>
                <w:w w:val="90"/>
              </w:rPr>
              <w:t>September 30,</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2"/>
              </w:rPr>
              <w:t>Period</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9"/>
                <w:szCs w:val="9"/>
                <w:b w:val="1"/>
                <w:bCs w:val="1"/>
                <w:color w:val="auto"/>
                <w:w w:val="90"/>
              </w:rPr>
              <w:t>September 30,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2"/>
              </w:rPr>
              <w:t>Period</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88"/>
        </w:trPr>
        <w:tc>
          <w:tcPr>
            <w:tcW w:w="45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jc w:val="right"/>
              <w:ind w:right="59"/>
              <w:spacing w:after="0" w:line="88" w:lineRule="exact"/>
              <w:rPr>
                <w:sz w:val="20"/>
                <w:szCs w:val="20"/>
                <w:color w:val="auto"/>
              </w:rPr>
            </w:pPr>
            <w:r>
              <w:rPr>
                <w:rFonts w:ascii="Arial" w:cs="Arial" w:eastAsia="Arial" w:hAnsi="Arial"/>
                <w:sz w:val="9"/>
                <w:szCs w:val="9"/>
                <w:b w:val="1"/>
                <w:bCs w:val="1"/>
                <w:color w:val="auto"/>
                <w:w w:val="89"/>
              </w:rPr>
              <w:t>2011</w:t>
            </w:r>
          </w:p>
        </w:tc>
        <w:tc>
          <w:tcPr>
            <w:tcW w:w="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jc w:val="right"/>
              <w:ind w:right="36"/>
              <w:spacing w:after="0" w:line="88" w:lineRule="exact"/>
              <w:rPr>
                <w:sz w:val="20"/>
                <w:szCs w:val="20"/>
                <w:color w:val="auto"/>
              </w:rPr>
            </w:pPr>
            <w:r>
              <w:rPr>
                <w:rFonts w:ascii="Arial" w:cs="Arial" w:eastAsia="Arial" w:hAnsi="Arial"/>
                <w:sz w:val="9"/>
                <w:szCs w:val="9"/>
                <w:b w:val="1"/>
                <w:bCs w:val="1"/>
                <w:color w:val="auto"/>
                <w:w w:val="89"/>
              </w:rPr>
              <w:t>2010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0"/>
              </w:rPr>
              <w:t>Change</w:t>
            </w: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Borders>
              <w:top w:val="single" w:sz="8" w:color="auto"/>
            </w:tcBorders>
          </w:tcPr>
          <w:p>
            <w:pPr>
              <w:jc w:val="right"/>
              <w:ind w:right="39"/>
              <w:spacing w:after="0" w:line="88" w:lineRule="exact"/>
              <w:rPr>
                <w:sz w:val="20"/>
                <w:szCs w:val="20"/>
                <w:color w:val="auto"/>
              </w:rPr>
            </w:pPr>
            <w:r>
              <w:rPr>
                <w:rFonts w:ascii="Arial" w:cs="Arial" w:eastAsia="Arial" w:hAnsi="Arial"/>
                <w:sz w:val="9"/>
                <w:szCs w:val="9"/>
                <w:b w:val="1"/>
                <w:bCs w:val="1"/>
                <w:color w:val="auto"/>
              </w:rPr>
              <w:t>2011</w:t>
            </w:r>
          </w:p>
        </w:tc>
        <w:tc>
          <w:tcPr>
            <w:tcW w:w="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ind w:right="100"/>
              <w:spacing w:after="0" w:line="88" w:lineRule="exact"/>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0"/>
              </w:rPr>
              <w:t>Change</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9"/>
        </w:trPr>
        <w:tc>
          <w:tcPr>
            <w:tcW w:w="45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22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7"/>
              </w:rPr>
              <w:t>$ 1,743</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$ 1,723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246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3</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rPr>
              <w:t>1.2</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709</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712</w:t>
            </w:r>
          </w:p>
        </w:tc>
        <w:tc>
          <w:tcPr>
            <w:tcW w:w="80" w:type="dxa"/>
            <w:vAlign w:val="bottom"/>
          </w:tcPr>
          <w:p>
            <w:pPr>
              <w:spacing w:after="0"/>
              <w:rPr>
                <w:sz w:val="13"/>
                <w:szCs w:val="13"/>
                <w:color w:val="auto"/>
              </w:rPr>
            </w:pPr>
          </w:p>
        </w:tc>
        <w:tc>
          <w:tcPr>
            <w:tcW w:w="680" w:type="dxa"/>
            <w:vAlign w:val="bottom"/>
            <w:gridSpan w:val="2"/>
          </w:tcPr>
          <w:p>
            <w:pPr>
              <w:jc w:val="right"/>
              <w:ind w:right="374"/>
              <w:spacing w:after="0"/>
              <w:rPr>
                <w:sz w:val="20"/>
                <w:szCs w:val="20"/>
                <w:color w:val="auto"/>
              </w:rPr>
            </w:pPr>
            <w:r>
              <w:rPr>
                <w:rFonts w:ascii="Arial" w:cs="Arial" w:eastAsia="Arial" w:hAnsi="Arial"/>
                <w:sz w:val="13"/>
                <w:szCs w:val="13"/>
                <w:color w:val="auto"/>
              </w:rPr>
              <w:t>(3)</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(0.4)</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6</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795</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34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Subcontractor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277</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60</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94"/>
              </w:rPr>
              <w:t>27.6</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658</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577</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81</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14.0</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92"/>
              </w:rPr>
              <w:t>105</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94"/>
              </w:rPr>
              <w:t>52.2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555</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92"/>
              </w:rPr>
              <w:t>267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48.1</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Fuel</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161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39</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94"/>
              </w:rPr>
              <w:t>32.0</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471</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w w:val="92"/>
              </w:rPr>
              <w:t>105</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28.7</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152</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5</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11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69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3"/>
                <w:szCs w:val="13"/>
                <w:color w:val="auto"/>
              </w:rPr>
            </w:pPr>
          </w:p>
        </w:tc>
        <w:tc>
          <w:tcPr>
            <w:tcW w:w="680" w:type="dxa"/>
            <w:vAlign w:val="bottom"/>
            <w:gridSpan w:val="2"/>
          </w:tcPr>
          <w:p>
            <w:pPr>
              <w:jc w:val="right"/>
              <w:ind w:right="374"/>
              <w:spacing w:after="0"/>
              <w:rPr>
                <w:sz w:val="20"/>
                <w:szCs w:val="20"/>
                <w:color w:val="auto"/>
              </w:rPr>
            </w:pPr>
            <w:r>
              <w:rPr>
                <w:rFonts w:ascii="Arial" w:cs="Arial" w:eastAsia="Arial" w:hAnsi="Arial"/>
                <w:sz w:val="13"/>
                <w:szCs w:val="13"/>
                <w:color w:val="auto"/>
              </w:rPr>
              <w:t>(4)</w:t>
            </w: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(5.5)</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193</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248</w:t>
            </w:r>
          </w:p>
        </w:tc>
        <w:tc>
          <w:tcPr>
            <w:tcW w:w="80" w:type="dxa"/>
            <w:vAlign w:val="bottom"/>
          </w:tcPr>
          <w:p>
            <w:pPr>
              <w:spacing w:after="0"/>
              <w:rPr>
                <w:sz w:val="13"/>
                <w:szCs w:val="13"/>
                <w:color w:val="auto"/>
              </w:rPr>
            </w:pPr>
          </w:p>
        </w:tc>
        <w:tc>
          <w:tcPr>
            <w:tcW w:w="680" w:type="dxa"/>
            <w:vAlign w:val="bottom"/>
            <w:gridSpan w:val="2"/>
          </w:tcPr>
          <w:p>
            <w:pPr>
              <w:jc w:val="right"/>
              <w:ind w:right="374"/>
              <w:spacing w:after="0"/>
              <w:rPr>
                <w:sz w:val="20"/>
                <w:szCs w:val="20"/>
                <w:color w:val="auto"/>
              </w:rPr>
            </w:pPr>
            <w:r>
              <w:rPr>
                <w:rFonts w:ascii="Arial" w:cs="Arial" w:eastAsia="Arial" w:hAnsi="Arial"/>
                <w:sz w:val="13"/>
                <w:szCs w:val="13"/>
                <w:color w:val="auto"/>
              </w:rPr>
              <w:t>(55)</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(22.2)</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4</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24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15.9</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15</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94"/>
              </w:rPr>
              <w:t>14.3</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344</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29</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9.2</w:t>
            </w:r>
          </w:p>
        </w:tc>
      </w:tr>
      <w:tr>
        <w:trPr>
          <w:trHeight w:val="20"/>
        </w:trPr>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2,261</w:t>
            </w:r>
          </w:p>
        </w:tc>
        <w:tc>
          <w:tcPr>
            <w:tcW w:w="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5"/>
              </w:rPr>
              <w:t>2,006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92"/>
              </w:rPr>
              <w:t>255</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7"/>
              </w:rPr>
              <w:t>12.7%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7"/>
              </w:rPr>
              <w:t>$ 6,396</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$ 5,883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92"/>
              </w:rPr>
              <w:t>513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29"/>
        </w:trPr>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year-over-year changes in our operating expenses by category are discussed below.</w:t>
      </w:r>
    </w:p>
    <w:p>
      <w:pPr>
        <w:spacing w:after="0" w:line="96" w:lineRule="exact"/>
        <w:rPr>
          <w:sz w:val="20"/>
          <w:szCs w:val="20"/>
          <w:color w:val="auto"/>
        </w:rPr>
      </w:pPr>
    </w:p>
    <w:p>
      <w:pPr>
        <w:ind w:left="1280" w:right="200" w:hanging="190"/>
        <w:spacing w:after="0" w:line="258"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current quarter and year-to-date increases were due to higher hourly and salaried wages due to merit increases and additional employee</w:t>
      </w:r>
      <w:r>
        <w:rPr>
          <w:rFonts w:ascii="Arial" w:cs="Arial" w:eastAsia="Arial" w:hAnsi="Arial"/>
          <w:sz w:val="13"/>
          <w:szCs w:val="13"/>
          <w:i w:val="1"/>
          <w:iCs w:val="1"/>
          <w:color w:val="auto"/>
        </w:rPr>
        <w:t xml:space="preserve"> </w:t>
      </w:r>
      <w:r>
        <w:rPr>
          <w:rFonts w:ascii="Arial" w:cs="Arial" w:eastAsia="Arial" w:hAnsi="Arial"/>
          <w:sz w:val="13"/>
          <w:szCs w:val="13"/>
          <w:color w:val="auto"/>
        </w:rPr>
        <w:t>expenses incurred from acquisitions and growth opportunities, offset in part by cost savings that have been achieved in the current year as volumes have declined. On a year-to-date basis this net increase has been partially offset by the impact of (i) a decrease in bonus expense, and (ii) $26 million in prior year charges incurred by our Midwest Group as a result of bargaining unit employees in Michigan and Ohio agreeing to our proposal to withdraw them from an underfunded multiemployer pension plan. These withdrawal charges were largely recognized during the first quarter of 2010.</w:t>
      </w:r>
    </w:p>
    <w:p>
      <w:pPr>
        <w:spacing w:after="0" w:line="61" w:lineRule="exact"/>
        <w:rPr>
          <w:rFonts w:ascii="Arial" w:cs="Arial" w:eastAsia="Arial" w:hAnsi="Arial"/>
          <w:sz w:val="13"/>
          <w:szCs w:val="13"/>
          <w:color w:val="auto"/>
        </w:rPr>
      </w:pPr>
    </w:p>
    <w:p>
      <w:pPr>
        <w:ind w:left="1280" w:right="160" w:hanging="190"/>
        <w:spacing w:after="0" w:line="258"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The increase was due to higher costs in our geographic Groups largely attributable to increased fleet maintenance costs, which include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provided by third-parties, tires, parts and internal shop labor costs. The increase in expense for tires and parts reflects the worldwide increase in commodity prices. These increases were offset partially by the favorable impacts of differences in the timing and scope of planned maintenance projects at our waste-to-energy and landfill gas-to-energy facilities for both the current quarter and, to a lesser extent, the nine months ended September 30, 2011 as compared with the prior year periods and to decreases resulting from lower volumes.</w:t>
      </w:r>
    </w:p>
    <w:p>
      <w:pPr>
        <w:spacing w:after="0" w:line="61"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Subcontractor costs </w:t>
      </w:r>
      <w:r>
        <w:rPr>
          <w:rFonts w:ascii="Arial" w:cs="Arial" w:eastAsia="Arial" w:hAnsi="Arial"/>
          <w:sz w:val="12"/>
          <w:szCs w:val="12"/>
          <w:color w:val="auto"/>
        </w:rPr>
        <w:t>— The current year increase in subcontractor costs was primarily a result of the Oakleaf acquisition, increased diesel fuel prices, other recent acquisitions, our</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growth and business development initiatives and additional costs associated with servicing our in-plant services customers. Oakleaf utilizes a nationwide network of third-party haulers to service its customers. These increases were partially offset by the impacts of (i) additional prior year costs attributable to the oil spill clean-up projects in the gulf coast region during the second and third quarters; and (ii) cost savings that have been achieved in the current year as volumes have declined.</w:t>
      </w:r>
    </w:p>
    <w:p>
      <w:pPr>
        <w:spacing w:after="0" w:line="43" w:lineRule="exact"/>
        <w:rPr>
          <w:rFonts w:ascii="Arial" w:cs="Arial" w:eastAsia="Arial" w:hAnsi="Arial"/>
          <w:sz w:val="12"/>
          <w:szCs w:val="12"/>
          <w:color w:val="auto"/>
        </w:rPr>
      </w:pPr>
    </w:p>
    <w:p>
      <w:pPr>
        <w:ind w:left="1280" w:right="40" w:hanging="190"/>
        <w:spacing w:after="0" w:line="264"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 significant increase was primarily from higher customer rebates as a result of the improvement in recycling commodity pricing discussed above and, to</w:t>
      </w:r>
      <w:r>
        <w:rPr>
          <w:rFonts w:ascii="Arial" w:cs="Arial" w:eastAsia="Arial" w:hAnsi="Arial"/>
          <w:sz w:val="13"/>
          <w:szCs w:val="13"/>
          <w:i w:val="1"/>
          <w:iCs w:val="1"/>
          <w:color w:val="auto"/>
        </w:rPr>
        <w:t xml:space="preserve"> </w:t>
      </w:r>
      <w:r>
        <w:rPr>
          <w:rFonts w:ascii="Arial" w:cs="Arial" w:eastAsia="Arial" w:hAnsi="Arial"/>
          <w:sz w:val="13"/>
          <w:szCs w:val="13"/>
          <w:color w:val="auto"/>
        </w:rPr>
        <w:t>a lesser extent, (i) increases in the volume of materials processed at our existing recycling facilities, and (ii) increases resulting from the Oakleaf acquisition and other recently acquired businesses.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Higher direct costs for diesel fuel were due to an increase in market prices on a year-over-year basis of 32% and 31% for the three and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2011, respectively.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 decrease in these costs during the current year was due largely to:</w:t>
      </w:r>
    </w:p>
    <w:p>
      <w:pPr>
        <w:spacing w:after="0" w:line="96" w:lineRule="exact"/>
        <w:rPr>
          <w:rFonts w:ascii="Arial" w:cs="Arial" w:eastAsia="Arial" w:hAnsi="Arial"/>
          <w:sz w:val="13"/>
          <w:szCs w:val="13"/>
          <w:color w:val="auto"/>
        </w:rPr>
      </w:pPr>
    </w:p>
    <w:p>
      <w:pPr>
        <w:jc w:val="both"/>
        <w:ind w:left="1500" w:hanging="214"/>
        <w:spacing w:after="0" w:line="264" w:lineRule="auto"/>
        <w:tabs>
          <w:tab w:leader="none" w:pos="15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prior year recognition of net charges for estimates associated with environmental remediation liabilities of $13 million for two closed sites and $50 million for four closed sites during the three and nine months ended September 30, 2010, respectively. During the third quarter of 2011 the Company recognized a $9 million favorable revision to an environmental liability at one of these sites based on the estimated cost of the remediation alternative selected by the EPA; and</w:t>
      </w:r>
    </w:p>
    <w:p>
      <w:pPr>
        <w:spacing w:after="0" w:line="57" w:lineRule="exact"/>
        <w:rPr>
          <w:rFonts w:ascii="Arial" w:cs="Arial" w:eastAsia="Arial" w:hAnsi="Arial"/>
          <w:sz w:val="13"/>
          <w:szCs w:val="13"/>
          <w:color w:val="auto"/>
        </w:rPr>
      </w:pPr>
    </w:p>
    <w:p>
      <w:pPr>
        <w:ind w:left="1500" w:right="260" w:hanging="214"/>
        <w:spacing w:after="0" w:line="296" w:lineRule="auto"/>
        <w:tabs>
          <w:tab w:leader="none" w:pos="1500" w:val="left"/>
        </w:tabs>
        <w:numPr>
          <w:ilvl w:val="1"/>
          <w:numId w:val="34"/>
        </w:numPr>
        <w:rPr>
          <w:rFonts w:ascii="Arial" w:cs="Arial" w:eastAsia="Arial" w:hAnsi="Arial"/>
          <w:sz w:val="12"/>
          <w:szCs w:val="12"/>
          <w:color w:val="auto"/>
        </w:rPr>
      </w:pPr>
      <w:r>
        <w:rPr>
          <w:rFonts w:ascii="Arial" w:cs="Arial" w:eastAsia="Arial" w:hAnsi="Arial"/>
          <w:sz w:val="12"/>
          <w:szCs w:val="12"/>
          <w:color w:val="auto"/>
        </w:rPr>
        <w:t>The prior year recognition of unfavorable adjustments of $6 million and $14 million during the three and nine months ended September 30, 2010, respectively, due to the decreases in United States Treasury rates. During the three and nine months ended September 30, 2010, the discount rate used to estimate the present value of our environmental remediation obligations and recovery assets decreased from 3.00% to 2.50% and from 3.75% to 2.50%, respectively.</w:t>
      </w:r>
    </w:p>
    <w:p>
      <w:pPr>
        <w:spacing w:after="0" w:line="39" w:lineRule="exact"/>
        <w:rPr>
          <w:rFonts w:ascii="Arial" w:cs="Arial" w:eastAsia="Arial" w:hAnsi="Arial"/>
          <w:sz w:val="12"/>
          <w:szCs w:val="12"/>
          <w:color w:val="auto"/>
        </w:rPr>
      </w:pPr>
    </w:p>
    <w:p>
      <w:pPr>
        <w:ind w:left="1500" w:right="340" w:hanging="214"/>
        <w:spacing w:after="0" w:line="276" w:lineRule="auto"/>
        <w:tabs>
          <w:tab w:leader="none" w:pos="15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favorable impact of these items on the year-over-year comparison of landfill operating costs was offset, in part, by the current quarter recognition of an unfavorable adjustment of $17 million due to further decreases in United States Treasury rates from 3.50% to 2.00%; and</w:t>
      </w:r>
    </w:p>
    <w:p>
      <w:pPr>
        <w:spacing w:after="0" w:line="49" w:lineRule="exact"/>
        <w:rPr>
          <w:rFonts w:ascii="Arial" w:cs="Arial" w:eastAsia="Arial" w:hAnsi="Arial"/>
          <w:sz w:val="13"/>
          <w:szCs w:val="13"/>
          <w:color w:val="auto"/>
        </w:rPr>
      </w:pPr>
    </w:p>
    <w:p>
      <w:pPr>
        <w:ind w:left="1500" w:right="80" w:hanging="214"/>
        <w:spacing w:after="0" w:line="276" w:lineRule="auto"/>
        <w:tabs>
          <w:tab w:leader="none" w:pos="15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Additional current quarter landfill site costs experienced along the East Coast, which were due to significant rainfall, including the effects from Hurricane Irene and Tropical Storm Lee.</w:t>
      </w:r>
    </w:p>
    <w:p>
      <w:pPr>
        <w:spacing w:after="0" w:line="5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w:t>
      </w:r>
      <w:r>
        <w:rPr>
          <w:rFonts w:ascii="Arial" w:cs="Arial" w:eastAsia="Arial" w:hAnsi="Arial"/>
          <w:sz w:val="13"/>
          <w:szCs w:val="13"/>
          <w:color w:val="auto"/>
        </w:rPr>
        <w:t>— The current year increase in risk management costs was primarily a result of several significant auto and general liability claims in the current year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prior year recognition of a favorable adjustment associated with prior period claims.</w:t>
      </w:r>
    </w:p>
    <w:p>
      <w:pPr>
        <w:spacing w:after="0" w:line="49" w:lineRule="exact"/>
        <w:rPr>
          <w:rFonts w:ascii="Arial" w:cs="Arial" w:eastAsia="Arial" w:hAnsi="Arial"/>
          <w:sz w:val="13"/>
          <w:szCs w:val="13"/>
          <w:color w:val="auto"/>
        </w:rPr>
      </w:pPr>
    </w:p>
    <w:p>
      <w:pPr>
        <w:jc w:val="both"/>
        <w:ind w:left="1280" w:hanging="190"/>
        <w:spacing w:after="0" w:line="289"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Other — </w:t>
      </w:r>
      <w:r>
        <w:rPr>
          <w:rFonts w:ascii="Arial" w:cs="Arial" w:eastAsia="Arial" w:hAnsi="Arial"/>
          <w:sz w:val="12"/>
          <w:szCs w:val="12"/>
          <w:color w:val="auto"/>
        </w:rPr>
        <w:t>The increase in these costs during the current year was attributable, in part, to our various growth and business development initiatives and recently acquired businesses,</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the Oakleaf acquisition. These cost increases were offset in part by prior year costs attributable to the oil spill clean-up project in the gulf coast region during the second and third quarters of 2010 and the payment from an insurance claim for business interruption and property damages in the third quarter of 2010 related to an outage resulting from the failure of a generator that occurred in the second quarter of 2010 at one of our waste-to-energy facilities.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selling, general and administrative expenses increased by $11 million, or 3.0%, and $79 million, or 7.4%, when comparing the three and nine months ended September 30, 2011 with the comparable prior-year periods. The increases are largely due to (i) increased consulting costs of $6 million and $37 million during the three- and nine-month periods, respectively, incurred during the start-up phase of new cost savings programs focusing on procurement and operational and back-office efficiency; (ii) additional costs, principally in labor and related benefits, incurred to support our strategic plan to grow into new markets and provide expanded service offerings; and (iii) additional costs of $12 million attributable to our acquisition of Oakleaf. Additionally, our costs increased $11 million during the nine-month period, as a result of improvements we are making to our information technology systems. Our selling, general and administrative expenses as a percentage of revenues decreased from 11.4% for the third quarter of 2010 to 10.8% for the third quarter of 2011, and increased from 11.4% for the nine months ended September 30, 2010 to 11.5% for the nine months ended September 30, 2011.</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selling, general and administrative expenses for the three-and nine-month periods ended September 30 (dollars in millions):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9"/>
                <w:szCs w:val="9"/>
                <w:b w:val="1"/>
                <w:bCs w:val="1"/>
                <w:color w:val="auto"/>
                <w:w w:val="94"/>
              </w:rPr>
              <w:t>Three Months</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Nine Months</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3"/>
          </w:tcPr>
          <w:p>
            <w:pPr>
              <w:jc w:val="center"/>
              <w:ind w:right="720"/>
              <w:spacing w:after="0" w:line="98" w:lineRule="exact"/>
              <w:rPr>
                <w:sz w:val="20"/>
                <w:szCs w:val="20"/>
                <w:color w:val="auto"/>
              </w:rPr>
            </w:pPr>
            <w:r>
              <w:rPr>
                <w:rFonts w:ascii="Arial" w:cs="Arial" w:eastAsia="Arial" w:hAnsi="Arial"/>
                <w:sz w:val="9"/>
                <w:szCs w:val="9"/>
                <w:b w:val="1"/>
                <w:bCs w:val="1"/>
                <w:color w:val="auto"/>
                <w:w w:val="94"/>
              </w:rPr>
              <w:t>Ended</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tcPr>
          <w:p>
            <w:pPr>
              <w:jc w:val="center"/>
              <w:ind w:right="800"/>
              <w:spacing w:after="0" w:line="98" w:lineRule="exact"/>
              <w:rPr>
                <w:sz w:val="20"/>
                <w:szCs w:val="20"/>
                <w:color w:val="auto"/>
              </w:rPr>
            </w:pPr>
            <w:r>
              <w:rPr>
                <w:rFonts w:ascii="Arial" w:cs="Arial" w:eastAsia="Arial" w:hAnsi="Arial"/>
                <w:sz w:val="9"/>
                <w:szCs w:val="9"/>
                <w:b w:val="1"/>
                <w:bCs w:val="1"/>
                <w:color w:val="auto"/>
                <w:w w:val="94"/>
              </w:rPr>
              <w:t>Period-to-</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b w:val="1"/>
                <w:bCs w:val="1"/>
                <w:color w:val="auto"/>
              </w:rPr>
              <w:t>Ended</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89"/>
              </w:rPr>
              <w:t>Period-to-</w:t>
            </w:r>
          </w:p>
        </w:tc>
      </w:tr>
      <w:tr>
        <w:trPr>
          <w:trHeight w:val="111"/>
        </w:trPr>
        <w:tc>
          <w:tcPr>
            <w:tcW w:w="4500" w:type="dxa"/>
            <w:vAlign w:val="bottom"/>
          </w:tcPr>
          <w:p>
            <w:pPr>
              <w:spacing w:after="0"/>
              <w:rPr>
                <w:sz w:val="9"/>
                <w:szCs w:val="9"/>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9"/>
                <w:szCs w:val="9"/>
                <w:b w:val="1"/>
                <w:bCs w:val="1"/>
                <w:color w:val="auto"/>
                <w:w w:val="90"/>
              </w:rPr>
              <w:t>September 30,</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9"/>
                <w:szCs w:val="9"/>
                <w:b w:val="1"/>
                <w:bCs w:val="1"/>
                <w:color w:val="auto"/>
                <w:w w:val="92"/>
              </w:rPr>
              <w:t>Period</w:t>
            </w:r>
          </w:p>
        </w:tc>
        <w:tc>
          <w:tcPr>
            <w:tcW w:w="80" w:type="dxa"/>
            <w:vAlign w:val="bottom"/>
          </w:tcPr>
          <w:p>
            <w:pPr>
              <w:spacing w:after="0"/>
              <w:rPr>
                <w:sz w:val="9"/>
                <w:szCs w:val="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9"/>
                <w:szCs w:val="9"/>
                <w:b w:val="1"/>
                <w:bCs w:val="1"/>
                <w:color w:val="auto"/>
              </w:rPr>
              <w:t>September 30,</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2"/>
              </w:rPr>
              <w:t>Period</w:t>
            </w:r>
          </w:p>
        </w:tc>
      </w:tr>
      <w:tr>
        <w:trPr>
          <w:trHeight w:val="88"/>
        </w:trPr>
        <w:tc>
          <w:tcPr>
            <w:tcW w:w="4500" w:type="dxa"/>
            <w:vAlign w:val="bottom"/>
          </w:tcPr>
          <w:p>
            <w:pPr>
              <w:spacing w:after="0"/>
              <w:rPr>
                <w:sz w:val="7"/>
                <w:szCs w:val="7"/>
                <w:color w:val="auto"/>
              </w:rPr>
            </w:pPr>
          </w:p>
        </w:tc>
        <w:tc>
          <w:tcPr>
            <w:tcW w:w="300" w:type="dxa"/>
            <w:vAlign w:val="bottom"/>
            <w:tcBorders>
              <w:top w:val="single" w:sz="8" w:color="auto"/>
            </w:tcBorders>
          </w:tcPr>
          <w:p>
            <w:pPr>
              <w:jc w:val="right"/>
              <w:ind w:right="2"/>
              <w:spacing w:after="0" w:line="88" w:lineRule="exact"/>
              <w:rPr>
                <w:sz w:val="20"/>
                <w:szCs w:val="20"/>
                <w:color w:val="auto"/>
              </w:rPr>
            </w:pPr>
            <w:r>
              <w:rPr>
                <w:rFonts w:ascii="Arial" w:cs="Arial" w:eastAsia="Arial" w:hAnsi="Arial"/>
                <w:sz w:val="9"/>
                <w:szCs w:val="9"/>
                <w:b w:val="1"/>
                <w:bCs w:val="1"/>
                <w:color w:val="auto"/>
              </w:rPr>
              <w:t>2011</w:t>
            </w:r>
          </w:p>
        </w:tc>
        <w:tc>
          <w:tcPr>
            <w:tcW w:w="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tcPr>
          <w:p>
            <w:pPr>
              <w:jc w:val="right"/>
              <w:ind w:right="60"/>
              <w:spacing w:after="0" w:line="88" w:lineRule="exact"/>
              <w:rPr>
                <w:sz w:val="20"/>
                <w:szCs w:val="20"/>
                <w:color w:val="auto"/>
              </w:rPr>
            </w:pPr>
            <w:r>
              <w:rPr>
                <w:rFonts w:ascii="Arial" w:cs="Arial" w:eastAsia="Arial" w:hAnsi="Arial"/>
                <w:sz w:val="9"/>
                <w:szCs w:val="9"/>
                <w:b w:val="1"/>
                <w:bCs w:val="1"/>
                <w:color w:val="auto"/>
              </w:rPr>
              <w:t>2010</w:t>
            </w: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jc w:val="center"/>
              <w:ind w:right="780"/>
              <w:spacing w:after="0" w:line="88" w:lineRule="exact"/>
              <w:rPr>
                <w:sz w:val="20"/>
                <w:szCs w:val="20"/>
                <w:color w:val="auto"/>
              </w:rPr>
            </w:pPr>
            <w:r>
              <w:rPr>
                <w:rFonts w:ascii="Arial" w:cs="Arial" w:eastAsia="Arial" w:hAnsi="Arial"/>
                <w:sz w:val="9"/>
                <w:szCs w:val="9"/>
                <w:b w:val="1"/>
                <w:bCs w:val="1"/>
                <w:color w:val="auto"/>
                <w:w w:val="90"/>
              </w:rPr>
              <w:t>Change</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jc w:val="right"/>
              <w:ind w:right="62"/>
              <w:spacing w:after="0" w:line="88" w:lineRule="exact"/>
              <w:rPr>
                <w:sz w:val="20"/>
                <w:szCs w:val="20"/>
                <w:color w:val="auto"/>
              </w:rPr>
            </w:pPr>
            <w:r>
              <w:rPr>
                <w:rFonts w:ascii="Arial" w:cs="Arial" w:eastAsia="Arial" w:hAnsi="Arial"/>
                <w:sz w:val="9"/>
                <w:szCs w:val="9"/>
                <w:b w:val="1"/>
                <w:bCs w:val="1"/>
                <w:color w:val="auto"/>
                <w:w w:val="89"/>
              </w:rPr>
              <w:t>2011</w:t>
            </w:r>
          </w:p>
        </w:tc>
        <w:tc>
          <w:tcPr>
            <w:tcW w:w="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jc w:val="right"/>
              <w:ind w:right="38"/>
              <w:spacing w:after="0" w:line="88" w:lineRule="exact"/>
              <w:rPr>
                <w:sz w:val="20"/>
                <w:szCs w:val="20"/>
                <w:color w:val="auto"/>
              </w:rPr>
            </w:pPr>
            <w:r>
              <w:rPr>
                <w:rFonts w:ascii="Arial" w:cs="Arial" w:eastAsia="Arial" w:hAnsi="Arial"/>
                <w:sz w:val="9"/>
                <w:szCs w:val="9"/>
                <w:b w:val="1"/>
                <w:bCs w:val="1"/>
                <w:color w:val="auto"/>
                <w:w w:val="79"/>
              </w:rPr>
              <w:t>2010</w:t>
            </w: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jc w:val="center"/>
              <w:ind w:right="400"/>
              <w:spacing w:after="0" w:line="88" w:lineRule="exact"/>
              <w:rPr>
                <w:sz w:val="20"/>
                <w:szCs w:val="20"/>
                <w:color w:val="auto"/>
              </w:rPr>
            </w:pPr>
            <w:r>
              <w:rPr>
                <w:rFonts w:ascii="Arial" w:cs="Arial" w:eastAsia="Arial" w:hAnsi="Arial"/>
                <w:sz w:val="9"/>
                <w:szCs w:val="9"/>
                <w:b w:val="1"/>
                <w:bCs w:val="1"/>
                <w:color w:val="auto"/>
                <w:w w:val="90"/>
              </w:rPr>
              <w:t>Change</w:t>
            </w:r>
          </w:p>
        </w:tc>
      </w:tr>
      <w:tr>
        <w:trPr>
          <w:trHeight w:val="29"/>
        </w:trPr>
        <w:tc>
          <w:tcPr>
            <w:tcW w:w="4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$ 233</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$ 13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78"/>
              </w:rPr>
              <w:t>$ 46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Professional fees</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46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1200" w:type="dxa"/>
            <w:vAlign w:val="bottom"/>
            <w:gridSpan w:val="2"/>
          </w:tcPr>
          <w:p>
            <w:pPr>
              <w:jc w:val="right"/>
              <w:ind w:right="460"/>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146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129</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17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13.2</w:t>
            </w: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Other</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92</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290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273</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17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6.2</w:t>
            </w:r>
          </w:p>
        </w:tc>
      </w:tr>
      <w:tr>
        <w:trPr>
          <w:trHeight w:val="20"/>
        </w:trPr>
        <w:tc>
          <w:tcPr>
            <w:tcW w:w="4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$ 380</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$ 369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$ 11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1,144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1,065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78"/>
              </w:rPr>
              <w:t>$ 79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29"/>
        </w:trPr>
        <w:tc>
          <w:tcPr>
            <w:tcW w:w="4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120" w:firstLine="399"/>
        <w:spacing w:after="0" w:line="307" w:lineRule="auto"/>
        <w:rPr>
          <w:sz w:val="20"/>
          <w:szCs w:val="20"/>
          <w:color w:val="auto"/>
        </w:rPr>
      </w:pPr>
      <w:r>
        <w:rPr>
          <w:rFonts w:ascii="Arial" w:cs="Arial" w:eastAsia="Arial" w:hAnsi="Arial"/>
          <w:sz w:val="11"/>
          <w:szCs w:val="11"/>
          <w:i w:val="1"/>
          <w:iCs w:val="1"/>
          <w:color w:val="auto"/>
        </w:rPr>
        <w:t xml:space="preserve">Labor and related benefits </w:t>
      </w:r>
      <w:r>
        <w:rPr>
          <w:rFonts w:ascii="Arial" w:cs="Arial" w:eastAsia="Arial" w:hAnsi="Arial"/>
          <w:sz w:val="11"/>
          <w:szCs w:val="11"/>
          <w:color w:val="auto"/>
        </w:rPr>
        <w:t>— In 2011, our labor and related benefits costs increased primarily due to (i) higher compensation costs due to an increase in headcount driven by our</w:t>
      </w:r>
      <w:r>
        <w:rPr>
          <w:rFonts w:ascii="Arial" w:cs="Arial" w:eastAsia="Arial" w:hAnsi="Arial"/>
          <w:sz w:val="11"/>
          <w:szCs w:val="11"/>
          <w:i w:val="1"/>
          <w:iCs w:val="1"/>
          <w:color w:val="auto"/>
        </w:rPr>
        <w:t xml:space="preserve"> </w:t>
      </w:r>
      <w:r>
        <w:rPr>
          <w:rFonts w:ascii="Arial" w:cs="Arial" w:eastAsia="Arial" w:hAnsi="Arial"/>
          <w:sz w:val="11"/>
          <w:szCs w:val="11"/>
          <w:color w:val="auto"/>
        </w:rPr>
        <w:t>strategic growth plans, optimization initiatives, cost savings programs, and our acquisition of Oakleaf; (ii) higher salaries and hourly wages due to merit increases; and (iii) higher non-cash compensation costs incurred for our performance share units and our stock option equity awards granted under our long-term incentive plan, or LTIP, during the nine months of 2011; offset partially by lower costs associated with our executive salary deferral plan, the costs of which are directly affected by equity-market conditions. Similar to the stock option awards granted during 2010, the stock option equity awards that were granted in 2011 provide for continued vesting for three years following an employee’s retirement. Because retirement-eligible employees are not required to provide any future service to vest in these awards, we recognized all of the compensation expense associated with their awards immediately. The increase in these costs in 2011 is attributable to a significant increase in the number of stock option awards granted in 2011 over those granted in 2010, and an increase in the number of retirement-eligible employees receiving those awards. The increase in the number of stock option awards granted in 2011 was driven in part by a change in the composition of our 2011 annual LTIP award grant compared with our 2010 annual LTIP award grant to utilize stock options to a greater extent and to reduce the amount of performance share units awarded.</w:t>
      </w:r>
    </w:p>
    <w:p>
      <w:pPr>
        <w:spacing w:after="0" w:line="4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During the nine-month period ending September 30, 2011, our professional fees increased over the comparable prior-year period due to increased consulting fees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associated with our new cost savings programs. These fees declined significantly during the third quarter of 2011 as compared with the previous quarters of the current year. We have begun to see the associated benefits of these programs and expect the benefits to accelerate into future quarters. The following items more than offset the increase in consulting fees for the three-month comparison and slightly offset the increase in consulting fees for the nine-month comparison: (i) a reduction in legal fees associated primarily with the lawsuit related to the abandonment of revenue management software, which was settled in the second quarter of 2010, and (ii) lower costs during 2011 as compared with 2010 for costs associated with our strategic growth plans.</w:t>
      </w:r>
    </w:p>
    <w:p>
      <w:pPr>
        <w:spacing w:after="0" w:line="72"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During the current quarter, our provision for bad debts increased due in part to a required reserve associated with the bankruptcy of one of our recycling</w:t>
      </w:r>
      <w:r>
        <w:rPr>
          <w:rFonts w:ascii="Arial" w:cs="Arial" w:eastAsia="Arial" w:hAnsi="Arial"/>
          <w:sz w:val="13"/>
          <w:szCs w:val="13"/>
          <w:i w:val="1"/>
          <w:iCs w:val="1"/>
          <w:color w:val="auto"/>
        </w:rPr>
        <w:t xml:space="preserve"> </w:t>
      </w:r>
      <w:r>
        <w:rPr>
          <w:rFonts w:ascii="Arial" w:cs="Arial" w:eastAsia="Arial" w:hAnsi="Arial"/>
          <w:sz w:val="13"/>
          <w:szCs w:val="13"/>
          <w:color w:val="auto"/>
        </w:rPr>
        <w:t>paper mill customers. Despite the current quarter increase, we still experienced a moderate reduction in our provision for bad debts for the nine months ended September 30, 2011, which reflects management’s continued focus on the collection of our receivables.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We have experienced expense increases from litigation settlements and improvements we are making to our information technology systems.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components of our depreciation and amortization expense for the three- and nine-month periods ended September 30 (dollars in millions):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740" w:type="dxa"/>
            <w:vAlign w:val="bottom"/>
          </w:tcPr>
          <w:p>
            <w:pPr>
              <w:spacing w:after="0"/>
              <w:rPr>
                <w:sz w:val="8"/>
                <w:szCs w:val="8"/>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9"/>
                <w:szCs w:val="9"/>
                <w:b w:val="1"/>
                <w:bCs w:val="1"/>
                <w:color w:val="auto"/>
                <w:w w:val="94"/>
              </w:rPr>
              <w:t>Three Months</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9"/>
                <w:szCs w:val="9"/>
                <w:b w:val="1"/>
                <w:bCs w:val="1"/>
                <w:color w:val="auto"/>
                <w:w w:val="92"/>
              </w:rPr>
              <w:t>Nine Months</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gridSpan w:val="3"/>
          </w:tcPr>
          <w:p>
            <w:pPr>
              <w:jc w:val="center"/>
              <w:ind w:right="680"/>
              <w:spacing w:after="0" w:line="98" w:lineRule="exact"/>
              <w:rPr>
                <w:sz w:val="20"/>
                <w:szCs w:val="20"/>
                <w:color w:val="auto"/>
              </w:rPr>
            </w:pPr>
            <w:r>
              <w:rPr>
                <w:rFonts w:ascii="Arial" w:cs="Arial" w:eastAsia="Arial" w:hAnsi="Arial"/>
                <w:sz w:val="9"/>
                <w:szCs w:val="9"/>
                <w:b w:val="1"/>
                <w:bCs w:val="1"/>
                <w:color w:val="auto"/>
                <w:w w:val="94"/>
              </w:rPr>
              <w:t>Ended</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Period-to-</w:t>
            </w: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tcPr>
          <w:p>
            <w:pPr>
              <w:jc w:val="center"/>
              <w:ind w:right="700"/>
              <w:spacing w:after="0" w:line="98" w:lineRule="exact"/>
              <w:rPr>
                <w:sz w:val="20"/>
                <w:szCs w:val="20"/>
                <w:color w:val="auto"/>
              </w:rPr>
            </w:pPr>
            <w:r>
              <w:rPr>
                <w:rFonts w:ascii="Arial" w:cs="Arial" w:eastAsia="Arial" w:hAnsi="Arial"/>
                <w:sz w:val="9"/>
                <w:szCs w:val="9"/>
                <w:b w:val="1"/>
                <w:bCs w:val="1"/>
                <w:color w:val="auto"/>
                <w:w w:val="94"/>
              </w:rPr>
              <w:t>Ended</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89"/>
              </w:rPr>
              <w:t>Period-to-</w:t>
            </w:r>
          </w:p>
        </w:tc>
        <w:tc>
          <w:tcPr>
            <w:tcW w:w="0" w:type="dxa"/>
            <w:vAlign w:val="bottom"/>
          </w:tcPr>
          <w:p>
            <w:pPr>
              <w:spacing w:after="0"/>
              <w:rPr>
                <w:sz w:val="1"/>
                <w:szCs w:val="1"/>
                <w:color w:val="auto"/>
              </w:rPr>
            </w:pPr>
          </w:p>
        </w:tc>
      </w:tr>
      <w:tr>
        <w:trPr>
          <w:trHeight w:val="111"/>
        </w:trPr>
        <w:tc>
          <w:tcPr>
            <w:tcW w:w="4740" w:type="dxa"/>
            <w:vAlign w:val="bottom"/>
          </w:tcPr>
          <w:p>
            <w:pPr>
              <w:spacing w:after="0"/>
              <w:rPr>
                <w:sz w:val="9"/>
                <w:szCs w:val="9"/>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9"/>
                <w:szCs w:val="9"/>
                <w:b w:val="1"/>
                <w:bCs w:val="1"/>
                <w:color w:val="auto"/>
                <w:w w:val="90"/>
              </w:rPr>
              <w:t>September 30,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2"/>
              </w:rPr>
              <w:t>Period</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gridSpan w:val="5"/>
          </w:tcPr>
          <w:p>
            <w:pPr>
              <w:jc w:val="center"/>
              <w:ind w:right="400"/>
              <w:spacing w:after="0"/>
              <w:rPr>
                <w:sz w:val="20"/>
                <w:szCs w:val="20"/>
                <w:color w:val="auto"/>
              </w:rPr>
            </w:pPr>
            <w:r>
              <w:rPr>
                <w:rFonts w:ascii="Arial" w:cs="Arial" w:eastAsia="Arial" w:hAnsi="Arial"/>
                <w:sz w:val="9"/>
                <w:szCs w:val="9"/>
                <w:b w:val="1"/>
                <w:bCs w:val="1"/>
                <w:color w:val="auto"/>
                <w:w w:val="90"/>
              </w:rPr>
              <w:t>September 30,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2"/>
              </w:rPr>
              <w:t>Period</w:t>
            </w: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300" w:type="dxa"/>
            <w:vAlign w:val="bottom"/>
            <w:tcBorders>
              <w:top w:val="single" w:sz="8" w:color="auto"/>
            </w:tcBorders>
          </w:tcPr>
          <w:p>
            <w:pPr>
              <w:jc w:val="right"/>
              <w:ind w:right="3"/>
              <w:spacing w:after="0" w:line="88" w:lineRule="exact"/>
              <w:rPr>
                <w:sz w:val="20"/>
                <w:szCs w:val="20"/>
                <w:color w:val="auto"/>
              </w:rPr>
            </w:pPr>
            <w:r>
              <w:rPr>
                <w:rFonts w:ascii="Arial" w:cs="Arial" w:eastAsia="Arial" w:hAnsi="Arial"/>
                <w:sz w:val="9"/>
                <w:szCs w:val="9"/>
                <w:b w:val="1"/>
                <w:bCs w:val="1"/>
                <w:color w:val="auto"/>
              </w:rPr>
              <w:t>2011</w:t>
            </w:r>
          </w:p>
        </w:tc>
        <w:tc>
          <w:tcPr>
            <w:tcW w:w="68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rPr>
              <w:t>2010</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0"/>
              </w:rPr>
              <w:t>Change</w:t>
            </w: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Borders>
              <w:top w:val="single" w:sz="8" w:color="auto"/>
            </w:tcBorders>
          </w:tcPr>
          <w:p>
            <w:pPr>
              <w:jc w:val="right"/>
              <w:ind w:right="3"/>
              <w:spacing w:after="0" w:line="88" w:lineRule="exact"/>
              <w:rPr>
                <w:sz w:val="20"/>
                <w:szCs w:val="20"/>
                <w:color w:val="auto"/>
              </w:rPr>
            </w:pPr>
            <w:r>
              <w:rPr>
                <w:rFonts w:ascii="Arial" w:cs="Arial" w:eastAsia="Arial" w:hAnsi="Arial"/>
                <w:sz w:val="9"/>
                <w:szCs w:val="9"/>
                <w:b w:val="1"/>
                <w:bCs w:val="1"/>
                <w:color w:val="auto"/>
              </w:rPr>
              <w:t>2011</w:t>
            </w:r>
          </w:p>
        </w:tc>
        <w:tc>
          <w:tcPr>
            <w:tcW w:w="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rPr>
              <w:t>2010</w:t>
            </w: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jc w:val="center"/>
              <w:ind w:right="400"/>
              <w:spacing w:after="0" w:line="88" w:lineRule="exact"/>
              <w:rPr>
                <w:sz w:val="20"/>
                <w:szCs w:val="20"/>
                <w:color w:val="auto"/>
              </w:rPr>
            </w:pPr>
            <w:r>
              <w:rPr>
                <w:rFonts w:ascii="Arial" w:cs="Arial" w:eastAsia="Arial" w:hAnsi="Arial"/>
                <w:sz w:val="9"/>
                <w:szCs w:val="9"/>
                <w:b w:val="1"/>
                <w:bCs w:val="1"/>
                <w:color w:val="auto"/>
                <w:w w:val="90"/>
              </w:rPr>
              <w:t>Change</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$ 200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5</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$ 599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$ 586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78"/>
              </w:rPr>
              <w:t>$ 13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103</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3"/>
                <w:szCs w:val="13"/>
                <w:color w:val="auto"/>
              </w:rPr>
            </w:pPr>
          </w:p>
        </w:tc>
        <w:tc>
          <w:tcPr>
            <w:tcW w:w="620" w:type="dxa"/>
            <w:vAlign w:val="bottom"/>
            <w:gridSpan w:val="2"/>
          </w:tcPr>
          <w:p>
            <w:pPr>
              <w:jc w:val="right"/>
              <w:ind w:right="374"/>
              <w:spacing w:after="0"/>
              <w:rPr>
                <w:sz w:val="20"/>
                <w:szCs w:val="20"/>
                <w:color w:val="auto"/>
              </w:rPr>
            </w:pPr>
            <w:r>
              <w:rPr>
                <w:rFonts w:ascii="Arial" w:cs="Arial" w:eastAsia="Arial" w:hAnsi="Arial"/>
                <w:sz w:val="13"/>
                <w:szCs w:val="13"/>
                <w:color w:val="auto"/>
              </w:rPr>
              <w:t>(9)</w:t>
            </w:r>
          </w:p>
        </w:tc>
        <w:tc>
          <w:tcPr>
            <w:tcW w:w="760" w:type="dxa"/>
            <w:vAlign w:val="bottom"/>
            <w:gridSpan w:val="2"/>
          </w:tcPr>
          <w:p>
            <w:pPr>
              <w:jc w:val="right"/>
              <w:ind w:right="460"/>
              <w:spacing w:after="0"/>
              <w:rPr>
                <w:sz w:val="20"/>
                <w:szCs w:val="20"/>
                <w:color w:val="auto"/>
              </w:rPr>
            </w:pPr>
            <w:r>
              <w:rPr>
                <w:rFonts w:ascii="Arial" w:cs="Arial" w:eastAsia="Arial" w:hAnsi="Arial"/>
                <w:sz w:val="13"/>
                <w:szCs w:val="13"/>
                <w:color w:val="auto"/>
              </w:rPr>
              <w:t>(8.0)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300</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301</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94"/>
              </w:rPr>
              <w:t>40.0</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0.0%</w:t>
            </w: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$ 317</w:t>
            </w:r>
          </w:p>
        </w:tc>
        <w:tc>
          <w:tcPr>
            <w:tcW w:w="3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$ 317</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$ 935</w:t>
            </w:r>
          </w:p>
        </w:tc>
        <w:tc>
          <w:tcPr>
            <w:tcW w:w="20" w:type="dxa"/>
            <w:vAlign w:val="bottom"/>
          </w:tcPr>
          <w:p>
            <w:pPr>
              <w:spacing w:after="0"/>
              <w:rPr>
                <w:sz w:val="13"/>
                <w:szCs w:val="13"/>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$ 917</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w w:val="78"/>
              </w:rPr>
              <w:t>$ 18</w:t>
            </w: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When comparing depreciation and amortization expense for the current quarter with the third quarter of 2010, the decrease in landfill airspace amortization is due to additional expense recorded in 2010 for adjustments to amortization rates at various landfill sites. The higher amortization rates at these landfills were principally attributable to increases in cost estimates.</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increases in depreciation of tangible property and equipment and amortization of intangible assets for the three-and nine-month periods can generally be attributed to our focus on the growth and development of our business through acquisitions and other investments. The current year increase in amortization expense for intangible assets is primarily related to the amortization of customer lists, which were acquired (i) through our acquisition of Oakleaf, (ii) by our Southern Group and (iii) by our recycling and electronic brokerage services business.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July 2011, we took steps to streamline our organization as part of our cost savings programs. This reorganization eliminated over 700 employee positions throughout the Company, including approximately 300 open positions. During the three and nine months ended September 30, 2011, we recognized $15 million of pre-tax restructuring charges associated with this reorganization, which included $14 million of employee severance and benefit costs. Through September 30, 2011, we have paid approximately $4 million of the employee severance and benefit costs incurred as a result of this restructuring.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the third quarter of 2011, we recognized impairment charges relating to two facilities in our medical waste services business as a result of the closure of one site and as a result of continuing operating losses at the other site. We wrote down the net book values of the sites to their estimated fair values.</w:t>
      </w:r>
    </w:p>
    <w:p>
      <w:pPr>
        <w:spacing w:after="0" w:line="59"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Accordingly, in 2009, we recognized a non-cash charge of $51 million for the abandonment of the licensed software. In April 2010, we settled the lawsuit and received a one-time cash payment. The settlement increased our “Income from operations” for the nine months ended September 30, 2010 by $77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three- and nine-month periods ended September 30 (dollars in millions):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center"/>
              <w:ind w:left="139"/>
              <w:spacing w:after="0"/>
              <w:rPr>
                <w:sz w:val="20"/>
                <w:szCs w:val="20"/>
                <w:color w:val="auto"/>
              </w:rPr>
            </w:pPr>
            <w:r>
              <w:rPr>
                <w:rFonts w:ascii="Arial" w:cs="Arial" w:eastAsia="Arial" w:hAnsi="Arial"/>
                <w:sz w:val="9"/>
                <w:szCs w:val="9"/>
                <w:b w:val="1"/>
                <w:bCs w:val="1"/>
                <w:color w:val="auto"/>
                <w:w w:val="94"/>
              </w:rPr>
              <w:t>Three Months</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Nine Months</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center"/>
              <w:ind w:right="140"/>
              <w:spacing w:after="0" w:line="98" w:lineRule="exact"/>
              <w:rPr>
                <w:sz w:val="20"/>
                <w:szCs w:val="20"/>
                <w:color w:val="auto"/>
              </w:rPr>
            </w:pPr>
            <w:r>
              <w:rPr>
                <w:rFonts w:ascii="Arial" w:cs="Arial" w:eastAsia="Arial" w:hAnsi="Arial"/>
                <w:sz w:val="9"/>
                <w:szCs w:val="9"/>
                <w:b w:val="1"/>
                <w:bCs w:val="1"/>
                <w:color w:val="auto"/>
                <w:w w:val="94"/>
              </w:rPr>
              <w:t>Ended</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tcPr>
          <w:p>
            <w:pPr>
              <w:jc w:val="center"/>
              <w:ind w:right="860"/>
              <w:spacing w:after="0" w:line="98" w:lineRule="exact"/>
              <w:rPr>
                <w:sz w:val="20"/>
                <w:szCs w:val="20"/>
                <w:color w:val="auto"/>
              </w:rPr>
            </w:pPr>
            <w:r>
              <w:rPr>
                <w:rFonts w:ascii="Arial" w:cs="Arial" w:eastAsia="Arial" w:hAnsi="Arial"/>
                <w:sz w:val="9"/>
                <w:szCs w:val="9"/>
                <w:b w:val="1"/>
                <w:bCs w:val="1"/>
                <w:color w:val="auto"/>
                <w:w w:val="89"/>
              </w:rPr>
              <w:t>Period-to-</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60"/>
              <w:spacing w:after="0" w:line="98" w:lineRule="exact"/>
              <w:rPr>
                <w:sz w:val="20"/>
                <w:szCs w:val="20"/>
                <w:color w:val="auto"/>
              </w:rPr>
            </w:pPr>
            <w:r>
              <w:rPr>
                <w:rFonts w:ascii="Arial" w:cs="Arial" w:eastAsia="Arial" w:hAnsi="Arial"/>
                <w:sz w:val="9"/>
                <w:szCs w:val="9"/>
                <w:b w:val="1"/>
                <w:bCs w:val="1"/>
                <w:color w:val="auto"/>
                <w:w w:val="87"/>
              </w:rPr>
              <w:t>Ended</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left="176"/>
              <w:spacing w:after="0" w:line="98" w:lineRule="exact"/>
              <w:rPr>
                <w:sz w:val="20"/>
                <w:szCs w:val="20"/>
                <w:color w:val="auto"/>
              </w:rPr>
            </w:pPr>
            <w:r>
              <w:rPr>
                <w:rFonts w:ascii="Arial" w:cs="Arial" w:eastAsia="Arial" w:hAnsi="Arial"/>
                <w:sz w:val="9"/>
                <w:szCs w:val="9"/>
                <w:b w:val="1"/>
                <w:bCs w:val="1"/>
                <w:color w:val="auto"/>
                <w:w w:val="94"/>
              </w:rPr>
              <w:t>Period-to-</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4"/>
          </w:tcPr>
          <w:p>
            <w:pPr>
              <w:jc w:val="center"/>
              <w:ind w:left="139"/>
              <w:spacing w:after="0"/>
              <w:rPr>
                <w:sz w:val="20"/>
                <w:szCs w:val="20"/>
                <w:color w:val="auto"/>
              </w:rPr>
            </w:pPr>
            <w:r>
              <w:rPr>
                <w:rFonts w:ascii="Arial" w:cs="Arial" w:eastAsia="Arial" w:hAnsi="Arial"/>
                <w:sz w:val="9"/>
                <w:szCs w:val="9"/>
                <w:b w:val="1"/>
                <w:bCs w:val="1"/>
                <w:color w:val="auto"/>
                <w:w w:val="90"/>
              </w:rPr>
              <w:t>September 30,</w:t>
            </w:r>
          </w:p>
        </w:tc>
        <w:tc>
          <w:tcPr>
            <w:tcW w:w="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2"/>
          </w:tcPr>
          <w:p>
            <w:pPr>
              <w:jc w:val="center"/>
              <w:ind w:right="860"/>
              <w:spacing w:after="0"/>
              <w:rPr>
                <w:sz w:val="20"/>
                <w:szCs w:val="20"/>
                <w:color w:val="auto"/>
              </w:rPr>
            </w:pPr>
            <w:r>
              <w:rPr>
                <w:rFonts w:ascii="Arial" w:cs="Arial" w:eastAsia="Arial" w:hAnsi="Arial"/>
                <w:sz w:val="9"/>
                <w:szCs w:val="9"/>
                <w:b w:val="1"/>
                <w:bCs w:val="1"/>
                <w:color w:val="auto"/>
                <w:w w:val="92"/>
              </w:rPr>
              <w:t>Period</w:t>
            </w: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9"/>
                <w:szCs w:val="9"/>
                <w:b w:val="1"/>
                <w:bCs w:val="1"/>
                <w:color w:val="auto"/>
              </w:rPr>
              <w:t>September 30,</w:t>
            </w: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jc w:val="center"/>
              <w:ind w:right="14"/>
              <w:spacing w:after="0"/>
              <w:rPr>
                <w:sz w:val="20"/>
                <w:szCs w:val="20"/>
                <w:color w:val="auto"/>
              </w:rPr>
            </w:pPr>
            <w:r>
              <w:rPr>
                <w:rFonts w:ascii="Arial" w:cs="Arial" w:eastAsia="Arial" w:hAnsi="Arial"/>
                <w:sz w:val="9"/>
                <w:szCs w:val="9"/>
                <w:b w:val="1"/>
                <w:bCs w:val="1"/>
                <w:color w:val="auto"/>
                <w:w w:val="92"/>
              </w:rPr>
              <w:t>Period</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59"/>
              <w:spacing w:after="0" w:line="88" w:lineRule="exact"/>
              <w:rPr>
                <w:sz w:val="20"/>
                <w:szCs w:val="20"/>
                <w:color w:val="auto"/>
              </w:rPr>
            </w:pPr>
            <w:r>
              <w:rPr>
                <w:rFonts w:ascii="Arial" w:cs="Arial" w:eastAsia="Arial" w:hAnsi="Arial"/>
                <w:sz w:val="9"/>
                <w:szCs w:val="9"/>
                <w:b w:val="1"/>
                <w:bCs w:val="1"/>
                <w:color w:val="auto"/>
                <w:w w:val="89"/>
              </w:rPr>
              <w:t>2011</w:t>
            </w: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jc w:val="right"/>
              <w:ind w:right="36"/>
              <w:spacing w:after="0" w:line="88" w:lineRule="exact"/>
              <w:rPr>
                <w:sz w:val="20"/>
                <w:szCs w:val="20"/>
                <w:color w:val="auto"/>
              </w:rPr>
            </w:pPr>
            <w:r>
              <w:rPr>
                <w:rFonts w:ascii="Arial" w:cs="Arial" w:eastAsia="Arial" w:hAnsi="Arial"/>
                <w:sz w:val="9"/>
                <w:szCs w:val="9"/>
                <w:b w:val="1"/>
                <w:bCs w:val="1"/>
                <w:color w:val="auto"/>
                <w:w w:val="79"/>
              </w:rPr>
              <w:t>2010</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tcPr>
          <w:p>
            <w:pPr>
              <w:jc w:val="center"/>
              <w:ind w:right="860"/>
              <w:spacing w:after="0" w:line="88" w:lineRule="exact"/>
              <w:rPr>
                <w:sz w:val="20"/>
                <w:szCs w:val="20"/>
                <w:color w:val="auto"/>
              </w:rPr>
            </w:pPr>
            <w:r>
              <w:rPr>
                <w:rFonts w:ascii="Arial" w:cs="Arial" w:eastAsia="Arial" w:hAnsi="Arial"/>
                <w:sz w:val="9"/>
                <w:szCs w:val="9"/>
                <w:b w:val="1"/>
                <w:bCs w:val="1"/>
                <w:color w:val="auto"/>
                <w:w w:val="90"/>
              </w:rPr>
              <w:t>Change</w:t>
            </w:r>
          </w:p>
        </w:tc>
        <w:tc>
          <w:tcPr>
            <w:tcW w:w="80" w:type="dxa"/>
            <w:vAlign w:val="bottom"/>
          </w:tcPr>
          <w:p>
            <w:pPr>
              <w:spacing w:after="0"/>
              <w:rPr>
                <w:sz w:val="7"/>
                <w:szCs w:val="7"/>
                <w:color w:val="auto"/>
              </w:rPr>
            </w:pPr>
          </w:p>
        </w:tc>
        <w:tc>
          <w:tcPr>
            <w:tcW w:w="320" w:type="dxa"/>
            <w:vAlign w:val="bottom"/>
          </w:tcPr>
          <w:p>
            <w:pPr>
              <w:jc w:val="right"/>
              <w:ind w:right="39"/>
              <w:spacing w:after="0" w:line="88" w:lineRule="exact"/>
              <w:rPr>
                <w:sz w:val="20"/>
                <w:szCs w:val="20"/>
                <w:color w:val="auto"/>
              </w:rPr>
            </w:pPr>
            <w:r>
              <w:rPr>
                <w:rFonts w:ascii="Arial" w:cs="Arial" w:eastAsia="Arial" w:hAnsi="Arial"/>
                <w:sz w:val="9"/>
                <w:szCs w:val="9"/>
                <w:b w:val="1"/>
                <w:bCs w:val="1"/>
                <w:color w:val="auto"/>
                <w:w w:val="99"/>
              </w:rPr>
              <w:t>2011</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jc w:val="right"/>
              <w:ind w:right="56"/>
              <w:spacing w:after="0" w:line="88" w:lineRule="exact"/>
              <w:rPr>
                <w:sz w:val="20"/>
                <w:szCs w:val="20"/>
                <w:color w:val="auto"/>
              </w:rPr>
            </w:pPr>
            <w:r>
              <w:rPr>
                <w:rFonts w:ascii="Arial" w:cs="Arial" w:eastAsia="Arial" w:hAnsi="Arial"/>
                <w:sz w:val="9"/>
                <w:szCs w:val="9"/>
                <w:b w:val="1"/>
                <w:bCs w:val="1"/>
                <w:color w:val="auto"/>
                <w:w w:val="79"/>
              </w:rPr>
              <w:t>2010</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jc w:val="center"/>
              <w:ind w:right="14"/>
              <w:spacing w:after="0" w:line="88" w:lineRule="exact"/>
              <w:rPr>
                <w:sz w:val="20"/>
                <w:szCs w:val="20"/>
                <w:color w:val="auto"/>
              </w:rPr>
            </w:pPr>
            <w:r>
              <w:rPr>
                <w:rFonts w:ascii="Arial" w:cs="Arial" w:eastAsia="Arial" w:hAnsi="Arial"/>
                <w:sz w:val="9"/>
                <w:szCs w:val="9"/>
                <w:b w:val="1"/>
                <w:bCs w:val="1"/>
                <w:color w:val="auto"/>
                <w:w w:val="90"/>
              </w:rPr>
              <w:t>Change</w:t>
            </w: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0" w:type="dxa"/>
            <w:vAlign w:val="bottom"/>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146</w:t>
            </w:r>
          </w:p>
        </w:tc>
        <w:tc>
          <w:tcPr>
            <w:tcW w:w="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138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8</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407</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390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74"/>
              <w:spacing w:after="0"/>
              <w:rPr>
                <w:sz w:val="20"/>
                <w:szCs w:val="20"/>
                <w:color w:val="auto"/>
              </w:rPr>
            </w:pPr>
            <w:r>
              <w:rPr>
                <w:rFonts w:ascii="Arial" w:cs="Arial" w:eastAsia="Arial" w:hAnsi="Arial"/>
                <w:sz w:val="13"/>
                <w:szCs w:val="13"/>
                <w:color w:val="auto"/>
              </w:rPr>
              <w:t>17</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auto"/>
              </w:rPr>
              <w:t>88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4000" w:type="dxa"/>
            <w:vAlign w:val="bottom"/>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94"/>
              </w:rPr>
              <w:t>(24)</w:t>
            </w:r>
          </w:p>
        </w:tc>
        <w:tc>
          <w:tcPr>
            <w:tcW w:w="1240" w:type="dxa"/>
            <w:vAlign w:val="bottom"/>
            <w:gridSpan w:val="2"/>
          </w:tcPr>
          <w:p>
            <w:pPr>
              <w:jc w:val="right"/>
              <w:ind w:right="500"/>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579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3"/>
                <w:szCs w:val="13"/>
                <w:color w:val="auto"/>
              </w:rPr>
            </w:pPr>
          </w:p>
        </w:tc>
        <w:tc>
          <w:tcPr>
            <w:tcW w:w="720" w:type="dxa"/>
            <w:vAlign w:val="bottom"/>
            <w:gridSpan w:val="2"/>
          </w:tcPr>
          <w:p>
            <w:pPr>
              <w:jc w:val="right"/>
              <w:ind w:right="334"/>
              <w:spacing w:after="0"/>
              <w:rPr>
                <w:sz w:val="20"/>
                <w:szCs w:val="20"/>
                <w:color w:val="auto"/>
              </w:rPr>
            </w:pPr>
            <w:r>
              <w:rPr>
                <w:rFonts w:ascii="Arial" w:cs="Arial" w:eastAsia="Arial" w:hAnsi="Arial"/>
                <w:sz w:val="13"/>
                <w:szCs w:val="13"/>
                <w:color w:val="auto"/>
              </w:rPr>
              <w:t>(45)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436</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416</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auto"/>
              </w:rPr>
              <w:t>20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4000" w:type="dxa"/>
            <w:vAlign w:val="bottom"/>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94"/>
              </w:rPr>
              <w:t>(10)</w:t>
            </w:r>
          </w:p>
        </w:tc>
        <w:tc>
          <w:tcPr>
            <w:tcW w:w="1240" w:type="dxa"/>
            <w:vAlign w:val="bottom"/>
            <w:gridSpan w:val="2"/>
          </w:tcPr>
          <w:p>
            <w:pPr>
              <w:jc w:val="right"/>
              <w:ind w:right="500"/>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112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3"/>
                <w:szCs w:val="13"/>
                <w:color w:val="auto"/>
              </w:rPr>
            </w:pPr>
          </w:p>
        </w:tc>
        <w:tc>
          <w:tcPr>
            <w:tcW w:w="720" w:type="dxa"/>
            <w:vAlign w:val="bottom"/>
            <w:gridSpan w:val="2"/>
          </w:tcPr>
          <w:p>
            <w:pPr>
              <w:jc w:val="right"/>
              <w:ind w:right="334"/>
              <w:spacing w:after="0"/>
              <w:rPr>
                <w:sz w:val="20"/>
                <w:szCs w:val="20"/>
                <w:color w:val="auto"/>
              </w:rPr>
            </w:pPr>
            <w:r>
              <w:rPr>
                <w:rFonts w:ascii="Arial" w:cs="Arial" w:eastAsia="Arial" w:hAnsi="Arial"/>
                <w:sz w:val="13"/>
                <w:szCs w:val="13"/>
                <w:color w:val="auto"/>
              </w:rPr>
              <w:t>(38)</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auto"/>
              </w:rPr>
              <w:t>18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3"/>
                <w:szCs w:val="13"/>
                <w:color w:val="auto"/>
              </w:rPr>
              <w:t>0.9</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686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680</w:t>
            </w:r>
          </w:p>
        </w:tc>
        <w:tc>
          <w:tcPr>
            <w:tcW w:w="8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12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1,919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1,859</w:t>
            </w:r>
          </w:p>
        </w:tc>
        <w:tc>
          <w:tcPr>
            <w:tcW w:w="100" w:type="dxa"/>
            <w:vAlign w:val="bottom"/>
          </w:tcPr>
          <w:p>
            <w:pPr>
              <w:spacing w:after="0"/>
              <w:rPr>
                <w:sz w:val="13"/>
                <w:szCs w:val="13"/>
                <w:color w:val="auto"/>
              </w:rPr>
            </w:pPr>
          </w:p>
        </w:tc>
        <w:tc>
          <w:tcPr>
            <w:tcW w:w="720" w:type="dxa"/>
            <w:vAlign w:val="bottom"/>
            <w:gridSpan w:val="2"/>
          </w:tcPr>
          <w:p>
            <w:pPr>
              <w:jc w:val="right"/>
              <w:ind w:right="374"/>
              <w:spacing w:after="0"/>
              <w:rPr>
                <w:sz w:val="20"/>
                <w:szCs w:val="20"/>
                <w:color w:val="auto"/>
              </w:rPr>
            </w:pPr>
            <w:r>
              <w:rPr>
                <w:rFonts w:ascii="Arial" w:cs="Arial" w:eastAsia="Arial" w:hAnsi="Arial"/>
                <w:sz w:val="13"/>
                <w:szCs w:val="13"/>
                <w:color w:val="auto"/>
              </w:rPr>
              <w:t>60</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(126)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(0.2)%</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543</w:t>
            </w:r>
          </w:p>
        </w:tc>
        <w:tc>
          <w:tcPr>
            <w:tcW w:w="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544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24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1,476</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1,542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34"/>
              <w:spacing w:after="0"/>
              <w:rPr>
                <w:sz w:val="20"/>
                <w:szCs w:val="20"/>
                <w:color w:val="auto"/>
              </w:rPr>
            </w:pPr>
            <w:r>
              <w:rPr>
                <w:rFonts w:ascii="Arial" w:cs="Arial" w:eastAsia="Arial" w:hAnsi="Arial"/>
                <w:sz w:val="13"/>
                <w:szCs w:val="13"/>
                <w:color w:val="auto"/>
              </w:rPr>
              <w:t>(66)</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Reportable Segments — </w:t>
      </w:r>
      <w:r>
        <w:rPr>
          <w:rFonts w:ascii="Arial" w:cs="Arial" w:eastAsia="Arial" w:hAnsi="Arial"/>
          <w:sz w:val="12"/>
          <w:szCs w:val="12"/>
          <w:color w:val="auto"/>
        </w:rPr>
        <w:t>During the three and nine months ended September 30, 2011, revenue growth from yield on our base business and the significant year-over-year</w:t>
      </w:r>
      <w:r>
        <w:rPr>
          <w:rFonts w:ascii="Arial" w:cs="Arial" w:eastAsia="Arial" w:hAnsi="Arial"/>
          <w:sz w:val="12"/>
          <w:szCs w:val="12"/>
          <w:i w:val="1"/>
          <w:iCs w:val="1"/>
          <w:color w:val="auto"/>
        </w:rPr>
        <w:t xml:space="preserve"> </w:t>
      </w:r>
      <w:r>
        <w:rPr>
          <w:rFonts w:ascii="Arial" w:cs="Arial" w:eastAsia="Arial" w:hAnsi="Arial"/>
          <w:sz w:val="12"/>
          <w:szCs w:val="12"/>
          <w:color w:val="auto"/>
        </w:rPr>
        <w:t>improvement in market prices for recyclable commodities improved the results of operations of each of our geographic Groups on a year-over-year basis. These increases in our geographic Groups’ 2011 results were offset, in part, by (i) a decrease in income from operations caused by continued volume declines due to the economy, pricing, competition and increasing trends of waste reduction and diversion by consumers, (ii) an increase in salaries and wages due to annual merit increases effective in April, (iii) an increase in maintenance and repairs costs, and (iv) restructuring charges. The third quarter year-over-year decline in our Southern Group’s results was principally driven by these items.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significant items affecting the comparability of our Groups’ results of operations for the three and nine months ended September 30, 2011 and 2010 are summarized below:</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The income from operations of our Midwest Group for the nine months ended September 30, 2010 was significantly affected by the recognition of $26 million in charges</w:t>
      </w:r>
      <w:r>
        <w:rPr>
          <w:rFonts w:ascii="Arial" w:cs="Arial" w:eastAsia="Arial" w:hAnsi="Arial"/>
          <w:sz w:val="13"/>
          <w:szCs w:val="13"/>
          <w:i w:val="1"/>
          <w:iCs w:val="1"/>
          <w:color w:val="auto"/>
        </w:rPr>
        <w:t xml:space="preserve"> </w:t>
      </w:r>
      <w:r>
        <w:rPr>
          <w:rFonts w:ascii="Arial" w:cs="Arial" w:eastAsia="Arial" w:hAnsi="Arial"/>
          <w:sz w:val="13"/>
          <w:szCs w:val="13"/>
          <w:color w:val="auto"/>
        </w:rPr>
        <w:t>incurred as a result of bargaining unit employees in Michigan and Ohio agreeing to our proposal to withdraw them from an underfunded multiemployer pension plan. These charges were largely recognized during the first quarter of 2010.</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Southern — </w:t>
      </w:r>
      <w:r>
        <w:rPr>
          <w:rFonts w:ascii="Arial" w:cs="Arial" w:eastAsia="Arial" w:hAnsi="Arial"/>
          <w:sz w:val="13"/>
          <w:szCs w:val="13"/>
          <w:color w:val="auto"/>
        </w:rPr>
        <w:t>During the first quarter of 2011, the Group recognized a charge of $11 million related to litigation reserves. This charge was initially recognized in “Other”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fourth quarter 2010. The Group’s operating results were also negatively affected by the volume decline previously discussed, which includes the unfavorable year-over-year impact of 2010 project volumes resulting from the oil spill clean-up project in the gulf coast region.</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Wheelabrator — </w:t>
      </w:r>
      <w:r>
        <w:rPr>
          <w:rFonts w:ascii="Arial" w:cs="Arial" w:eastAsia="Arial" w:hAnsi="Arial"/>
          <w:sz w:val="12"/>
          <w:szCs w:val="12"/>
          <w:color w:val="auto"/>
        </w:rPr>
        <w:t>The decrease in income from operations of our Wheelabrator Group for the three and nine months ended September 30, 2011 as compared to the respective prior</w:t>
      </w:r>
      <w:r>
        <w:rPr>
          <w:rFonts w:ascii="Arial" w:cs="Arial" w:eastAsia="Arial" w:hAnsi="Arial"/>
          <w:sz w:val="12"/>
          <w:szCs w:val="12"/>
          <w:i w:val="1"/>
          <w:iCs w:val="1"/>
          <w:color w:val="auto"/>
        </w:rPr>
        <w:t xml:space="preserve"> </w:t>
      </w:r>
      <w:r>
        <w:rPr>
          <w:rFonts w:ascii="Arial" w:cs="Arial" w:eastAsia="Arial" w:hAnsi="Arial"/>
          <w:sz w:val="12"/>
          <w:szCs w:val="12"/>
          <w:color w:val="auto"/>
        </w:rPr>
        <w:t>year periods was driven largely by (i) lower revenues due to the expiration of a long-term electric power capacity agreement that expired December 31, 2010; (ii) an increase in year-to-date maintenance costs at our facility in Portsmouth, Virginia that we acquired in April 2010; (iii) the unfavorable year-over-year impact of the payment from an insurance claim for business interruption and property damages in the third quarter of 2010 related to an outage resulting from the failure of a generator that occurred in the second quarter of 2010 at one of our facilities and (iv) additional expenses recognized for litigation reserves and associated compliance costs. A portion of the expenses for litigation and associated costs were initially recognized in “Other” during the fourth quarter of 2010. During the second and third quarters of 2011 the impact of these unfavorable items was partially offset by the benefit of an improvement in market prices for electricity and the timing of planned maintenance activity as compared with the prior year.</w:t>
      </w:r>
    </w:p>
    <w:p>
      <w:pPr>
        <w:spacing w:after="0" w:line="5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favorable change in operating results during the nine months ended September 30, 2011 is largely due to the reversal of certain year-end 2010 adjustments initially</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in consolidation related to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320" w:lineRule="auto"/>
        <w:rPr>
          <w:sz w:val="20"/>
          <w:szCs w:val="20"/>
          <w:color w:val="auto"/>
        </w:rPr>
      </w:pPr>
      <w:r>
        <w:rPr>
          <w:rFonts w:ascii="Arial" w:cs="Arial" w:eastAsia="Arial" w:hAnsi="Arial"/>
          <w:sz w:val="12"/>
          <w:szCs w:val="12"/>
          <w:color w:val="auto"/>
        </w:rPr>
        <w:t>reportable segments that are now included in the measure of segment income from operations used to assess their performance for 2011. These adjustments were primarily related to $15 million of additional expense recognized during the fourth quarter of 2010 for litigation and associated costs in our Southern and Wheelabrator Groups.</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i w:val="1"/>
          <w:iCs w:val="1"/>
          <w:color w:val="auto"/>
        </w:rPr>
        <w:t xml:space="preserve">Corporate and Other — </w:t>
      </w:r>
      <w:r>
        <w:rPr>
          <w:rFonts w:ascii="Arial" w:cs="Arial" w:eastAsia="Arial" w:hAnsi="Arial"/>
          <w:sz w:val="13"/>
          <w:szCs w:val="13"/>
          <w:color w:val="auto"/>
        </w:rPr>
        <w:t>The change in expenses for the three and nine months ended September 30, 2011 as compared with the prior year is largely attributable to the following</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items:</w:t>
      </w:r>
    </w:p>
    <w:p>
      <w:pPr>
        <w:spacing w:after="0" w:line="59"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prior year benefit of $77 million resulting from a litigation settlement that occurred in April 2010;</w:t>
      </w:r>
    </w:p>
    <w:p>
      <w:pPr>
        <w:spacing w:after="0" w:line="86" w:lineRule="exact"/>
        <w:rPr>
          <w:rFonts w:ascii="Arial" w:cs="Arial" w:eastAsia="Arial" w:hAnsi="Arial"/>
          <w:sz w:val="13"/>
          <w:szCs w:val="13"/>
          <w:color w:val="auto"/>
        </w:rPr>
      </w:pPr>
    </w:p>
    <w:p>
      <w:pPr>
        <w:ind w:left="1280" w:right="200" w:hanging="190"/>
        <w:spacing w:after="0" w:line="260"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current year increase in “Selling, general and administrative” expenses as a result of cost increases attributable to (i) consulting fees primarily associated with our new cost savings programs focusing on procurement, operational and back-office efficiency, (ii) additional compensation expense due to transfers of certain field sales organization employees to the Corporate sales organization, annual salary and wage increases, headcount increases to support the Company’s strategic initiatives and an increase in costs attributable to our LTIP, and (iii) a favorable litigation settlement in the prior year;</w:t>
      </w:r>
    </w:p>
    <w:p>
      <w:pPr>
        <w:spacing w:after="0" w:line="5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current quarter recognition of an unfavorable adjustment of $17 million due to a decrease in United States Treasury rates. The discount rate used to estimate the present value of our environmental remediation obligations and recovery assets decreased from 3.50% to 2.00%; and</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year-to-date increases in risk management costs, primarily a result of (i) several significant auto and general liability claims and (ii) the recognition of a favorable adjustment in the second quarter of 2010 associated with prior period claims. These increases in expenses were offset partially by:</w:t>
      </w:r>
    </w:p>
    <w:p>
      <w:pPr>
        <w:spacing w:after="0" w:line="49"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prior year recognition of charges of $50 million during the nine months ended September 30, 2010 for revisions in the estimated costs of our remedial liabilities at certain closed landfills;</w:t>
      </w:r>
    </w:p>
    <w:p>
      <w:pPr>
        <w:spacing w:after="0" w:line="4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prior year recognition of an unfavorable adjustment of $13 million due to the decrease in United States Treasury rates. The discount rate used to estimate the present value of our environmental remediation obligations and recovery assets decreased from 3.75% to 3.00% and 3.00% to 2.50% during the second and third quarters of 2010, respectively; and</w:t>
      </w:r>
    </w:p>
    <w:p>
      <w:pPr>
        <w:spacing w:after="0" w:line="57"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current quarter recognition of a $9 million favorable adjustment to an environmental liability at one of the closed sites based on the estimated cost of the remediation alternative selected by the EPA.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effectively respond to the shifting demands of consumers and be a leader in environmental stewardship.</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disclosing the following supplemental information related to the operating results of our renewable energy operations for the three and nine months ended September 30, 2011 and 2010 (in millions) because we believe that it provides information related to the significance of our current renewable energy operations, the profitability of these operations, and the costs we are incurring to develop these operations. Although our Wheelabrator Group’s income from operations has declined year-over-year, we continue to make progress in the area of renewable energy.</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9"/>
                <w:szCs w:val="9"/>
                <w:b w:val="1"/>
                <w:bCs w:val="1"/>
                <w:color w:val="auto"/>
                <w:w w:val="97"/>
              </w:rPr>
              <w:t>Three Months Ended September 30, 2011</w:t>
            </w: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9"/>
                <w:szCs w:val="9"/>
                <w:b w:val="1"/>
                <w:bCs w:val="1"/>
                <w:color w:val="auto"/>
                <w:w w:val="95"/>
              </w:rPr>
              <w:t>Three Months Ended September 30, 2010</w:t>
            </w: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jc w:val="center"/>
              <w:ind w:left="114"/>
              <w:spacing w:after="0" w:line="75" w:lineRule="exact"/>
              <w:rPr>
                <w:sz w:val="20"/>
                <w:szCs w:val="20"/>
                <w:color w:val="auto"/>
              </w:rPr>
            </w:pPr>
            <w:r>
              <w:rPr>
                <w:rFonts w:ascii="Arial" w:cs="Arial" w:eastAsia="Arial" w:hAnsi="Arial"/>
                <w:sz w:val="8"/>
                <w:szCs w:val="8"/>
                <w:b w:val="1"/>
                <w:bCs w:val="1"/>
                <w:color w:val="auto"/>
              </w:rPr>
              <w:t>Landfill</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center"/>
              <w:ind w:left="7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jc w:val="center"/>
              <w:ind w:left="74"/>
              <w:spacing w:after="0" w:line="75" w:lineRule="exact"/>
              <w:rPr>
                <w:sz w:val="20"/>
                <w:szCs w:val="20"/>
                <w:color w:val="auto"/>
              </w:rPr>
            </w:pPr>
            <w:r>
              <w:rPr>
                <w:rFonts w:ascii="Arial" w:cs="Arial" w:eastAsia="Arial" w:hAnsi="Arial"/>
                <w:sz w:val="8"/>
                <w:szCs w:val="8"/>
                <w:b w:val="1"/>
                <w:bCs w:val="1"/>
                <w:color w:val="auto"/>
              </w:rPr>
              <w:t>Landfill</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center"/>
              <w:ind w:left="7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160" w:type="dxa"/>
            <w:vAlign w:val="bottom"/>
          </w:tcPr>
          <w:p>
            <w:pPr>
              <w:spacing w:after="0"/>
              <w:rPr>
                <w:sz w:val="9"/>
                <w:szCs w:val="9"/>
                <w:color w:val="auto"/>
              </w:rPr>
            </w:pPr>
          </w:p>
        </w:tc>
        <w:tc>
          <w:tcPr>
            <w:tcW w:w="840" w:type="dxa"/>
            <w:vAlign w:val="bottom"/>
          </w:tcPr>
          <w:p>
            <w:pPr>
              <w:jc w:val="center"/>
              <w:ind w:left="114"/>
              <w:spacing w:after="0"/>
              <w:rPr>
                <w:sz w:val="20"/>
                <w:szCs w:val="20"/>
                <w:color w:val="auto"/>
              </w:rPr>
            </w:pPr>
            <w:r>
              <w:rPr>
                <w:rFonts w:ascii="Arial" w:cs="Arial" w:eastAsia="Arial" w:hAnsi="Arial"/>
                <w:sz w:val="9"/>
                <w:szCs w:val="9"/>
                <w:b w:val="1"/>
                <w:bCs w:val="1"/>
                <w:color w:val="auto"/>
                <w:w w:val="93"/>
              </w:rPr>
              <w:t>Gas-to-Energy(a)</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72"/>
              <w:spacing w:after="0"/>
              <w:rPr>
                <w:sz w:val="20"/>
                <w:szCs w:val="20"/>
                <w:color w:val="auto"/>
              </w:rPr>
            </w:pPr>
            <w:r>
              <w:rPr>
                <w:rFonts w:ascii="Arial" w:cs="Arial" w:eastAsia="Arial" w:hAnsi="Arial"/>
                <w:sz w:val="9"/>
                <w:szCs w:val="9"/>
                <w:b w:val="1"/>
                <w:bCs w:val="1"/>
                <w:color w:val="auto"/>
                <w:w w:val="93"/>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100" w:type="dxa"/>
            <w:vAlign w:val="bottom"/>
          </w:tcPr>
          <w:p>
            <w:pPr>
              <w:spacing w:after="0"/>
              <w:rPr>
                <w:sz w:val="9"/>
                <w:szCs w:val="9"/>
                <w:color w:val="auto"/>
              </w:rPr>
            </w:pPr>
          </w:p>
        </w:tc>
        <w:tc>
          <w:tcPr>
            <w:tcW w:w="880" w:type="dxa"/>
            <w:vAlign w:val="bottom"/>
          </w:tcPr>
          <w:p>
            <w:pPr>
              <w:jc w:val="center"/>
              <w:ind w:left="74"/>
              <w:spacing w:after="0"/>
              <w:rPr>
                <w:sz w:val="20"/>
                <w:szCs w:val="20"/>
                <w:color w:val="auto"/>
              </w:rPr>
            </w:pPr>
            <w:r>
              <w:rPr>
                <w:rFonts w:ascii="Arial" w:cs="Arial" w:eastAsia="Arial" w:hAnsi="Arial"/>
                <w:sz w:val="9"/>
                <w:szCs w:val="9"/>
                <w:b w:val="1"/>
                <w:bCs w:val="1"/>
                <w:color w:val="auto"/>
                <w:w w:val="93"/>
              </w:rPr>
              <w:t>Gas-to-Energy(a)</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72"/>
              <w:spacing w:after="0"/>
              <w:rPr>
                <w:sz w:val="20"/>
                <w:szCs w:val="20"/>
                <w:color w:val="auto"/>
              </w:rPr>
            </w:pPr>
            <w:r>
              <w:rPr>
                <w:rFonts w:ascii="Arial" w:cs="Arial" w:eastAsia="Arial" w:hAnsi="Arial"/>
                <w:sz w:val="9"/>
                <w:szCs w:val="9"/>
                <w:b w:val="1"/>
                <w:bCs w:val="1"/>
                <w:color w:val="auto"/>
                <w:w w:val="93"/>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 revenues (including intercompany)</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228</w:t>
            </w:r>
          </w:p>
        </w:tc>
        <w:tc>
          <w:tcPr>
            <w:tcW w:w="100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w w:val="95"/>
              </w:rPr>
              <w:t>$ 264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237</w:t>
            </w:r>
          </w:p>
        </w:tc>
        <w:tc>
          <w:tcPr>
            <w:tcW w:w="980" w:type="dxa"/>
            <w:vAlign w:val="bottom"/>
            <w:gridSpan w:val="2"/>
            <w:shd w:val="clear" w:color="auto" w:fill="CCEEFF"/>
          </w:tcPr>
          <w:p>
            <w:pPr>
              <w:jc w:val="right"/>
              <w:ind w:right="774"/>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32</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$ 269</w:t>
            </w:r>
          </w:p>
        </w:tc>
        <w:tc>
          <w:tcPr>
            <w:tcW w:w="0" w:type="dxa"/>
            <w:vAlign w:val="bottom"/>
          </w:tcPr>
          <w:p>
            <w:pPr>
              <w:spacing w:after="0"/>
              <w:rPr>
                <w:sz w:val="1"/>
                <w:szCs w:val="1"/>
                <w:color w:val="auto"/>
              </w:rPr>
            </w:pP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Costs and expenses:</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131</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146</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14</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143</w:t>
            </w:r>
          </w:p>
        </w:tc>
        <w:tc>
          <w:tcPr>
            <w:tcW w:w="0" w:type="dxa"/>
            <w:vAlign w:val="bottom"/>
          </w:tcPr>
          <w:p>
            <w:pPr>
              <w:spacing w:after="0"/>
              <w:rPr>
                <w:sz w:val="1"/>
                <w:szCs w:val="1"/>
                <w:color w:val="auto"/>
              </w:rPr>
            </w:pP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Selling, general &amp; administrative</w:t>
            </w:r>
          </w:p>
        </w:tc>
        <w:tc>
          <w:tcPr>
            <w:tcW w:w="80" w:type="dxa"/>
            <w:vAlign w:val="bottom"/>
          </w:tcPr>
          <w:p>
            <w:pPr>
              <w:spacing w:after="0"/>
              <w:rPr>
                <w:sz w:val="9"/>
                <w:szCs w:val="9"/>
                <w:color w:val="auto"/>
              </w:rPr>
            </w:pP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22</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23</w:t>
            </w:r>
          </w:p>
        </w:tc>
        <w:tc>
          <w:tcPr>
            <w:tcW w:w="80" w:type="dxa"/>
            <w:vAlign w:val="bottom"/>
          </w:tcPr>
          <w:p>
            <w:pPr>
              <w:spacing w:after="0"/>
              <w:rPr>
                <w:sz w:val="9"/>
                <w:szCs w:val="9"/>
                <w:color w:val="auto"/>
              </w:rPr>
            </w:pPr>
          </w:p>
        </w:tc>
        <w:tc>
          <w:tcPr>
            <w:tcW w:w="8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24</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9"/>
              </w:rPr>
              <w:t>—</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17</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Restructuring and unusual items</w:t>
            </w: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8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9"/>
              </w:rPr>
              <w:t>—</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171</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194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170</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20</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0"/>
                <w:szCs w:val="10"/>
                <w:color w:val="auto"/>
              </w:rPr>
              <w:t>Income (loss) from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440" w:type="dxa"/>
            <w:vAlign w:val="bottom"/>
            <w:gridSpan w:val="2"/>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57</w:t>
            </w:r>
          </w:p>
        </w:tc>
        <w:tc>
          <w:tcPr>
            <w:tcW w:w="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rPr>
              <w:t>14</w:t>
            </w:r>
          </w:p>
        </w:tc>
        <w:tc>
          <w:tcPr>
            <w:tcW w:w="200" w:type="dxa"/>
            <w:vAlign w:val="bottom"/>
            <w:vMerge w:val="continue"/>
          </w:tcPr>
          <w:p>
            <w:pPr>
              <w:spacing w:after="0"/>
              <w:rPr>
                <w:sz w:val="9"/>
                <w:szCs w:val="9"/>
                <w:color w:val="auto"/>
              </w:rPr>
            </w:pPr>
          </w:p>
        </w:tc>
        <w:tc>
          <w:tcPr>
            <w:tcW w:w="780" w:type="dxa"/>
            <w:vAlign w:val="bottom"/>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97"/>
              </w:rPr>
              <w:t>(1)</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  70</w:t>
            </w:r>
          </w:p>
        </w:tc>
        <w:tc>
          <w:tcPr>
            <w:tcW w:w="400" w:type="dxa"/>
            <w:vAlign w:val="bottom"/>
            <w:vMerge w:val="continue"/>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67</w:t>
            </w:r>
          </w:p>
        </w:tc>
        <w:tc>
          <w:tcPr>
            <w:tcW w:w="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80" w:type="dxa"/>
            <w:vAlign w:val="bottom"/>
          </w:tcPr>
          <w:p>
            <w:pPr>
              <w:jc w:val="right"/>
              <w:ind w:right="774"/>
              <w:spacing w:after="0" w:line="108" w:lineRule="exact"/>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line="108" w:lineRule="exact"/>
              <w:rPr>
                <w:sz w:val="20"/>
                <w:szCs w:val="20"/>
                <w:color w:val="auto"/>
              </w:rPr>
            </w:pPr>
            <w:r>
              <w:rPr>
                <w:rFonts w:ascii="Arial" w:cs="Arial" w:eastAsia="Arial" w:hAnsi="Arial"/>
                <w:sz w:val="10"/>
                <w:szCs w:val="10"/>
                <w:color w:val="auto"/>
                <w:w w:val="89"/>
              </w:rPr>
              <w:t>12</w:t>
            </w:r>
          </w:p>
        </w:tc>
        <w:tc>
          <w:tcPr>
            <w:tcW w:w="200" w:type="dxa"/>
            <w:vAlign w:val="bottom"/>
            <w:vMerge w:val="continue"/>
          </w:tcPr>
          <w:p>
            <w:pPr>
              <w:spacing w:after="0"/>
              <w:rPr>
                <w:sz w:val="9"/>
                <w:szCs w:val="9"/>
                <w:color w:val="auto"/>
              </w:rPr>
            </w:pPr>
          </w:p>
        </w:tc>
        <w:tc>
          <w:tcPr>
            <w:tcW w:w="780" w:type="dxa"/>
            <w:vAlign w:val="bottom"/>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97"/>
              </w:rPr>
              <w:t>(2)</w:t>
            </w:r>
          </w:p>
        </w:tc>
        <w:tc>
          <w:tcPr>
            <w:tcW w:w="260" w:type="dxa"/>
            <w:vAlign w:val="bottom"/>
          </w:tcPr>
          <w:p>
            <w:pPr>
              <w:jc w:val="center"/>
              <w:spacing w:after="0" w:line="108" w:lineRule="exact"/>
              <w:rPr>
                <w:sz w:val="20"/>
                <w:szCs w:val="20"/>
                <w:color w:val="auto"/>
              </w:rPr>
            </w:pPr>
            <w:r>
              <w:rPr>
                <w:rFonts w:ascii="Arial" w:cs="Arial" w:eastAsia="Arial" w:hAnsi="Arial"/>
                <w:sz w:val="10"/>
                <w:szCs w:val="10"/>
                <w:color w:val="auto"/>
              </w:rPr>
              <w:t>$  77</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9"/>
                <w:szCs w:val="9"/>
                <w:b w:val="1"/>
                <w:bCs w:val="1"/>
                <w:color w:val="auto"/>
              </w:rPr>
              <w:t>Nine Months Ended September 30, 2011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9"/>
                <w:szCs w:val="9"/>
                <w:b w:val="1"/>
                <w:bCs w:val="1"/>
                <w:color w:val="auto"/>
                <w:w w:val="96"/>
              </w:rPr>
              <w:t>Nine Months Ended September 30, 2010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jc w:val="center"/>
              <w:ind w:left="114"/>
              <w:spacing w:after="0" w:line="75" w:lineRule="exact"/>
              <w:rPr>
                <w:sz w:val="20"/>
                <w:szCs w:val="20"/>
                <w:color w:val="auto"/>
              </w:rPr>
            </w:pPr>
            <w:r>
              <w:rPr>
                <w:rFonts w:ascii="Arial" w:cs="Arial" w:eastAsia="Arial" w:hAnsi="Arial"/>
                <w:sz w:val="8"/>
                <w:szCs w:val="8"/>
                <w:b w:val="1"/>
                <w:bCs w:val="1"/>
                <w:color w:val="auto"/>
              </w:rPr>
              <w:t>Landfill</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center"/>
              <w:ind w:left="7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jc w:val="center"/>
              <w:ind w:left="74"/>
              <w:spacing w:after="0" w:line="75" w:lineRule="exact"/>
              <w:rPr>
                <w:sz w:val="20"/>
                <w:szCs w:val="20"/>
                <w:color w:val="auto"/>
              </w:rPr>
            </w:pPr>
            <w:r>
              <w:rPr>
                <w:rFonts w:ascii="Arial" w:cs="Arial" w:eastAsia="Arial" w:hAnsi="Arial"/>
                <w:sz w:val="8"/>
                <w:szCs w:val="8"/>
                <w:b w:val="1"/>
                <w:bCs w:val="1"/>
                <w:color w:val="auto"/>
              </w:rPr>
              <w:t>Landfill</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center"/>
              <w:ind w:left="7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160" w:type="dxa"/>
            <w:vAlign w:val="bottom"/>
          </w:tcPr>
          <w:p>
            <w:pPr>
              <w:spacing w:after="0"/>
              <w:rPr>
                <w:sz w:val="9"/>
                <w:szCs w:val="9"/>
                <w:color w:val="auto"/>
              </w:rPr>
            </w:pPr>
          </w:p>
        </w:tc>
        <w:tc>
          <w:tcPr>
            <w:tcW w:w="840" w:type="dxa"/>
            <w:vAlign w:val="bottom"/>
          </w:tcPr>
          <w:p>
            <w:pPr>
              <w:jc w:val="center"/>
              <w:ind w:left="114"/>
              <w:spacing w:after="0"/>
              <w:rPr>
                <w:sz w:val="20"/>
                <w:szCs w:val="20"/>
                <w:color w:val="auto"/>
              </w:rPr>
            </w:pPr>
            <w:r>
              <w:rPr>
                <w:rFonts w:ascii="Arial" w:cs="Arial" w:eastAsia="Arial" w:hAnsi="Arial"/>
                <w:sz w:val="9"/>
                <w:szCs w:val="9"/>
                <w:b w:val="1"/>
                <w:bCs w:val="1"/>
                <w:color w:val="auto"/>
                <w:w w:val="93"/>
              </w:rPr>
              <w:t>Gas-to-Energy(a)</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72"/>
              <w:spacing w:after="0"/>
              <w:rPr>
                <w:sz w:val="20"/>
                <w:szCs w:val="20"/>
                <w:color w:val="auto"/>
              </w:rPr>
            </w:pPr>
            <w:r>
              <w:rPr>
                <w:rFonts w:ascii="Arial" w:cs="Arial" w:eastAsia="Arial" w:hAnsi="Arial"/>
                <w:sz w:val="9"/>
                <w:szCs w:val="9"/>
                <w:b w:val="1"/>
                <w:bCs w:val="1"/>
                <w:color w:val="auto"/>
                <w:w w:val="93"/>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100" w:type="dxa"/>
            <w:vAlign w:val="bottom"/>
          </w:tcPr>
          <w:p>
            <w:pPr>
              <w:spacing w:after="0"/>
              <w:rPr>
                <w:sz w:val="9"/>
                <w:szCs w:val="9"/>
                <w:color w:val="auto"/>
              </w:rPr>
            </w:pPr>
          </w:p>
        </w:tc>
        <w:tc>
          <w:tcPr>
            <w:tcW w:w="880" w:type="dxa"/>
            <w:vAlign w:val="bottom"/>
          </w:tcPr>
          <w:p>
            <w:pPr>
              <w:jc w:val="center"/>
              <w:ind w:left="74"/>
              <w:spacing w:after="0"/>
              <w:rPr>
                <w:sz w:val="20"/>
                <w:szCs w:val="20"/>
                <w:color w:val="auto"/>
              </w:rPr>
            </w:pPr>
            <w:r>
              <w:rPr>
                <w:rFonts w:ascii="Arial" w:cs="Arial" w:eastAsia="Arial" w:hAnsi="Arial"/>
                <w:sz w:val="9"/>
                <w:szCs w:val="9"/>
                <w:b w:val="1"/>
                <w:bCs w:val="1"/>
                <w:color w:val="auto"/>
                <w:w w:val="93"/>
              </w:rPr>
              <w:t>Gas-to-Energy(a)</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72"/>
              <w:spacing w:after="0"/>
              <w:rPr>
                <w:sz w:val="20"/>
                <w:szCs w:val="20"/>
                <w:color w:val="auto"/>
              </w:rPr>
            </w:pPr>
            <w:r>
              <w:rPr>
                <w:rFonts w:ascii="Arial" w:cs="Arial" w:eastAsia="Arial" w:hAnsi="Arial"/>
                <w:sz w:val="9"/>
                <w:szCs w:val="9"/>
                <w:b w:val="1"/>
                <w:bCs w:val="1"/>
                <w:color w:val="auto"/>
                <w:w w:val="93"/>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 revenues (including intercompany)</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664</w:t>
            </w:r>
          </w:p>
        </w:tc>
        <w:tc>
          <w:tcPr>
            <w:tcW w:w="100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3"/>
              </w:rPr>
              <w:t>105</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w w:val="95"/>
              </w:rPr>
              <w:t>$ 769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660</w:t>
            </w:r>
          </w:p>
        </w:tc>
        <w:tc>
          <w:tcPr>
            <w:tcW w:w="980" w:type="dxa"/>
            <w:vAlign w:val="bottom"/>
            <w:gridSpan w:val="2"/>
            <w:shd w:val="clear" w:color="auto" w:fill="CCEEFF"/>
          </w:tcPr>
          <w:p>
            <w:pPr>
              <w:jc w:val="right"/>
              <w:ind w:right="774"/>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91</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$ 751</w:t>
            </w:r>
          </w:p>
        </w:tc>
        <w:tc>
          <w:tcPr>
            <w:tcW w:w="0" w:type="dxa"/>
            <w:vAlign w:val="bottom"/>
          </w:tcPr>
          <w:p>
            <w:pPr>
              <w:spacing w:after="0"/>
              <w:rPr>
                <w:sz w:val="1"/>
                <w:szCs w:val="1"/>
                <w:color w:val="auto"/>
              </w:rPr>
            </w:pP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Costs and expenses:</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429</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474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391</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36</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428</w:t>
            </w:r>
          </w:p>
        </w:tc>
        <w:tc>
          <w:tcPr>
            <w:tcW w:w="0" w:type="dxa"/>
            <w:vAlign w:val="bottom"/>
          </w:tcPr>
          <w:p>
            <w:pPr>
              <w:spacing w:after="0"/>
              <w:rPr>
                <w:sz w:val="1"/>
                <w:szCs w:val="1"/>
                <w:color w:val="auto"/>
              </w:rPr>
            </w:pP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Selling, general &amp; administrative</w:t>
            </w:r>
          </w:p>
        </w:tc>
        <w:tc>
          <w:tcPr>
            <w:tcW w:w="80" w:type="dxa"/>
            <w:vAlign w:val="bottom"/>
          </w:tcPr>
          <w:p>
            <w:pPr>
              <w:spacing w:after="0"/>
              <w:rPr>
                <w:sz w:val="9"/>
                <w:szCs w:val="9"/>
                <w:color w:val="auto"/>
              </w:rPr>
            </w:pP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72</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66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77</w:t>
            </w:r>
          </w:p>
        </w:tc>
        <w:tc>
          <w:tcPr>
            <w:tcW w:w="80" w:type="dxa"/>
            <w:vAlign w:val="bottom"/>
          </w:tcPr>
          <w:p>
            <w:pPr>
              <w:spacing w:after="0"/>
              <w:rPr>
                <w:sz w:val="9"/>
                <w:szCs w:val="9"/>
                <w:color w:val="auto"/>
              </w:rPr>
            </w:pPr>
          </w:p>
        </w:tc>
        <w:tc>
          <w:tcPr>
            <w:tcW w:w="8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72</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50</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17</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Restructuring and unusual items</w:t>
            </w: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8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9"/>
              </w:rPr>
              <w:t>—</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552</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66</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w:t>
            </w:r>
          </w:p>
        </w:tc>
        <w:tc>
          <w:tcPr>
            <w:tcW w:w="66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622</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510</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55</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569</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0"/>
                <w:szCs w:val="10"/>
                <w:color w:val="auto"/>
              </w:rPr>
              <w:t>Income (loss) from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440" w:type="dxa"/>
            <w:vAlign w:val="bottom"/>
            <w:gridSpan w:val="2"/>
            <w:vMerge w:val="continue"/>
          </w:tcPr>
          <w:p>
            <w:pPr>
              <w:spacing w:after="0"/>
              <w:rPr>
                <w:sz w:val="10"/>
                <w:szCs w:val="10"/>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112</w:t>
            </w:r>
          </w:p>
        </w:tc>
        <w:tc>
          <w:tcPr>
            <w:tcW w:w="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rPr>
              <w:t>39</w:t>
            </w:r>
          </w:p>
        </w:tc>
        <w:tc>
          <w:tcPr>
            <w:tcW w:w="200" w:type="dxa"/>
            <w:vAlign w:val="bottom"/>
            <w:vMerge w:val="continue"/>
          </w:tcPr>
          <w:p>
            <w:pPr>
              <w:spacing w:after="0"/>
              <w:rPr>
                <w:sz w:val="10"/>
                <w:szCs w:val="10"/>
                <w:color w:val="auto"/>
              </w:rPr>
            </w:pPr>
          </w:p>
        </w:tc>
        <w:tc>
          <w:tcPr>
            <w:tcW w:w="780" w:type="dxa"/>
            <w:vAlign w:val="bottom"/>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97"/>
              </w:rPr>
              <w:t>(4)</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w w:val="95"/>
              </w:rPr>
              <w:t>$ 147</w:t>
            </w:r>
          </w:p>
        </w:tc>
        <w:tc>
          <w:tcPr>
            <w:tcW w:w="400" w:type="dxa"/>
            <w:vAlign w:val="bottom"/>
            <w:vMerge w:val="continue"/>
          </w:tcPr>
          <w:p>
            <w:pPr>
              <w:spacing w:after="0"/>
              <w:rPr>
                <w:sz w:val="10"/>
                <w:szCs w:val="10"/>
                <w:color w:val="auto"/>
              </w:rPr>
            </w:pP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150</w:t>
            </w: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80" w:type="dxa"/>
            <w:vAlign w:val="bottom"/>
          </w:tcPr>
          <w:p>
            <w:pPr>
              <w:jc w:val="right"/>
              <w:ind w:right="774"/>
              <w:spacing w:after="0" w:line="108" w:lineRule="exact"/>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line="108" w:lineRule="exact"/>
              <w:rPr>
                <w:sz w:val="20"/>
                <w:szCs w:val="20"/>
                <w:color w:val="auto"/>
              </w:rPr>
            </w:pPr>
            <w:r>
              <w:rPr>
                <w:rFonts w:ascii="Arial" w:cs="Arial" w:eastAsia="Arial" w:hAnsi="Arial"/>
                <w:sz w:val="10"/>
                <w:szCs w:val="10"/>
                <w:color w:val="auto"/>
                <w:w w:val="89"/>
              </w:rPr>
              <w:t>36</w:t>
            </w:r>
          </w:p>
        </w:tc>
        <w:tc>
          <w:tcPr>
            <w:tcW w:w="200" w:type="dxa"/>
            <w:vAlign w:val="bottom"/>
            <w:vMerge w:val="continue"/>
          </w:tcPr>
          <w:p>
            <w:pPr>
              <w:spacing w:after="0"/>
              <w:rPr>
                <w:sz w:val="10"/>
                <w:szCs w:val="10"/>
                <w:color w:val="auto"/>
              </w:rPr>
            </w:pPr>
          </w:p>
        </w:tc>
        <w:tc>
          <w:tcPr>
            <w:tcW w:w="780" w:type="dxa"/>
            <w:vAlign w:val="bottom"/>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97"/>
              </w:rPr>
              <w:t>(4)</w:t>
            </w:r>
          </w:p>
        </w:tc>
        <w:tc>
          <w:tcPr>
            <w:tcW w:w="260" w:type="dxa"/>
            <w:vAlign w:val="bottom"/>
          </w:tcPr>
          <w:p>
            <w:pPr>
              <w:jc w:val="center"/>
              <w:spacing w:after="0" w:line="108" w:lineRule="exact"/>
              <w:rPr>
                <w:sz w:val="20"/>
                <w:szCs w:val="20"/>
                <w:color w:val="auto"/>
              </w:rPr>
            </w:pPr>
            <w:r>
              <w:rPr>
                <w:rFonts w:ascii="Arial" w:cs="Arial" w:eastAsia="Arial" w:hAnsi="Arial"/>
                <w:sz w:val="10"/>
                <w:szCs w:val="10"/>
                <w:color w:val="auto"/>
                <w:w w:val="95"/>
              </w:rPr>
              <w:t>$ 182</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380" w:hanging="234"/>
        <w:spacing w:after="0" w:line="264" w:lineRule="auto"/>
        <w:tabs>
          <w:tab w:leader="none" w:pos="10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17" w:lineRule="exact"/>
        <w:rPr>
          <w:rFonts w:ascii="Arial" w:cs="Arial" w:eastAsia="Arial" w:hAnsi="Arial"/>
          <w:sz w:val="13"/>
          <w:szCs w:val="13"/>
          <w:color w:val="auto"/>
        </w:rPr>
      </w:pPr>
    </w:p>
    <w:p>
      <w:pPr>
        <w:ind w:left="1080" w:right="200" w:hanging="241"/>
        <w:spacing w:after="0" w:line="264" w:lineRule="auto"/>
        <w:tabs>
          <w:tab w:leader="none" w:pos="10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interest expense was $118 million and $358 million during the three and nine months ended September 30, 2011 compared with $126 million and $354 million during the three and nine months ended September 30, 2010. The $8 million, or 6.3%, decrease in interest expense for the three-month period is primarily due to (i) a decline in our financial assurance costs, which can be attributed to the amendment and restatement of our $2.0 billion credit facility in May 2011 and a reduction in the amount of letters of credit outstanding; (ii) the repayment of senior notes</w:t>
      </w:r>
    </w:p>
    <w:p>
      <w:pPr>
        <w:spacing w:after="0" w:line="10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and tax-exempt project bonds with relatively high interest rates upon their scheduled maturities; (iii) an increase in capitalized interest due to higher capital spending; and (iv) a decline in market interest rates, which has reduced the cost of certain of our tax-exempt debt. These reductions in interest expense were partially offset by an increase in our overall debt balances. The incremental indebtedness has been secured at a weighted average rate of approximately 3.25%.</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year-to-date increase in interest expense can generally be attributed to (i) a decrease in the benefits provided by active and terminated interest rate swap agreements due to the maturity of the underlying senior notes; (ii) the higher cost of our previous revolving credit facility, which had been executed in June 2010; and (iii) an increase in our overall debt balances. These increases were largely offset by (i) the scheduled repayment upon their maturities of senior notes and tax-exempt project bonds with relatively high interest rates; and (ii) a decline in market interest rates, which has reduced the cost of certain of our tax-exempt debt.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 xml:space="preserve">Beginning in April 2010, our “Equity in net losses of unconsolidated entities” has been primarily related to our noncontrolling interest in a limited liability company established to invest in and manage low-income housing properties, as well as (i) noncontrolling investments made to support our strategic initiatives and (ii) unconsolidated trusts for final capping, closure, post-closure or environmental obligations. In January 2011, we acquired a noncontrolling interest in a limited liability company established to invest in and manage a refined coal facility. The tax impacts realized as a result of our investments in low-income housing properties and the refined coal facility are discussed below in </w:t>
      </w:r>
      <w:r>
        <w:rPr>
          <w:rFonts w:ascii="Arial" w:cs="Arial" w:eastAsia="Arial" w:hAnsi="Arial"/>
          <w:sz w:val="12"/>
          <w:szCs w:val="12"/>
          <w:i w:val="1"/>
          <w:iCs w:val="1"/>
          <w:color w:val="auto"/>
        </w:rPr>
        <w:t>Provision for Income Taxes.</w:t>
      </w:r>
      <w:r>
        <w:rPr>
          <w:rFonts w:ascii="Arial" w:cs="Arial" w:eastAsia="Arial" w:hAnsi="Arial"/>
          <w:sz w:val="12"/>
          <w:szCs w:val="12"/>
          <w:color w:val="auto"/>
        </w:rPr>
        <w:t xml:space="preserve"> Refer to Notes 5 and 14 to the Condensed Consolidated Financial Statements for more information related to these investments.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recorded a provision for income taxes of $136 million during the third quarter of 2011, representing an effective income tax rate of 32.3%, compared with a provision for income taxes of $153 million during the third quarter of 2010, representing an effective income tax rate of 37.3%. Our effective income tax rate for the nine months ended September 30, 2011 was 34.0% compared with 39.8% for the nine months ended September 30, 2010. The decrease in our provision for income taxes when comparing both the three and nine months ended September 30, 2011 to the prior year is due primarily to the increased benefit of federal tax credits and audit settlements, as well as favorable adjustments to our accruals resulting from the filing of our 2010 income tax returns in the third quarter of 2011. In addition, in the second quarter of 2010 we recorded an increase in our state deferred income taxes to reflect the impact of changes in the estimated income tax rate at which temporary differences would be realized.</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investments in low-income housing properties and the refined coal facility reduced our provision for income taxes by $9 million and $4 million, respectively, for the three months ended September 30, 2011 and by $27 million and $11 million, respectively, for the nine months ended September 30, 2011. Our tax provision for the three and nine months ended September 30, 2010, was reduced by $7 million and $18 million, respectively, as a result of our investment in low-income housing properties. Refer to Note 5 to the Condensed Consolidated Financial Statements for more information related to these investments.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July 28, 2011, we acquired Oakleaf and its primary operations. Oakleaf did not materially impact our provision for income taxes or the effective income tax rate for the three and nine months ended September 30, 2011. We did receive, as a part of the acquisition, income tax attributes (primarily federal and state net operating losses). While these tax attributes, when realized, will not affect our overall provision for income taxes, they will have a favorable impact on our cash taxes, although we do not anticipate the impact to be material to our overall cash flow from operations.</w:t>
      </w:r>
    </w:p>
    <w:p>
      <w:pPr>
        <w:spacing w:after="0" w:line="7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Tax Relief, Unemployment Insurance Reauthorization, and Job Creation Act, signed into law on December 17, 2010, included an extension of the bonus depreciation allowance through the end of 2012 and increased the amount of qualifying capital expenditures that can be depreciated immediately from 50 percent to 100 percent. The 100 percent depreciation deduction applies to qualifying property placed in service from September 8, 2010 through December 31, 2011. The acceleration of deductions on 2011 capital expenditures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spacing w:after="0" w:line="264" w:lineRule="auto"/>
        <w:rPr>
          <w:sz w:val="20"/>
          <w:szCs w:val="20"/>
          <w:color w:val="auto"/>
        </w:rPr>
      </w:pPr>
      <w:r>
        <w:rPr>
          <w:rFonts w:ascii="Arial" w:cs="Arial" w:eastAsia="Arial" w:hAnsi="Arial"/>
          <w:sz w:val="13"/>
          <w:szCs w:val="13"/>
          <w:color w:val="auto"/>
        </w:rPr>
        <w:t>resulting from the bonus depreciation provision will have no impact on our effective tax rate. However, the ability to accelerate depreciation deductions is expected to decrease our 2011 cash taxes by approximately $190 million. Taking the accelerated tax depreciation in the current period will result in increased cash taxes in future periods when the accelerated deductions for these capital expenditures would have otherwise been taken.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Net income attributable to noncontrolling interests was $13 million and $36 million for the three and nine months ended September 30, 2011 and $14 million and $36 million for the three and nine months ended September 30, 2010. These amounts are principally related to third parties’ equity interests in two limited liability companies that own three waste-to-energy facilities operated by our Wheelabrator Group. Refer to Note 14 to the Condensed Consolidated Financial Statements for information related to the consolidation of these variable interest entities.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The following is a summary of our cash and cash equivalents, restricted trust and escrow accounts and debt balances as of September 30, 2011 and December 31, 2010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Final capping, closure, post-closure and environmental remediation funds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Tax-exempt bond funds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5"/>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Debt:</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Current portion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portion</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9,388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9,613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8,907</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As of September 30, 2011, we had $348 million of debt maturing within the next twelve months, including U.S. $133 million under our Canadian credit facility. The amount reported as the current portion of long-term debt as of September 30, 2011 excludes $123 million of these scheduled repayments because we have the intent and ability to refinance portions of our current maturities on a long-term basis.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nine-month periods ended September 30 (in millions):</w:t>
      </w:r>
    </w:p>
    <w:p>
      <w:pPr>
        <w:spacing w:after="0" w:line="98"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Nine Months</w:t>
      </w:r>
    </w:p>
    <w:p>
      <w:pPr>
        <w:jc w:val="center"/>
        <w:ind w:left="8100"/>
        <w:spacing w:after="0" w:line="236" w:lineRule="auto"/>
        <w:rPr>
          <w:sz w:val="20"/>
          <w:szCs w:val="20"/>
          <w:color w:val="auto"/>
        </w:rPr>
      </w:pPr>
      <w:r>
        <w:rPr>
          <w:rFonts w:ascii="Arial" w:cs="Arial" w:eastAsia="Arial" w:hAnsi="Arial"/>
          <w:sz w:val="10"/>
          <w:szCs w:val="10"/>
          <w:b w:val="1"/>
          <w:bCs w:val="1"/>
          <w:color w:val="auto"/>
        </w:rPr>
        <w:t>Ended</w:t>
      </w:r>
    </w:p>
    <w:p>
      <w:pPr>
        <w:jc w:val="center"/>
        <w:ind w:left="810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47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4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4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(1,535)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47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760" w:type="dxa"/>
            <w:vAlign w:val="bottom"/>
          </w:tcPr>
          <w:p>
            <w:pPr>
              <w:jc w:val="right"/>
              <w:ind w:right="3174"/>
              <w:spacing w:after="0"/>
              <w:rPr>
                <w:sz w:val="20"/>
                <w:szCs w:val="20"/>
                <w:color w:val="auto"/>
              </w:rPr>
            </w:pPr>
            <w:r>
              <w:rPr>
                <w:rFonts w:ascii="Arial" w:cs="Arial" w:eastAsia="Arial" w:hAnsi="Arial"/>
                <w:sz w:val="13"/>
                <w:szCs w:val="13"/>
                <w:color w:val="auto"/>
              </w:rPr>
              <w:t>54</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We generated $1,737 million of cash flows from operating activities during the nine-month period ended September 30, 2011,</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with $1,653 million during the nine-month period ended September 30, 2010. The $84 million year-over-year increase in cash provided by operating activities was primarily related to a $226 million decline in cash paid for income taxes, offset, in part, by the impacts of two non-recurring cash inflows on our operating cash in 2010.</w:t>
      </w:r>
    </w:p>
    <w:p>
      <w:pPr>
        <w:spacing w:after="0" w:line="50" w:lineRule="exact"/>
        <w:rPr>
          <w:sz w:val="20"/>
          <w:szCs w:val="20"/>
          <w:color w:val="auto"/>
        </w:rPr>
      </w:pPr>
    </w:p>
    <w:p>
      <w:pPr>
        <w:ind w:left="1280" w:right="80" w:hanging="190"/>
        <w:spacing w:after="0" w:line="260"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The significant decrease in cash taxes paid in 2011 is due in large part to the extension of the bonus depreciation legislation. The 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accelerate depreciation deductions is expected to decrease our full year 2011 cash taxes by $190 million. Also contributing to the decrease in cash paid for taxes in 2011, is an increase in federal tax credits provided by our investments in two unconsolidated entities. These investments are discussed in Note 5 and Note 14 of the Condensed Consolidated Financial Statements.</w:t>
      </w:r>
    </w:p>
    <w:p>
      <w:pPr>
        <w:spacing w:after="0" w:line="5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2010 Non-recurring cash inflows </w:t>
      </w:r>
      <w:r>
        <w:rPr>
          <w:rFonts w:ascii="Arial" w:cs="Arial" w:eastAsia="Arial" w:hAnsi="Arial"/>
          <w:sz w:val="13"/>
          <w:szCs w:val="13"/>
          <w:color w:val="auto"/>
        </w:rPr>
        <w:t>— Two significant cash transactions benefited cash provided by operating activities for the nine months ended September 30, 2010. In the</w:t>
      </w:r>
      <w:r>
        <w:rPr>
          <w:rFonts w:ascii="Arial" w:cs="Arial" w:eastAsia="Arial" w:hAnsi="Arial"/>
          <w:sz w:val="13"/>
          <w:szCs w:val="13"/>
          <w:i w:val="1"/>
          <w:iCs w:val="1"/>
          <w:color w:val="auto"/>
        </w:rPr>
        <w:t xml:space="preserve"> </w:t>
      </w:r>
      <w:r>
        <w:rPr>
          <w:rFonts w:ascii="Arial" w:cs="Arial" w:eastAsia="Arial" w:hAnsi="Arial"/>
          <w:sz w:val="13"/>
          <w:szCs w:val="13"/>
          <w:color w:val="auto"/>
        </w:rPr>
        <w:t>second quarter of 2010, we received $77 million for a litigation settlement, and in the third quarter of 2010, we received a $65 million federal tax refund related to the liquidation of a foreign subsidiary in 2009.</w:t>
      </w:r>
    </w:p>
    <w:p>
      <w:pPr>
        <w:spacing w:after="0" w:line="67"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most significant items included in our investing cash flows for the nine-month periods ended September 30, 2011 and 2010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ind w:left="1280" w:hanging="190"/>
        <w:spacing w:after="0" w:line="285" w:lineRule="auto"/>
        <w:tabs>
          <w:tab w:leader="none" w:pos="1280"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Capital expenditures </w:t>
      </w:r>
      <w:r>
        <w:rPr>
          <w:rFonts w:ascii="Arial" w:cs="Arial" w:eastAsia="Arial" w:hAnsi="Arial"/>
          <w:sz w:val="12"/>
          <w:szCs w:val="12"/>
          <w:color w:val="auto"/>
        </w:rPr>
        <w:t>— We used $909 million during the first nine months of 2011 for capital expenditures compared with $737 million in the first nine months of 2010, an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of $172 million. The increase in capital expenditures in 2011 is a result of our increased spending on natural gas vehicles and fueling infrastructure, information technology infrastructure and growth initiatives and taking advantage of the bonus depreciation legislation. The year-over-year comparison was also affected by timing differences associated with cash payments for the previous years’ fourth quarter capital spending. Approximately $206 million of our fourth quarter 2010 spending was paid in cash in the first quarter of 2011 compared with approximately $145 million of our fourth quarter 2009 spending that was paid in the first quarter of 2010.</w:t>
      </w:r>
    </w:p>
    <w:p>
      <w:pPr>
        <w:spacing w:after="0" w:line="45" w:lineRule="exact"/>
        <w:rPr>
          <w:rFonts w:ascii="Arial" w:cs="Arial" w:eastAsia="Arial" w:hAnsi="Arial"/>
          <w:sz w:val="12"/>
          <w:szCs w:val="12"/>
          <w:color w:val="auto"/>
        </w:rPr>
      </w:pPr>
    </w:p>
    <w:p>
      <w:pPr>
        <w:ind w:left="1280" w:right="40" w:hanging="190"/>
        <w:spacing w:after="0" w:line="260"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Our spending on acquisitions was $645 million in the first nine months of 2011 compared with $343 million in the first nine months of 2010. On July 28, 2011,</w:t>
      </w:r>
      <w:r>
        <w:rPr>
          <w:rFonts w:ascii="Arial" w:cs="Arial" w:eastAsia="Arial" w:hAnsi="Arial"/>
          <w:sz w:val="13"/>
          <w:szCs w:val="13"/>
          <w:i w:val="1"/>
          <w:iCs w:val="1"/>
          <w:color w:val="auto"/>
        </w:rPr>
        <w:t xml:space="preserve"> </w:t>
      </w:r>
      <w:r>
        <w:rPr>
          <w:rFonts w:ascii="Arial" w:cs="Arial" w:eastAsia="Arial" w:hAnsi="Arial"/>
          <w:sz w:val="13"/>
          <w:szCs w:val="13"/>
          <w:color w:val="auto"/>
        </w:rPr>
        <w:t>we paid $432 million, net of cash received of $4 million and inclusive of certain adjustments, to acquire Oakleaf, which provides outsourced waste and recycling services through a nationwide network of third-party haulers. We continue to focus on accretive acquisitions and growth opportunities that will contribute to improved future results of operations and enhance and expand our existing service offerings.</w:t>
      </w:r>
    </w:p>
    <w:p>
      <w:pPr>
        <w:spacing w:after="0" w:line="59" w:lineRule="exact"/>
        <w:rPr>
          <w:rFonts w:ascii="Arial" w:cs="Arial" w:eastAsia="Arial" w:hAnsi="Arial"/>
          <w:sz w:val="13"/>
          <w:szCs w:val="13"/>
          <w:color w:val="auto"/>
        </w:rPr>
      </w:pPr>
    </w:p>
    <w:p>
      <w:pPr>
        <w:ind w:left="1280" w:right="80" w:hanging="190"/>
        <w:spacing w:after="0" w:line="296" w:lineRule="auto"/>
        <w:tabs>
          <w:tab w:leader="none" w:pos="1280"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Investments in unconsolidated entities </w:t>
      </w:r>
      <w:r>
        <w:rPr>
          <w:rFonts w:ascii="Arial" w:cs="Arial" w:eastAsia="Arial" w:hAnsi="Arial"/>
          <w:sz w:val="12"/>
          <w:szCs w:val="12"/>
          <w:color w:val="auto"/>
        </w:rPr>
        <w:t>— We made $92 million of cash investments in unconsolidated entities during the first nine months of 2011. These investments included a</w:t>
      </w:r>
      <w:r>
        <w:rPr>
          <w:rFonts w:ascii="Arial" w:cs="Arial" w:eastAsia="Arial" w:hAnsi="Arial"/>
          <w:sz w:val="12"/>
          <w:szCs w:val="12"/>
          <w:i w:val="1"/>
          <w:iCs w:val="1"/>
          <w:color w:val="auto"/>
        </w:rPr>
        <w:t xml:space="preserve"> </w:t>
      </w:r>
      <w:r>
        <w:rPr>
          <w:rFonts w:ascii="Arial" w:cs="Arial" w:eastAsia="Arial" w:hAnsi="Arial"/>
          <w:sz w:val="12"/>
          <w:szCs w:val="12"/>
          <w:color w:val="auto"/>
        </w:rPr>
        <w:t>$48 million payment made to acquire a noncontrolling interest in a limited liability company, which was established to invest in and manage a refined coal facility in North Dakota, and $44 million of investments primarily related to furthering our goal of growing into new markets by investing in greener technologies.</w:t>
      </w:r>
    </w:p>
    <w:p>
      <w:pPr>
        <w:spacing w:after="0" w:line="49" w:lineRule="exact"/>
        <w:rPr>
          <w:rFonts w:ascii="Arial" w:cs="Arial" w:eastAsia="Arial" w:hAnsi="Arial"/>
          <w:sz w:val="12"/>
          <w:szCs w:val="12"/>
          <w:color w:val="auto"/>
        </w:rPr>
      </w:pPr>
    </w:p>
    <w:p>
      <w:pPr>
        <w:ind w:left="1280" w:right="20"/>
        <w:spacing w:after="0" w:line="260" w:lineRule="auto"/>
        <w:rPr>
          <w:rFonts w:ascii="Arial" w:cs="Arial" w:eastAsia="Arial" w:hAnsi="Arial"/>
          <w:sz w:val="12"/>
          <w:szCs w:val="12"/>
          <w:color w:val="auto"/>
        </w:rPr>
      </w:pPr>
      <w:r>
        <w:rPr>
          <w:rFonts w:ascii="Arial" w:cs="Arial" w:eastAsia="Arial" w:hAnsi="Arial"/>
          <w:sz w:val="13"/>
          <w:szCs w:val="13"/>
          <w:color w:val="auto"/>
        </w:rPr>
        <w:t>We made $162 million of cash investments in unconsolidated entities during the first nine months of 2010. These cash investments were primarily related to a $142 million payment made to acquire a 40% equity investment in Shanghai Environment Group (“SEG”), a subsidiary of Shanghai Chengtou Holding Co., Ltd. As a joint venture partner in SEG, we participate in the operation and management of waste-to-energy and other waste services in the Chinese market. SEG’s focus also includes building new waste-to-energy facilities in China.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During the nine months ended September 30, 2011, net cash used in financing activities was $459 million, compared with $1,069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 comparable prior year period. The most significant items affecting the comparison of our financing cash flows for the nine-month periods ended September 30, 2011 and 2010 are summarized below:</w:t>
      </w:r>
    </w:p>
    <w:p>
      <w:pPr>
        <w:spacing w:after="0" w:line="67" w:lineRule="exact"/>
        <w:rPr>
          <w:sz w:val="20"/>
          <w:szCs w:val="20"/>
          <w:color w:val="auto"/>
        </w:rPr>
      </w:pPr>
    </w:p>
    <w:p>
      <w:pPr>
        <w:ind w:left="108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i w:val="1"/>
          <w:iCs w:val="1"/>
          <w:color w:val="auto"/>
        </w:rPr>
        <w:t xml:space="preserve">Debt borrowings and repayments </w:t>
      </w:r>
      <w:r>
        <w:rPr>
          <w:rFonts w:ascii="Arial" w:cs="Arial" w:eastAsia="Arial" w:hAnsi="Arial"/>
          <w:sz w:val="13"/>
          <w:szCs w:val="13"/>
          <w:color w:val="auto"/>
        </w:rPr>
        <w:t>— The following summarizes our cash borrowings and debt repayments during each period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8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r>
      <w:tr>
        <w:trPr>
          <w:trHeight w:val="29"/>
        </w:trPr>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893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592</w:t>
            </w: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6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775</w:t>
            </w: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(600)</w:t>
            </w: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bonds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Tax exempt project bonds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(932)</w:t>
            </w: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borrowings (repayments)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w:t>
            </w:r>
          </w:p>
        </w:tc>
      </w:tr>
      <w:tr>
        <w:trPr>
          <w:trHeight w:val="29"/>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3 to the Condensed Consolidated Financial Statements for additional information related to our debt borrowings and repayments.</w:t>
      </w:r>
    </w:p>
    <w:p>
      <w:pPr>
        <w:spacing w:after="0" w:line="96" w:lineRule="exact"/>
        <w:rPr>
          <w:sz w:val="20"/>
          <w:szCs w:val="20"/>
          <w:color w:val="auto"/>
        </w:rPr>
      </w:pPr>
    </w:p>
    <w:p>
      <w:pPr>
        <w:ind w:left="1280" w:right="220" w:hanging="190"/>
        <w:spacing w:after="0" w:line="285" w:lineRule="auto"/>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Share repurchases and dividend payments — </w:t>
      </w:r>
      <w:r>
        <w:rPr>
          <w:rFonts w:ascii="Arial" w:cs="Arial" w:eastAsia="Arial" w:hAnsi="Arial"/>
          <w:sz w:val="12"/>
          <w:szCs w:val="12"/>
          <w:color w:val="auto"/>
        </w:rPr>
        <w:t>We repurchased 16.4 million shares of our common stock for $546 million during the first nine months of 2011, of which</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$18 million was paid in October 2011 compared with 13.4 million shares of our common stock for $445 million during the first nine months of 2010, of which approximately $2 million was paid in October 2010. We increased our rate of repurchases during the third quarter of 2011, during which time the price of our stock reached its lowest levels for the previous 52-week period. We continued this acceleration of repurchases into October 2011 and have completed our common stock repurchases for 2011 under the capital allocation program approved by the Board of Directors, which provided for up to $575 million in common stock repurchases in 2011.</w:t>
      </w:r>
    </w:p>
    <w:p>
      <w:pPr>
        <w:spacing w:after="0" w:line="55" w:lineRule="exact"/>
        <w:rPr>
          <w:rFonts w:ascii="Arial" w:cs="Arial" w:eastAsia="Arial" w:hAnsi="Arial"/>
          <w:sz w:val="12"/>
          <w:szCs w:val="12"/>
          <w:color w:val="auto"/>
        </w:rPr>
      </w:pPr>
    </w:p>
    <w:p>
      <w:pPr>
        <w:ind w:left="1280" w:right="40"/>
        <w:spacing w:after="0" w:line="264" w:lineRule="auto"/>
        <w:rPr>
          <w:rFonts w:ascii="Arial" w:cs="Arial" w:eastAsia="Arial" w:hAnsi="Arial"/>
          <w:sz w:val="12"/>
          <w:szCs w:val="12"/>
          <w:color w:val="auto"/>
        </w:rPr>
      </w:pPr>
      <w:r>
        <w:rPr>
          <w:rFonts w:ascii="Arial" w:cs="Arial" w:eastAsia="Arial" w:hAnsi="Arial"/>
          <w:sz w:val="13"/>
          <w:szCs w:val="13"/>
          <w:color w:val="auto"/>
        </w:rPr>
        <w:t>We paid $481 million in cash dividends in the first nine months of 2011 compared with $454 million in the first nine months of 2010. The increase in dividend payments is due to our quarterly per share dividends declared increasing from $0.315 in 2010 to $0.34 in 2011, partially offset by a reduction in the number of our outstanding shares as a result of our share repurchase program.</w:t>
      </w:r>
    </w:p>
    <w:p>
      <w:pPr>
        <w:spacing w:after="0" w:line="66" w:lineRule="exact"/>
        <w:rPr>
          <w:rFonts w:ascii="Arial" w:cs="Arial" w:eastAsia="Arial" w:hAnsi="Arial"/>
          <w:sz w:val="12"/>
          <w:szCs w:val="12"/>
          <w:color w:val="auto"/>
        </w:rPr>
      </w:pPr>
    </w:p>
    <w:p>
      <w:pPr>
        <w:ind w:left="1280" w:right="20" w:hanging="190"/>
        <w:spacing w:after="0" w:line="260"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Net cash used for our other financing activities was $43 million during the first nine months of 2011 (including $7 million of financing costs paid to amend and restate</w:t>
      </w:r>
      <w:r>
        <w:rPr>
          <w:rFonts w:ascii="Arial" w:cs="Arial" w:eastAsia="Arial" w:hAnsi="Arial"/>
          <w:sz w:val="13"/>
          <w:szCs w:val="13"/>
          <w:i w:val="1"/>
          <w:iCs w:val="1"/>
          <w:color w:val="auto"/>
        </w:rPr>
        <w:t xml:space="preserve"> </w:t>
      </w:r>
      <w:r>
        <w:rPr>
          <w:rFonts w:ascii="Arial" w:cs="Arial" w:eastAsia="Arial" w:hAnsi="Arial"/>
          <w:sz w:val="13"/>
          <w:szCs w:val="13"/>
          <w:color w:val="auto"/>
        </w:rPr>
        <w:t>our $2.0 billion revolving credit facility) compared with $17 million during the first nine months of 2010 (including $13 million of financing costs paid to execute our $2.0 billion revolving credit facility). In 2011, the use of cash was driven by changes in our accrued liabilities for checks written in excess of related cash balances due to the timing of cash deposits or payments.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liabilities associated with uncertain tax positions and related interest. These liabilities are primarily included as a component of long-term “Other liabilities” in our Condensed Consolidated Balance Sheet because we generally do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 We anticipate that approximately $8 million of liabilities for uncertain tax positions, including accrued interest, and $3 million of related deferred tax assets may be reversed within the next twelve months. The anticipated reversals are related to state tax items, none of which are material, and are expected to result from audit settlements or the expiration of the applicable statute of limitations period.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8 to the Condensed Consolidated Financial Statements. These arrangements have not materially affected our financial position, results of operations or liquidity during the nine months ended September 30, 2011, nor are they expected to have a material impact on our future financial position, results of operations or liquidity.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where we operate have tended to increase during the summer months. Our second and third quarter revenues and results of operations typically reflect these seasonal trends.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Inflation</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A significant portion of our collection revenues are generated under long-term agreements with price adjustments based on various indices intended to measure inflation. These indices have been at historic lows over the past two years, although recent data has trended upward. We believe that inflation generally has not had, and in the near future is not expected to have, any material adverse effect on our results of operations. Additionally, management’s estimates associated with inflation have had, and will continue to have, an impact on our accounting for landfill and environmental remediation liabilities.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Information about market risks as of September 30, 2011, does not differ materially from that discussed under Item 7A in our Annual Report on Form 10-K for the year ended December 31, 2010.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Effectiveness of Controls and Procedures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2011 (the end of the period covered by this Quarterly Report on Form 10-Q).</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Controls over Financial Reporting</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Management, together with our Chief Executive Officer and principal financial officer, evaluated the changes in our internal control over financial reporting during the quarter ended September 30, 2011. We determined that there were no changes in our internal control over financial reporting during the quarter ended September 30, 2011 that have materially affected, or are reasonably likely to materially affect, our internal control over financial reporting.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2010 in response to Item 1A to Part I of Form 10-K.</w:t>
      </w:r>
    </w:p>
    <w:p>
      <w:pPr>
        <w:spacing w:after="0" w:line="18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December 2010, the Board of Directors approved a capital allocation program that provides for up to $575 million in common stock repurchases for 2011. All of the common stock repurchases made in 2011 have been pursuant to this capital allocation program.</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common stock repurchases made during the third quarter of 2011:</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220" w:type="dxa"/>
            <w:vAlign w:val="bottom"/>
          </w:tcPr>
          <w:p>
            <w:pPr>
              <w:spacing w:after="0"/>
              <w:rPr>
                <w:sz w:val="10"/>
                <w:szCs w:val="10"/>
                <w:color w:val="auto"/>
              </w:rPr>
            </w:pPr>
          </w:p>
        </w:tc>
        <w:tc>
          <w:tcPr>
            <w:tcW w:w="1460" w:type="dxa"/>
            <w:vAlign w:val="bottom"/>
            <w:vMerge w:val="restart"/>
          </w:tcPr>
          <w:p>
            <w:pPr>
              <w:jc w:val="center"/>
              <w:ind w:left="122"/>
              <w:spacing w:after="0"/>
              <w:rPr>
                <w:sz w:val="20"/>
                <w:szCs w:val="20"/>
                <w:color w:val="auto"/>
              </w:rPr>
            </w:pPr>
            <w:r>
              <w:rPr>
                <w:rFonts w:ascii="Arial" w:cs="Arial" w:eastAsia="Arial" w:hAnsi="Arial"/>
                <w:sz w:val="10"/>
                <w:szCs w:val="10"/>
                <w:b w:val="1"/>
                <w:bCs w:val="1"/>
                <w:color w:val="auto"/>
                <w:w w:val="98"/>
              </w:rPr>
              <w:t>Approximate Maximum</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20" w:type="dxa"/>
            <w:vAlign w:val="bottom"/>
          </w:tcPr>
          <w:p>
            <w:pPr>
              <w:spacing w:after="0"/>
              <w:rPr>
                <w:sz w:val="9"/>
                <w:szCs w:val="9"/>
                <w:color w:val="auto"/>
              </w:rPr>
            </w:pPr>
          </w:p>
        </w:tc>
        <w:tc>
          <w:tcPr>
            <w:tcW w:w="1460" w:type="dxa"/>
            <w:vAlign w:val="bottom"/>
          </w:tcPr>
          <w:p>
            <w:pPr>
              <w:jc w:val="center"/>
              <w:ind w:left="122"/>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Price Paid</w:t>
            </w: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20" w:type="dxa"/>
            <w:vAlign w:val="bottom"/>
          </w:tcPr>
          <w:p>
            <w:pPr>
              <w:spacing w:after="0"/>
              <w:rPr>
                <w:sz w:val="9"/>
                <w:szCs w:val="9"/>
                <w:color w:val="auto"/>
              </w:rPr>
            </w:pPr>
          </w:p>
        </w:tc>
        <w:tc>
          <w:tcPr>
            <w:tcW w:w="1960" w:type="dxa"/>
            <w:vAlign w:val="bottom"/>
            <w:gridSpan w:val="3"/>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3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Share(a)</w:t>
            </w:r>
          </w:p>
        </w:tc>
        <w:tc>
          <w:tcPr>
            <w:tcW w:w="17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Programs</w:t>
            </w:r>
          </w:p>
        </w:tc>
        <w:tc>
          <w:tcPr>
            <w:tcW w:w="220" w:type="dxa"/>
            <w:vAlign w:val="bottom"/>
          </w:tcPr>
          <w:p>
            <w:pPr>
              <w:spacing w:after="0"/>
              <w:rPr>
                <w:sz w:val="10"/>
                <w:szCs w:val="10"/>
                <w:color w:val="auto"/>
              </w:rPr>
            </w:pPr>
          </w:p>
        </w:tc>
        <w:tc>
          <w:tcPr>
            <w:tcW w:w="1460" w:type="dxa"/>
            <w:vAlign w:val="bottom"/>
          </w:tcPr>
          <w:p>
            <w:pPr>
              <w:jc w:val="center"/>
              <w:ind w:left="122"/>
              <w:spacing w:after="0"/>
              <w:rPr>
                <w:sz w:val="20"/>
                <w:szCs w:val="20"/>
                <w:color w:val="auto"/>
              </w:rPr>
            </w:pPr>
            <w:r>
              <w:rPr>
                <w:rFonts w:ascii="Arial" w:cs="Arial" w:eastAsia="Arial" w:hAnsi="Arial"/>
                <w:sz w:val="10"/>
                <w:szCs w:val="10"/>
                <w:b w:val="1"/>
                <w:bCs w:val="1"/>
                <w:color w:val="auto"/>
                <w:w w:val="93"/>
              </w:rPr>
              <w:t>the Plans or Programs(b)</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 31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1,377,806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35.95</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1,377,806</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Million</w:t>
            </w:r>
          </w:p>
        </w:tc>
        <w:tc>
          <w:tcPr>
            <w:tcW w:w="0" w:type="dxa"/>
            <w:vAlign w:val="bottom"/>
          </w:tcPr>
          <w:p>
            <w:pPr>
              <w:spacing w:after="0"/>
              <w:rPr>
                <w:sz w:val="1"/>
                <w:szCs w:val="1"/>
                <w:color w:val="auto"/>
              </w:rPr>
            </w:pPr>
          </w:p>
        </w:tc>
      </w:tr>
      <w:tr>
        <w:trPr>
          <w:trHeight w:val="157"/>
        </w:trPr>
        <w:tc>
          <w:tcPr>
            <w:tcW w:w="3400" w:type="dxa"/>
            <w:vAlign w:val="bottom"/>
            <w:gridSpan w:val="2"/>
          </w:tcPr>
          <w:p>
            <w:pPr>
              <w:spacing w:after="0"/>
              <w:rPr>
                <w:sz w:val="20"/>
                <w:szCs w:val="20"/>
                <w:color w:val="auto"/>
              </w:rPr>
            </w:pPr>
            <w:r>
              <w:rPr>
                <w:rFonts w:ascii="Arial" w:cs="Arial" w:eastAsia="Arial" w:hAnsi="Arial"/>
                <w:sz w:val="13"/>
                <w:szCs w:val="13"/>
                <w:color w:val="auto"/>
              </w:rPr>
              <w:t>August 1 — 31</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6,290,810</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30.69</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6,290,810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156</w:t>
            </w:r>
          </w:p>
        </w:tc>
        <w:tc>
          <w:tcPr>
            <w:tcW w:w="50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1 — 30(c)</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4,061,404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31.28</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4,061,404</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Million</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31.51</w:t>
            </w: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11,730,020</w:t>
            </w:r>
          </w:p>
        </w:tc>
        <w:tc>
          <w:tcPr>
            <w:tcW w:w="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11,730,020</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234"/>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per-share commission paid for all repurchases.</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purchased the remaining maximum allowable amount of shares under our capital allocation program in October 2011.</w:t>
      </w:r>
    </w:p>
    <w:p>
      <w:pPr>
        <w:spacing w:after="0" w:line="47" w:lineRule="exact"/>
        <w:rPr>
          <w:rFonts w:ascii="Arial" w:cs="Arial" w:eastAsia="Arial" w:hAnsi="Arial"/>
          <w:sz w:val="13"/>
          <w:szCs w:val="13"/>
          <w:color w:val="auto"/>
        </w:rPr>
      </w:pPr>
    </w:p>
    <w:p>
      <w:pPr>
        <w:ind w:left="1080" w:hanging="234"/>
        <w:spacing w:after="0"/>
        <w:tabs>
          <w:tab w:leader="none" w:pos="10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reported include 555,600 shares repurchased for an aggregate of approximately $18 million that were initiated in September, but settled in cash in October.</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80" w:type="dxa"/>
            <w:vAlign w:val="bottom"/>
          </w:tcPr>
          <w:p>
            <w:pPr>
              <w:jc w:val="right"/>
              <w:ind w:right="315"/>
              <w:spacing w:after="0"/>
              <w:rPr>
                <w:sz w:val="20"/>
                <w:szCs w:val="20"/>
                <w:color w:val="auto"/>
              </w:rPr>
            </w:pPr>
            <w:r>
              <w:rPr>
                <w:rFonts w:ascii="Arial" w:cs="Arial" w:eastAsia="Arial" w:hAnsi="Arial"/>
                <w:sz w:val="13"/>
                <w:szCs w:val="13"/>
                <w:b w:val="1"/>
                <w:bCs w:val="1"/>
                <w:color w:val="auto"/>
                <w:w w:val="92"/>
              </w:rPr>
              <w:t>Item 6.</w:t>
            </w:r>
          </w:p>
        </w:tc>
        <w:tc>
          <w:tcPr>
            <w:tcW w:w="9200" w:type="dxa"/>
            <w:vAlign w:val="bottom"/>
            <w:gridSpan w:val="3"/>
          </w:tcPr>
          <w:p>
            <w:pPr>
              <w:ind w:left="40"/>
              <w:spacing w:after="0"/>
              <w:rPr>
                <w:sz w:val="20"/>
                <w:szCs w:val="20"/>
                <w:color w:val="auto"/>
              </w:rPr>
            </w:pPr>
            <w:r>
              <w:rPr>
                <w:rFonts w:ascii="Arial" w:cs="Arial" w:eastAsia="Arial" w:hAnsi="Arial"/>
                <w:sz w:val="13"/>
                <w:szCs w:val="13"/>
                <w:b w:val="1"/>
                <w:bCs w:val="1"/>
                <w:i w:val="1"/>
                <w:iCs w:val="1"/>
                <w:color w:val="auto"/>
              </w:rPr>
              <w:t>Exhibits.</w:t>
            </w: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Exhibit No.</w:t>
            </w:r>
          </w:p>
        </w:tc>
        <w:tc>
          <w:tcPr>
            <w:tcW w:w="2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500" w:type="dxa"/>
            <w:vAlign w:val="bottom"/>
            <w:tcBorders>
              <w:bottom w:val="single" w:sz="8" w:color="auto"/>
            </w:tcBorders>
          </w:tcPr>
          <w:p>
            <w:pPr>
              <w:ind w:left="398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8"/>
                <w:szCs w:val="18"/>
                <w:color w:val="auto"/>
              </w:rPr>
            </w:pPr>
          </w:p>
        </w:tc>
      </w:tr>
      <w:tr>
        <w:trPr>
          <w:trHeight w:val="178"/>
        </w:trPr>
        <w:tc>
          <w:tcPr>
            <w:tcW w:w="68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5"/>
                <w:szCs w:val="15"/>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1"/>
              </w:rPr>
              <w:t>—  Officers’ Certificate delivered pursuant to Section 301 of the Indenture dated September 10, 1997 by and between Waste Management, Inc. and The Bank of New</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York Mellon Trust Company, N.A., as Trustee, establishing the terms and form of Waste Management, Inc.’s 2.60% Senior Notes due 2016.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2"/>
              </w:rPr>
              <w:t>—  Guarantee Agreement by Waste Management Holdings, Inc. in favor of The Bank of New York Mellon Trust Company, N.A., as Trustee for the holders of Waste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Management, Inc.’s 2.60% Senior Notes due 2016.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1"/>
              </w:rPr>
              <w:t>—  Employment Agreement by and between the Company and Steven C. Preston dated October 5, 2011. [incorporated by reference to Exhibit 10.1 to Current Report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on Form 8-K filed October 5, 2011].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Employment Agreement by and between the Company and James C. Fish, Jr. dated August 15, 2011.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Employment Agreement by and between the Company and William K. Caesar dated August 23, 2011.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4"/>
              </w:rPr>
              <w:t>—  Certification Pursuant to Rules 13a - 14(a) and 15d - 14(a) under the Securities Exchange Act of 1934, as amended, of David P. Steiner, President and Chief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Executive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31.2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6"/>
              </w:rPr>
              <w:t>—  Certification Pursuant to Rules 13a - 14(a) and 15d - 14(a) under the Securities Exchange Act of 1934, as amended, of Steven C. Preston, Executive Vice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President — Finance, Recycling and Energy Services.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Certification Pursuant to 18 U.S.C. §1350 of David P. Steiner, President and Chief Executive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32.2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Certification Pursuant to 18 U.S.C. §1350 of Steven C. Preston, Executive Vice President — Finance, Recycling and Energy Services.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101.INS</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Instance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101.SCH</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Schema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101.CAL</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Calculation Linkbase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101.DEF</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Definition Linkbase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101.LAB</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Labels Linkbase Document.</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101.PRE</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Presentation Linkbase Document.</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0" w:type="dxa"/>
            <w:vAlign w:val="bottom"/>
            <w:gridSpan w:val="2"/>
          </w:tcPr>
          <w:p>
            <w:pPr>
              <w:ind w:left="3960"/>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620" w:type="dxa"/>
            <w:vAlign w:val="bottom"/>
            <w:gridSpan w:val="2"/>
          </w:tcPr>
          <w:p>
            <w:pPr>
              <w:ind w:left="4900"/>
              <w:spacing w:after="0"/>
              <w:rPr>
                <w:sz w:val="20"/>
                <w:szCs w:val="20"/>
                <w:color w:val="auto"/>
              </w:rPr>
            </w:pPr>
            <w:r>
              <w:rPr>
                <w:rFonts w:ascii="Arial" w:cs="Arial" w:eastAsia="Arial" w:hAnsi="Arial"/>
                <w:sz w:val="13"/>
                <w:szCs w:val="13"/>
                <w:color w:val="auto"/>
                <w:w w:val="96"/>
              </w:rPr>
              <w:t>WASTE MANAGEMENT, INC.</w:t>
            </w:r>
          </w:p>
        </w:tc>
        <w:tc>
          <w:tcPr>
            <w:tcW w:w="4240" w:type="dxa"/>
            <w:vAlign w:val="bottom"/>
          </w:tcPr>
          <w:p>
            <w:pPr>
              <w:spacing w:after="0"/>
              <w:rPr>
                <w:sz w:val="14"/>
                <w:szCs w:val="14"/>
                <w:color w:val="auto"/>
              </w:rPr>
            </w:pPr>
          </w:p>
        </w:tc>
      </w:tr>
      <w:tr>
        <w:trPr>
          <w:trHeight w:val="802"/>
        </w:trPr>
        <w:tc>
          <w:tcPr>
            <w:tcW w:w="66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240" w:type="dxa"/>
            <w:vAlign w:val="bottom"/>
          </w:tcPr>
          <w:p>
            <w:pPr>
              <w:jc w:val="center"/>
              <w:ind w:right="2134"/>
              <w:spacing w:after="0"/>
              <w:rPr>
                <w:sz w:val="20"/>
                <w:szCs w:val="20"/>
                <w:color w:val="auto"/>
              </w:rPr>
            </w:pPr>
            <w:r>
              <w:rPr>
                <w:rFonts w:ascii="Arial" w:cs="Arial" w:eastAsia="Arial" w:hAnsi="Arial"/>
                <w:sz w:val="13"/>
                <w:szCs w:val="13"/>
                <w:color w:val="auto"/>
                <w:w w:val="94"/>
              </w:rPr>
              <w:t>/s/ STEVEN C. PRESTON</w:t>
            </w:r>
          </w:p>
        </w:tc>
      </w:tr>
      <w:tr>
        <w:trPr>
          <w:trHeight w:val="144"/>
        </w:trPr>
        <w:tc>
          <w:tcPr>
            <w:tcW w:w="53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tcPr>
          <w:p>
            <w:pPr>
              <w:jc w:val="center"/>
              <w:ind w:right="2134"/>
              <w:spacing w:after="0" w:line="144" w:lineRule="exact"/>
              <w:rPr>
                <w:sz w:val="20"/>
                <w:szCs w:val="20"/>
                <w:color w:val="auto"/>
              </w:rPr>
            </w:pPr>
            <w:r>
              <w:rPr>
                <w:rFonts w:ascii="Arial" w:cs="Arial" w:eastAsia="Arial" w:hAnsi="Arial"/>
                <w:sz w:val="13"/>
                <w:szCs w:val="13"/>
                <w:color w:val="auto"/>
                <w:w w:val="87"/>
              </w:rPr>
              <w:t>Steven C. Preston</w:t>
            </w:r>
          </w:p>
        </w:tc>
      </w:tr>
      <w:tr>
        <w:trPr>
          <w:trHeight w:val="157"/>
        </w:trPr>
        <w:tc>
          <w:tcPr>
            <w:tcW w:w="5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40" w:type="dxa"/>
            <w:vAlign w:val="bottom"/>
          </w:tcPr>
          <w:p>
            <w:pPr>
              <w:jc w:val="center"/>
              <w:ind w:right="2134"/>
              <w:spacing w:after="0"/>
              <w:rPr>
                <w:sz w:val="20"/>
                <w:szCs w:val="20"/>
                <w:color w:val="auto"/>
              </w:rPr>
            </w:pPr>
            <w:r>
              <w:rPr>
                <w:rFonts w:ascii="Arial" w:cs="Arial" w:eastAsia="Arial" w:hAnsi="Arial"/>
                <w:sz w:val="13"/>
                <w:szCs w:val="13"/>
                <w:i w:val="1"/>
                <w:iCs w:val="1"/>
                <w:color w:val="auto"/>
                <w:w w:val="89"/>
              </w:rPr>
              <w:t>Executive Vice President —</w:t>
            </w:r>
          </w:p>
        </w:tc>
      </w:tr>
      <w:tr>
        <w:trPr>
          <w:trHeight w:val="157"/>
        </w:trPr>
        <w:tc>
          <w:tcPr>
            <w:tcW w:w="5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40" w:type="dxa"/>
            <w:vAlign w:val="bottom"/>
          </w:tcPr>
          <w:p>
            <w:pPr>
              <w:jc w:val="center"/>
              <w:ind w:right="2114"/>
              <w:spacing w:after="0"/>
              <w:rPr>
                <w:sz w:val="20"/>
                <w:szCs w:val="20"/>
                <w:color w:val="auto"/>
              </w:rPr>
            </w:pPr>
            <w:r>
              <w:rPr>
                <w:rFonts w:ascii="Arial" w:cs="Arial" w:eastAsia="Arial" w:hAnsi="Arial"/>
                <w:sz w:val="13"/>
                <w:szCs w:val="13"/>
                <w:i w:val="1"/>
                <w:iCs w:val="1"/>
                <w:color w:val="auto"/>
                <w:w w:val="91"/>
              </w:rPr>
              <w:t>Finance, Recycling &amp; Energy Services</w:t>
            </w:r>
          </w:p>
        </w:tc>
      </w:tr>
      <w:tr>
        <w:trPr>
          <w:trHeight w:val="165"/>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40" w:type="dxa"/>
            <w:vAlign w:val="bottom"/>
          </w:tcPr>
          <w:p>
            <w:pPr>
              <w:jc w:val="center"/>
              <w:ind w:right="2134"/>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6620" w:type="dxa"/>
            <w:vAlign w:val="bottom"/>
            <w:gridSpan w:val="2"/>
          </w:tcPr>
          <w:p>
            <w:pPr>
              <w:ind w:left="4900"/>
              <w:spacing w:after="0"/>
              <w:rPr>
                <w:sz w:val="20"/>
                <w:szCs w:val="20"/>
                <w:color w:val="auto"/>
              </w:rPr>
            </w:pPr>
            <w:r>
              <w:rPr>
                <w:rFonts w:ascii="Arial" w:cs="Arial" w:eastAsia="Arial" w:hAnsi="Arial"/>
                <w:sz w:val="13"/>
                <w:szCs w:val="13"/>
                <w:color w:val="auto"/>
                <w:w w:val="96"/>
              </w:rPr>
              <w:t>WASTE MANAGEMENT, INC.</w:t>
            </w:r>
          </w:p>
        </w:tc>
        <w:tc>
          <w:tcPr>
            <w:tcW w:w="4240" w:type="dxa"/>
            <w:vAlign w:val="bottom"/>
          </w:tcPr>
          <w:p>
            <w:pPr>
              <w:spacing w:after="0"/>
              <w:rPr>
                <w:sz w:val="24"/>
                <w:szCs w:val="24"/>
                <w:color w:val="auto"/>
              </w:rPr>
            </w:pPr>
          </w:p>
        </w:tc>
      </w:tr>
      <w:tr>
        <w:trPr>
          <w:trHeight w:val="797"/>
        </w:trPr>
        <w:tc>
          <w:tcPr>
            <w:tcW w:w="66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240" w:type="dxa"/>
            <w:vAlign w:val="bottom"/>
          </w:tcPr>
          <w:p>
            <w:pPr>
              <w:jc w:val="center"/>
              <w:ind w:right="2134"/>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3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tcPr>
          <w:p>
            <w:pPr>
              <w:jc w:val="center"/>
              <w:ind w:right="2134"/>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40" w:type="dxa"/>
            <w:vAlign w:val="bottom"/>
          </w:tcPr>
          <w:p>
            <w:pPr>
              <w:jc w:val="center"/>
              <w:ind w:right="2114"/>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40" w:type="dxa"/>
            <w:vAlign w:val="bottom"/>
          </w:tcPr>
          <w:p>
            <w:pPr>
              <w:jc w:val="center"/>
              <w:ind w:right="2134"/>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40" w:type="dxa"/>
            <w:vAlign w:val="bottom"/>
          </w:tcPr>
          <w:p>
            <w:pPr>
              <w:jc w:val="center"/>
              <w:ind w:right="2134"/>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6620" w:type="dxa"/>
            <w:vAlign w:val="bottom"/>
            <w:gridSpan w:val="2"/>
          </w:tcPr>
          <w:p>
            <w:pPr>
              <w:spacing w:after="0"/>
              <w:rPr>
                <w:sz w:val="20"/>
                <w:szCs w:val="20"/>
                <w:color w:val="auto"/>
              </w:rPr>
            </w:pPr>
            <w:r>
              <w:rPr>
                <w:rFonts w:ascii="Arial" w:cs="Arial" w:eastAsia="Arial" w:hAnsi="Arial"/>
                <w:sz w:val="13"/>
                <w:szCs w:val="13"/>
                <w:color w:val="auto"/>
              </w:rPr>
              <w:t>Date: October 27, 2011</w:t>
            </w:r>
          </w:p>
        </w:tc>
        <w:tc>
          <w:tcPr>
            <w:tcW w:w="4240" w:type="dxa"/>
            <w:vAlign w:val="bottom"/>
          </w:tcPr>
          <w:p>
            <w:pPr>
              <w:spacing w:after="0"/>
              <w:rPr>
                <w:sz w:val="24"/>
                <w:szCs w:val="24"/>
                <w:color w:val="auto"/>
              </w:rPr>
            </w:pPr>
          </w:p>
        </w:tc>
      </w:tr>
      <w:tr>
        <w:trPr>
          <w:trHeight w:val="442"/>
        </w:trPr>
        <w:tc>
          <w:tcPr>
            <w:tcW w:w="5300" w:type="dxa"/>
            <w:vAlign w:val="bottom"/>
          </w:tcPr>
          <w:p>
            <w:pPr>
              <w:ind w:left="4940"/>
              <w:spacing w:after="0"/>
              <w:rPr>
                <w:sz w:val="20"/>
                <w:szCs w:val="20"/>
                <w:color w:val="auto"/>
              </w:rPr>
            </w:pPr>
            <w:r>
              <w:rPr>
                <w:rFonts w:ascii="Arial" w:cs="Arial" w:eastAsia="Arial" w:hAnsi="Arial"/>
                <w:sz w:val="13"/>
                <w:szCs w:val="13"/>
                <w:color w:val="auto"/>
              </w:rPr>
              <w:t>61</w:t>
            </w:r>
          </w:p>
        </w:tc>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540"/>
          </w:cols>
          <w:pgMar w:left="220" w:top="343" w:right="13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b w:val="1"/>
          <w:bCs w:val="1"/>
          <w:color w:val="auto"/>
        </w:rPr>
        <w:t>Exhibit 4.1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 Certificate Delivered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301 of the Indenture dated as of September 10, 1997</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the Vice President — Finance and Treasurer, and the Corporate Secretary of Waste Management, Inc. (the “Company”), hereby certify that:</w:t>
      </w:r>
    </w:p>
    <w:p>
      <w:pPr>
        <w:spacing w:after="0" w:line="86" w:lineRule="exact"/>
        <w:rPr>
          <w:sz w:val="20"/>
          <w:szCs w:val="20"/>
          <w:color w:val="auto"/>
        </w:rPr>
      </w:pPr>
    </w:p>
    <w:p>
      <w:pPr>
        <w:ind w:right="60" w:firstLine="162"/>
        <w:spacing w:after="0" w:line="264"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August 29, 2011 (the “Order”) for the authentication and delivery by the Trustee of $500,000,000 aggregate principal amount of 2.60% Notes due 2016 (the “Notes”).</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undersigned have read Sections 102, 103, 301 and 303 of the Indenture and the definitions in the Indenture relating thereto.</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undersigned have examined the Order, and they have examined the covenants, conditions and provisions of the Indenture relating thereto.</w:t>
      </w:r>
    </w:p>
    <w:p>
      <w:pPr>
        <w:spacing w:after="0" w:line="86" w:lineRule="exact"/>
        <w:rPr>
          <w:rFonts w:ascii="Arial" w:cs="Arial" w:eastAsia="Arial" w:hAnsi="Arial"/>
          <w:sz w:val="13"/>
          <w:szCs w:val="13"/>
          <w:color w:val="auto"/>
        </w:rPr>
      </w:pPr>
    </w:p>
    <w:p>
      <w:pPr>
        <w:ind w:right="160" w:firstLine="162"/>
        <w:spacing w:after="0" w:line="276"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49" w:lineRule="exact"/>
        <w:rPr>
          <w:rFonts w:ascii="Arial" w:cs="Arial" w:eastAsia="Arial" w:hAnsi="Arial"/>
          <w:sz w:val="13"/>
          <w:szCs w:val="13"/>
          <w:color w:val="auto"/>
        </w:rPr>
      </w:pPr>
    </w:p>
    <w:p>
      <w:pPr>
        <w:ind w:right="320" w:firstLine="162"/>
        <w:spacing w:after="0" w:line="276"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All conditions precedent provided in the Indenture to the authentication by the Trustee of $500,000,000 aggregate principal amount of the Notes have been complied with, and such Notes may be delivered in accordance with the Order as provided in the Indenture.</w:t>
      </w:r>
    </w:p>
    <w:p>
      <w:pPr>
        <w:spacing w:after="0" w:line="49" w:lineRule="exact"/>
        <w:rPr>
          <w:rFonts w:ascii="Arial" w:cs="Arial" w:eastAsia="Arial" w:hAnsi="Arial"/>
          <w:sz w:val="13"/>
          <w:szCs w:val="13"/>
          <w:color w:val="auto"/>
        </w:rPr>
      </w:pPr>
    </w:p>
    <w:p>
      <w:pPr>
        <w:ind w:right="40" w:firstLine="162"/>
        <w:spacing w:after="0" w:line="276"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The terms of the Notes (including the Form of Note) as set forth in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3"/>
          <w:szCs w:val="13"/>
          <w:u w:val="single" w:color="auto"/>
          <w:color w:val="auto"/>
        </w:rPr>
        <w:t>Annex B</w:t>
      </w:r>
      <w:r>
        <w:rPr>
          <w:rFonts w:ascii="Arial" w:cs="Arial" w:eastAsia="Arial" w:hAnsi="Arial"/>
          <w:sz w:val="13"/>
          <w:szCs w:val="13"/>
          <w:color w:val="auto"/>
        </w:rPr>
        <w:t>, are in full force and effect as of the date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Officers’ Certificate Delivered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auto"/>
        </w:rPr>
        <w:t>IN WITNESS WHEREOF, the undersigned has hereunto executed as of the date first written above.</w:t>
      </w:r>
    </w:p>
    <w:p>
      <w:pPr>
        <w:spacing w:after="0" w:line="165"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10795</wp:posOffset>
            </wp:positionV>
            <wp:extent cx="26339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1"/>
          <w:szCs w:val="11"/>
          <w:color w:val="auto"/>
        </w:rPr>
        <w:t>Vice President —Finance and Treasurer</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10795</wp:posOffset>
            </wp:positionV>
            <wp:extent cx="26339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Linda J. Smith</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Corporate Secretary</w:t>
      </w:r>
    </w:p>
    <w:p>
      <w:pPr>
        <w:spacing w:after="0" w:line="236"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Officers’ Certificate Delivered Pursuant to</w:t>
      </w:r>
    </w:p>
    <w:p>
      <w:pPr>
        <w:spacing w:after="0" w:line="8"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289560</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20"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i w:val="1"/>
          <w:iCs w:val="1"/>
          <w:color w:val="auto"/>
        </w:rPr>
        <w:t>Annex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of the Notes</w:t>
      </w:r>
    </w:p>
    <w:p>
      <w:pPr>
        <w:spacing w:after="0" w:line="79" w:lineRule="exact"/>
        <w:rPr>
          <w:sz w:val="20"/>
          <w:szCs w:val="20"/>
          <w:color w:val="auto"/>
        </w:rPr>
      </w:pPr>
    </w:p>
    <w:p>
      <w:pPr>
        <w:ind w:left="1" w:right="200" w:firstLine="164"/>
        <w:spacing w:after="0" w:line="260" w:lineRule="auto"/>
        <w:rPr>
          <w:sz w:val="20"/>
          <w:szCs w:val="20"/>
          <w:color w:val="auto"/>
        </w:rPr>
      </w:pPr>
      <w:r>
        <w:rPr>
          <w:rFonts w:ascii="Arial" w:cs="Arial" w:eastAsia="Arial" w:hAnsi="Arial"/>
          <w:sz w:val="13"/>
          <w:szCs w:val="13"/>
          <w:color w:val="auto"/>
        </w:rPr>
        <w:t>Pursuant to authority granted by the Board of Directors of the Company on August 20, 2009 and the Sole Director of Waste Management Holdings, Inc. on August 23, 2011,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60" w:lineRule="exact"/>
        <w:rPr>
          <w:sz w:val="20"/>
          <w:szCs w:val="20"/>
          <w:color w:val="auto"/>
        </w:rPr>
      </w:pPr>
    </w:p>
    <w:p>
      <w:pPr>
        <w:ind w:left="461" w:hanging="461"/>
        <w:spacing w:after="0"/>
        <w:tabs>
          <w:tab w:leader="none" w:pos="4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title of the series of Securities shall be “2.60% Senior Notes due 2016” (the “Notes”).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Notes shall be general unsecured, senior obligations of the Company.</w:t>
      </w:r>
    </w:p>
    <w:p>
      <w:pPr>
        <w:spacing w:after="0" w:line="96" w:lineRule="exact"/>
        <w:rPr>
          <w:rFonts w:ascii="Arial" w:cs="Arial" w:eastAsia="Arial" w:hAnsi="Arial"/>
          <w:sz w:val="13"/>
          <w:szCs w:val="13"/>
          <w:color w:val="auto"/>
        </w:rPr>
      </w:pPr>
    </w:p>
    <w:p>
      <w:pPr>
        <w:ind w:left="461" w:right="40" w:hanging="461"/>
        <w:spacing w:after="0" w:line="264" w:lineRule="auto"/>
        <w:tabs>
          <w:tab w:leader="none" w:pos="4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66" w:lineRule="exact"/>
        <w:rPr>
          <w:rFonts w:ascii="Arial" w:cs="Arial" w:eastAsia="Arial" w:hAnsi="Arial"/>
          <w:sz w:val="13"/>
          <w:szCs w:val="13"/>
          <w:color w:val="auto"/>
        </w:rPr>
      </w:pPr>
    </w:p>
    <w:p>
      <w:pPr>
        <w:ind w:left="461" w:hanging="461"/>
        <w:spacing w:after="0"/>
        <w:tabs>
          <w:tab w:leader="none" w:pos="4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principal amount of each Note shall be payable on September 1, 2016.</w:t>
      </w:r>
    </w:p>
    <w:p>
      <w:pPr>
        <w:spacing w:after="0" w:line="96" w:lineRule="exact"/>
        <w:rPr>
          <w:rFonts w:ascii="Arial" w:cs="Arial" w:eastAsia="Arial" w:hAnsi="Arial"/>
          <w:sz w:val="13"/>
          <w:szCs w:val="13"/>
          <w:color w:val="auto"/>
        </w:rPr>
      </w:pPr>
    </w:p>
    <w:p>
      <w:pPr>
        <w:ind w:left="461" w:hanging="461"/>
        <w:spacing w:after="0" w:line="296" w:lineRule="auto"/>
        <w:tabs>
          <w:tab w:leader="none" w:pos="461" w:val="left"/>
        </w:tabs>
        <w:numPr>
          <w:ilvl w:val="0"/>
          <w:numId w:val="42"/>
        </w:numPr>
        <w:rPr>
          <w:rFonts w:ascii="Arial" w:cs="Arial" w:eastAsia="Arial" w:hAnsi="Arial"/>
          <w:sz w:val="12"/>
          <w:szCs w:val="12"/>
          <w:color w:val="auto"/>
        </w:rPr>
      </w:pPr>
      <w:r>
        <w:rPr>
          <w:rFonts w:ascii="Arial" w:cs="Arial" w:eastAsia="Arial" w:hAnsi="Arial"/>
          <w:sz w:val="12"/>
          <w:szCs w:val="12"/>
          <w:color w:val="auto"/>
        </w:rPr>
        <w:t>Each Note shall bear interest from August 29, 2011 at the fixed rate of 2.60% per annum; the Interest Payment Dates on which such interest shall be payable shall be March 1 and September 1, of each year, commencing March 1, 2012,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49" w:lineRule="exact"/>
        <w:rPr>
          <w:rFonts w:ascii="Arial" w:cs="Arial" w:eastAsia="Arial" w:hAnsi="Arial"/>
          <w:sz w:val="12"/>
          <w:szCs w:val="12"/>
          <w:color w:val="auto"/>
        </w:rPr>
      </w:pPr>
    </w:p>
    <w:p>
      <w:pPr>
        <w:ind w:left="461" w:hanging="461"/>
        <w:spacing w:after="0" w:line="276" w:lineRule="auto"/>
        <w:tabs>
          <w:tab w:leader="none" w:pos="4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3"/>
          <w:szCs w:val="13"/>
          <w:color w:val="auto"/>
        </w:rPr>
      </w:pPr>
    </w:p>
    <w:p>
      <w:pPr>
        <w:jc w:val="both"/>
        <w:ind w:left="461" w:right="180" w:hanging="461"/>
        <w:spacing w:after="0" w:line="264" w:lineRule="auto"/>
        <w:tabs>
          <w:tab w:leader="none" w:pos="4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66" w:name="page67"/>
    <w:bookmarkEnd w:id="66"/>
    <w:p>
      <w:pPr>
        <w:ind w:left="461" w:right="140" w:hanging="461"/>
        <w:spacing w:after="0" w:line="264" w:lineRule="auto"/>
        <w:tabs>
          <w:tab w:leader="none" w:pos="4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6" w:lineRule="exact"/>
        <w:rPr>
          <w:rFonts w:ascii="Arial" w:cs="Arial" w:eastAsia="Arial" w:hAnsi="Arial"/>
          <w:sz w:val="13"/>
          <w:szCs w:val="13"/>
          <w:color w:val="auto"/>
        </w:rPr>
      </w:pPr>
    </w:p>
    <w:p>
      <w:pPr>
        <w:ind w:left="461" w:hanging="461"/>
        <w:spacing w:after="0" w:line="260" w:lineRule="auto"/>
        <w:tabs>
          <w:tab w:leader="none" w:pos="4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25 basis points; plus, in either case, accrued interest to the Redemption Date.</w:t>
      </w:r>
    </w:p>
    <w:p>
      <w:pPr>
        <w:spacing w:after="0" w:line="69" w:lineRule="exact"/>
        <w:rPr>
          <w:rFonts w:ascii="Arial" w:cs="Arial" w:eastAsia="Arial" w:hAnsi="Arial"/>
          <w:sz w:val="13"/>
          <w:szCs w:val="13"/>
          <w:color w:val="auto"/>
        </w:rPr>
      </w:pPr>
    </w:p>
    <w:p>
      <w:pPr>
        <w:ind w:left="461" w:hanging="461"/>
        <w:spacing w:after="0"/>
        <w:tabs>
          <w:tab w:leader="none" w:pos="461"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Company shall have no obligation to redeem, purchase or repay the Notes pursuant to any mandatory redemption, sinking fund or analogous provisions or at the option of a Holder thereof.</w:t>
      </w:r>
    </w:p>
    <w:p>
      <w:pPr>
        <w:spacing w:after="0" w:line="107" w:lineRule="exact"/>
        <w:rPr>
          <w:rFonts w:ascii="Arial" w:cs="Arial" w:eastAsia="Arial" w:hAnsi="Arial"/>
          <w:sz w:val="12"/>
          <w:szCs w:val="12"/>
          <w:color w:val="auto"/>
        </w:rPr>
      </w:pPr>
    </w:p>
    <w:p>
      <w:pPr>
        <w:ind w:left="461" w:hanging="461"/>
        <w:spacing w:after="0"/>
        <w:tabs>
          <w:tab w:leader="none" w:pos="4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Notes will be subject to defeasance and discharge as contemplated by Section 1302 of the Indenture and to covenant defeasance under Section 1303 of the Indenture.</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Notes shall be entitled to the benefit of the covenants contained in Sections 1008 and 1009 of the Indenture.</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Bank of New York Mellon shall serve initially as Security Registrar for the Notes.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Notes shall be substantially in the form of Exhibit A hereto.</w:t>
      </w:r>
    </w:p>
    <w:p>
      <w:pPr>
        <w:spacing w:after="0" w:line="96" w:lineRule="exact"/>
        <w:rPr>
          <w:rFonts w:ascii="Arial" w:cs="Arial" w:eastAsia="Arial" w:hAnsi="Arial"/>
          <w:sz w:val="13"/>
          <w:szCs w:val="13"/>
          <w:color w:val="auto"/>
        </w:rPr>
      </w:pPr>
    </w:p>
    <w:p>
      <w:pPr>
        <w:ind w:left="461" w:right="60" w:hanging="461"/>
        <w:spacing w:after="0" w:line="296" w:lineRule="auto"/>
        <w:tabs>
          <w:tab w:leader="none" w:pos="461"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Notes will be fully and unconditionally guaranteed on a senior basis by the Company’s wholly owned subsidiary, Waste Management Holdings, Inc., pursuant to the terms and conditions of a Guarantee Agreement dated August 29,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OF NOTES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Note)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BOOK-ENTRY SECURITY</w:t>
      </w:r>
    </w:p>
    <w:p>
      <w:pPr>
        <w:spacing w:after="0" w:line="79" w:lineRule="exact"/>
        <w:rPr>
          <w:sz w:val="20"/>
          <w:szCs w:val="20"/>
          <w:color w:val="auto"/>
        </w:rPr>
      </w:pPr>
    </w:p>
    <w:p>
      <w:pPr>
        <w:ind w:right="180" w:firstLine="161"/>
        <w:spacing w:after="0" w:line="258" w:lineRule="auto"/>
        <w:rPr>
          <w:sz w:val="20"/>
          <w:szCs w:val="20"/>
          <w:color w:val="auto"/>
        </w:rPr>
      </w:pPr>
      <w:r>
        <w:rPr>
          <w:rFonts w:ascii="Arial" w:cs="Arial" w:eastAsia="Arial" w:hAnsi="Arial"/>
          <w:sz w:val="13"/>
          <w:szCs w:val="13"/>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61"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RGN-1</w:t>
            </w:r>
          </w:p>
        </w:tc>
        <w:tc>
          <w:tcPr>
            <w:tcW w:w="3140" w:type="dxa"/>
            <w:vAlign w:val="bottom"/>
          </w:tcPr>
          <w:p>
            <w:pPr>
              <w:jc w:val="right"/>
              <w:spacing w:after="0"/>
              <w:rPr>
                <w:sz w:val="20"/>
                <w:szCs w:val="20"/>
                <w:color w:val="auto"/>
              </w:rPr>
            </w:pPr>
            <w:r>
              <w:rPr>
                <w:rFonts w:ascii="Arial" w:cs="Arial" w:eastAsia="Arial" w:hAnsi="Arial"/>
                <w:sz w:val="13"/>
                <w:szCs w:val="13"/>
                <w:color w:val="auto"/>
              </w:rPr>
              <w:t>Principal Amount</w:t>
            </w:r>
          </w:p>
        </w:tc>
      </w:tr>
      <w:tr>
        <w:trPr>
          <w:trHeight w:val="307"/>
        </w:trPr>
        <w:tc>
          <w:tcPr>
            <w:tcW w:w="8320" w:type="dxa"/>
            <w:vAlign w:val="bottom"/>
          </w:tcPr>
          <w:p>
            <w:pPr>
              <w:jc w:val="center"/>
              <w:ind w:left="3094"/>
              <w:spacing w:after="0"/>
              <w:rPr>
                <w:sz w:val="20"/>
                <w:szCs w:val="20"/>
                <w:color w:val="auto"/>
              </w:rPr>
            </w:pPr>
            <w:r>
              <w:rPr>
                <w:rFonts w:ascii="Arial" w:cs="Arial" w:eastAsia="Arial" w:hAnsi="Arial"/>
                <w:sz w:val="13"/>
                <w:szCs w:val="13"/>
                <w:color w:val="auto"/>
                <w:w w:val="97"/>
              </w:rPr>
              <w:t>WASTE MANAGEMENT, INC.</w:t>
            </w:r>
          </w:p>
        </w:tc>
        <w:tc>
          <w:tcPr>
            <w:tcW w:w="3140" w:type="dxa"/>
            <w:vAlign w:val="bottom"/>
          </w:tcPr>
          <w:p>
            <w:pPr>
              <w:jc w:val="right"/>
              <w:spacing w:after="0"/>
              <w:rPr>
                <w:sz w:val="20"/>
                <w:szCs w:val="20"/>
                <w:color w:val="auto"/>
              </w:rPr>
            </w:pPr>
            <w:r>
              <w:rPr>
                <w:rFonts w:ascii="Arial" w:cs="Arial" w:eastAsia="Arial" w:hAnsi="Arial"/>
                <w:sz w:val="13"/>
                <w:szCs w:val="13"/>
                <w:color w:val="auto"/>
              </w:rPr>
              <w:t>U.S. $500,000,000,</w:t>
            </w:r>
          </w:p>
        </w:tc>
      </w:tr>
      <w:tr>
        <w:trPr>
          <w:trHeight w:val="157"/>
        </w:trPr>
        <w:tc>
          <w:tcPr>
            <w:tcW w:w="8320" w:type="dxa"/>
            <w:vAlign w:val="bottom"/>
          </w:tcPr>
          <w:p>
            <w:pPr>
              <w:spacing w:after="0"/>
              <w:rPr>
                <w:sz w:val="13"/>
                <w:szCs w:val="13"/>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which may be</w:t>
            </w:r>
          </w:p>
        </w:tc>
      </w:tr>
      <w:tr>
        <w:trPr>
          <w:trHeight w:val="157"/>
        </w:trPr>
        <w:tc>
          <w:tcPr>
            <w:tcW w:w="8320" w:type="dxa"/>
            <w:vAlign w:val="bottom"/>
          </w:tcPr>
          <w:p>
            <w:pPr>
              <w:spacing w:after="0"/>
              <w:rPr>
                <w:sz w:val="13"/>
                <w:szCs w:val="13"/>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decreased by the Schedule of</w:t>
            </w:r>
          </w:p>
        </w:tc>
      </w:tr>
      <w:tr>
        <w:trPr>
          <w:trHeight w:val="157"/>
        </w:trPr>
        <w:tc>
          <w:tcPr>
            <w:tcW w:w="8320" w:type="dxa"/>
            <w:vAlign w:val="bottom"/>
          </w:tcPr>
          <w:p>
            <w:pPr>
              <w:spacing w:after="0"/>
              <w:rPr>
                <w:sz w:val="13"/>
                <w:szCs w:val="13"/>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Exchanges of Definitive</w:t>
            </w:r>
          </w:p>
        </w:tc>
      </w:tr>
      <w:tr>
        <w:trPr>
          <w:trHeight w:val="165"/>
        </w:trPr>
        <w:tc>
          <w:tcPr>
            <w:tcW w:w="8320" w:type="dxa"/>
            <w:vAlign w:val="bottom"/>
          </w:tcPr>
          <w:p>
            <w:pPr>
              <w:spacing w:after="0"/>
              <w:rPr>
                <w:sz w:val="14"/>
                <w:szCs w:val="14"/>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Security attached hereto</w:t>
            </w:r>
          </w:p>
        </w:tc>
      </w:tr>
      <w:tr>
        <w:trPr>
          <w:trHeight w:val="315"/>
        </w:trPr>
        <w:tc>
          <w:tcPr>
            <w:tcW w:w="8320" w:type="dxa"/>
            <w:vAlign w:val="bottom"/>
          </w:tcPr>
          <w:p>
            <w:pPr>
              <w:jc w:val="center"/>
              <w:ind w:left="3094"/>
              <w:spacing w:after="0"/>
              <w:rPr>
                <w:sz w:val="20"/>
                <w:szCs w:val="20"/>
                <w:color w:val="auto"/>
              </w:rPr>
            </w:pPr>
            <w:r>
              <w:rPr>
                <w:rFonts w:ascii="Arial" w:cs="Arial" w:eastAsia="Arial" w:hAnsi="Arial"/>
                <w:sz w:val="13"/>
                <w:szCs w:val="13"/>
                <w:color w:val="auto"/>
                <w:w w:val="92"/>
              </w:rPr>
              <w:t>2.60% SENIOR NOTES DUE 2016</w:t>
            </w:r>
          </w:p>
        </w:tc>
        <w:tc>
          <w:tcPr>
            <w:tcW w:w="3140" w:type="dxa"/>
            <w:vAlign w:val="bottom"/>
          </w:tcPr>
          <w:p>
            <w:pPr>
              <w:spacing w:after="0"/>
              <w:rPr>
                <w:sz w:val="24"/>
                <w:szCs w:val="24"/>
                <w:color w:val="auto"/>
              </w:rPr>
            </w:pPr>
          </w:p>
        </w:tc>
      </w:tr>
      <w:tr>
        <w:trPr>
          <w:trHeight w:val="315"/>
        </w:trPr>
        <w:tc>
          <w:tcPr>
            <w:tcW w:w="832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CUSIP 94106LAX7</w:t>
            </w:r>
          </w:p>
        </w:tc>
      </w:tr>
    </w:tbl>
    <w:p>
      <w:pPr>
        <w:spacing w:after="0" w:line="71"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Five Hundred Million ($500,000,000) U.S. dollars, or such lesser principal sum as is shown on the attached Schedule of Exchanges of Definitive Security, on September 1, 2016 in such coin or currency of the United States of America as at the time of payment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8" w:name="page69"/>
    <w:bookmarkEnd w:id="68"/>
    <w:p>
      <w:pPr>
        <w:ind w:right="180"/>
        <w:spacing w:after="0" w:line="264" w:lineRule="auto"/>
        <w:rPr>
          <w:sz w:val="20"/>
          <w:szCs w:val="20"/>
          <w:color w:val="auto"/>
        </w:rPr>
      </w:pPr>
      <w:r>
        <w:rPr>
          <w:rFonts w:ascii="Arial" w:cs="Arial" w:eastAsia="Arial" w:hAnsi="Arial"/>
          <w:sz w:val="13"/>
          <w:szCs w:val="13"/>
          <w:color w:val="auto"/>
        </w:rPr>
        <w:t>legal tender for the payment of public and private debts, and to pay interest at an annual rate of 2.60% payable on March 1 and September 1 of each year, to the person in whose name this Security is registered at the close of business on the record date for such interest, which shall be the preceding February 15 or August 15, respectively, payable commencing March 1, 2012, with interest consisting of interest accrued from August 29, 2011.</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Reference is made to the further provisions of this Security set forth on the reverse hereof. Such further provisions shall for all purposes have the same effect as though fully set forth at this place.</w:t>
      </w:r>
    </w:p>
    <w:p>
      <w:pPr>
        <w:spacing w:after="0" w:line="86" w:lineRule="exact"/>
        <w:rPr>
          <w:sz w:val="20"/>
          <w:szCs w:val="20"/>
          <w:color w:val="auto"/>
        </w:rPr>
      </w:pPr>
    </w:p>
    <w:p>
      <w:pPr>
        <w:ind w:right="120" w:firstLine="161"/>
        <w:spacing w:after="0" w:line="276" w:lineRule="auto"/>
        <w:rPr>
          <w:sz w:val="20"/>
          <w:szCs w:val="20"/>
          <w:color w:val="auto"/>
        </w:rPr>
      </w:pPr>
      <w:r>
        <w:rPr>
          <w:rFonts w:ascii="Arial" w:cs="Arial" w:eastAsia="Arial" w:hAnsi="Arial"/>
          <w:sz w:val="13"/>
          <w:szCs w:val="13"/>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49" w:lineRule="exact"/>
        <w:rPr>
          <w:sz w:val="20"/>
          <w:szCs w:val="20"/>
          <w:color w:val="auto"/>
        </w:rPr>
      </w:pPr>
    </w:p>
    <w:p>
      <w:pPr>
        <w:ind w:right="80" w:firstLine="161"/>
        <w:spacing w:after="0" w:line="289" w:lineRule="auto"/>
        <w:rPr>
          <w:sz w:val="20"/>
          <w:szCs w:val="20"/>
          <w:color w:val="auto"/>
        </w:rPr>
      </w:pPr>
      <w:r>
        <w:rPr>
          <w:rFonts w:ascii="Arial" w:cs="Arial" w:eastAsia="Arial" w:hAnsi="Arial"/>
          <w:sz w:val="12"/>
          <w:szCs w:val="12"/>
          <w:color w:val="auto"/>
        </w:rPr>
        <w:t>This Security is issued in respect of a series of Securities of an initial aggregate of U.S. $500,000,000 in principal amount designated as the 2.60% Senior Notes due 2016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43"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69" w:name="page70"/>
    <w:bookmarkEnd w:id="69"/>
    <w:p>
      <w:pPr>
        <w:ind w:left="160"/>
        <w:spacing w:after="0"/>
        <w:rPr>
          <w:sz w:val="20"/>
          <w:szCs w:val="20"/>
          <w:color w:val="auto"/>
        </w:rPr>
      </w:pPr>
      <w:r>
        <w:rPr>
          <w:rFonts w:ascii="Arial" w:cs="Arial" w:eastAsia="Arial" w:hAnsi="Arial"/>
          <w:sz w:val="13"/>
          <w:szCs w:val="13"/>
          <w:color w:val="auto"/>
        </w:rPr>
        <w:t>This Security shall not be valid or become obligatory for any purpose until the Certificate of Authentication hereon shall have been manually signed by the Trustee under the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Dated: August 29, 2011</w:t>
            </w: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WASTE MANAGEMENT, INC.,</w:t>
            </w:r>
          </w:p>
        </w:tc>
      </w:tr>
      <w:tr>
        <w:trPr>
          <w:trHeight w:val="165"/>
        </w:trPr>
        <w:tc>
          <w:tcPr>
            <w:tcW w:w="3340" w:type="dxa"/>
            <w:vAlign w:val="bottom"/>
          </w:tcPr>
          <w:p>
            <w:pPr>
              <w:spacing w:after="0"/>
              <w:rPr>
                <w:sz w:val="14"/>
                <w:szCs w:val="14"/>
                <w:color w:val="auto"/>
              </w:rPr>
            </w:pP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a Delaware corporation</w:t>
            </w:r>
          </w:p>
        </w:tc>
      </w:tr>
      <w:tr>
        <w:trPr>
          <w:trHeight w:val="315"/>
        </w:trPr>
        <w:tc>
          <w:tcPr>
            <w:tcW w:w="3340" w:type="dxa"/>
            <w:vAlign w:val="bottom"/>
          </w:tcPr>
          <w:p>
            <w:pPr>
              <w:spacing w:after="0"/>
              <w:rPr>
                <w:sz w:val="24"/>
                <w:szCs w:val="24"/>
                <w:color w:val="auto"/>
              </w:rPr>
            </w:pP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By:</w:t>
            </w:r>
          </w:p>
        </w:tc>
      </w:tr>
      <w:tr>
        <w:trPr>
          <w:trHeight w:val="139"/>
        </w:trPr>
        <w:tc>
          <w:tcPr>
            <w:tcW w:w="3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Cherie C. Rice</w:t>
            </w:r>
          </w:p>
        </w:tc>
      </w:tr>
      <w:tr>
        <w:trPr>
          <w:trHeight w:val="165"/>
        </w:trPr>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Vice President-Finance and Treasurer</w:t>
            </w:r>
          </w:p>
        </w:tc>
      </w:tr>
      <w:tr>
        <w:trPr>
          <w:trHeight w:val="315"/>
        </w:trPr>
        <w:tc>
          <w:tcPr>
            <w:tcW w:w="3340" w:type="dxa"/>
            <w:vAlign w:val="bottom"/>
          </w:tcPr>
          <w:p>
            <w:pPr>
              <w:spacing w:after="0"/>
              <w:rPr>
                <w:sz w:val="24"/>
                <w:szCs w:val="24"/>
                <w:color w:val="auto"/>
              </w:rPr>
            </w:pP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Attest:</w:t>
            </w:r>
          </w:p>
        </w:tc>
      </w:tr>
      <w:tr>
        <w:trPr>
          <w:trHeight w:val="315"/>
        </w:trPr>
        <w:tc>
          <w:tcPr>
            <w:tcW w:w="3340" w:type="dxa"/>
            <w:vAlign w:val="bottom"/>
          </w:tcPr>
          <w:p>
            <w:pPr>
              <w:spacing w:after="0"/>
              <w:rPr>
                <w:sz w:val="24"/>
                <w:szCs w:val="24"/>
                <w:color w:val="auto"/>
              </w:rPr>
            </w:pPr>
          </w:p>
        </w:tc>
        <w:tc>
          <w:tcPr>
            <w:tcW w:w="6420" w:type="dxa"/>
            <w:vAlign w:val="bottom"/>
            <w:gridSpan w:val="2"/>
          </w:tcPr>
          <w:p>
            <w:pPr>
              <w:ind w:left="2100"/>
              <w:spacing w:after="0"/>
              <w:rPr>
                <w:sz w:val="20"/>
                <w:szCs w:val="20"/>
                <w:color w:val="auto"/>
              </w:rPr>
            </w:pPr>
            <w:r>
              <w:rPr>
                <w:rFonts w:ascii="Arial" w:cs="Arial" w:eastAsia="Arial" w:hAnsi="Arial"/>
                <w:sz w:val="13"/>
                <w:szCs w:val="13"/>
                <w:color w:val="auto"/>
              </w:rPr>
              <w:t>By:</w:t>
            </w:r>
          </w:p>
        </w:tc>
      </w:tr>
      <w:tr>
        <w:trPr>
          <w:trHeight w:val="139"/>
        </w:trPr>
        <w:tc>
          <w:tcPr>
            <w:tcW w:w="3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Linda J. Smith</w:t>
            </w:r>
          </w:p>
        </w:tc>
      </w:tr>
      <w:tr>
        <w:trPr>
          <w:trHeight w:val="165"/>
        </w:trPr>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CERTIFICATE OF AUTHENTICATION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80" w:type="dxa"/>
            <w:vAlign w:val="bottom"/>
          </w:tcPr>
          <w:p>
            <w:pPr>
              <w:spacing w:after="0"/>
              <w:rPr>
                <w:sz w:val="20"/>
                <w:szCs w:val="20"/>
                <w:color w:val="auto"/>
              </w:rPr>
            </w:pPr>
            <w:r>
              <w:rPr>
                <w:rFonts w:ascii="Arial" w:cs="Arial" w:eastAsia="Arial" w:hAnsi="Arial"/>
                <w:sz w:val="13"/>
                <w:szCs w:val="13"/>
                <w:color w:val="auto"/>
              </w:rPr>
              <w:t>Date of Authentication: August 29, 2011</w:t>
            </w:r>
          </w:p>
        </w:tc>
        <w:tc>
          <w:tcPr>
            <w:tcW w:w="5980" w:type="dxa"/>
            <w:vAlign w:val="bottom"/>
            <w:gridSpan w:val="2"/>
          </w:tcPr>
          <w:p>
            <w:pPr>
              <w:ind w:left="1660"/>
              <w:spacing w:after="0"/>
              <w:rPr>
                <w:sz w:val="20"/>
                <w:szCs w:val="20"/>
                <w:color w:val="auto"/>
              </w:rPr>
            </w:pPr>
            <w:r>
              <w:rPr>
                <w:rFonts w:ascii="Arial" w:cs="Arial" w:eastAsia="Arial" w:hAnsi="Arial"/>
                <w:sz w:val="13"/>
                <w:szCs w:val="13"/>
                <w:color w:val="auto"/>
              </w:rPr>
              <w:t>The Bank of New York Mellon Trust</w:t>
            </w:r>
          </w:p>
        </w:tc>
        <w:tc>
          <w:tcPr>
            <w:tcW w:w="1700" w:type="dxa"/>
            <w:vAlign w:val="bottom"/>
          </w:tcPr>
          <w:p>
            <w:pPr>
              <w:spacing w:after="0"/>
              <w:rPr>
                <w:sz w:val="13"/>
                <w:szCs w:val="13"/>
                <w:color w:val="auto"/>
              </w:rPr>
            </w:pPr>
          </w:p>
        </w:tc>
      </w:tr>
      <w:tr>
        <w:trPr>
          <w:trHeight w:val="165"/>
        </w:trPr>
        <w:tc>
          <w:tcPr>
            <w:tcW w:w="3780" w:type="dxa"/>
            <w:vAlign w:val="bottom"/>
          </w:tcPr>
          <w:p>
            <w:pPr>
              <w:spacing w:after="0"/>
              <w:rPr>
                <w:sz w:val="14"/>
                <w:szCs w:val="14"/>
                <w:color w:val="auto"/>
              </w:rPr>
            </w:pPr>
          </w:p>
        </w:tc>
        <w:tc>
          <w:tcPr>
            <w:tcW w:w="5980" w:type="dxa"/>
            <w:vAlign w:val="bottom"/>
            <w:gridSpan w:val="2"/>
          </w:tcPr>
          <w:p>
            <w:pPr>
              <w:ind w:left="1660"/>
              <w:spacing w:after="0"/>
              <w:rPr>
                <w:sz w:val="20"/>
                <w:szCs w:val="20"/>
                <w:color w:val="auto"/>
              </w:rPr>
            </w:pPr>
            <w:r>
              <w:rPr>
                <w:rFonts w:ascii="Arial" w:cs="Arial" w:eastAsia="Arial" w:hAnsi="Arial"/>
                <w:sz w:val="13"/>
                <w:szCs w:val="13"/>
                <w:color w:val="auto"/>
              </w:rPr>
              <w:t>Company N.A., as Trustee</w:t>
            </w:r>
          </w:p>
        </w:tc>
        <w:tc>
          <w:tcPr>
            <w:tcW w:w="1700" w:type="dxa"/>
            <w:vAlign w:val="bottom"/>
          </w:tcPr>
          <w:p>
            <w:pPr>
              <w:spacing w:after="0"/>
              <w:rPr>
                <w:sz w:val="14"/>
                <w:szCs w:val="14"/>
                <w:color w:val="auto"/>
              </w:rPr>
            </w:pPr>
          </w:p>
        </w:tc>
      </w:tr>
      <w:tr>
        <w:trPr>
          <w:trHeight w:val="315"/>
        </w:trPr>
        <w:tc>
          <w:tcPr>
            <w:tcW w:w="3780" w:type="dxa"/>
            <w:vAlign w:val="bottom"/>
          </w:tcPr>
          <w:p>
            <w:pPr>
              <w:spacing w:after="0"/>
              <w:rPr>
                <w:sz w:val="24"/>
                <w:szCs w:val="24"/>
                <w:color w:val="auto"/>
              </w:rPr>
            </w:pPr>
          </w:p>
        </w:tc>
        <w:tc>
          <w:tcPr>
            <w:tcW w:w="5980" w:type="dxa"/>
            <w:vAlign w:val="bottom"/>
            <w:gridSpan w:val="2"/>
          </w:tcPr>
          <w:p>
            <w:pPr>
              <w:ind w:left="1660"/>
              <w:spacing w:after="0"/>
              <w:rPr>
                <w:sz w:val="20"/>
                <w:szCs w:val="20"/>
                <w:color w:val="auto"/>
              </w:rPr>
            </w:pPr>
            <w:r>
              <w:rPr>
                <w:rFonts w:ascii="Arial" w:cs="Arial" w:eastAsia="Arial" w:hAnsi="Arial"/>
                <w:sz w:val="13"/>
                <w:szCs w:val="13"/>
                <w:color w:val="auto"/>
              </w:rPr>
              <w:t>By:</w:t>
            </w:r>
          </w:p>
        </w:tc>
        <w:tc>
          <w:tcPr>
            <w:tcW w:w="1700" w:type="dxa"/>
            <w:vAlign w:val="bottom"/>
          </w:tcPr>
          <w:p>
            <w:pPr>
              <w:spacing w:after="0"/>
              <w:rPr>
                <w:sz w:val="24"/>
                <w:szCs w:val="24"/>
                <w:color w:val="auto"/>
              </w:rPr>
            </w:pPr>
          </w:p>
        </w:tc>
      </w:tr>
      <w:tr>
        <w:trPr>
          <w:trHeight w:val="139"/>
        </w:trPr>
        <w:tc>
          <w:tcPr>
            <w:tcW w:w="3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Julie Hoffman-Ramos</w:t>
            </w:r>
          </w:p>
        </w:tc>
        <w:tc>
          <w:tcPr>
            <w:tcW w:w="1700" w:type="dxa"/>
            <w:vAlign w:val="bottom"/>
          </w:tcPr>
          <w:p>
            <w:pPr>
              <w:spacing w:after="0"/>
              <w:rPr>
                <w:sz w:val="12"/>
                <w:szCs w:val="12"/>
                <w:color w:val="auto"/>
              </w:rPr>
            </w:pPr>
          </w:p>
        </w:tc>
      </w:tr>
      <w:tr>
        <w:trPr>
          <w:trHeight w:val="165"/>
        </w:trPr>
        <w:tc>
          <w:tcPr>
            <w:tcW w:w="3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Vice President</w:t>
            </w:r>
          </w:p>
        </w:tc>
        <w:tc>
          <w:tcPr>
            <w:tcW w:w="1700" w:type="dxa"/>
            <w:vAlign w:val="bottom"/>
          </w:tcPr>
          <w:p>
            <w:pPr>
              <w:spacing w:after="0"/>
              <w:rPr>
                <w:sz w:val="14"/>
                <w:szCs w:val="14"/>
                <w:color w:val="auto"/>
              </w:rPr>
            </w:pPr>
          </w:p>
        </w:tc>
      </w:tr>
      <w:tr>
        <w:trPr>
          <w:trHeight w:val="321"/>
        </w:trPr>
        <w:tc>
          <w:tcPr>
            <w:tcW w:w="37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3"/>
          <w:szCs w:val="13"/>
          <w:color w:val="auto"/>
        </w:rPr>
        <w:t>REVERSE OF BOOK-ENTRY SECURITY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WASTE MANAGEMENT,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2.60% SENIOR NOTES DUE 2016</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2.60% Senior Notes due 2016 of the Company, in initial aggregate principal amount of $500,000,000 (the “Securities”).</w:t>
      </w:r>
    </w:p>
    <w:p>
      <w:pPr>
        <w:spacing w:after="0" w:line="61" w:lineRule="exact"/>
        <w:rPr>
          <w:sz w:val="20"/>
          <w:szCs w:val="20"/>
          <w:color w:val="auto"/>
        </w:rPr>
      </w:pPr>
    </w:p>
    <w:p>
      <w:pPr>
        <w:ind w:left="300" w:hanging="138"/>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Interest.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promises to pay interest on the principal amount of this Security at the rate of 2.60% per annum.</w:t>
      </w:r>
    </w:p>
    <w:p>
      <w:pPr>
        <w:spacing w:after="0" w:line="86" w:lineRule="exact"/>
        <w:rPr>
          <w:sz w:val="20"/>
          <w:szCs w:val="20"/>
          <w:color w:val="auto"/>
        </w:rPr>
      </w:pPr>
    </w:p>
    <w:p>
      <w:pPr>
        <w:ind w:right="140" w:firstLine="161"/>
        <w:spacing w:after="0" w:line="260" w:lineRule="auto"/>
        <w:rPr>
          <w:sz w:val="20"/>
          <w:szCs w:val="20"/>
          <w:color w:val="auto"/>
        </w:rPr>
      </w:pPr>
      <w:r>
        <w:rPr>
          <w:rFonts w:ascii="Arial" w:cs="Arial" w:eastAsia="Arial" w:hAnsi="Arial"/>
          <w:sz w:val="13"/>
          <w:szCs w:val="13"/>
          <w:color w:val="auto"/>
        </w:rPr>
        <w:t>The Company will pay interest semi-annually on March 1 and September 1 of each year (each an “Interest Payment Date”), commencing March 1, 2012. Interest on the Securities will accrue from the most recent date to which interest has been paid or, if no interest has been paid on the Securities, from August 29, 2011.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2.60% per annum, in each case to the extent lawful.</w:t>
      </w:r>
    </w:p>
    <w:p>
      <w:pPr>
        <w:spacing w:after="0" w:line="60" w:lineRule="exact"/>
        <w:rPr>
          <w:sz w:val="20"/>
          <w:szCs w:val="20"/>
          <w:color w:val="auto"/>
        </w:rPr>
      </w:pPr>
    </w:p>
    <w:p>
      <w:pPr>
        <w:ind w:left="300" w:hanging="138"/>
        <w:spacing w:after="0"/>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Method of Payment.</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71" w:name="page72"/>
    <w:bookmarkEnd w:id="71"/>
    <w:p>
      <w:pPr>
        <w:ind w:right="40"/>
        <w:spacing w:after="0" w:line="334" w:lineRule="auto"/>
        <w:rPr>
          <w:sz w:val="20"/>
          <w:szCs w:val="20"/>
          <w:color w:val="auto"/>
        </w:rPr>
      </w:pPr>
      <w:r>
        <w:rPr>
          <w:rFonts w:ascii="Arial" w:cs="Arial" w:eastAsia="Arial" w:hAnsi="Arial"/>
          <w:sz w:val="11"/>
          <w:szCs w:val="11"/>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2" w:lineRule="exact"/>
        <w:rPr>
          <w:sz w:val="20"/>
          <w:szCs w:val="20"/>
          <w:color w:val="auto"/>
        </w:rPr>
      </w:pPr>
    </w:p>
    <w:p>
      <w:pPr>
        <w:ind w:left="300" w:hanging="138"/>
        <w:spacing w:after="0"/>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Paying Agent and Registrar.</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49" w:lineRule="exact"/>
        <w:rPr>
          <w:sz w:val="20"/>
          <w:szCs w:val="20"/>
          <w:color w:val="auto"/>
        </w:rPr>
      </w:pPr>
    </w:p>
    <w:p>
      <w:pPr>
        <w:ind w:left="300" w:hanging="138"/>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is one of a duly authorized issue of Debt Securities of the Company issued and to be issued in one or more series under the Indenture.</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August 23, 2011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46" w:lineRule="exact"/>
        <w:rPr>
          <w:sz w:val="20"/>
          <w:szCs w:val="20"/>
          <w:color w:val="auto"/>
        </w:rPr>
      </w:pPr>
    </w:p>
    <w:p>
      <w:pPr>
        <w:ind w:left="300" w:hanging="138"/>
        <w:spacing w:after="0"/>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Redemption.</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60"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72" w:name="page73"/>
    <w:bookmarkEnd w:id="72"/>
    <w:p>
      <w:pPr>
        <w:ind w:right="20"/>
        <w:spacing w:after="0" w:line="264" w:lineRule="auto"/>
        <w:rPr>
          <w:sz w:val="20"/>
          <w:szCs w:val="20"/>
          <w:color w:val="auto"/>
        </w:rPr>
      </w:pPr>
      <w:r>
        <w:rPr>
          <w:rFonts w:ascii="Arial" w:cs="Arial" w:eastAsia="Arial" w:hAnsi="Arial"/>
          <w:sz w:val="13"/>
          <w:szCs w:val="13"/>
          <w:color w:val="auto"/>
        </w:rPr>
        <w:t>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determining the Make-Whole Price, the following definitions are applicable:</w:t>
      </w:r>
    </w:p>
    <w:p>
      <w:pPr>
        <w:spacing w:after="0" w:line="86" w:lineRule="exact"/>
        <w:rPr>
          <w:sz w:val="20"/>
          <w:szCs w:val="20"/>
          <w:color w:val="auto"/>
        </w:rPr>
      </w:pPr>
    </w:p>
    <w:p>
      <w:pPr>
        <w:ind w:right="460" w:firstLine="164"/>
        <w:spacing w:after="0" w:line="264" w:lineRule="auto"/>
        <w:rPr>
          <w:sz w:val="20"/>
          <w:szCs w:val="20"/>
          <w:color w:val="auto"/>
        </w:rPr>
      </w:pPr>
      <w:r>
        <w:rPr>
          <w:rFonts w:ascii="Arial" w:cs="Arial" w:eastAsia="Arial" w:hAnsi="Arial"/>
          <w:sz w:val="13"/>
          <w:szCs w:val="13"/>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57" w:lineRule="exact"/>
        <w:rPr>
          <w:sz w:val="20"/>
          <w:szCs w:val="20"/>
          <w:color w:val="auto"/>
        </w:rPr>
      </w:pPr>
    </w:p>
    <w:p>
      <w:pPr>
        <w:ind w:right="20" w:firstLine="164"/>
        <w:spacing w:after="0" w:line="320" w:lineRule="auto"/>
        <w:rPr>
          <w:sz w:val="20"/>
          <w:szCs w:val="20"/>
          <w:color w:val="auto"/>
        </w:rPr>
      </w:pPr>
      <w:r>
        <w:rPr>
          <w:rFonts w:ascii="Arial" w:cs="Arial" w:eastAsia="Arial" w:hAnsi="Arial"/>
          <w:sz w:val="12"/>
          <w:szCs w:val="12"/>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25" w:lineRule="exact"/>
        <w:rPr>
          <w:sz w:val="20"/>
          <w:szCs w:val="20"/>
          <w:color w:val="auto"/>
        </w:rPr>
      </w:pPr>
    </w:p>
    <w:p>
      <w:pPr>
        <w:ind w:right="240" w:firstLine="164"/>
        <w:spacing w:after="0" w:line="264" w:lineRule="auto"/>
        <w:rPr>
          <w:sz w:val="20"/>
          <w:szCs w:val="20"/>
          <w:color w:val="auto"/>
        </w:rPr>
      </w:pPr>
      <w:r>
        <w:rPr>
          <w:rFonts w:ascii="Arial" w:cs="Arial" w:eastAsia="Arial" w:hAnsi="Arial"/>
          <w:sz w:val="13"/>
          <w:szCs w:val="13"/>
          <w:color w:val="auto"/>
        </w:rPr>
        <w:t>“Independent Investment Banker” means any of Credit Suisse Securities (USA) LLC, J.P. Morgan Securities LLC and a Primary Treasury Dealer (as defined below) selected by Wells Fargo Securities, LLC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57"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57"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“Reference Treasury Dealer” means (i) each of Credit Suisse Securities (USA) LLC, J.P. Morgan Securities LLC and a Primary Treasury Dealer (as defined below) selected by Wells Fargo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57"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73" w:name="page74"/>
    <w:bookmarkEnd w:id="73"/>
    <w:p>
      <w:pPr>
        <w:spacing w:after="0"/>
        <w:rPr>
          <w:sz w:val="20"/>
          <w:szCs w:val="20"/>
          <w:color w:val="auto"/>
        </w:rPr>
      </w:pPr>
      <w:r>
        <w:rPr>
          <w:rFonts w:ascii="Arial" w:cs="Arial" w:eastAsia="Arial" w:hAnsi="Arial"/>
          <w:sz w:val="12"/>
          <w:szCs w:val="12"/>
          <w:color w:val="auto"/>
        </w:rPr>
        <w:t>case as a percentage of its principal amount) quoted in writing to the Trustee by such Reference Treasury Dealer at 5:00 p.m., New York City time, on the third Business Day preceding such Redemption Date.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Except as set forth above, the Securities will not be redeemable prior to their Stated Maturity and will not be entitled to the benefit of any sinking fund.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Securities may be redeemed in part in a minimum principal amount of $2,000, or any integral multiple of $1,000 in excess thereof.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such redemption will also comply with Article Eleven of the Indenture.</w:t>
      </w:r>
    </w:p>
    <w:p>
      <w:pPr>
        <w:spacing w:after="0" w:line="86" w:lineRule="exact"/>
        <w:rPr>
          <w:sz w:val="20"/>
          <w:szCs w:val="20"/>
          <w:color w:val="auto"/>
        </w:rPr>
      </w:pPr>
    </w:p>
    <w:p>
      <w:pPr>
        <w:ind w:left="300" w:hanging="138"/>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Change of Control Offer.</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43" w:lineRule="exact"/>
        <w:rPr>
          <w:sz w:val="20"/>
          <w:szCs w:val="20"/>
          <w:color w:val="auto"/>
        </w:rPr>
      </w:pPr>
    </w:p>
    <w:p>
      <w:pPr>
        <w:ind w:right="40" w:firstLine="161"/>
        <w:spacing w:after="0" w:line="258" w:lineRule="auto"/>
        <w:rPr>
          <w:sz w:val="20"/>
          <w:szCs w:val="20"/>
          <w:color w:val="auto"/>
        </w:rPr>
      </w:pPr>
      <w:r>
        <w:rPr>
          <w:rFonts w:ascii="Arial" w:cs="Arial" w:eastAsia="Arial" w:hAnsi="Arial"/>
          <w:sz w:val="13"/>
          <w:szCs w:val="13"/>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Upon the Change of Control Payment Date, the Company shall, to the extent lawful:</w:t>
      </w:r>
    </w:p>
    <w:p>
      <w:pPr>
        <w:spacing w:after="0" w:line="86" w:lineRule="exact"/>
        <w:rPr>
          <w:sz w:val="20"/>
          <w:szCs w:val="20"/>
          <w:color w:val="auto"/>
        </w:rPr>
      </w:pPr>
    </w:p>
    <w:p>
      <w:pPr>
        <w:ind w:left="680" w:hanging="455"/>
        <w:spacing w:after="0"/>
        <w:tabs>
          <w:tab w:leader="none" w:pos="68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accept for payment all Securities or portions of Securities properly tendered and not withdrawn pursuant to the Change of Control Offer;</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deposit with the Paying Agent an amount equal to the Change of Control Payment in respect of all Securities or portions of Securities properly tendered; and</w:t>
      </w:r>
    </w:p>
    <w:p>
      <w:pPr>
        <w:spacing w:after="0" w:line="96" w:lineRule="exact"/>
        <w:rPr>
          <w:rFonts w:ascii="Arial" w:cs="Arial" w:eastAsia="Arial" w:hAnsi="Arial"/>
          <w:sz w:val="13"/>
          <w:szCs w:val="13"/>
          <w:b w:val="1"/>
          <w:bCs w:val="1"/>
          <w:color w:val="auto"/>
        </w:rPr>
      </w:pPr>
    </w:p>
    <w:p>
      <w:pPr>
        <w:ind w:left="680" w:right="320" w:hanging="455"/>
        <w:spacing w:after="0" w:line="276" w:lineRule="auto"/>
        <w:tabs>
          <w:tab w:leader="none" w:pos="68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deliver or cause to be delivered to the Trustee the Securities properly accepted together with an Officers’ Certificate stating the aggregate principal amount of Securities or portions of Securities being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74" w:name="page75"/>
    <w:bookmarkEnd w:id="74"/>
    <w:p>
      <w:pPr>
        <w:ind w:firstLine="161"/>
        <w:spacing w:after="0" w:line="260" w:lineRule="auto"/>
        <w:rPr>
          <w:sz w:val="20"/>
          <w:szCs w:val="20"/>
          <w:color w:val="auto"/>
        </w:rPr>
      </w:pPr>
      <w:r>
        <w:rPr>
          <w:rFonts w:ascii="Arial" w:cs="Arial" w:eastAsia="Arial" w:hAnsi="Arial"/>
          <w:sz w:val="13"/>
          <w:szCs w:val="13"/>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60"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the Change of Control Offer provisions of the Securities, the following terms are applicable:</w:t>
      </w:r>
    </w:p>
    <w:p>
      <w:pPr>
        <w:spacing w:after="0" w:line="86"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5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75" w:name="page76"/>
    <w:bookmarkEnd w:id="75"/>
    <w:p>
      <w:pPr>
        <w:ind w:left="1" w:right="60"/>
        <w:spacing w:after="0" w:line="276" w:lineRule="auto"/>
        <w:rPr>
          <w:sz w:val="20"/>
          <w:szCs w:val="20"/>
          <w:color w:val="auto"/>
        </w:rPr>
      </w:pPr>
      <w:r>
        <w:rPr>
          <w:rFonts w:ascii="Arial" w:cs="Arial" w:eastAsia="Arial" w:hAnsi="Arial"/>
          <w:sz w:val="13"/>
          <w:szCs w:val="13"/>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“Change of Control Triggering Event” means the occurrence of both a Change of Control and a Rating Event.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“Continuing Directors” means, as of any date of determination, any member of the Board of Directors of the Company who (1) was a member of such Board of Directors on the date the Securities were issued or</w:t>
      </w:r>
    </w:p>
    <w:p>
      <w:pPr>
        <w:spacing w:after="0" w:line="27" w:lineRule="exact"/>
        <w:rPr>
          <w:sz w:val="20"/>
          <w:szCs w:val="20"/>
          <w:color w:val="auto"/>
        </w:rPr>
      </w:pPr>
    </w:p>
    <w:p>
      <w:pPr>
        <w:ind w:left="1" w:hanging="1"/>
        <w:spacing w:after="0" w:line="307" w:lineRule="auto"/>
        <w:tabs>
          <w:tab w:leader="none" w:pos="187" w:val="left"/>
        </w:tabs>
        <w:numPr>
          <w:ilvl w:val="0"/>
          <w:numId w:val="51"/>
        </w:numPr>
        <w:rPr>
          <w:rFonts w:ascii="Arial" w:cs="Arial" w:eastAsia="Arial" w:hAnsi="Arial"/>
          <w:sz w:val="12"/>
          <w:szCs w:val="12"/>
          <w:color w:val="auto"/>
        </w:rPr>
      </w:pPr>
      <w:r>
        <w:rPr>
          <w:rFonts w:ascii="Arial" w:cs="Arial" w:eastAsia="Arial" w:hAnsi="Arial"/>
          <w:sz w:val="12"/>
          <w:szCs w:val="12"/>
          <w:color w:val="auto"/>
        </w:rPr>
        <w:t>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3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“Fitch” means Fitch Inc. and its successors.</w:t>
      </w:r>
    </w:p>
    <w:p>
      <w:pPr>
        <w:spacing w:after="0" w:line="86" w:lineRule="exact"/>
        <w:rPr>
          <w:sz w:val="20"/>
          <w:szCs w:val="20"/>
          <w:color w:val="auto"/>
        </w:rPr>
      </w:pPr>
    </w:p>
    <w:p>
      <w:pPr>
        <w:ind w:left="1" w:right="80" w:firstLine="164"/>
        <w:spacing w:after="0" w:line="276" w:lineRule="auto"/>
        <w:rPr>
          <w:sz w:val="20"/>
          <w:szCs w:val="20"/>
          <w:color w:val="auto"/>
        </w:rPr>
      </w:pPr>
      <w:r>
        <w:rPr>
          <w:rFonts w:ascii="Arial" w:cs="Arial" w:eastAsia="Arial" w:hAnsi="Arial"/>
          <w:sz w:val="13"/>
          <w:szCs w:val="13"/>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“Moody’s” means Moody’s Investors Service, Inc. and its successors.</w:t>
      </w:r>
    </w:p>
    <w:p>
      <w:pPr>
        <w:spacing w:after="0" w:line="86" w:lineRule="exact"/>
        <w:rPr>
          <w:sz w:val="20"/>
          <w:szCs w:val="20"/>
          <w:color w:val="auto"/>
        </w:rPr>
      </w:pPr>
    </w:p>
    <w:p>
      <w:pPr>
        <w:ind w:left="1" w:right="80" w:firstLine="164"/>
        <w:spacing w:after="0" w:line="264" w:lineRule="auto"/>
        <w:rPr>
          <w:sz w:val="20"/>
          <w:szCs w:val="20"/>
          <w:color w:val="auto"/>
        </w:rPr>
      </w:pPr>
      <w:r>
        <w:rPr>
          <w:rFonts w:ascii="Arial" w:cs="Arial" w:eastAsia="Arial" w:hAnsi="Arial"/>
          <w:sz w:val="13"/>
          <w:szCs w:val="13"/>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57" w:lineRule="exact"/>
        <w:rPr>
          <w:sz w:val="20"/>
          <w:szCs w:val="20"/>
          <w:color w:val="auto"/>
        </w:rPr>
      </w:pPr>
    </w:p>
    <w:p>
      <w:pPr>
        <w:ind w:left="1" w:right="100" w:firstLine="164"/>
        <w:spacing w:after="0" w:line="260" w:lineRule="auto"/>
        <w:rPr>
          <w:sz w:val="20"/>
          <w:szCs w:val="20"/>
          <w:color w:val="auto"/>
        </w:rPr>
      </w:pPr>
      <w:r>
        <w:rPr>
          <w:rFonts w:ascii="Arial" w:cs="Arial" w:eastAsia="Arial" w:hAnsi="Arial"/>
          <w:sz w:val="13"/>
          <w:szCs w:val="13"/>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“S&amp;P” means Standard &amp; Poor’s Ratings Services, a division of The McGraw-Hill Companies, Inc., and its successors.</w:t>
      </w:r>
    </w:p>
    <w:p>
      <w:pPr>
        <w:spacing w:after="0" w:line="86"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76" w:name="page77"/>
    <w:bookmarkEnd w:id="76"/>
    <w:p>
      <w:pPr>
        <w:ind w:left="300" w:hanging="138"/>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Denominations; Transfer; Exchange.</w:t>
      </w:r>
    </w:p>
    <w:p>
      <w:pPr>
        <w:spacing w:after="0" w:line="86"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57" w:lineRule="exact"/>
        <w:rPr>
          <w:sz w:val="20"/>
          <w:szCs w:val="20"/>
          <w:color w:val="auto"/>
        </w:rPr>
      </w:pPr>
    </w:p>
    <w:p>
      <w:pPr>
        <w:ind w:left="300" w:hanging="138"/>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Person Deemed Owners.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registered Holder of a Security may be treated as the owner of it for all purposes.</w:t>
      </w:r>
    </w:p>
    <w:p>
      <w:pPr>
        <w:spacing w:after="0" w:line="86" w:lineRule="exact"/>
        <w:rPr>
          <w:sz w:val="20"/>
          <w:szCs w:val="20"/>
          <w:color w:val="auto"/>
        </w:rPr>
      </w:pPr>
    </w:p>
    <w:p>
      <w:pPr>
        <w:ind w:left="300" w:hanging="138"/>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Amendment; Supplement; Waiver.</w:t>
      </w:r>
    </w:p>
    <w:p>
      <w:pPr>
        <w:spacing w:after="0" w:line="86" w:lineRule="exact"/>
        <w:rPr>
          <w:sz w:val="20"/>
          <w:szCs w:val="20"/>
          <w:color w:val="auto"/>
        </w:rPr>
      </w:pPr>
    </w:p>
    <w:p>
      <w:pPr>
        <w:ind w:right="200" w:firstLine="164"/>
        <w:spacing w:after="0" w:line="258" w:lineRule="auto"/>
        <w:rPr>
          <w:sz w:val="20"/>
          <w:szCs w:val="20"/>
          <w:color w:val="auto"/>
        </w:rPr>
      </w:pPr>
      <w:r>
        <w:rPr>
          <w:rFonts w:ascii="Arial" w:cs="Arial" w:eastAsia="Arial" w:hAnsi="Arial"/>
          <w:sz w:val="13"/>
          <w:szCs w:val="13"/>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61" w:lineRule="exact"/>
        <w:rPr>
          <w:sz w:val="20"/>
          <w:szCs w:val="20"/>
          <w:color w:val="auto"/>
        </w:rPr>
      </w:pPr>
    </w:p>
    <w:p>
      <w:pPr>
        <w:ind w:left="360" w:hanging="198"/>
        <w:spacing w:after="0"/>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Defaults and Remedies.</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7" w:name="page78"/>
    <w:bookmarkEnd w:id="77"/>
    <w:p>
      <w:pPr>
        <w:ind w:right="120"/>
        <w:spacing w:after="0" w:line="276" w:lineRule="auto"/>
        <w:rPr>
          <w:sz w:val="20"/>
          <w:szCs w:val="20"/>
          <w:color w:val="auto"/>
        </w:rPr>
      </w:pPr>
      <w:r>
        <w:rPr>
          <w:rFonts w:ascii="Arial" w:cs="Arial" w:eastAsia="Arial" w:hAnsi="Arial"/>
          <w:sz w:val="13"/>
          <w:szCs w:val="13"/>
          <w:color w:val="auto"/>
        </w:rPr>
        <w:t>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49" w:lineRule="exact"/>
        <w:rPr>
          <w:sz w:val="20"/>
          <w:szCs w:val="20"/>
          <w:color w:val="auto"/>
        </w:rPr>
      </w:pPr>
    </w:p>
    <w:p>
      <w:pPr>
        <w:ind w:left="360" w:hanging="198"/>
        <w:spacing w:after="0"/>
        <w:tabs>
          <w:tab w:leader="none" w:pos="36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Trustee Dealings with Company.</w:t>
      </w:r>
    </w:p>
    <w:p>
      <w:pPr>
        <w:spacing w:after="0" w:line="86" w:lineRule="exact"/>
        <w:rPr>
          <w:sz w:val="20"/>
          <w:szCs w:val="20"/>
          <w:color w:val="auto"/>
        </w:rPr>
      </w:pPr>
    </w:p>
    <w:p>
      <w:pPr>
        <w:ind w:right="400" w:firstLine="161"/>
        <w:spacing w:after="0" w:line="276" w:lineRule="auto"/>
        <w:rPr>
          <w:sz w:val="20"/>
          <w:szCs w:val="20"/>
          <w:color w:val="auto"/>
        </w:rPr>
      </w:pPr>
      <w:r>
        <w:rPr>
          <w:rFonts w:ascii="Arial" w:cs="Arial" w:eastAsia="Arial" w:hAnsi="Arial"/>
          <w:sz w:val="13"/>
          <w:szCs w:val="13"/>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49" w:lineRule="exact"/>
        <w:rPr>
          <w:sz w:val="20"/>
          <w:szCs w:val="20"/>
          <w:color w:val="auto"/>
        </w:rPr>
      </w:pPr>
    </w:p>
    <w:p>
      <w:pPr>
        <w:ind w:left="360" w:hanging="198"/>
        <w:spacing w:after="0"/>
        <w:tabs>
          <w:tab w:leader="none" w:pos="36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Authentication.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shall not be valid until the Trustee or authenticating agent signs the certificate of authentication on the other side of this Security.</w:t>
      </w:r>
    </w:p>
    <w:p>
      <w:pPr>
        <w:spacing w:after="0" w:line="86" w:lineRule="exact"/>
        <w:rPr>
          <w:sz w:val="20"/>
          <w:szCs w:val="20"/>
          <w:color w:val="auto"/>
        </w:rPr>
      </w:pPr>
    </w:p>
    <w:p>
      <w:pPr>
        <w:ind w:left="360" w:hanging="198"/>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Abbreviations and Defined Terms.</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49" w:lineRule="exact"/>
        <w:rPr>
          <w:sz w:val="20"/>
          <w:szCs w:val="20"/>
          <w:color w:val="auto"/>
        </w:rPr>
      </w:pPr>
    </w:p>
    <w:p>
      <w:pPr>
        <w:ind w:left="360" w:hanging="198"/>
        <w:spacing w:after="0"/>
        <w:tabs>
          <w:tab w:leader="none" w:pos="36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CUSIP Numbers.</w:t>
      </w:r>
    </w:p>
    <w:p>
      <w:pPr>
        <w:spacing w:after="0" w:line="86" w:lineRule="exact"/>
        <w:rPr>
          <w:sz w:val="20"/>
          <w:szCs w:val="20"/>
          <w:color w:val="auto"/>
        </w:rPr>
      </w:pPr>
    </w:p>
    <w:p>
      <w:pPr>
        <w:ind w:right="20" w:firstLine="164"/>
        <w:spacing w:after="0" w:line="320" w:lineRule="auto"/>
        <w:rPr>
          <w:sz w:val="20"/>
          <w:szCs w:val="20"/>
          <w:color w:val="auto"/>
        </w:rPr>
      </w:pPr>
      <w:r>
        <w:rPr>
          <w:rFonts w:ascii="Arial" w:cs="Arial" w:eastAsia="Arial" w:hAnsi="Arial"/>
          <w:sz w:val="12"/>
          <w:szCs w:val="1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5" w:lineRule="exact"/>
        <w:rPr>
          <w:sz w:val="20"/>
          <w:szCs w:val="20"/>
          <w:color w:val="auto"/>
        </w:rPr>
      </w:pPr>
    </w:p>
    <w:p>
      <w:pPr>
        <w:ind w:left="360" w:hanging="198"/>
        <w:spacing w:after="0"/>
        <w:tabs>
          <w:tab w:leader="none" w:pos="36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Absolute Obligation.</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49" w:lineRule="exact"/>
        <w:rPr>
          <w:sz w:val="20"/>
          <w:szCs w:val="20"/>
          <w:color w:val="auto"/>
        </w:rPr>
      </w:pPr>
    </w:p>
    <w:p>
      <w:pPr>
        <w:ind w:left="360" w:hanging="198"/>
        <w:spacing w:after="0"/>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No Recourse.</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78" w:name="page79"/>
    <w:bookmarkEnd w:id="78"/>
    <w:p>
      <w:pPr>
        <w:spacing w:after="0"/>
        <w:rPr>
          <w:sz w:val="20"/>
          <w:szCs w:val="20"/>
          <w:color w:val="auto"/>
        </w:rPr>
      </w:pPr>
      <w:r>
        <w:rPr>
          <w:rFonts w:ascii="Arial" w:cs="Arial" w:eastAsia="Arial" w:hAnsi="Arial"/>
          <w:sz w:val="13"/>
          <w:szCs w:val="13"/>
          <w:color w:val="auto"/>
        </w:rPr>
        <w:t>otherwise, all such liability being expressly waived and released by the acceptance of the Security by the Holder and as part of the consideration for the issue of the Security.</w:t>
      </w:r>
    </w:p>
    <w:p>
      <w:pPr>
        <w:spacing w:after="0" w:line="86" w:lineRule="exact"/>
        <w:rPr>
          <w:sz w:val="20"/>
          <w:szCs w:val="20"/>
          <w:color w:val="auto"/>
        </w:rPr>
      </w:pPr>
    </w:p>
    <w:p>
      <w:pPr>
        <w:ind w:left="360" w:hanging="198"/>
        <w:spacing w:after="0"/>
        <w:tabs>
          <w:tab w:leader="none" w:pos="36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Governing Law.</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shall be construed in accordance with and governed by the laws of the State of New York.</w:t>
      </w:r>
    </w:p>
    <w:p>
      <w:pPr>
        <w:spacing w:after="0" w:line="86" w:lineRule="exact"/>
        <w:rPr>
          <w:sz w:val="20"/>
          <w:szCs w:val="20"/>
          <w:color w:val="auto"/>
        </w:rPr>
      </w:pPr>
    </w:p>
    <w:p>
      <w:pPr>
        <w:ind w:left="360" w:hanging="198"/>
        <w:spacing w:after="0"/>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Guarantee.</w:t>
      </w:r>
    </w:p>
    <w:p>
      <w:pPr>
        <w:spacing w:after="0" w:line="86" w:lineRule="exact"/>
        <w:rPr>
          <w:sz w:val="20"/>
          <w:szCs w:val="20"/>
          <w:color w:val="auto"/>
        </w:rPr>
      </w:pPr>
    </w:p>
    <w:p>
      <w:pPr>
        <w:ind w:firstLine="161"/>
        <w:spacing w:after="0" w:line="296" w:lineRule="auto"/>
        <w:rPr>
          <w:sz w:val="20"/>
          <w:szCs w:val="20"/>
          <w:color w:val="auto"/>
        </w:rPr>
      </w:pPr>
      <w:r>
        <w:rPr>
          <w:rFonts w:ascii="Arial" w:cs="Arial" w:eastAsia="Arial" w:hAnsi="Arial"/>
          <w:sz w:val="12"/>
          <w:szCs w:val="12"/>
          <w:color w:val="auto"/>
        </w:rPr>
        <w:t>The Securities will be fully and unconditionally guaranteed on a senior basis by the Company’s wholly owned subsidiary, Waste Management Holdings, Inc., pursuant to the terms and conditions of a Guarantee Agreement dated August 29,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9" w:name="page80"/>
    <w:bookmarkEnd w:id="79"/>
    <w:p>
      <w:pPr>
        <w:ind w:left="4060"/>
        <w:spacing w:after="0"/>
        <w:rPr>
          <w:sz w:val="20"/>
          <w:szCs w:val="20"/>
          <w:color w:val="auto"/>
        </w:rPr>
      </w:pPr>
      <w:r>
        <w:rPr>
          <w:rFonts w:ascii="Arial" w:cs="Arial" w:eastAsia="Arial" w:hAnsi="Arial"/>
          <w:sz w:val="13"/>
          <w:szCs w:val="13"/>
          <w:color w:val="auto"/>
        </w:rPr>
        <w:t>SCHEDULE OF EXCHANGES OF DEFINITIVE SECURITY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following exchanges of a part of this Book-Entry Security for definitive Securities have been made: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2"/>
              </w:rPr>
              <w:t>Amount of increase</w:t>
            </w:r>
          </w:p>
        </w:tc>
        <w:tc>
          <w:tcPr>
            <w:tcW w:w="5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6"/>
              </w:rPr>
              <w:t>Principal Amount</w:t>
            </w:r>
          </w:p>
        </w:tc>
        <w:tc>
          <w:tcPr>
            <w:tcW w:w="560" w:type="dxa"/>
            <w:vAlign w:val="bottom"/>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Signature of</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decrease in</w:t>
            </w: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 Principal</w:t>
            </w:r>
          </w:p>
        </w:tc>
        <w:tc>
          <w:tcPr>
            <w:tcW w:w="5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of this Book-Entry</w:t>
            </w:r>
          </w:p>
        </w:tc>
        <w:tc>
          <w:tcPr>
            <w:tcW w:w="56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Principal Amount</w:t>
            </w: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Amount of this</w:t>
            </w:r>
          </w:p>
        </w:tc>
        <w:tc>
          <w:tcPr>
            <w:tcW w:w="5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Security following</w:t>
            </w:r>
          </w:p>
        </w:tc>
        <w:tc>
          <w:tcPr>
            <w:tcW w:w="56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authorized officer</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Date of Exchange</w:t>
            </w: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of this Book-Entry</w:t>
            </w: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Book-Entry</w:t>
            </w:r>
          </w:p>
        </w:tc>
        <w:tc>
          <w:tcPr>
            <w:tcW w:w="5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8"/>
              </w:rPr>
              <w:t>such decrease (or</w:t>
            </w:r>
          </w:p>
        </w:tc>
        <w:tc>
          <w:tcPr>
            <w:tcW w:w="56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of Trustee or</w:t>
            </w:r>
          </w:p>
        </w:tc>
        <w:tc>
          <w:tcPr>
            <w:tcW w:w="0" w:type="dxa"/>
            <w:vAlign w:val="bottom"/>
          </w:tcPr>
          <w:p>
            <w:pPr>
              <w:spacing w:after="0"/>
              <w:rPr>
                <w:sz w:val="1"/>
                <w:szCs w:val="1"/>
                <w:color w:val="auto"/>
              </w:rPr>
            </w:pPr>
          </w:p>
        </w:tc>
      </w:tr>
      <w:tr>
        <w:trPr>
          <w:trHeight w:val="125"/>
        </w:trPr>
        <w:tc>
          <w:tcPr>
            <w:tcW w:w="184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Security</w:t>
            </w: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Security</w:t>
            </w:r>
          </w:p>
        </w:tc>
        <w:tc>
          <w:tcPr>
            <w:tcW w:w="56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increase)</w:t>
            </w:r>
          </w:p>
        </w:tc>
        <w:tc>
          <w:tcPr>
            <w:tcW w:w="560" w:type="dxa"/>
            <w:vAlign w:val="bottom"/>
          </w:tcPr>
          <w:p>
            <w:pPr>
              <w:spacing w:after="0"/>
              <w:rPr>
                <w:sz w:val="10"/>
                <w:szCs w:val="1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Security Custodian</w:t>
            </w:r>
          </w:p>
        </w:tc>
        <w:tc>
          <w:tcPr>
            <w:tcW w:w="0" w:type="dxa"/>
            <w:vAlign w:val="bottom"/>
          </w:tcPr>
          <w:p>
            <w:pPr>
              <w:spacing w:after="0"/>
              <w:rPr>
                <w:sz w:val="1"/>
                <w:szCs w:val="1"/>
                <w:color w:val="auto"/>
              </w:rPr>
            </w:pPr>
          </w:p>
        </w:tc>
      </w:tr>
      <w:tr>
        <w:trPr>
          <w:trHeight w:val="309"/>
        </w:trPr>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3"/>
          <w:szCs w:val="13"/>
          <w:b w:val="1"/>
          <w:bCs w:val="1"/>
          <w:i w:val="1"/>
          <w:iCs w:val="1"/>
          <w:color w:val="auto"/>
        </w:rPr>
        <w:t>Annex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Resolutions of the Board of Directors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of Waste Management, Inc.</w:t>
      </w:r>
    </w:p>
    <w:p>
      <w:pPr>
        <w:spacing w:after="0" w:line="75" w:lineRule="exact"/>
        <w:rPr>
          <w:sz w:val="20"/>
          <w:szCs w:val="20"/>
          <w:color w:val="auto"/>
        </w:rPr>
      </w:pPr>
    </w:p>
    <w:p>
      <w:pPr>
        <w:ind w:right="100" w:firstLine="164"/>
        <w:spacing w:after="0" w:line="262"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September 22, 2006, Waste Management, Inc. (the “Company”) filed with the Securities Exchange Commission (the “SEC”) an 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pursuant to rules and regulations promulgated by SEC, the Automatic Shelf expires, by its terms, on September 22, 2009, three years after the effective date of the Automatic Shelf; and</w:t>
      </w:r>
    </w:p>
    <w:p>
      <w:pPr>
        <w:spacing w:after="0" w:line="98"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desires, and finds it in the best interests of the Company, to file a new automatic shelf registration statement on Form S-3 in order to facilitate any future offerings of securities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or any selling security holders.</w:t>
      </w:r>
    </w:p>
    <w:p>
      <w:pPr>
        <w:spacing w:after="0" w:line="41"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NOW, THEREFORE, BE IT RESOLVED</w:t>
      </w:r>
      <w:r>
        <w:rPr>
          <w:rFonts w:ascii="Arial" w:cs="Arial" w:eastAsia="Arial" w:hAnsi="Arial"/>
          <w:sz w:val="12"/>
          <w:szCs w:val="12"/>
          <w:color w:val="auto"/>
        </w:rPr>
        <w:t>, that the Company is hereby authorized to prepare and file with the SEC an automatic shelf registration statement on Form S-3 (the “New Automatic Shelf”), pursuant to</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43"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(as established pursuant to these resolutions) be, and they hereby are, authorized, in their sole and absolute discretion, subject to any limitations set forth in these</w:t>
      </w:r>
      <w:r>
        <w:rPr>
          <w:rFonts w:ascii="Arial" w:cs="Arial" w:eastAsia="Arial" w:hAnsi="Arial"/>
          <w:sz w:val="13"/>
          <w:szCs w:val="13"/>
          <w:b w:val="1"/>
          <w:bCs w:val="1"/>
          <w:color w:val="auto"/>
        </w:rPr>
        <w:t xml:space="preserve"> </w:t>
      </w:r>
      <w:r>
        <w:rPr>
          <w:rFonts w:ascii="Arial" w:cs="Arial" w:eastAsia="Arial" w:hAnsi="Arial"/>
          <w:sz w:val="13"/>
          <w:szCs w:val="13"/>
          <w:color w:val="auto"/>
        </w:rPr>
        <w:t>resolutions, to cause the Company to offer and sell up to an aggregate of $3,000,000,000 of Securities without further approval of the Board of Directors;</w:t>
      </w:r>
    </w:p>
    <w:p>
      <w:pPr>
        <w:spacing w:after="0" w:line="41" w:lineRule="exact"/>
        <w:rPr>
          <w:sz w:val="20"/>
          <w:szCs w:val="20"/>
          <w:color w:val="auto"/>
        </w:rPr>
      </w:pPr>
    </w:p>
    <w:p>
      <w:pPr>
        <w:ind w:right="10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and the authorized employees (as established pursuant to these resolutions) be, and each of them hereby is, authorized, in the name and on behalf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81" w:name="page82"/>
    <w:bookmarkEnd w:id="81"/>
    <w:p>
      <w:pPr>
        <w:ind w:right="200"/>
        <w:spacing w:after="0" w:line="276" w:lineRule="auto"/>
        <w:rPr>
          <w:sz w:val="20"/>
          <w:szCs w:val="20"/>
          <w:color w:val="auto"/>
        </w:rPr>
      </w:pPr>
      <w:r>
        <w:rPr>
          <w:rFonts w:ascii="Arial" w:cs="Arial" w:eastAsia="Arial" w:hAnsi="Arial"/>
          <w:sz w:val="13"/>
          <w:szCs w:val="13"/>
          <w:color w:val="auto"/>
        </w:rPr>
        <w:t>offering of the Securities, and such amendments, supplements, registration statements and documents to be in such form as the officer or employee executing the same may approve, as conclusively evidenced by his execution thereof;</w:t>
      </w:r>
    </w:p>
    <w:p>
      <w:pPr>
        <w:spacing w:after="0" w:line="45" w:lineRule="exact"/>
        <w:rPr>
          <w:sz w:val="20"/>
          <w:szCs w:val="20"/>
          <w:color w:val="auto"/>
        </w:rPr>
      </w:pPr>
    </w:p>
    <w:p>
      <w:pPr>
        <w:ind w:right="120" w:firstLine="164"/>
        <w:spacing w:after="0" w:line="283"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General Counsel of the Company be, and he hereby is, designated and appointed the agent for service of process on the Company under the Securities Act in connection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New Automatic Shelf and any and all amendments and supplements thereto, with all powers incident to such appointment;</w:t>
      </w:r>
    </w:p>
    <w:p>
      <w:pPr>
        <w:spacing w:after="0" w:line="41"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and authorized employees be and hereby are authorized and directed in the name and on behalf of the Company to take any and all action which they may deem</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5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form of any additional resolutions required in connection with the appropriate qualification or registration of the Securities for offer and sale under such securities or Blue Sky</w:t>
      </w:r>
      <w:r>
        <w:rPr>
          <w:rFonts w:ascii="Arial" w:cs="Arial" w:eastAsia="Arial" w:hAnsi="Arial"/>
          <w:sz w:val="13"/>
          <w:szCs w:val="13"/>
          <w:b w:val="1"/>
          <w:bCs w:val="1"/>
          <w:color w:val="auto"/>
        </w:rPr>
        <w:t xml:space="preserve"> </w:t>
      </w:r>
      <w:r>
        <w:rPr>
          <w:rFonts w:ascii="Arial" w:cs="Arial" w:eastAsia="Arial" w:hAnsi="Arial"/>
          <w:sz w:val="13"/>
          <w:szCs w:val="13"/>
          <w:color w:val="auto"/>
        </w:rPr>
        <w:t>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55"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or authorized employees be, and each of them hereby is, authorized to approve at any time and from time to time, one or more forms of underwriting</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be, and each of them hereby is, authorized, at any time and from time to time, on behalf of the Company, (i) to determine,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82" w:name="page83"/>
    <w:bookmarkEnd w:id="82"/>
    <w:p>
      <w:pPr>
        <w:ind w:right="60"/>
        <w:spacing w:after="0" w:line="260" w:lineRule="auto"/>
        <w:rPr>
          <w:sz w:val="20"/>
          <w:szCs w:val="20"/>
          <w:color w:val="auto"/>
        </w:rPr>
      </w:pPr>
      <w:r>
        <w:rPr>
          <w:rFonts w:ascii="Arial" w:cs="Arial" w:eastAsia="Arial" w:hAnsi="Arial"/>
          <w:sz w:val="13"/>
          <w:szCs w:val="13"/>
          <w:color w:val="auto"/>
        </w:rPr>
        <w:t>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56" w:lineRule="exact"/>
        <w:rPr>
          <w:sz w:val="20"/>
          <w:szCs w:val="20"/>
          <w:color w:val="auto"/>
        </w:rPr>
      </w:pPr>
    </w:p>
    <w:p>
      <w:pPr>
        <w:ind w:right="360"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may, at any time and from time to time, on behalf of the Company, authorize the issuance of one or more series of Securities under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55" w:lineRule="exact"/>
        <w:rPr>
          <w:sz w:val="20"/>
          <w:szCs w:val="20"/>
          <w:color w:val="auto"/>
        </w:rPr>
      </w:pPr>
    </w:p>
    <w:p>
      <w:pPr>
        <w:jc w:val="both"/>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any such series of Securities (but without limiting the authority hereinafter in these resolutions conferred with respect to the issuance of Securities of a series which</w:t>
      </w:r>
      <w:r>
        <w:rPr>
          <w:rFonts w:ascii="Arial" w:cs="Arial" w:eastAsia="Arial" w:hAnsi="Arial"/>
          <w:sz w:val="13"/>
          <w:szCs w:val="13"/>
          <w:b w:val="1"/>
          <w:bCs w:val="1"/>
          <w:color w:val="auto"/>
        </w:rPr>
        <w:t xml:space="preserve"> </w:t>
      </w:r>
      <w:r>
        <w:rPr>
          <w:rFonts w:ascii="Arial" w:cs="Arial" w:eastAsia="Arial" w:hAnsi="Arial"/>
          <w:sz w:val="13"/>
          <w:szCs w:val="13"/>
          <w:color w:val="auto"/>
        </w:rPr>
        <w:t>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55" w:lineRule="exact"/>
        <w:rPr>
          <w:sz w:val="20"/>
          <w:szCs w:val="20"/>
          <w:color w:val="auto"/>
        </w:rPr>
      </w:pPr>
    </w:p>
    <w:p>
      <w:pPr>
        <w:jc w:val="both"/>
        <w:ind w:right="18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the issuance of Securities of any series which may not be originally issued at one time (except as may be inconsistent with any action taken by any of the proper</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as hereinabove provided, in connection with such series), any of the proper officers may delegate any of its authority pursuant to these resolutions to any officer of the Company, including authority to fix the terms of such Securities;</w:t>
      </w:r>
    </w:p>
    <w:p>
      <w:pPr>
        <w:spacing w:after="0" w:line="52" w:lineRule="exact"/>
        <w:rPr>
          <w:sz w:val="20"/>
          <w:szCs w:val="20"/>
          <w:color w:val="auto"/>
        </w:rPr>
      </w:pPr>
    </w:p>
    <w:p>
      <w:pPr>
        <w:jc w:val="both"/>
        <w:ind w:right="4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any such series of Securities, any of the proper officers is authorized to approve any amendment, modification or supplement to the Company’s indentures and that</w:t>
      </w:r>
      <w:r>
        <w:rPr>
          <w:rFonts w:ascii="Arial" w:cs="Arial" w:eastAsia="Arial" w:hAnsi="Arial"/>
          <w:sz w:val="13"/>
          <w:szCs w:val="13"/>
          <w:b w:val="1"/>
          <w:bCs w:val="1"/>
          <w:color w:val="auto"/>
        </w:rPr>
        <w:t xml:space="preserve"> </w:t>
      </w:r>
      <w:r>
        <w:rPr>
          <w:rFonts w:ascii="Arial" w:cs="Arial" w:eastAsia="Arial" w:hAnsi="Arial"/>
          <w:sz w:val="13"/>
          <w:szCs w:val="13"/>
          <w:color w:val="auto"/>
        </w:rPr>
        <w:t>any proper officer be, and each of them hereby is, authorized to execute and deliver, in the name and on behalf of the Company, any such amendment, modification or supplement, substantially in the form approved by any proper officer;</w:t>
      </w:r>
    </w:p>
    <w:p>
      <w:pPr>
        <w:spacing w:after="0" w:line="52" w:lineRule="exact"/>
        <w:rPr>
          <w:sz w:val="20"/>
          <w:szCs w:val="20"/>
          <w:color w:val="auto"/>
        </w:rPr>
      </w:pPr>
    </w:p>
    <w:p>
      <w:pPr>
        <w:ind w:right="60" w:firstLine="164"/>
        <w:spacing w:after="0" w:line="300"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proper officers and authorized employees be, and each of them hereby is, authorized, in the name and on behalf of the Company, to execute and deliver such other agreements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3" w:name="page84"/>
    <w:bookmarkEnd w:id="83"/>
    <w:p>
      <w:pPr>
        <w:ind w:right="200" w:firstLine="164"/>
        <w:spacing w:after="0" w:line="260"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be, and each of them hereby is, authorized, subject to and in accordance with the Company’s indentures and any action taken by any of the proper officers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55"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proper officers and authorized employees be, and each of them hereby is, authorized, in the name and on behalf of the Company, to make application to such securities exchange or</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4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be, and each of them hereby is, authorized, in the name and on behalf of the Company, to make application to the SEC for registration of any series of the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55" w:lineRule="exact"/>
        <w:rPr>
          <w:sz w:val="20"/>
          <w:szCs w:val="20"/>
          <w:color w:val="auto"/>
        </w:rPr>
      </w:pPr>
    </w:p>
    <w:p>
      <w:pPr>
        <w:ind w:firstLine="164"/>
        <w:spacing w:after="0" w:line="291"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officers and authorized employees of the Company be, and each of them hereby is, authorized to take, or cause to be taken, any and all action which any such officer may deem</w:t>
      </w:r>
      <w:r>
        <w:rPr>
          <w:rFonts w:ascii="Arial" w:cs="Arial" w:eastAsia="Arial" w:hAnsi="Arial"/>
          <w:sz w:val="12"/>
          <w:szCs w:val="12"/>
          <w:b w:val="1"/>
          <w:bCs w:val="1"/>
          <w:color w:val="auto"/>
        </w:rPr>
        <w:t xml:space="preserve"> </w:t>
      </w:r>
      <w:r>
        <w:rPr>
          <w:rFonts w:ascii="Arial" w:cs="Arial" w:eastAsia="Arial" w:hAnsi="Arial"/>
          <w:sz w:val="12"/>
          <w:szCs w:val="12"/>
          <w:color w:val="auto"/>
        </w:rPr>
        <w:t>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4" w:name="page85"/>
    <w:bookmarkEnd w:id="84"/>
    <w:p>
      <w:pPr>
        <w:ind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for purposes of these resolutions, the term “proper officer” shall mean any or all of the Chief Executive Officer, the Chief Financial Officer, the General Counsel, the Chief Accounting</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52" w:lineRule="exact"/>
        <w:rPr>
          <w:sz w:val="20"/>
          <w:szCs w:val="20"/>
          <w:color w:val="auto"/>
        </w:rPr>
      </w:pPr>
    </w:p>
    <w:p>
      <w:pPr>
        <w:ind w:right="14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form of any additional resolutions required in connection with the foregoing resolutions be and hereby is approved and adopted, provided the proper officers of the Company, on</w:t>
      </w:r>
      <w:r>
        <w:rPr>
          <w:rFonts w:ascii="Arial" w:cs="Arial" w:eastAsia="Arial" w:hAnsi="Arial"/>
          <w:sz w:val="13"/>
          <w:szCs w:val="13"/>
          <w:b w:val="1"/>
          <w:bCs w:val="1"/>
          <w:color w:val="auto"/>
        </w:rPr>
        <w:t xml:space="preserve"> </w:t>
      </w:r>
      <w:r>
        <w:rPr>
          <w:rFonts w:ascii="Arial" w:cs="Arial" w:eastAsia="Arial" w:hAnsi="Arial"/>
          <w:sz w:val="13"/>
          <w:szCs w:val="13"/>
          <w:color w:val="auto"/>
        </w:rPr>
        <w:t>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2" w:lineRule="exact"/>
        <w:rPr>
          <w:sz w:val="20"/>
          <w:szCs w:val="20"/>
          <w:color w:val="auto"/>
        </w:rPr>
      </w:pPr>
    </w:p>
    <w:p>
      <w:pPr>
        <w:jc w:val="both"/>
        <w:ind w:right="36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officer of the Company is hereby authorized and directed to make, provide, execute, and deliver any and all statements, applications, certificates, representations,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40"/>
          </w:cols>
          <w:pgMar w:left="220" w:top="71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b w:val="1"/>
          <w:bCs w:val="1"/>
          <w:color w:val="auto"/>
        </w:rPr>
        <w:t>Exhibit 4.2</w:t>
      </w: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GUARANTEE</w:t>
      </w:r>
    </w:p>
    <w:p>
      <w:pPr>
        <w:spacing w:after="0" w:line="86"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BY WASTE MANAGEMENT HOLDINGS, INC.</w:t>
      </w:r>
    </w:p>
    <w:p>
      <w:pPr>
        <w:spacing w:after="0" w:line="86" w:lineRule="exact"/>
        <w:rPr>
          <w:sz w:val="20"/>
          <w:szCs w:val="20"/>
          <w:color w:val="auto"/>
        </w:rPr>
      </w:pPr>
    </w:p>
    <w:p>
      <w:pPr>
        <w:ind w:left="3300"/>
        <w:spacing w:after="0"/>
        <w:rPr>
          <w:sz w:val="20"/>
          <w:szCs w:val="20"/>
          <w:color w:val="auto"/>
        </w:rPr>
      </w:pPr>
      <w:r>
        <w:rPr>
          <w:rFonts w:ascii="Arial" w:cs="Arial" w:eastAsia="Arial" w:hAnsi="Arial"/>
          <w:sz w:val="13"/>
          <w:szCs w:val="13"/>
          <w:color w:val="auto"/>
        </w:rPr>
        <w:t>(formerly known as Waste Management, Inc.)</w:t>
      </w:r>
    </w:p>
    <w:p>
      <w:pPr>
        <w:spacing w:after="0" w:line="86"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in Favor of The Bank of New York Mellon Trust Company, N.A., as Trustee for the Holders</w:t>
      </w:r>
    </w:p>
    <w:p>
      <w:pPr>
        <w:spacing w:after="0" w:line="15"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of Certain Debt Securities of</w:t>
      </w:r>
    </w:p>
    <w:p>
      <w:pPr>
        <w:spacing w:after="0" w:line="79"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WASTE MANAGEMENT, INC.</w:t>
      </w:r>
    </w:p>
    <w:p>
      <w:pPr>
        <w:spacing w:after="0" w:line="86"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$500,000,000</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2.60% Senior Notes due 2016</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August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288290</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86" w:name="page87"/>
    <w:bookmarkEnd w:id="86"/>
    <w:p>
      <w:pPr>
        <w:ind w:firstLine="164"/>
        <w:spacing w:after="0" w:line="264" w:lineRule="auto"/>
        <w:rPr>
          <w:sz w:val="20"/>
          <w:szCs w:val="20"/>
          <w:color w:val="auto"/>
        </w:rPr>
      </w:pPr>
      <w:r>
        <w:rPr>
          <w:rFonts w:ascii="Arial" w:cs="Arial" w:eastAsia="Arial" w:hAnsi="Arial"/>
          <w:sz w:val="13"/>
          <w:szCs w:val="13"/>
          <w:color w:val="auto"/>
        </w:rPr>
        <w:t>GUARANTEE, dated as of August 29, 2011 (as amended from time to time, this “Guarantee”), made by Waste Management Holdings, Inc. (formerly known as Waste Management, Inc.), a Delaware corporation (the “Guarantor”), in favor of The Bank of New York Mellon Trust Company, N.A., as trustee for the holders of the $500 million 2.60% Senior Notes due 2016 (the “Debt Securities”) of Waste Management, Inc. (formerly known as USA Waste Services, Inc.), a Delaware corporation (the “Issuer”).</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WITNESSETH: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Guarantee</w:t>
      </w:r>
    </w:p>
    <w:p>
      <w:pPr>
        <w:spacing w:after="0" w:line="86" w:lineRule="exact"/>
        <w:rPr>
          <w:sz w:val="20"/>
          <w:szCs w:val="20"/>
          <w:color w:val="auto"/>
        </w:rPr>
      </w:pPr>
    </w:p>
    <w:p>
      <w:pPr>
        <w:ind w:right="20" w:firstLine="326"/>
        <w:spacing w:after="0" w:line="260" w:lineRule="auto"/>
        <w:tabs>
          <w:tab w:leader="none" w:pos="503"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59" w:lineRule="exact"/>
        <w:rPr>
          <w:rFonts w:ascii="Arial" w:cs="Arial" w:eastAsia="Arial" w:hAnsi="Arial"/>
          <w:sz w:val="13"/>
          <w:szCs w:val="13"/>
          <w:color w:val="auto"/>
        </w:rPr>
      </w:pPr>
    </w:p>
    <w:p>
      <w:pPr>
        <w:ind w:right="100" w:firstLine="326"/>
        <w:spacing w:after="0" w:line="258" w:lineRule="auto"/>
        <w:tabs>
          <w:tab w:leader="none" w:pos="513" w:val="left"/>
        </w:tabs>
        <w:numPr>
          <w:ilvl w:val="0"/>
          <w:numId w:val="64"/>
        </w:numPr>
        <w:rPr>
          <w:rFonts w:ascii="Arial" w:cs="Arial" w:eastAsia="Arial" w:hAnsi="Arial"/>
          <w:sz w:val="13"/>
          <w:szCs w:val="13"/>
          <w:color w:val="auto"/>
        </w:rPr>
      </w:pPr>
      <w:r>
        <w:rPr>
          <w:rFonts w:ascii="Arial" w:cs="Arial" w:eastAsia="Arial" w:hAnsi="Arial"/>
          <w:sz w:val="13"/>
          <w:szCs w:val="13"/>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61" w:lineRule="exact"/>
        <w:rPr>
          <w:sz w:val="20"/>
          <w:szCs w:val="20"/>
          <w:color w:val="auto"/>
        </w:rPr>
      </w:pPr>
    </w:p>
    <w:p>
      <w:pPr>
        <w:ind w:firstLine="164"/>
        <w:spacing w:after="0" w:line="371"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u w:val="single" w:color="auto"/>
          <w:color w:val="auto"/>
        </w:rPr>
        <w:t>Guarantee Absolute</w:t>
      </w:r>
      <w:r>
        <w:rPr>
          <w:rFonts w:ascii="Arial" w:cs="Arial" w:eastAsia="Arial" w:hAnsi="Arial"/>
          <w:sz w:val="11"/>
          <w:szCs w:val="11"/>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 w:lineRule="exact"/>
        <w:rPr>
          <w:sz w:val="20"/>
          <w:szCs w:val="20"/>
          <w:color w:val="auto"/>
        </w:rPr>
      </w:pPr>
    </w:p>
    <w:p>
      <w:pPr>
        <w:ind w:left="540" w:hanging="148"/>
        <w:spacing w:after="0"/>
        <w:tabs>
          <w:tab w:leader="none" w:pos="5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lack of validity or enforceability of the Indenture, the Debt Securities or any other agreement or instrument relating thereto;</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change in the time, manner or place of payment of, or in any other term of, all or any of the Obligations, or any other amendment or waiver of or any consent to departure from the Indenture;</w:t>
      </w:r>
    </w:p>
    <w:p>
      <w:pPr>
        <w:spacing w:after="0" w:line="97" w:lineRule="exact"/>
        <w:rPr>
          <w:rFonts w:ascii="Arial" w:cs="Arial" w:eastAsia="Arial" w:hAnsi="Arial"/>
          <w:sz w:val="12"/>
          <w:szCs w:val="12"/>
          <w:color w:val="auto"/>
        </w:rPr>
      </w:pPr>
    </w:p>
    <w:p>
      <w:pPr>
        <w:ind w:left="620" w:hanging="228"/>
        <w:spacing w:after="0"/>
        <w:tabs>
          <w:tab w:leader="none" w:pos="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7" w:name="page88"/>
    <w:bookmarkEnd w:id="87"/>
    <w:p>
      <w:pPr>
        <w:ind w:left="400"/>
        <w:spacing w:after="0"/>
        <w:rPr>
          <w:sz w:val="20"/>
          <w:szCs w:val="20"/>
          <w:color w:val="auto"/>
        </w:rPr>
      </w:pPr>
      <w:r>
        <w:rPr>
          <w:rFonts w:ascii="Arial" w:cs="Arial" w:eastAsia="Arial" w:hAnsi="Arial"/>
          <w:sz w:val="13"/>
          <w:szCs w:val="13"/>
          <w:color w:val="auto"/>
        </w:rPr>
        <w:t>(iv) any other circumstance which might otherwise constitute a defense available to, or a discharge of, the Issuer or a guarantor.</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Subordination</w:t>
      </w:r>
      <w:r>
        <w:rPr>
          <w:rFonts w:ascii="Arial" w:cs="Arial" w:eastAsia="Arial" w:hAnsi="Arial"/>
          <w:sz w:val="13"/>
          <w:szCs w:val="13"/>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all existing and future senior indebtedness of the Guarantor and (b) senior in right of payment to all existing and future subordinated indebtedness of the Guarantor.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Waiver; Subrogation</w:t>
      </w:r>
    </w:p>
    <w:p>
      <w:pPr>
        <w:spacing w:after="0" w:line="86" w:lineRule="exact"/>
        <w:rPr>
          <w:sz w:val="20"/>
          <w:szCs w:val="20"/>
          <w:color w:val="auto"/>
        </w:rPr>
      </w:pPr>
    </w:p>
    <w:p>
      <w:pPr>
        <w:ind w:right="120" w:firstLine="326"/>
        <w:spacing w:after="0" w:line="276" w:lineRule="auto"/>
        <w:tabs>
          <w:tab w:leader="none" w:pos="503"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49" w:lineRule="exact"/>
        <w:rPr>
          <w:rFonts w:ascii="Arial" w:cs="Arial" w:eastAsia="Arial" w:hAnsi="Arial"/>
          <w:sz w:val="13"/>
          <w:szCs w:val="13"/>
          <w:color w:val="auto"/>
        </w:rPr>
      </w:pPr>
    </w:p>
    <w:p>
      <w:pPr>
        <w:ind w:firstLine="326"/>
        <w:spacing w:after="0" w:line="264" w:lineRule="auto"/>
        <w:tabs>
          <w:tab w:leader="none" w:pos="511"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57"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No Waiver, Remedies</w:t>
      </w:r>
      <w:r>
        <w:rPr>
          <w:rFonts w:ascii="Arial" w:cs="Arial" w:eastAsia="Arial" w:hAnsi="Arial"/>
          <w:sz w:val="13"/>
          <w:szCs w:val="13"/>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57" w:lineRule="exact"/>
        <w:rPr>
          <w:sz w:val="20"/>
          <w:szCs w:val="20"/>
          <w:color w:val="auto"/>
        </w:rPr>
      </w:pPr>
    </w:p>
    <w:p>
      <w:pPr>
        <w:ind w:right="40" w:firstLine="164"/>
        <w:spacing w:after="0" w:line="285"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Continuing Guarantee; Transfer of Interest</w:t>
      </w:r>
      <w:r>
        <w:rPr>
          <w:rFonts w:ascii="Arial" w:cs="Arial" w:eastAsia="Arial" w:hAnsi="Arial"/>
          <w:sz w:val="12"/>
          <w:szCs w:val="12"/>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Amended and Restated Revolving Credit Agreement dated May 9, 2011, by and among the Issuer, the Guarantor (as guarantor), Bank of America, N.A., as administrative agent, J.P. Morgan Securities LLC, Merrill Lynch, Pierce, Fenner &amp; Smith Incorporated and Barclays Capital, as lead arrangers and joint book runners (or under any replacement or new principal credit facility of the Issuer) of the guarantee of the Guarantor thereunder, (ii) be binding upon the Guarantor,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88" w:name="page89"/>
    <w:bookmarkEnd w:id="88"/>
    <w:p>
      <w:pPr>
        <w:spacing w:after="0"/>
        <w:rPr>
          <w:sz w:val="20"/>
          <w:szCs w:val="20"/>
          <w:color w:val="auto"/>
        </w:rPr>
      </w:pPr>
      <w:r>
        <w:rPr>
          <w:rFonts w:ascii="Arial" w:cs="Arial" w:eastAsia="Arial" w:hAnsi="Arial"/>
          <w:sz w:val="13"/>
          <w:szCs w:val="13"/>
          <w:color w:val="auto"/>
        </w:rPr>
        <w:t>assigns, and (iii) inure to the benefit of and be enforceable by any holder of Debt Securities, the Trustee, and by their respective successors, transferees, and assigns.</w:t>
      </w:r>
    </w:p>
    <w:p>
      <w:pPr>
        <w:spacing w:after="0" w:line="86"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Reinstatement</w:t>
      </w:r>
      <w:r>
        <w:rPr>
          <w:rFonts w:ascii="Arial" w:cs="Arial" w:eastAsia="Arial" w:hAnsi="Arial"/>
          <w:sz w:val="12"/>
          <w:szCs w:val="1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5"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w:t>
      </w:r>
      <w:r>
        <w:rPr>
          <w:rFonts w:ascii="Arial" w:cs="Arial" w:eastAsia="Arial" w:hAnsi="Arial"/>
          <w:sz w:val="13"/>
          <w:szCs w:val="13"/>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GUARANTEE SHALL BE GOVERNED BY, AND CONSTRUED IN ACCORDANCE WITH THE LAWS OF THE STATE OF NEW YORK, WITHOUT REGARD TO THE PROVISIONS THEREOF RELATING TO CONFLICT OF LAWS.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Guarantor has caused this Guarantee to be duly executed and delivered by its officer thereunto duly authorized as of the date first above written.</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WASTE MANAGEMENT HOLDINGS, INC.,</w:t>
      </w:r>
    </w:p>
    <w:p>
      <w:pPr>
        <w:spacing w:after="0" w:line="165" w:lineRule="exact"/>
        <w:rPr>
          <w:sz w:val="20"/>
          <w:szCs w:val="20"/>
          <w:color w:val="auto"/>
        </w:rPr>
      </w:pPr>
    </w:p>
    <w:p>
      <w:pPr>
        <w:ind w:left="5860"/>
        <w:spacing w:after="0"/>
        <w:tabs>
          <w:tab w:leader="none" w:pos="6200" w:val="left"/>
        </w:tabs>
        <w:rPr>
          <w:sz w:val="20"/>
          <w:szCs w:val="20"/>
          <w:color w:val="auto"/>
        </w:rPr>
      </w:pPr>
      <w:r>
        <w:rPr>
          <w:rFonts w:ascii="Arial" w:cs="Arial" w:eastAsia="Arial" w:hAnsi="Arial"/>
          <w:sz w:val="13"/>
          <w:szCs w:val="13"/>
          <w:color w:val="auto"/>
        </w:rPr>
        <w:t>By:</w:t>
        <w:tab/>
        <w:t>/s/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10795</wp:posOffset>
            </wp:positionV>
            <wp:extent cx="25463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3"/>
          <w:szCs w:val="13"/>
          <w:color w:val="auto"/>
        </w:rPr>
        <w:t>Vice President — Finance and Treasurer</w:t>
      </w:r>
    </w:p>
    <w:p>
      <w:pPr>
        <w:spacing w:after="0" w:line="158" w:lineRule="exact"/>
        <w:rPr>
          <w:sz w:val="20"/>
          <w:szCs w:val="20"/>
          <w:color w:val="auto"/>
        </w:rPr>
      </w:pPr>
    </w:p>
    <w:p>
      <w:pPr>
        <w:ind w:left="5860"/>
        <w:spacing w:after="0"/>
        <w:tabs>
          <w:tab w:leader="none" w:pos="6200" w:val="left"/>
        </w:tabs>
        <w:rPr>
          <w:sz w:val="20"/>
          <w:szCs w:val="20"/>
          <w:color w:val="auto"/>
        </w:rPr>
      </w:pPr>
      <w:r>
        <w:rPr>
          <w:rFonts w:ascii="Arial" w:cs="Arial" w:eastAsia="Arial" w:hAnsi="Arial"/>
          <w:sz w:val="13"/>
          <w:szCs w:val="13"/>
          <w:color w:val="auto"/>
        </w:rPr>
        <w:t>By:</w:t>
        <w:tab/>
        <w:t>/s/ Devina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10795</wp:posOffset>
            </wp:positionV>
            <wp:extent cx="25463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3"/>
          <w:szCs w:val="13"/>
          <w:color w:val="auto"/>
        </w:rPr>
        <w:t>Devina Rankin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3"/>
          <w:szCs w:val="13"/>
          <w:color w:val="auto"/>
        </w:rPr>
        <w:t>Assistant Treasurer</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Signature page to Guarantee</w:t>
      </w:r>
    </w:p>
    <w:p>
      <w:pPr>
        <w:sectPr>
          <w:pgSz w:w="11900" w:h="16838" w:orient="portrait"/>
          <w:cols w:equalWidth="0" w:num="1">
            <w:col w:w="11400"/>
          </w:cols>
          <w:pgMar w:left="220" w:top="720" w:right="27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10.2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90" w:lineRule="exact"/>
        <w:rPr>
          <w:sz w:val="20"/>
          <w:szCs w:val="20"/>
          <w:color w:val="auto"/>
        </w:rPr>
      </w:pPr>
    </w:p>
    <w:p>
      <w:pPr>
        <w:ind w:right="500" w:firstLine="161"/>
        <w:spacing w:after="0" w:line="276" w:lineRule="auto"/>
        <w:rPr>
          <w:sz w:val="20"/>
          <w:szCs w:val="20"/>
          <w:color w:val="auto"/>
        </w:rPr>
      </w:pPr>
      <w:r>
        <w:rPr>
          <w:rFonts w:ascii="Arial" w:cs="Arial" w:eastAsia="Arial" w:hAnsi="Arial"/>
          <w:sz w:val="13"/>
          <w:szCs w:val="13"/>
          <w:color w:val="auto"/>
        </w:rPr>
        <w:t>This EMPLOYMENT AGREEMENT (the “Agreement”) is made and entered into on this 15th day of August, 2011, but effective as of the date set forth below, by and between Waste Management, Inc. (the “Company”) and James C. Fish, Jr. (the “Executive”).</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shall employ Executive, and Executive shall be employed by the Company upon the terms and subject to the conditions set forth in this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 Term of Employment.</w:t>
      </w:r>
    </w:p>
    <w:p>
      <w:pPr>
        <w:spacing w:after="0" w:line="9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The period of Executive’s employment under this Agreement began on June 13, 2011 (“Employment Date”), and may be terminated by either party pursuant to Section 5 below. The period during which Executive is employed hereunder shall be referred to as the “Employment Period.”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3. Duties and Responsibilities.</w:t>
      </w:r>
    </w:p>
    <w:p>
      <w:pPr>
        <w:spacing w:after="0" w:line="90" w:lineRule="exact"/>
        <w:rPr>
          <w:sz w:val="20"/>
          <w:szCs w:val="20"/>
          <w:color w:val="auto"/>
        </w:rPr>
      </w:pPr>
    </w:p>
    <w:p>
      <w:pPr>
        <w:ind w:right="320" w:firstLine="162"/>
        <w:spacing w:after="0" w:line="276" w:lineRule="auto"/>
        <w:tabs>
          <w:tab w:leader="none" w:pos="349"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Executive shall serve as the Senior Vice President, Eastern Group. In such capacity, Executive shall perform such duties and have the power, authority, and functions consistent with such position, as may be deemed appropriate for the position and assigned to Executive from time to time by the Chief Executive Officer or the Board of Directors (the “Board”) of the Company.</w:t>
      </w:r>
    </w:p>
    <w:p>
      <w:pPr>
        <w:spacing w:after="0" w:line="49" w:lineRule="exact"/>
        <w:rPr>
          <w:rFonts w:ascii="Arial" w:cs="Arial" w:eastAsia="Arial" w:hAnsi="Arial"/>
          <w:sz w:val="13"/>
          <w:szCs w:val="13"/>
          <w:b w:val="1"/>
          <w:bCs w:val="1"/>
          <w:color w:val="auto"/>
        </w:rPr>
      </w:pPr>
    </w:p>
    <w:p>
      <w:pPr>
        <w:jc w:val="both"/>
        <w:ind w:right="80" w:firstLine="162"/>
        <w:spacing w:after="0" w:line="260" w:lineRule="auto"/>
        <w:tabs>
          <w:tab w:leader="none" w:pos="356"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 Compensation and Benefits.</w:t>
      </w:r>
    </w:p>
    <w:p>
      <w:pPr>
        <w:spacing w:after="0" w:line="86" w:lineRule="exact"/>
        <w:rPr>
          <w:sz w:val="20"/>
          <w:szCs w:val="20"/>
          <w:color w:val="auto"/>
        </w:rPr>
      </w:pPr>
    </w:p>
    <w:p>
      <w:pPr>
        <w:ind w:right="40" w:firstLine="162"/>
        <w:spacing w:after="0" w:line="267" w:lineRule="auto"/>
        <w:tabs>
          <w:tab w:leader="none" w:pos="349"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During the Employment Period, the Company shall pay Executive a base salary at the annual rate of Four Hundred Thousand and 00/100ths Dollars ($400,000.00) per year, or such higher rate as</w:t>
      </w:r>
      <w:r>
        <w:rPr>
          <w:rFonts w:ascii="Arial" w:cs="Arial" w:eastAsia="Arial" w:hAnsi="Arial"/>
          <w:sz w:val="13"/>
          <w:szCs w:val="13"/>
          <w:b w:val="1"/>
          <w:bCs w:val="1"/>
          <w:color w:val="auto"/>
        </w:rPr>
        <w:t xml:space="preserve"> </w:t>
      </w:r>
      <w:r>
        <w:rPr>
          <w:rFonts w:ascii="Arial" w:cs="Arial" w:eastAsia="Arial" w:hAnsi="Arial"/>
          <w:sz w:val="13"/>
          <w:szCs w:val="13"/>
          <w:color w:val="auto"/>
        </w:rPr>
        <w:t>may be determined from time to time by the Company (“Base Salary”). Such Base Salary shall be paid in accordance with the Company’s standard payroll practice for its executive officers. Once increased, Base Salary shall not be reduced except by mutual agreement.</w:t>
      </w:r>
    </w:p>
    <w:p>
      <w:pPr>
        <w:spacing w:after="0" w:line="51" w:lineRule="exact"/>
        <w:rPr>
          <w:rFonts w:ascii="Arial" w:cs="Arial" w:eastAsia="Arial" w:hAnsi="Arial"/>
          <w:sz w:val="13"/>
          <w:szCs w:val="13"/>
          <w:b w:val="1"/>
          <w:bCs w:val="1"/>
          <w:color w:val="auto"/>
        </w:rPr>
      </w:pPr>
    </w:p>
    <w:p>
      <w:pPr>
        <w:ind w:right="580" w:firstLine="162"/>
        <w:spacing w:after="0" w:line="283" w:lineRule="auto"/>
        <w:tabs>
          <w:tab w:leader="none" w:pos="349"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Annual Bonus. </w:t>
      </w:r>
      <w:r>
        <w:rPr>
          <w:rFonts w:ascii="Arial" w:cs="Arial" w:eastAsia="Arial" w:hAnsi="Arial"/>
          <w:sz w:val="13"/>
          <w:szCs w:val="13"/>
          <w:color w:val="auto"/>
        </w:rPr>
        <w:t>During the Employment Period, Executive will be entitled to participate in an annual incentive compensation plan of the Company, as established by the Management Development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Committee (“Compensation Committee”)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0" w:name="page91"/>
    <w:bookmarkEnd w:id="90"/>
    <w:p>
      <w:pPr>
        <w:jc w:val="both"/>
        <w:spacing w:after="0" w:line="303" w:lineRule="auto"/>
        <w:rPr>
          <w:sz w:val="20"/>
          <w:szCs w:val="20"/>
          <w:color w:val="auto"/>
        </w:rPr>
      </w:pPr>
      <w:r>
        <w:rPr>
          <w:rFonts w:ascii="Arial" w:cs="Arial" w:eastAsia="Arial" w:hAnsi="Arial"/>
          <w:sz w:val="11"/>
          <w:szCs w:val="11"/>
          <w:color w:val="auto"/>
        </w:rPr>
        <w:t>Board from time to time. Executive’s target annual bonus under this Agreement will be seventy-five percent (75%) of his Base Salary in effect for such year (the “Target Bonus”), and his actual annual bonus may range from 0% to 150% of Base Salary (</w:t>
      </w:r>
      <w:r>
        <w:rPr>
          <w:rFonts w:ascii="Arial" w:cs="Arial" w:eastAsia="Arial" w:hAnsi="Arial"/>
          <w:sz w:val="11"/>
          <w:szCs w:val="11"/>
          <w:i w:val="1"/>
          <w:iCs w:val="1"/>
          <w:color w:val="auto"/>
        </w:rPr>
        <w:t>i.e</w:t>
      </w:r>
      <w:r>
        <w:rPr>
          <w:rFonts w:ascii="Arial" w:cs="Arial" w:eastAsia="Arial" w:hAnsi="Arial"/>
          <w:sz w:val="11"/>
          <w:szCs w:val="11"/>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Executive’s immediate supervisor.</w:t>
      </w:r>
    </w:p>
    <w:p>
      <w:pPr>
        <w:ind w:right="60"/>
        <w:spacing w:after="0" w:line="356" w:lineRule="auto"/>
        <w:rPr>
          <w:sz w:val="20"/>
          <w:szCs w:val="20"/>
          <w:color w:val="auto"/>
        </w:rPr>
      </w:pPr>
      <w:r>
        <w:rPr>
          <w:rFonts w:ascii="Arial" w:cs="Arial" w:eastAsia="Arial" w:hAnsi="Arial"/>
          <w:sz w:val="11"/>
          <w:szCs w:val="11"/>
          <w:color w:val="auto"/>
        </w:rPr>
        <w:t>Executive’s annual bonus for calendar year 2011 will be prorated between the time he spent as Vice-President for the Pennsylvania Market Area (using the applicable financial and operational performance objectives, salary, and target bonus) and the time he spent as Senior Vice President, Eastern Group. The annual bonus will be paid at such time and in such manner as set forth in the annual incentive compensation plan document.</w:t>
      </w:r>
    </w:p>
    <w:p>
      <w:pPr>
        <w:spacing w:after="0" w:line="6" w:lineRule="exact"/>
        <w:rPr>
          <w:sz w:val="20"/>
          <w:szCs w:val="20"/>
          <w:color w:val="auto"/>
        </w:rPr>
      </w:pPr>
    </w:p>
    <w:p>
      <w:pPr>
        <w:jc w:val="both"/>
        <w:ind w:right="20" w:firstLine="162"/>
        <w:spacing w:after="0" w:line="300" w:lineRule="auto"/>
        <w:tabs>
          <w:tab w:leader="none" w:pos="342"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Benefit Plans and Vacation. </w:t>
      </w:r>
      <w:r>
        <w:rPr>
          <w:rFonts w:ascii="Arial" w:cs="Arial" w:eastAsia="Arial" w:hAnsi="Arial"/>
          <w:sz w:val="12"/>
          <w:szCs w:val="12"/>
          <w:color w:val="auto"/>
        </w:rPr>
        <w:t>Subject to the terms of such plans, Executive shall be eligible to participate in or receive benefits under any profit sharing plan, salary deferral plan, medical and dental benefits plan,</w:t>
      </w:r>
      <w:r>
        <w:rPr>
          <w:rFonts w:ascii="Arial" w:cs="Arial" w:eastAsia="Arial" w:hAnsi="Arial"/>
          <w:sz w:val="12"/>
          <w:szCs w:val="12"/>
          <w:b w:val="1"/>
          <w:bCs w:val="1"/>
          <w:color w:val="auto"/>
        </w:rPr>
        <w:t xml:space="preserve"> </w:t>
      </w:r>
      <w:r>
        <w:rPr>
          <w:rFonts w:ascii="Arial" w:cs="Arial" w:eastAsia="Arial" w:hAnsi="Arial"/>
          <w:sz w:val="12"/>
          <w:szCs w:val="12"/>
          <w:color w:val="auto"/>
        </w:rPr>
        <w:t>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w:t>
      </w:r>
    </w:p>
    <w:p>
      <w:pPr>
        <w:spacing w:after="0" w:line="37"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45" w:lineRule="exact"/>
        <w:rPr>
          <w:sz w:val="20"/>
          <w:szCs w:val="20"/>
          <w:color w:val="auto"/>
        </w:rPr>
      </w:pPr>
    </w:p>
    <w:p>
      <w:pPr>
        <w:jc w:val="both"/>
        <w:ind w:right="160" w:firstLine="162"/>
        <w:spacing w:after="0" w:line="267" w:lineRule="auto"/>
        <w:tabs>
          <w:tab w:leader="none" w:pos="357"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 Reimbursement. </w:t>
      </w:r>
      <w:r>
        <w:rPr>
          <w:rFonts w:ascii="Arial" w:cs="Arial" w:eastAsia="Arial" w:hAnsi="Arial"/>
          <w:sz w:val="13"/>
          <w:szCs w:val="13"/>
          <w:color w:val="auto"/>
        </w:rPr>
        <w:t>The Company shall promptly reimburse Executive for the ordinary and necessary business expenses incurred by Executive in the performance of his duties hereunder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51" w:lineRule="exact"/>
        <w:rPr>
          <w:rFonts w:ascii="Arial" w:cs="Arial" w:eastAsia="Arial" w:hAnsi="Arial"/>
          <w:sz w:val="13"/>
          <w:szCs w:val="13"/>
          <w:b w:val="1"/>
          <w:bCs w:val="1"/>
          <w:color w:val="auto"/>
        </w:rPr>
      </w:pPr>
    </w:p>
    <w:p>
      <w:pPr>
        <w:ind w:left="340" w:hanging="178"/>
        <w:spacing w:after="0"/>
        <w:tabs>
          <w:tab w:leader="none" w:pos="340" w:val="left"/>
        </w:tabs>
        <w:numPr>
          <w:ilvl w:val="0"/>
          <w:numId w:val="7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Other Perquisites. </w:t>
      </w:r>
      <w:r>
        <w:rPr>
          <w:rFonts w:ascii="Arial" w:cs="Arial" w:eastAsia="Arial" w:hAnsi="Arial"/>
          <w:sz w:val="11"/>
          <w:szCs w:val="11"/>
          <w:color w:val="auto"/>
        </w:rPr>
        <w:t>Executive shall be entitled to all perquisites provided to Senior Vice Presidents of the Company as approved by the Compensation Committee of the Board, and as they may exist from time to</w:t>
      </w:r>
    </w:p>
    <w:p>
      <w:pPr>
        <w:spacing w:after="0" w:line="42"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time.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5. Termination of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Executive’s employment hereunder may be terminated during the Employment Period under the following circumstances:</w:t>
      </w:r>
    </w:p>
    <w:p>
      <w:pPr>
        <w:spacing w:after="0" w:line="82" w:lineRule="exact"/>
        <w:rPr>
          <w:sz w:val="20"/>
          <w:szCs w:val="20"/>
          <w:color w:val="auto"/>
        </w:rPr>
      </w:pPr>
    </w:p>
    <w:p>
      <w:pPr>
        <w:ind w:left="340" w:hanging="178"/>
        <w:spacing w:after="0"/>
        <w:tabs>
          <w:tab w:leader="none" w:pos="34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Death. </w:t>
      </w:r>
      <w:r>
        <w:rPr>
          <w:rFonts w:ascii="Arial" w:cs="Arial" w:eastAsia="Arial" w:hAnsi="Arial"/>
          <w:sz w:val="13"/>
          <w:szCs w:val="13"/>
          <w:color w:val="auto"/>
        </w:rPr>
        <w:t>Executive’s employment hereunder shall terminate upon Executive’s death.</w:t>
      </w:r>
    </w:p>
    <w:p>
      <w:pPr>
        <w:spacing w:after="0" w:line="86" w:lineRule="exact"/>
        <w:rPr>
          <w:rFonts w:ascii="Arial" w:cs="Arial" w:eastAsia="Arial" w:hAnsi="Arial"/>
          <w:sz w:val="13"/>
          <w:szCs w:val="13"/>
          <w:b w:val="1"/>
          <w:bCs w:val="1"/>
          <w:color w:val="auto"/>
        </w:rPr>
      </w:pPr>
    </w:p>
    <w:p>
      <w:pPr>
        <w:ind w:left="360" w:hanging="198"/>
        <w:spacing w:after="0"/>
        <w:tabs>
          <w:tab w:leader="none" w:pos="36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Total Disability. </w:t>
      </w:r>
      <w:r>
        <w:rPr>
          <w:rFonts w:ascii="Arial" w:cs="Arial" w:eastAsia="Arial" w:hAnsi="Arial"/>
          <w:sz w:val="13"/>
          <w:szCs w:val="13"/>
          <w:color w:val="auto"/>
        </w:rPr>
        <w:t>The Company may terminate Executive’s employment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91" w:name="page92"/>
    <w:bookmarkEnd w:id="91"/>
    <w:p>
      <w:pPr>
        <w:ind w:right="260"/>
        <w:spacing w:after="0" w:line="305" w:lineRule="auto"/>
        <w:rPr>
          <w:sz w:val="20"/>
          <w:szCs w:val="20"/>
          <w:color w:val="auto"/>
        </w:rPr>
      </w:pPr>
      <w:r>
        <w:rPr>
          <w:rFonts w:ascii="Arial" w:cs="Arial" w:eastAsia="Arial" w:hAnsi="Arial"/>
          <w:sz w:val="11"/>
          <w:szCs w:val="11"/>
          <w:color w:val="auto"/>
        </w:rPr>
        <w:t>hereunder upon Executive’s becoming “Totally Disabled.” For purposes of this Agreement, Executive shall be considered “Totally Disabled” if Executive has become physically or mentally disabled so as to render Executive incapable of performing the essential functions of his position (with or without reasonable accommodations) and such disability is expected to result in death or to last for a continuous period of at least</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12 months, provided that such condition constitutes a “disability” within the meaning of Section 409A of the Internal Revenue Code. Executive’s receipt of disability benefits under the Company’s long-term disability plan or receipt of Social Security disability benefits shall be deemed conclusive evidence of Total Disability for purpose of this Agreement.</w:t>
      </w:r>
    </w:p>
    <w:p>
      <w:pPr>
        <w:spacing w:after="0" w:line="53" w:lineRule="exact"/>
        <w:rPr>
          <w:sz w:val="20"/>
          <w:szCs w:val="20"/>
          <w:color w:val="auto"/>
        </w:rPr>
      </w:pPr>
    </w:p>
    <w:p>
      <w:pPr>
        <w:ind w:left="340" w:hanging="178"/>
        <w:spacing w:after="0"/>
        <w:tabs>
          <w:tab w:leader="none" w:pos="340"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the Company for Cause. </w:t>
      </w:r>
      <w:r>
        <w:rPr>
          <w:rFonts w:ascii="Arial" w:cs="Arial" w:eastAsia="Arial" w:hAnsi="Arial"/>
          <w:sz w:val="12"/>
          <w:szCs w:val="12"/>
          <w:color w:val="auto"/>
        </w:rPr>
        <w:t>The Company may terminate Executive’s employment hereunder for “Cause” at any time after providing a Notice of Termination for Cause to Executive.</w:t>
      </w:r>
    </w:p>
    <w:p>
      <w:pPr>
        <w:spacing w:after="0" w:line="101" w:lineRule="exact"/>
        <w:rPr>
          <w:rFonts w:ascii="Arial" w:cs="Arial" w:eastAsia="Arial" w:hAnsi="Arial"/>
          <w:sz w:val="12"/>
          <w:szCs w:val="12"/>
          <w:b w:val="1"/>
          <w:bCs w:val="1"/>
          <w:color w:val="auto"/>
        </w:rPr>
      </w:pPr>
    </w:p>
    <w:p>
      <w:pPr>
        <w:ind w:left="680" w:hanging="337"/>
        <w:spacing w:after="0" w:line="282" w:lineRule="auto"/>
        <w:tabs>
          <w:tab w:leader="none" w:pos="680" w:val="left"/>
        </w:tabs>
        <w:numPr>
          <w:ilvl w:val="1"/>
          <w:numId w:val="72"/>
        </w:numPr>
        <w:rPr>
          <w:rFonts w:ascii="Arial" w:cs="Arial" w:eastAsia="Arial" w:hAnsi="Arial"/>
          <w:sz w:val="12"/>
          <w:szCs w:val="12"/>
          <w:color w:val="auto"/>
        </w:rPr>
      </w:pPr>
      <w:r>
        <w:rPr>
          <w:rFonts w:ascii="Arial" w:cs="Arial" w:eastAsia="Arial" w:hAnsi="Arial"/>
          <w:sz w:val="12"/>
          <w:szCs w:val="12"/>
          <w:color w:val="auto"/>
        </w:rPr>
        <w:t xml:space="preserve">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2"/>
          <w:szCs w:val="12"/>
          <w:i w:val="1"/>
          <w:iCs w:val="1"/>
          <w:color w:val="auto"/>
        </w:rPr>
        <w:t>nolo contendre</w:t>
      </w:r>
      <w:r>
        <w:rPr>
          <w:rFonts w:ascii="Arial" w:cs="Arial" w:eastAsia="Arial" w:hAnsi="Arial"/>
          <w:sz w:val="12"/>
          <w:szCs w:val="12"/>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49" w:lineRule="exact"/>
        <w:rPr>
          <w:rFonts w:ascii="Arial" w:cs="Arial" w:eastAsia="Arial" w:hAnsi="Arial"/>
          <w:sz w:val="12"/>
          <w:szCs w:val="12"/>
          <w:color w:val="auto"/>
        </w:rPr>
      </w:pPr>
    </w:p>
    <w:p>
      <w:pPr>
        <w:ind w:left="680" w:right="140" w:hanging="337"/>
        <w:spacing w:after="0" w:line="276" w:lineRule="auto"/>
        <w:tabs>
          <w:tab w:leader="none" w:pos="680" w:val="left"/>
        </w:tabs>
        <w:numPr>
          <w:ilvl w:val="1"/>
          <w:numId w:val="72"/>
        </w:numPr>
        <w:rPr>
          <w:rFonts w:ascii="Arial" w:cs="Arial" w:eastAsia="Arial" w:hAnsi="Arial"/>
          <w:sz w:val="13"/>
          <w:szCs w:val="13"/>
          <w:color w:val="auto"/>
        </w:rPr>
      </w:pPr>
      <w:r>
        <w:rPr>
          <w:rFonts w:ascii="Arial" w:cs="Arial" w:eastAsia="Arial" w:hAnsi="Arial"/>
          <w:sz w:val="13"/>
          <w:szCs w:val="13"/>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45" w:lineRule="exact"/>
        <w:rPr>
          <w:rFonts w:ascii="Arial" w:cs="Arial" w:eastAsia="Arial" w:hAnsi="Arial"/>
          <w:sz w:val="13"/>
          <w:szCs w:val="13"/>
          <w:color w:val="auto"/>
        </w:rPr>
      </w:pPr>
    </w:p>
    <w:p>
      <w:pPr>
        <w:ind w:left="360" w:hanging="198"/>
        <w:spacing w:after="0"/>
        <w:tabs>
          <w:tab w:leader="none" w:pos="36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Executive may terminate his employment hereunder with or without Good Reason at any time upon written notice to the Company.</w:t>
      </w:r>
    </w:p>
    <w:p>
      <w:pPr>
        <w:spacing w:after="0" w:line="90" w:lineRule="exact"/>
        <w:rPr>
          <w:rFonts w:ascii="Arial" w:cs="Arial" w:eastAsia="Arial" w:hAnsi="Arial"/>
          <w:sz w:val="13"/>
          <w:szCs w:val="13"/>
          <w:b w:val="1"/>
          <w:bCs w:val="1"/>
          <w:color w:val="auto"/>
        </w:rPr>
      </w:pPr>
    </w:p>
    <w:p>
      <w:pPr>
        <w:ind w:left="680" w:right="180" w:hanging="337"/>
        <w:spacing w:after="0" w:line="264" w:lineRule="auto"/>
        <w:tabs>
          <w:tab w:leader="none" w:pos="68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2" w:name="page93"/>
    <w:bookmarkEnd w:id="92"/>
    <w:p>
      <w:pPr>
        <w:ind w:left="680"/>
        <w:spacing w:after="0" w:line="256" w:lineRule="auto"/>
        <w:rPr>
          <w:sz w:val="20"/>
          <w:szCs w:val="20"/>
          <w:color w:val="auto"/>
        </w:rPr>
      </w:pPr>
      <w:r>
        <w:rPr>
          <w:rFonts w:ascii="Arial" w:cs="Arial" w:eastAsia="Arial" w:hAnsi="Arial"/>
          <w:sz w:val="13"/>
          <w:szCs w:val="13"/>
          <w:color w:val="auto"/>
        </w:rPr>
        <w:t>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the Executive from the officer position with the Company specified herein, or removal of the Executive from any of his then officer positions; (D) any material breach by the Company of any provision of this Agreement;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63" w:lineRule="exact"/>
        <w:rPr>
          <w:sz w:val="20"/>
          <w:szCs w:val="20"/>
          <w:color w:val="auto"/>
        </w:rPr>
      </w:pPr>
    </w:p>
    <w:p>
      <w:pPr>
        <w:ind w:left="680" w:right="60" w:hanging="337"/>
        <w:spacing w:after="0" w:line="260" w:lineRule="auto"/>
        <w:tabs>
          <w:tab w:leader="none" w:pos="68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5" w:lineRule="exact"/>
        <w:rPr>
          <w:rFonts w:ascii="Arial" w:cs="Arial" w:eastAsia="Arial" w:hAnsi="Arial"/>
          <w:sz w:val="13"/>
          <w:szCs w:val="13"/>
          <w:color w:val="auto"/>
        </w:rPr>
      </w:pPr>
    </w:p>
    <w:p>
      <w:pPr>
        <w:ind w:left="340" w:hanging="178"/>
        <w:spacing w:after="0"/>
        <w:tabs>
          <w:tab w:leader="none" w:pos="34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w:t>
      </w:r>
      <w:r>
        <w:rPr>
          <w:rFonts w:ascii="Arial" w:cs="Arial" w:eastAsia="Arial" w:hAnsi="Arial"/>
          <w:sz w:val="13"/>
          <w:szCs w:val="13"/>
          <w:color w:val="auto"/>
        </w:rPr>
        <w:t>The Company may terminate Executive’s employment hereunder without Cause at any time upon written notice to Executive.</w:t>
      </w:r>
    </w:p>
    <w:p>
      <w:pPr>
        <w:spacing w:after="0" w:line="86" w:lineRule="exact"/>
        <w:rPr>
          <w:rFonts w:ascii="Arial" w:cs="Arial" w:eastAsia="Arial" w:hAnsi="Arial"/>
          <w:sz w:val="13"/>
          <w:szCs w:val="13"/>
          <w:b w:val="1"/>
          <w:bCs w:val="1"/>
          <w:color w:val="auto"/>
        </w:rPr>
      </w:pPr>
    </w:p>
    <w:p>
      <w:pPr>
        <w:ind w:right="60" w:firstLine="162"/>
        <w:spacing w:after="0" w:line="283" w:lineRule="auto"/>
        <w:tabs>
          <w:tab w:leader="none" w:pos="327"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 of Termination. </w:t>
      </w:r>
      <w:r>
        <w:rPr>
          <w:rFonts w:ascii="Arial" w:cs="Arial" w:eastAsia="Arial" w:hAnsi="Arial"/>
          <w:sz w:val="13"/>
          <w:szCs w:val="13"/>
          <w:color w:val="auto"/>
        </w:rPr>
        <w:t>Upon any termination of employment for any reason, Executive shall immediately resign from all Board memberships and other positions with the Company or any of its subsidiaries held</w:t>
      </w:r>
      <w:r>
        <w:rPr>
          <w:rFonts w:ascii="Arial" w:cs="Arial" w:eastAsia="Arial" w:hAnsi="Arial"/>
          <w:sz w:val="13"/>
          <w:szCs w:val="13"/>
          <w:b w:val="1"/>
          <w:bCs w:val="1"/>
          <w:color w:val="auto"/>
        </w:rPr>
        <w:t xml:space="preserve"> </w:t>
      </w:r>
      <w:r>
        <w:rPr>
          <w:rFonts w:ascii="Arial" w:cs="Arial" w:eastAsia="Arial" w:hAnsi="Arial"/>
          <w:sz w:val="13"/>
          <w:szCs w:val="13"/>
          <w:color w:val="auto"/>
        </w:rPr>
        <w:t>by him at such time.</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6. Compensation Following Termination of Employment.</w:t>
      </w:r>
    </w:p>
    <w:p>
      <w:pPr>
        <w:spacing w:after="0" w:line="90"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45" w:lineRule="exact"/>
        <w:rPr>
          <w:sz w:val="20"/>
          <w:szCs w:val="20"/>
          <w:color w:val="auto"/>
        </w:rPr>
      </w:pPr>
    </w:p>
    <w:p>
      <w:pPr>
        <w:ind w:left="340" w:hanging="178"/>
        <w:spacing w:after="0"/>
        <w:tabs>
          <w:tab w:leader="none" w:pos="340"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Reason of Death. </w:t>
      </w:r>
      <w:r>
        <w:rPr>
          <w:rFonts w:ascii="Arial" w:cs="Arial" w:eastAsia="Arial" w:hAnsi="Arial"/>
          <w:sz w:val="12"/>
          <w:szCs w:val="12"/>
          <w:color w:val="auto"/>
        </w:rPr>
        <w:t>In the event that Executive’s employment is terminated by reason of Executive’s death, the Company shall pay the following amounts to Executive’s beneficiary or estate:</w:t>
      </w:r>
    </w:p>
    <w:p>
      <w:pPr>
        <w:spacing w:after="0" w:line="101" w:lineRule="exact"/>
        <w:rPr>
          <w:rFonts w:ascii="Arial" w:cs="Arial" w:eastAsia="Arial" w:hAnsi="Arial"/>
          <w:sz w:val="12"/>
          <w:szCs w:val="12"/>
          <w:b w:val="1"/>
          <w:bCs w:val="1"/>
          <w:color w:val="auto"/>
        </w:rPr>
      </w:pPr>
    </w:p>
    <w:p>
      <w:pPr>
        <w:ind w:left="680" w:hanging="337"/>
        <w:spacing w:after="0"/>
        <w:tabs>
          <w:tab w:leader="none" w:pos="6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death, any accrued but unpaid expenses required to be reimbursed under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93" w:name="page94"/>
    <w:bookmarkEnd w:id="93"/>
    <w:p>
      <w:pPr>
        <w:ind w:left="620" w:right="220"/>
        <w:spacing w:after="0" w:line="264" w:lineRule="auto"/>
        <w:rPr>
          <w:sz w:val="20"/>
          <w:szCs w:val="20"/>
          <w:color w:val="auto"/>
        </w:rPr>
      </w:pPr>
      <w:r>
        <w:rPr>
          <w:rFonts w:ascii="Arial" w:cs="Arial" w:eastAsia="Arial" w:hAnsi="Arial"/>
          <w:sz w:val="13"/>
          <w:szCs w:val="13"/>
          <w:color w:val="auto"/>
        </w:rPr>
        <w:t>any accrued but unused vacation to the date of employment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57" w:lineRule="exact"/>
        <w:rPr>
          <w:sz w:val="20"/>
          <w:szCs w:val="20"/>
          <w:color w:val="auto"/>
        </w:rPr>
      </w:pPr>
    </w:p>
    <w:p>
      <w:pPr>
        <w:ind w:left="620" w:right="40" w:hanging="337"/>
        <w:spacing w:after="0" w:line="276" w:lineRule="auto"/>
        <w:tabs>
          <w:tab w:leader="none" w:pos="62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45" w:lineRule="exact"/>
        <w:rPr>
          <w:rFonts w:ascii="Arial" w:cs="Arial" w:eastAsia="Arial" w:hAnsi="Arial"/>
          <w:sz w:val="13"/>
          <w:szCs w:val="13"/>
          <w:color w:val="auto"/>
        </w:rPr>
      </w:pPr>
    </w:p>
    <w:p>
      <w:pPr>
        <w:ind w:left="-60" w:right="100" w:firstLine="162"/>
        <w:spacing w:after="0" w:line="283" w:lineRule="auto"/>
        <w:tabs>
          <w:tab w:leader="none" w:pos="294"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Reason of Total Disability. </w:t>
      </w:r>
      <w:r>
        <w:rPr>
          <w:rFonts w:ascii="Arial" w:cs="Arial" w:eastAsia="Arial" w:hAnsi="Arial"/>
          <w:sz w:val="13"/>
          <w:szCs w:val="13"/>
          <w:color w:val="auto"/>
        </w:rPr>
        <w:t>In the event that Executive’s employment is terminated by the Company by reason of Executive’s Total Disability (as determined in accordance with Section 5(b)),</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pay the following amounts to Executive:</w:t>
      </w:r>
    </w:p>
    <w:p>
      <w:pPr>
        <w:spacing w:after="0" w:line="44" w:lineRule="exact"/>
        <w:rPr>
          <w:rFonts w:ascii="Arial" w:cs="Arial" w:eastAsia="Arial" w:hAnsi="Arial"/>
          <w:sz w:val="13"/>
          <w:szCs w:val="13"/>
          <w:b w:val="1"/>
          <w:bCs w:val="1"/>
          <w:color w:val="auto"/>
        </w:rPr>
      </w:pPr>
    </w:p>
    <w:p>
      <w:pPr>
        <w:jc w:val="both"/>
        <w:ind w:left="620" w:right="80" w:hanging="337"/>
        <w:spacing w:after="0" w:line="296" w:lineRule="auto"/>
        <w:tabs>
          <w:tab w:leader="none" w:pos="62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40" w:lineRule="exact"/>
        <w:rPr>
          <w:sz w:val="20"/>
          <w:szCs w:val="20"/>
          <w:color w:val="auto"/>
        </w:rPr>
      </w:pPr>
    </w:p>
    <w:p>
      <w:pPr>
        <w:ind w:left="620" w:right="400" w:hanging="337"/>
        <w:spacing w:after="0" w:line="276" w:lineRule="auto"/>
        <w:tabs>
          <w:tab w:leader="none" w:pos="62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280" w:hanging="178"/>
        <w:spacing w:after="0"/>
        <w:tabs>
          <w:tab w:leader="none" w:pos="28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for Cause. </w:t>
      </w:r>
      <w:r>
        <w:rPr>
          <w:rFonts w:ascii="Arial" w:cs="Arial" w:eastAsia="Arial" w:hAnsi="Arial"/>
          <w:sz w:val="13"/>
          <w:szCs w:val="13"/>
          <w:color w:val="auto"/>
        </w:rPr>
        <w:t>In the event that Executive’s employment is terminated by the Company for Cause, the Company shall pay the following amounts to Executive:</w:t>
      </w:r>
    </w:p>
    <w:p>
      <w:pPr>
        <w:spacing w:after="0" w:line="90" w:lineRule="exact"/>
        <w:rPr>
          <w:rFonts w:ascii="Arial" w:cs="Arial" w:eastAsia="Arial" w:hAnsi="Arial"/>
          <w:sz w:val="13"/>
          <w:szCs w:val="13"/>
          <w:b w:val="1"/>
          <w:bCs w:val="1"/>
          <w:color w:val="auto"/>
        </w:rPr>
      </w:pPr>
    </w:p>
    <w:p>
      <w:pPr>
        <w:ind w:left="620" w:right="80" w:hanging="337"/>
        <w:spacing w:after="0" w:line="276" w:lineRule="auto"/>
        <w:tabs>
          <w:tab w:leader="none" w:pos="6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9" w:lineRule="exact"/>
        <w:rPr>
          <w:sz w:val="20"/>
          <w:szCs w:val="20"/>
          <w:color w:val="auto"/>
        </w:rPr>
      </w:pPr>
    </w:p>
    <w:p>
      <w:pPr>
        <w:ind w:left="620" w:hanging="337"/>
        <w:spacing w:after="0" w:line="276" w:lineRule="auto"/>
        <w:tabs>
          <w:tab w:leader="none" w:pos="6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300" w:hanging="198"/>
        <w:spacing w:after="0"/>
        <w:tabs>
          <w:tab w:leader="none" w:pos="30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In the event that Executive voluntarily terminates employment other than for Good Reason, the Company shall pay the following amounts to Executive: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99" w:right="279" w:bottom="1440" w:gutter="0" w:footer="0" w:header="0"/>
        </w:sectPr>
      </w:pPr>
    </w:p>
    <w:bookmarkStart w:id="94" w:name="page95"/>
    <w:bookmarkEnd w:id="94"/>
    <w:p>
      <w:pPr>
        <w:ind w:left="640" w:right="100" w:hanging="337"/>
        <w:spacing w:after="0" w:line="276" w:lineRule="auto"/>
        <w:tabs>
          <w:tab w:leader="none" w:pos="64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9" w:lineRule="exact"/>
        <w:rPr>
          <w:rFonts w:ascii="Arial" w:cs="Arial" w:eastAsia="Arial" w:hAnsi="Arial"/>
          <w:sz w:val="13"/>
          <w:szCs w:val="13"/>
          <w:color w:val="auto"/>
        </w:rPr>
      </w:pPr>
    </w:p>
    <w:p>
      <w:pPr>
        <w:ind w:left="640" w:right="20" w:hanging="337"/>
        <w:spacing w:after="0" w:line="276" w:lineRule="auto"/>
        <w:tabs>
          <w:tab w:leader="none" w:pos="64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40" w:right="60" w:firstLine="162"/>
        <w:spacing w:after="0" w:line="267" w:lineRule="auto"/>
        <w:tabs>
          <w:tab w:leader="none" w:pos="30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3"/>
          <w:szCs w:val="13"/>
          <w:color w:val="auto"/>
        </w:rPr>
        <w:t>In the event that Executive’s</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is terminated by the Company outside a Change in Control Period (as defined in Section 7 below) for reasons other than death, Total Disability or Cause, or Executive terminates his employment for Good Reason outside of a Change in Control Period, the Company shall pay the following amounts to Executive:</w:t>
      </w:r>
    </w:p>
    <w:p>
      <w:pPr>
        <w:spacing w:after="0" w:line="55" w:lineRule="exact"/>
        <w:rPr>
          <w:rFonts w:ascii="Arial" w:cs="Arial" w:eastAsia="Arial" w:hAnsi="Arial"/>
          <w:sz w:val="13"/>
          <w:szCs w:val="13"/>
          <w:b w:val="1"/>
          <w:bCs w:val="1"/>
          <w:color w:val="auto"/>
        </w:rPr>
      </w:pPr>
    </w:p>
    <w:p>
      <w:pPr>
        <w:ind w:left="640" w:right="100" w:hanging="337"/>
        <w:spacing w:after="0" w:line="276" w:lineRule="auto"/>
        <w:tabs>
          <w:tab w:leader="none" w:pos="6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9" w:lineRule="exact"/>
        <w:rPr>
          <w:rFonts w:ascii="Arial" w:cs="Arial" w:eastAsia="Arial" w:hAnsi="Arial"/>
          <w:sz w:val="13"/>
          <w:szCs w:val="13"/>
          <w:color w:val="auto"/>
        </w:rPr>
      </w:pPr>
    </w:p>
    <w:p>
      <w:pPr>
        <w:ind w:left="640" w:right="100" w:hanging="337"/>
        <w:spacing w:after="0" w:line="276" w:lineRule="auto"/>
        <w:tabs>
          <w:tab w:leader="none" w:pos="6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49" w:lineRule="exact"/>
        <w:rPr>
          <w:rFonts w:ascii="Arial" w:cs="Arial" w:eastAsia="Arial" w:hAnsi="Arial"/>
          <w:sz w:val="13"/>
          <w:szCs w:val="13"/>
          <w:color w:val="auto"/>
        </w:rPr>
      </w:pPr>
    </w:p>
    <w:p>
      <w:pPr>
        <w:ind w:left="640" w:right="180" w:hanging="337"/>
        <w:spacing w:after="0" w:line="276" w:lineRule="auto"/>
        <w:tabs>
          <w:tab w:leader="none" w:pos="6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Executive’s employment is terminated.</w:t>
      </w:r>
    </w:p>
    <w:p>
      <w:pPr>
        <w:spacing w:after="0" w:line="49" w:lineRule="exact"/>
        <w:rPr>
          <w:rFonts w:ascii="Arial" w:cs="Arial" w:eastAsia="Arial" w:hAnsi="Arial"/>
          <w:sz w:val="13"/>
          <w:szCs w:val="13"/>
          <w:color w:val="auto"/>
        </w:rPr>
      </w:pPr>
    </w:p>
    <w:p>
      <w:pPr>
        <w:ind w:left="640" w:hanging="337"/>
        <w:spacing w:after="0" w:line="260" w:lineRule="auto"/>
        <w:tabs>
          <w:tab w:leader="none" w:pos="6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 amount equal to two (2) times the sum of Executive’s Base Salary plus his Target Annual Bonus (in each case, as then in effect), of which one-half of such amount shall be paid in a lump sum within the calendar quarter 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95" w:name="page96"/>
    <w:bookmarkEnd w:id="95"/>
    <w:p>
      <w:pPr>
        <w:ind w:left="660" w:right="80" w:hanging="337"/>
        <w:spacing w:after="0" w:line="282" w:lineRule="auto"/>
        <w:tabs>
          <w:tab w:leader="none" w:pos="6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Subject to Executive’s execution of the Release (as defined in Section 7) and Executive’s completion of required enrollment elections, the Company will continue for Executive and Executive’s spouse and eligible dependents coverage under the Company’s health benefit plan and disability benefit plans, in which Executive was a participant at any time during the twelve-month period prior to the date of termination, until the earliest to occur of (A) twenty-four (24) months after the employment termination date; (B)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w:t>
      </w:r>
    </w:p>
    <w:p>
      <w:pPr>
        <w:spacing w:after="0" w:line="45" w:lineRule="exact"/>
        <w:rPr>
          <w:rFonts w:ascii="Arial" w:cs="Arial" w:eastAsia="Arial" w:hAnsi="Arial"/>
          <w:sz w:val="12"/>
          <w:szCs w:val="12"/>
          <w:color w:val="auto"/>
        </w:rPr>
      </w:pPr>
    </w:p>
    <w:p>
      <w:pPr>
        <w:ind w:left="-20" w:right="340" w:firstLine="162"/>
        <w:spacing w:after="0" w:line="327" w:lineRule="auto"/>
        <w:tabs>
          <w:tab w:leader="none" w:pos="307"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Suspension and Refund of Termination Benefits for Subsequently Discovered Cause. </w:t>
      </w:r>
      <w:r>
        <w:rPr>
          <w:rFonts w:ascii="Arial" w:cs="Arial" w:eastAsia="Arial" w:hAnsi="Arial"/>
          <w:sz w:val="12"/>
          <w:szCs w:val="12"/>
          <w:color w:val="auto"/>
        </w:rPr>
        <w:t>Notwithstanding any provision of this Agreement to the contrary, if within one (1) year of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date for any reason other than for Cause, it is determined by the Company that Executive could have been terminated for Cause, then to the extent permitted by law:</w:t>
      </w:r>
    </w:p>
    <w:p>
      <w:pPr>
        <w:spacing w:after="0" w:line="21" w:lineRule="exact"/>
        <w:rPr>
          <w:rFonts w:ascii="Arial" w:cs="Arial" w:eastAsia="Arial" w:hAnsi="Arial"/>
          <w:sz w:val="12"/>
          <w:szCs w:val="12"/>
          <w:b w:val="1"/>
          <w:bCs w:val="1"/>
          <w:color w:val="auto"/>
        </w:rPr>
      </w:pPr>
    </w:p>
    <w:p>
      <w:pPr>
        <w:ind w:left="660" w:hanging="337"/>
        <w:spacing w:after="0"/>
        <w:tabs>
          <w:tab w:leader="none" w:pos="660" w:val="left"/>
        </w:tabs>
        <w:numPr>
          <w:ilvl w:val="1"/>
          <w:numId w:val="85"/>
        </w:numPr>
        <w:rPr>
          <w:rFonts w:ascii="Arial" w:cs="Arial" w:eastAsia="Arial" w:hAnsi="Arial"/>
          <w:sz w:val="13"/>
          <w:szCs w:val="13"/>
          <w:color w:val="auto"/>
        </w:rPr>
      </w:pPr>
      <w:r>
        <w:rPr>
          <w:rFonts w:ascii="Arial" w:cs="Arial" w:eastAsia="Arial" w:hAnsi="Arial"/>
          <w:sz w:val="13"/>
          <w:szCs w:val="13"/>
          <w:color w:val="auto"/>
        </w:rPr>
        <w:t>the Company may elect to cancel any and all payments of any benefits otherwise due Executive, but not yet paid, under this Agreement or otherwise; and</w:t>
      </w:r>
    </w:p>
    <w:p>
      <w:pPr>
        <w:spacing w:after="0" w:line="86" w:lineRule="exact"/>
        <w:rPr>
          <w:sz w:val="20"/>
          <w:szCs w:val="20"/>
          <w:color w:val="auto"/>
        </w:rPr>
      </w:pPr>
    </w:p>
    <w:p>
      <w:pPr>
        <w:ind w:left="660" w:hanging="337"/>
        <w:spacing w:after="0" w:line="264" w:lineRule="auto"/>
        <w:tabs>
          <w:tab w:leader="none" w:pos="660" w:val="left"/>
        </w:tabs>
        <w:numPr>
          <w:ilvl w:val="1"/>
          <w:numId w:val="86"/>
        </w:numPr>
        <w:rPr>
          <w:rFonts w:ascii="Arial" w:cs="Arial" w:eastAsia="Arial" w:hAnsi="Arial"/>
          <w:sz w:val="13"/>
          <w:szCs w:val="13"/>
          <w:color w:val="auto"/>
        </w:rPr>
      </w:pPr>
      <w:r>
        <w:rPr>
          <w:rFonts w:ascii="Arial" w:cs="Arial" w:eastAsia="Arial" w:hAnsi="Arial"/>
          <w:sz w:val="13"/>
          <w:szCs w:val="13"/>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53" w:lineRule="exact"/>
        <w:rPr>
          <w:rFonts w:ascii="Arial" w:cs="Arial" w:eastAsia="Arial" w:hAnsi="Arial"/>
          <w:sz w:val="13"/>
          <w:szCs w:val="13"/>
          <w:color w:val="auto"/>
        </w:rPr>
      </w:pPr>
    </w:p>
    <w:p>
      <w:pPr>
        <w:ind w:left="280" w:hanging="138"/>
        <w:spacing w:after="0"/>
        <w:tabs>
          <w:tab w:leader="none" w:pos="28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Resignation by Executive for Good Reason or Termination by Company Without Cause During a Change in Control Period.</w:t>
      </w:r>
    </w:p>
    <w:p>
      <w:pPr>
        <w:spacing w:after="0" w:line="86" w:lineRule="exact"/>
        <w:rPr>
          <w:sz w:val="20"/>
          <w:szCs w:val="20"/>
          <w:color w:val="auto"/>
        </w:rPr>
      </w:pPr>
    </w:p>
    <w:p>
      <w:pPr>
        <w:ind w:left="-20" w:right="60" w:firstLine="162"/>
        <w:spacing w:after="0" w:line="267" w:lineRule="auto"/>
        <w:tabs>
          <w:tab w:leader="none" w:pos="329"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Certain Terminations During a Change in Control Period. </w:t>
      </w:r>
      <w:r>
        <w:rPr>
          <w:rFonts w:ascii="Arial" w:cs="Arial" w:eastAsia="Arial" w:hAnsi="Arial"/>
          <w:sz w:val="13"/>
          <w:szCs w:val="13"/>
          <w:color w:val="auto"/>
        </w:rPr>
        <w:t>Subject to reduction required by Section 22, in the event a Change in Control occurs and (x) Executive terminates his employment for Good Reason</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55" w:lineRule="exact"/>
        <w:rPr>
          <w:rFonts w:ascii="Arial" w:cs="Arial" w:eastAsia="Arial" w:hAnsi="Arial"/>
          <w:sz w:val="13"/>
          <w:szCs w:val="13"/>
          <w:b w:val="1"/>
          <w:bCs w:val="1"/>
          <w:color w:val="auto"/>
        </w:rPr>
      </w:pPr>
    </w:p>
    <w:p>
      <w:pPr>
        <w:ind w:left="660" w:hanging="337"/>
        <w:spacing w:after="0"/>
        <w:tabs>
          <w:tab w:leader="none" w:pos="660" w:val="left"/>
        </w:tabs>
        <w:numPr>
          <w:ilvl w:val="1"/>
          <w:numId w:val="88"/>
        </w:numPr>
        <w:rPr>
          <w:rFonts w:ascii="Arial" w:cs="Arial" w:eastAsia="Arial" w:hAnsi="Arial"/>
          <w:sz w:val="13"/>
          <w:szCs w:val="13"/>
          <w:color w:val="auto"/>
        </w:rPr>
      </w:pPr>
      <w:r>
        <w:rPr>
          <w:rFonts w:ascii="Arial" w:cs="Arial" w:eastAsia="Arial" w:hAnsi="Arial"/>
          <w:sz w:val="13"/>
          <w:szCs w:val="13"/>
          <w:color w:val="auto"/>
        </w:rPr>
        <w:t>The payments and benefits provided for in Section 6(e)(iv) and (v) in the same form as provided for therein.</w:t>
      </w:r>
    </w:p>
    <w:p>
      <w:pPr>
        <w:spacing w:after="0" w:line="86" w:lineRule="exact"/>
        <w:rPr>
          <w:rFonts w:ascii="Arial" w:cs="Arial" w:eastAsia="Arial" w:hAnsi="Arial"/>
          <w:sz w:val="13"/>
          <w:szCs w:val="13"/>
          <w:color w:val="auto"/>
        </w:rPr>
      </w:pPr>
    </w:p>
    <w:p>
      <w:pPr>
        <w:ind w:left="660" w:hanging="337"/>
        <w:spacing w:after="0"/>
        <w:tabs>
          <w:tab w:leader="none" w:pos="660" w:val="left"/>
        </w:tabs>
        <w:numPr>
          <w:ilvl w:val="1"/>
          <w:numId w:val="88"/>
        </w:numPr>
        <w:rPr>
          <w:rFonts w:ascii="Arial" w:cs="Arial" w:eastAsia="Arial" w:hAnsi="Arial"/>
          <w:sz w:val="13"/>
          <w:szCs w:val="13"/>
          <w:color w:val="auto"/>
        </w:rPr>
      </w:pPr>
      <w:r>
        <w:rPr>
          <w:rFonts w:ascii="Arial" w:cs="Arial" w:eastAsia="Arial" w:hAnsi="Arial"/>
          <w:sz w:val="13"/>
          <w:szCs w:val="13"/>
          <w:color w:val="auto"/>
        </w:rPr>
        <w:t>Executive shall also receive a bonus or incentive compensation payment for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99" w:right="219" w:bottom="1440" w:gutter="0" w:footer="0" w:header="0"/>
        </w:sectPr>
      </w:pPr>
    </w:p>
    <w:bookmarkStart w:id="96" w:name="page97"/>
    <w:bookmarkEnd w:id="96"/>
    <w:p>
      <w:pPr>
        <w:ind w:left="520"/>
        <w:spacing w:after="0" w:line="276" w:lineRule="auto"/>
        <w:rPr>
          <w:sz w:val="20"/>
          <w:szCs w:val="20"/>
          <w:color w:val="auto"/>
        </w:rPr>
      </w:pPr>
      <w:r>
        <w:rPr>
          <w:rFonts w:ascii="Arial" w:cs="Arial" w:eastAsia="Arial" w:hAnsi="Arial"/>
          <w:sz w:val="13"/>
          <w:szCs w:val="13"/>
          <w:color w:val="auto"/>
        </w:rPr>
        <w:t>calendar year of the employment termination, payable at 100% of the maximum bonus available to Executive, pro-rated as of the employment termination date. Such bonus payment shall be payable within five (5) days after the later of the effective date of Executive’s termination or the Change in Control.</w:t>
      </w:r>
    </w:p>
    <w:p>
      <w:pPr>
        <w:spacing w:after="0" w:line="45" w:lineRule="exact"/>
        <w:rPr>
          <w:sz w:val="20"/>
          <w:szCs w:val="20"/>
          <w:color w:val="auto"/>
        </w:rPr>
      </w:pPr>
    </w:p>
    <w:p>
      <w:pPr>
        <w:ind w:left="200" w:hanging="198"/>
        <w:spacing w:after="0"/>
        <w:tabs>
          <w:tab w:leader="none" w:pos="20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Certain Definitions.</w:t>
      </w:r>
    </w:p>
    <w:p>
      <w:pPr>
        <w:spacing w:after="0" w:line="90" w:lineRule="exact"/>
        <w:rPr>
          <w:rFonts w:ascii="Arial" w:cs="Arial" w:eastAsia="Arial" w:hAnsi="Arial"/>
          <w:sz w:val="13"/>
          <w:szCs w:val="13"/>
          <w:b w:val="1"/>
          <w:bCs w:val="1"/>
          <w:color w:val="auto"/>
        </w:rPr>
      </w:pPr>
    </w:p>
    <w:p>
      <w:pPr>
        <w:ind w:left="520" w:hanging="337"/>
        <w:spacing w:after="0"/>
        <w:tabs>
          <w:tab w:leader="none" w:pos="5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For purposes of this Agreement, “Change in Control” means the first to occur on or after the date on which this Agreement is first signed, the occurrence of any of the following events:</w:t>
      </w:r>
    </w:p>
    <w:p>
      <w:pPr>
        <w:spacing w:after="0" w:line="86" w:lineRule="exact"/>
        <w:rPr>
          <w:rFonts w:ascii="Arial" w:cs="Arial" w:eastAsia="Arial" w:hAnsi="Arial"/>
          <w:sz w:val="13"/>
          <w:szCs w:val="13"/>
          <w:color w:val="auto"/>
        </w:rPr>
      </w:pPr>
    </w:p>
    <w:p>
      <w:pPr>
        <w:ind w:left="860" w:hanging="333"/>
        <w:spacing w:after="0" w:line="264" w:lineRule="auto"/>
        <w:tabs>
          <w:tab w:leader="none" w:pos="860" w:val="left"/>
        </w:tabs>
        <w:numPr>
          <w:ilvl w:val="2"/>
          <w:numId w:val="89"/>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57" w:lineRule="exact"/>
        <w:rPr>
          <w:rFonts w:ascii="Arial" w:cs="Arial" w:eastAsia="Arial" w:hAnsi="Arial"/>
          <w:sz w:val="13"/>
          <w:szCs w:val="13"/>
          <w:color w:val="auto"/>
        </w:rPr>
      </w:pPr>
    </w:p>
    <w:p>
      <w:pPr>
        <w:ind w:left="860" w:right="180" w:hanging="333"/>
        <w:spacing w:after="0" w:line="264" w:lineRule="auto"/>
        <w:tabs>
          <w:tab w:leader="none" w:pos="860" w:val="left"/>
        </w:tabs>
        <w:numPr>
          <w:ilvl w:val="2"/>
          <w:numId w:val="89"/>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57" w:lineRule="exact"/>
        <w:rPr>
          <w:rFonts w:ascii="Arial" w:cs="Arial" w:eastAsia="Arial" w:hAnsi="Arial"/>
          <w:sz w:val="13"/>
          <w:szCs w:val="13"/>
          <w:color w:val="auto"/>
        </w:rPr>
      </w:pPr>
    </w:p>
    <w:p>
      <w:pPr>
        <w:ind w:left="860" w:hanging="333"/>
        <w:spacing w:after="0" w:line="258" w:lineRule="auto"/>
        <w:tabs>
          <w:tab w:leader="none" w:pos="860" w:val="left"/>
        </w:tabs>
        <w:numPr>
          <w:ilvl w:val="2"/>
          <w:numId w:val="89"/>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61" w:lineRule="exact"/>
        <w:rPr>
          <w:rFonts w:ascii="Arial" w:cs="Arial" w:eastAsia="Arial" w:hAnsi="Arial"/>
          <w:sz w:val="13"/>
          <w:szCs w:val="13"/>
          <w:color w:val="auto"/>
        </w:rPr>
      </w:pPr>
    </w:p>
    <w:p>
      <w:pPr>
        <w:ind w:left="860" w:hanging="333"/>
        <w:spacing w:after="0" w:line="260" w:lineRule="auto"/>
        <w:tabs>
          <w:tab w:leader="none" w:pos="860" w:val="left"/>
        </w:tabs>
        <w:numPr>
          <w:ilvl w:val="2"/>
          <w:numId w:val="89"/>
        </w:numPr>
        <w:rPr>
          <w:rFonts w:ascii="Arial" w:cs="Arial" w:eastAsia="Arial" w:hAnsi="Arial"/>
          <w:sz w:val="13"/>
          <w:szCs w:val="13"/>
          <w:color w:val="auto"/>
        </w:rPr>
      </w:pPr>
      <w:r>
        <w:rPr>
          <w:rFonts w:ascii="Arial" w:cs="Arial" w:eastAsia="Arial" w:hAnsi="Arial"/>
          <w:sz w:val="13"/>
          <w:szCs w:val="13"/>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w:t>
      </w:r>
    </w:p>
    <w:p>
      <w:pPr>
        <w:spacing w:after="0" w:line="119"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80" w:top="799" w:right="259" w:bottom="1440" w:gutter="0" w:footer="0" w:header="0"/>
        </w:sectPr>
      </w:pPr>
    </w:p>
    <w:bookmarkStart w:id="97" w:name="page98"/>
    <w:bookmarkEnd w:id="97"/>
    <w:p>
      <w:pPr>
        <w:ind w:left="1020"/>
        <w:spacing w:after="0"/>
        <w:rPr>
          <w:sz w:val="20"/>
          <w:szCs w:val="20"/>
          <w:color w:val="auto"/>
        </w:rPr>
      </w:pPr>
      <w:r>
        <w:rPr>
          <w:rFonts w:ascii="Arial" w:cs="Arial" w:eastAsia="Arial" w:hAnsi="Arial"/>
          <w:sz w:val="13"/>
          <w:szCs w:val="13"/>
          <w:color w:val="auto"/>
        </w:rPr>
        <w:t>proportions as their ownership of the Company immediately prior to such sale.</w:t>
      </w:r>
    </w:p>
    <w:p>
      <w:pPr>
        <w:spacing w:after="0" w:line="86" w:lineRule="exact"/>
        <w:rPr>
          <w:sz w:val="20"/>
          <w:szCs w:val="20"/>
          <w:color w:val="auto"/>
        </w:rPr>
      </w:pPr>
    </w:p>
    <w:p>
      <w:pPr>
        <w:ind w:left="680" w:right="60" w:hanging="337"/>
        <w:spacing w:after="0" w:line="276"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49" w:lineRule="exact"/>
        <w:rPr>
          <w:rFonts w:ascii="Arial" w:cs="Arial" w:eastAsia="Arial" w:hAnsi="Arial"/>
          <w:sz w:val="13"/>
          <w:szCs w:val="13"/>
          <w:color w:val="auto"/>
        </w:rPr>
      </w:pPr>
    </w:p>
    <w:p>
      <w:pPr>
        <w:ind w:left="680" w:hanging="337"/>
        <w:spacing w:after="0"/>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For purposes of this Agreement, “Exchange Act” means the Securities and Exchange Act of 1934, as amended from time to time.</w:t>
      </w:r>
    </w:p>
    <w:p>
      <w:pPr>
        <w:spacing w:after="0" w:line="86" w:lineRule="exact"/>
        <w:rPr>
          <w:rFonts w:ascii="Arial" w:cs="Arial" w:eastAsia="Arial" w:hAnsi="Arial"/>
          <w:sz w:val="13"/>
          <w:szCs w:val="13"/>
          <w:color w:val="auto"/>
        </w:rPr>
      </w:pPr>
    </w:p>
    <w:p>
      <w:pPr>
        <w:ind w:left="680" w:right="60" w:hanging="337"/>
        <w:spacing w:after="0" w:line="260"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59" w:lineRule="exact"/>
        <w:rPr>
          <w:rFonts w:ascii="Arial" w:cs="Arial" w:eastAsia="Arial" w:hAnsi="Arial"/>
          <w:sz w:val="13"/>
          <w:szCs w:val="13"/>
          <w:color w:val="auto"/>
        </w:rPr>
      </w:pPr>
    </w:p>
    <w:p>
      <w:pPr>
        <w:ind w:left="680" w:right="220" w:hanging="337"/>
        <w:spacing w:after="0" w:line="260"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For purposes of this Agreement, “Release” means that specific document which the Company shall present to Executive for consideration and execution after any applicable termination of employment,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1985 (“COBRA”)).</w:t>
      </w:r>
    </w:p>
    <w:p>
      <w:pPr>
        <w:spacing w:after="0" w:line="55" w:lineRule="exact"/>
        <w:rPr>
          <w:rFonts w:ascii="Arial" w:cs="Arial" w:eastAsia="Arial" w:hAnsi="Arial"/>
          <w:sz w:val="13"/>
          <w:szCs w:val="13"/>
          <w:color w:val="auto"/>
        </w:rPr>
      </w:pPr>
    </w:p>
    <w:p>
      <w:pPr>
        <w:ind w:firstLine="162"/>
        <w:spacing w:after="0" w:line="267" w:lineRule="auto"/>
        <w:tabs>
          <w:tab w:leader="none" w:pos="295"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Other Benefits or Compensation. </w:t>
      </w:r>
      <w:r>
        <w:rPr>
          <w:rFonts w:ascii="Arial" w:cs="Arial" w:eastAsia="Arial" w:hAnsi="Arial"/>
          <w:sz w:val="13"/>
          <w:szCs w:val="13"/>
          <w:color w:val="auto"/>
        </w:rPr>
        <w:t>Except as may be provided under this Agreement, or under the terms of any incentive compensation, employee benefit, or fringe benefit plan applicable to Executive at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51" w:lineRule="exact"/>
        <w:rPr>
          <w:rFonts w:ascii="Arial" w:cs="Arial" w:eastAsia="Arial" w:hAnsi="Arial"/>
          <w:sz w:val="13"/>
          <w:szCs w:val="13"/>
          <w:b w:val="1"/>
          <w:bCs w:val="1"/>
          <w:color w:val="auto"/>
        </w:rPr>
      </w:pPr>
    </w:p>
    <w:p>
      <w:pPr>
        <w:ind w:right="160" w:firstLine="162"/>
        <w:spacing w:after="0" w:line="283" w:lineRule="auto"/>
        <w:tabs>
          <w:tab w:leader="none" w:pos="295"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Mitigation. </w:t>
      </w:r>
      <w:r>
        <w:rPr>
          <w:rFonts w:ascii="Arial" w:cs="Arial" w:eastAsia="Arial" w:hAnsi="Arial"/>
          <w:sz w:val="13"/>
          <w:szCs w:val="13"/>
          <w:color w:val="auto"/>
        </w:rPr>
        <w:t>In the event of any termination of employment hereunder, Executive shall be under no obligation to seek other employment, and there shall be no offset against any amounts due Executive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on account of any remuneration attributable to any subsequent employment that Executive may obtain.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98" w:name="page99"/>
    <w:bookmarkEnd w:id="98"/>
    <w:p>
      <w:pPr>
        <w:ind w:firstLine="162"/>
        <w:spacing w:after="0" w:line="280" w:lineRule="auto"/>
        <w:tabs>
          <w:tab w:leader="none" w:pos="36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Protective Covenants</w:t>
      </w:r>
      <w:r>
        <w:rPr>
          <w:rFonts w:ascii="Arial" w:cs="Arial" w:eastAsia="Arial" w:hAnsi="Arial"/>
          <w:sz w:val="12"/>
          <w:szCs w:val="12"/>
          <w:color w:val="auto"/>
        </w:rPr>
        <w:t>. In reliance upon Executive’s promise to abide by the various protective covenants and restrictions provided for below, the Company will continue to provide Executive with one or more of</w:t>
      </w:r>
      <w:r>
        <w:rPr>
          <w:rFonts w:ascii="Arial" w:cs="Arial" w:eastAsia="Arial" w:hAnsi="Arial"/>
          <w:sz w:val="12"/>
          <w:szCs w:val="12"/>
          <w:b w:val="1"/>
          <w:bCs w:val="1"/>
          <w:color w:val="auto"/>
        </w:rPr>
        <w:t xml:space="preserve"> </w:t>
      </w:r>
      <w:r>
        <w:rPr>
          <w:rFonts w:ascii="Arial" w:cs="Arial" w:eastAsia="Arial" w:hAnsi="Arial"/>
          <w:sz w:val="12"/>
          <w:szCs w:val="12"/>
          <w:color w:val="auto"/>
        </w:rPr>
        <w:t>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45" w:lineRule="exact"/>
        <w:rPr>
          <w:sz w:val="20"/>
          <w:szCs w:val="20"/>
          <w:color w:val="auto"/>
        </w:rPr>
      </w:pPr>
    </w:p>
    <w:p>
      <w:pPr>
        <w:ind w:firstLine="162"/>
        <w:spacing w:after="0" w:line="306" w:lineRule="auto"/>
        <w:tabs>
          <w:tab w:leader="none" w:pos="349" w:val="left"/>
        </w:tabs>
        <w:numPr>
          <w:ilvl w:val="0"/>
          <w:numId w:val="93"/>
        </w:numPr>
        <w:rPr>
          <w:rFonts w:ascii="Arial" w:cs="Arial" w:eastAsia="Arial" w:hAnsi="Arial"/>
          <w:sz w:val="11"/>
          <w:szCs w:val="11"/>
          <w:b w:val="1"/>
          <w:bCs w:val="1"/>
          <w:color w:val="auto"/>
        </w:rPr>
      </w:pPr>
      <w:r>
        <w:rPr>
          <w:rFonts w:ascii="Arial" w:cs="Arial" w:eastAsia="Arial" w:hAnsi="Arial"/>
          <w:sz w:val="11"/>
          <w:szCs w:val="11"/>
          <w:b w:val="1"/>
          <w:bCs w:val="1"/>
          <w:color w:val="auto"/>
        </w:rPr>
        <w:t>Company Property, Computer Systems, and Inventions</w:t>
      </w:r>
      <w:r>
        <w:rPr>
          <w:rFonts w:ascii="Arial" w:cs="Arial" w:eastAsia="Arial" w:hAnsi="Arial"/>
          <w:sz w:val="11"/>
          <w:szCs w:val="11"/>
          <w:color w:val="auto"/>
        </w:rPr>
        <w:t>. All written materials, records, data, and other documents prepared or possessed by Executive during Executive’s employment with the Company are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1"/>
          <w:szCs w:val="11"/>
          <w:b w:val="1"/>
          <w:bCs w:val="1"/>
          <w:color w:val="auto"/>
        </w:rPr>
        <w:t>no provision in this Agreement requires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9" w:name="page100"/>
    <w:bookmarkEnd w:id="99"/>
    <w:p>
      <w:pPr>
        <w:spacing w:after="0" w:line="257" w:lineRule="auto"/>
        <w:rPr>
          <w:sz w:val="20"/>
          <w:szCs w:val="20"/>
          <w:color w:val="auto"/>
        </w:rPr>
      </w:pPr>
      <w:r>
        <w:rPr>
          <w:rFonts w:ascii="Arial" w:cs="Arial" w:eastAsia="Arial" w:hAnsi="Arial"/>
          <w:sz w:val="13"/>
          <w:szCs w:val="13"/>
          <w:b w:val="1"/>
          <w:bCs w:val="1"/>
          <w:color w:val="auto"/>
        </w:rPr>
        <w:t xml:space="preserve">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3"/>
          <w:szCs w:val="13"/>
          <w:color w:val="auto"/>
        </w:rPr>
        <w:t>This paragraph is intended to compliment and supplement, not replace, any additional written agreement(s)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59" w:lineRule="exact"/>
        <w:rPr>
          <w:sz w:val="20"/>
          <w:szCs w:val="20"/>
          <w:color w:val="auto"/>
        </w:rPr>
      </w:pPr>
    </w:p>
    <w:p>
      <w:pPr>
        <w:ind w:firstLine="162"/>
        <w:spacing w:after="0" w:line="286" w:lineRule="auto"/>
        <w:tabs>
          <w:tab w:leader="none" w:pos="357"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 Information; Non-Disclosure</w:t>
      </w:r>
      <w:r>
        <w:rPr>
          <w:rFonts w:ascii="Arial" w:cs="Arial" w:eastAsia="Arial" w:hAnsi="Arial"/>
          <w:sz w:val="12"/>
          <w:szCs w:val="12"/>
          <w:color w:val="auto"/>
        </w:rPr>
        <w:t>. Executive acknowledges that the business of the Company is highly competitive and that Executive’s position is one where the Company will provide Executive with</w:t>
      </w:r>
      <w:r>
        <w:rPr>
          <w:rFonts w:ascii="Arial" w:cs="Arial" w:eastAsia="Arial" w:hAnsi="Arial"/>
          <w:sz w:val="12"/>
          <w:szCs w:val="12"/>
          <w:b w:val="1"/>
          <w:bCs w:val="1"/>
          <w:color w:val="auto"/>
        </w:rPr>
        <w:t xml:space="preserve"> </w:t>
      </w:r>
      <w:r>
        <w:rPr>
          <w:rFonts w:ascii="Arial" w:cs="Arial" w:eastAsia="Arial" w:hAnsi="Arial"/>
          <w:sz w:val="12"/>
          <w:szCs w:val="12"/>
          <w:color w:val="auto"/>
        </w:rPr>
        <w:t>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47" w:lineRule="exact"/>
        <w:rPr>
          <w:sz w:val="20"/>
          <w:szCs w:val="20"/>
          <w:color w:val="auto"/>
        </w:rPr>
      </w:pPr>
    </w:p>
    <w:p>
      <w:pPr>
        <w:ind w:right="40" w:firstLine="164"/>
        <w:spacing w:after="0" w:line="279" w:lineRule="auto"/>
        <w:rPr>
          <w:sz w:val="20"/>
          <w:szCs w:val="20"/>
          <w:color w:val="auto"/>
        </w:rPr>
      </w:pPr>
      <w:r>
        <w:rPr>
          <w:rFonts w:ascii="Arial" w:cs="Arial" w:eastAsia="Arial" w:hAnsi="Arial"/>
          <w:sz w:val="12"/>
          <w:szCs w:val="12"/>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00" w:name="page101"/>
    <w:bookmarkEnd w:id="100"/>
    <w:p>
      <w:pPr>
        <w:spacing w:after="0" w:line="276" w:lineRule="auto"/>
        <w:rPr>
          <w:sz w:val="20"/>
          <w:szCs w:val="20"/>
          <w:color w:val="auto"/>
        </w:rPr>
      </w:pPr>
      <w:r>
        <w:rPr>
          <w:rFonts w:ascii="Arial" w:cs="Arial" w:eastAsia="Arial" w:hAnsi="Arial"/>
          <w:sz w:val="13"/>
          <w:szCs w:val="13"/>
          <w:color w:val="auto"/>
        </w:rPr>
        <w:t>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56" w:lineRule="exact"/>
        <w:rPr>
          <w:sz w:val="20"/>
          <w:szCs w:val="20"/>
          <w:color w:val="auto"/>
        </w:rPr>
      </w:pPr>
    </w:p>
    <w:p>
      <w:pPr>
        <w:ind w:right="20" w:firstLine="162"/>
        <w:spacing w:after="0" w:line="286" w:lineRule="auto"/>
        <w:tabs>
          <w:tab w:leader="none" w:pos="342"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Unfair Competition Restrictions</w:t>
      </w:r>
      <w:r>
        <w:rPr>
          <w:rFonts w:ascii="Arial" w:cs="Arial" w:eastAsia="Arial" w:hAnsi="Arial"/>
          <w:sz w:val="12"/>
          <w:szCs w:val="12"/>
          <w:color w:val="auto"/>
        </w:rPr>
        <w:t>. Ancillary to the rights provided to Executive following employment termination, the Company’s provision of Confidential Information, specialized training, and/or goodwill</w:t>
      </w:r>
      <w:r>
        <w:rPr>
          <w:rFonts w:ascii="Arial" w:cs="Arial" w:eastAsia="Arial" w:hAnsi="Arial"/>
          <w:sz w:val="12"/>
          <w:szCs w:val="12"/>
          <w:b w:val="1"/>
          <w:bCs w:val="1"/>
          <w:color w:val="auto"/>
        </w:rPr>
        <w:t xml:space="preserve"> </w:t>
      </w:r>
      <w:r>
        <w:rPr>
          <w:rFonts w:ascii="Arial" w:cs="Arial" w:eastAsia="Arial" w:hAnsi="Arial"/>
          <w:sz w:val="12"/>
          <w:szCs w:val="12"/>
          <w:color w:val="auto"/>
        </w:rPr>
        <w:t>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47" w:lineRule="exact"/>
        <w:rPr>
          <w:sz w:val="20"/>
          <w:szCs w:val="20"/>
          <w:color w:val="auto"/>
        </w:rPr>
      </w:pPr>
    </w:p>
    <w:p>
      <w:pPr>
        <w:ind w:left="1020" w:right="140"/>
        <w:spacing w:after="0" w:line="289" w:lineRule="auto"/>
        <w:rPr>
          <w:sz w:val="20"/>
          <w:szCs w:val="20"/>
          <w:color w:val="auto"/>
        </w:rPr>
      </w:pPr>
      <w:r>
        <w:rPr>
          <w:rFonts w:ascii="Arial" w:cs="Arial" w:eastAsia="Arial" w:hAnsi="Arial"/>
          <w:sz w:val="12"/>
          <w:szCs w:val="12"/>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43"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1" w:name="page102"/>
    <w:bookmarkEnd w:id="101"/>
    <w:p>
      <w:pPr>
        <w:ind w:firstLine="157"/>
        <w:spacing w:after="0" w:line="258" w:lineRule="auto"/>
        <w:rPr>
          <w:sz w:val="20"/>
          <w:szCs w:val="20"/>
          <w:color w:val="auto"/>
        </w:rPr>
      </w:pPr>
      <w:r>
        <w:rPr>
          <w:rFonts w:ascii="Arial" w:cs="Arial" w:eastAsia="Arial" w:hAnsi="Arial"/>
          <w:sz w:val="13"/>
          <w:szCs w:val="13"/>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57" w:lineRule="exact"/>
        <w:rPr>
          <w:sz w:val="20"/>
          <w:szCs w:val="20"/>
          <w:color w:val="auto"/>
        </w:rPr>
      </w:pPr>
    </w:p>
    <w:p>
      <w:pPr>
        <w:ind w:firstLine="162"/>
        <w:spacing w:after="0" w:line="300" w:lineRule="auto"/>
        <w:tabs>
          <w:tab w:leader="none" w:pos="357"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Non-Solicitation of Customers</w:t>
      </w:r>
      <w:r>
        <w:rPr>
          <w:rFonts w:ascii="Arial" w:cs="Arial" w:eastAsia="Arial" w:hAnsi="Arial"/>
          <w:sz w:val="12"/>
          <w:szCs w:val="12"/>
          <w:color w:val="auto"/>
        </w:rPr>
        <w:t>. For the Restricted Term, Executive will not, in person or through the direction or control of others, call on, service, or solicit competing business from a Covered Customer, or</w:t>
      </w:r>
      <w:r>
        <w:rPr>
          <w:rFonts w:ascii="Arial" w:cs="Arial" w:eastAsia="Arial" w:hAnsi="Arial"/>
          <w:sz w:val="12"/>
          <w:szCs w:val="12"/>
          <w:b w:val="1"/>
          <w:bCs w:val="1"/>
          <w:color w:val="auto"/>
        </w:rPr>
        <w:t xml:space="preserve"> </w:t>
      </w:r>
      <w:r>
        <w:rPr>
          <w:rFonts w:ascii="Arial" w:cs="Arial" w:eastAsia="Arial" w:hAnsi="Arial"/>
          <w:sz w:val="12"/>
          <w:szCs w:val="12"/>
          <w:color w:val="auto"/>
        </w:rPr>
        <w:t>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32" w:lineRule="exact"/>
        <w:rPr>
          <w:rFonts w:ascii="Arial" w:cs="Arial" w:eastAsia="Arial" w:hAnsi="Arial"/>
          <w:sz w:val="12"/>
          <w:szCs w:val="12"/>
          <w:b w:val="1"/>
          <w:bCs w:val="1"/>
          <w:color w:val="auto"/>
        </w:rPr>
      </w:pPr>
    </w:p>
    <w:p>
      <w:pPr>
        <w:ind w:right="40" w:firstLine="162"/>
        <w:spacing w:after="0" w:line="267" w:lineRule="auto"/>
        <w:tabs>
          <w:tab w:leader="none" w:pos="342"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Non-Solicitation of Employees</w:t>
      </w:r>
      <w:r>
        <w:rPr>
          <w:rFonts w:ascii="Arial" w:cs="Arial" w:eastAsia="Arial" w:hAnsi="Arial"/>
          <w:sz w:val="13"/>
          <w:szCs w:val="13"/>
          <w:color w:val="auto"/>
        </w:rPr>
        <w:t>. During Executive’s employment, and for the Restricted Term, Executive will not, in person or through the direction or control of others, call on, solicit, encourage, or induce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51" w:lineRule="exact"/>
        <w:rPr>
          <w:rFonts w:ascii="Arial" w:cs="Arial" w:eastAsia="Arial" w:hAnsi="Arial"/>
          <w:sz w:val="13"/>
          <w:szCs w:val="13"/>
          <w:b w:val="1"/>
          <w:bCs w:val="1"/>
          <w:color w:val="auto"/>
        </w:rPr>
      </w:pPr>
    </w:p>
    <w:p>
      <w:pPr>
        <w:ind w:right="240" w:firstLine="162"/>
        <w:spacing w:after="0" w:line="267" w:lineRule="auto"/>
        <w:tabs>
          <w:tab w:leader="none" w:pos="327"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Non-Disparagement. </w:t>
      </w:r>
      <w:r>
        <w:rPr>
          <w:rFonts w:ascii="Arial" w:cs="Arial" w:eastAsia="Arial" w:hAnsi="Arial"/>
          <w:sz w:val="13"/>
          <w:szCs w:val="13"/>
          <w:color w:val="auto"/>
        </w:rPr>
        <w:t>During Executive’s employment, and for the Restricted Term, Executive covenants and agrees that Executive shall not engage in any pattern of conduct that involves the making or</w:t>
      </w:r>
      <w:r>
        <w:rPr>
          <w:rFonts w:ascii="Arial" w:cs="Arial" w:eastAsia="Arial" w:hAnsi="Arial"/>
          <w:sz w:val="13"/>
          <w:szCs w:val="13"/>
          <w:b w:val="1"/>
          <w:bCs w:val="1"/>
          <w:color w:val="auto"/>
        </w:rPr>
        <w:t xml:space="preserve"> </w:t>
      </w:r>
      <w:r>
        <w:rPr>
          <w:rFonts w:ascii="Arial" w:cs="Arial" w:eastAsia="Arial" w:hAnsi="Arial"/>
          <w:sz w:val="13"/>
          <w:szCs w:val="13"/>
          <w:color w:val="auto"/>
        </w:rPr>
        <w:t>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1" w:lineRule="exact"/>
        <w:rPr>
          <w:rFonts w:ascii="Arial" w:cs="Arial" w:eastAsia="Arial" w:hAnsi="Arial"/>
          <w:sz w:val="13"/>
          <w:szCs w:val="13"/>
          <w:b w:val="1"/>
          <w:bCs w:val="1"/>
          <w:color w:val="auto"/>
        </w:rPr>
      </w:pPr>
    </w:p>
    <w:p>
      <w:pPr>
        <w:ind w:firstLine="162"/>
        <w:spacing w:after="0" w:line="286" w:lineRule="auto"/>
        <w:tabs>
          <w:tab w:leader="none" w:pos="349"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Protected Communications. </w:t>
      </w:r>
      <w:r>
        <w:rPr>
          <w:rFonts w:ascii="Arial" w:cs="Arial" w:eastAsia="Arial" w:hAnsi="Arial"/>
          <w:sz w:val="12"/>
          <w:szCs w:val="12"/>
          <w:color w:val="auto"/>
        </w:rPr>
        <w:t>Nothing in this Agreement (particularly nothing in Paragraphs 10(b) and (f) regarding non-disclosure and non-disparagement) is intended or to be construed to prohibit or interfere</w:t>
      </w:r>
      <w:r>
        <w:rPr>
          <w:rFonts w:ascii="Arial" w:cs="Arial" w:eastAsia="Arial" w:hAnsi="Arial"/>
          <w:sz w:val="12"/>
          <w:szCs w:val="12"/>
          <w:b w:val="1"/>
          <w:bCs w:val="1"/>
          <w:color w:val="auto"/>
        </w:rPr>
        <w:t xml:space="preserve"> </w:t>
      </w:r>
      <w:r>
        <w:rPr>
          <w:rFonts w:ascii="Arial" w:cs="Arial" w:eastAsia="Arial" w:hAnsi="Arial"/>
          <w:sz w:val="12"/>
          <w:szCs w:val="12"/>
          <w:color w:val="auto"/>
        </w:rPr>
        <w:t>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 interests it may have in maintaining Confidential Information as confidential (through protective order or other means) before engaging in such a disclosure.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2" w:name="page103"/>
    <w:bookmarkEnd w:id="102"/>
    <w:p>
      <w:pPr>
        <w:ind w:left="160"/>
        <w:spacing w:after="0"/>
        <w:rPr>
          <w:sz w:val="20"/>
          <w:szCs w:val="20"/>
          <w:color w:val="auto"/>
        </w:rPr>
      </w:pPr>
      <w:r>
        <w:rPr>
          <w:rFonts w:ascii="Arial" w:cs="Arial" w:eastAsia="Arial" w:hAnsi="Arial"/>
          <w:sz w:val="13"/>
          <w:szCs w:val="13"/>
          <w:b w:val="1"/>
          <w:bCs w:val="1"/>
          <w:color w:val="auto"/>
        </w:rPr>
        <w:t>11. Enforcement of Protective Covenants.</w:t>
      </w:r>
    </w:p>
    <w:p>
      <w:pPr>
        <w:spacing w:after="0" w:line="86" w:lineRule="exact"/>
        <w:rPr>
          <w:sz w:val="20"/>
          <w:szCs w:val="20"/>
          <w:color w:val="auto"/>
        </w:rPr>
      </w:pPr>
    </w:p>
    <w:p>
      <w:pPr>
        <w:ind w:right="160" w:firstLine="162"/>
        <w:spacing w:after="0" w:line="267" w:lineRule="auto"/>
        <w:tabs>
          <w:tab w:leader="none" w:pos="347"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of Employment and Forfeiture of Compensation. </w:t>
      </w:r>
      <w:r>
        <w:rPr>
          <w:rFonts w:ascii="Arial" w:cs="Arial" w:eastAsia="Arial" w:hAnsi="Arial"/>
          <w:sz w:val="13"/>
          <w:szCs w:val="13"/>
          <w:color w:val="auto"/>
        </w:rPr>
        <w:t>Executive agrees that any breach by Executive of any of the Protective Covenants set forth in Section 10 during Executive’s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be grounds for immediate employment termination of Executive for Cause pursuant to Section 5(c)(i), which shall be in addition to and not exclusive of any and all other rights and remedies the Company may have against Executive.</w:t>
      </w:r>
    </w:p>
    <w:p>
      <w:pPr>
        <w:spacing w:after="0" w:line="5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the event that Executive violates one of the Protective Covenants, (i) the Company shall have the right to immediately cease making any payments that it may otherwise owe to 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6(e)(iii), 6(e)(iv), 6(e)(v), 7(a)(i) or 7(a)(ii),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39" w:lineRule="exact"/>
        <w:rPr>
          <w:sz w:val="20"/>
          <w:szCs w:val="20"/>
          <w:color w:val="auto"/>
        </w:rPr>
      </w:pPr>
    </w:p>
    <w:p>
      <w:pPr>
        <w:ind w:right="60" w:firstLine="162"/>
        <w:spacing w:after="0" w:line="286" w:lineRule="auto"/>
        <w:tabs>
          <w:tab w:leader="none" w:pos="357"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Right to Injunction</w:t>
      </w:r>
      <w:r>
        <w:rPr>
          <w:rFonts w:ascii="Arial" w:cs="Arial" w:eastAsia="Arial" w:hAnsi="Arial"/>
          <w:sz w:val="12"/>
          <w:szCs w:val="12"/>
          <w:color w:val="auto"/>
        </w:rPr>
        <w:t>. Executive acknowledges that a breach of a Protective Covenant set forth in Section 10 hereof will cause irreparable damage to the Company with respect to which the Company’s remedy at</w:t>
      </w:r>
      <w:r>
        <w:rPr>
          <w:rFonts w:ascii="Arial" w:cs="Arial" w:eastAsia="Arial" w:hAnsi="Arial"/>
          <w:sz w:val="12"/>
          <w:szCs w:val="12"/>
          <w:b w:val="1"/>
          <w:bCs w:val="1"/>
          <w:color w:val="auto"/>
        </w:rPr>
        <w:t xml:space="preserve"> </w:t>
      </w:r>
      <w:r>
        <w:rPr>
          <w:rFonts w:ascii="Arial" w:cs="Arial" w:eastAsia="Arial" w:hAnsi="Arial"/>
          <w:sz w:val="12"/>
          <w:szCs w:val="12"/>
          <w:color w:val="auto"/>
        </w:rPr>
        <w:t>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42" w:lineRule="exact"/>
        <w:rPr>
          <w:rFonts w:ascii="Arial" w:cs="Arial" w:eastAsia="Arial" w:hAnsi="Arial"/>
          <w:sz w:val="12"/>
          <w:szCs w:val="12"/>
          <w:b w:val="1"/>
          <w:bCs w:val="1"/>
          <w:color w:val="auto"/>
        </w:rPr>
      </w:pPr>
    </w:p>
    <w:p>
      <w:pPr>
        <w:ind w:firstLine="162"/>
        <w:spacing w:after="0" w:line="318" w:lineRule="auto"/>
        <w:tabs>
          <w:tab w:leader="none" w:pos="342" w:val="left"/>
        </w:tabs>
        <w:numPr>
          <w:ilvl w:val="0"/>
          <w:numId w:val="9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Reformation of Covenants. </w:t>
      </w:r>
      <w:r>
        <w:rPr>
          <w:rFonts w:ascii="Arial" w:cs="Arial" w:eastAsia="Arial" w:hAnsi="Arial"/>
          <w:sz w:val="11"/>
          <w:szCs w:val="11"/>
          <w:color w:val="auto"/>
        </w:rPr>
        <w:t>The Protective Covenants set forth in Section 10 constitute a series of separate but ancillary covenants, one for each applicable State in the United States and the District of Columbia,</w:t>
      </w:r>
      <w:r>
        <w:rPr>
          <w:rFonts w:ascii="Arial" w:cs="Arial" w:eastAsia="Arial" w:hAnsi="Arial"/>
          <w:sz w:val="11"/>
          <w:szCs w:val="11"/>
          <w:b w:val="1"/>
          <w:bCs w:val="1"/>
          <w:color w:val="auto"/>
        </w:rPr>
        <w:t xml:space="preserve"> </w:t>
      </w:r>
      <w:r>
        <w:rPr>
          <w:rFonts w:ascii="Arial" w:cs="Arial" w:eastAsia="Arial" w:hAnsi="Arial"/>
          <w:sz w:val="11"/>
          <w:szCs w:val="11"/>
          <w:color w:val="auto"/>
        </w:rPr>
        <w:t>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27" w:lineRule="exact"/>
        <w:rPr>
          <w:rFonts w:ascii="Arial" w:cs="Arial" w:eastAsia="Arial" w:hAnsi="Arial"/>
          <w:sz w:val="11"/>
          <w:szCs w:val="11"/>
          <w:b w:val="1"/>
          <w:bCs w:val="1"/>
          <w:color w:val="auto"/>
        </w:rPr>
      </w:pPr>
    </w:p>
    <w:p>
      <w:pPr>
        <w:ind w:left="360" w:hanging="198"/>
        <w:spacing w:after="0"/>
        <w:tabs>
          <w:tab w:leader="none" w:pos="36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Survival. </w:t>
      </w:r>
      <w:r>
        <w:rPr>
          <w:rFonts w:ascii="Arial" w:cs="Arial" w:eastAsia="Arial" w:hAnsi="Arial"/>
          <w:sz w:val="13"/>
          <w:szCs w:val="13"/>
          <w:color w:val="auto"/>
        </w:rPr>
        <w:t>Executive and the Company further agree that the protective Covenants set forth in Section 10 shall each be construed as a separate agreement independent of any other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03" w:name="page104"/>
    <w:bookmarkEnd w:id="103"/>
    <w:p>
      <w:pPr>
        <w:ind w:left="1" w:right="140"/>
        <w:spacing w:after="0" w:line="285" w:lineRule="auto"/>
        <w:rPr>
          <w:sz w:val="20"/>
          <w:szCs w:val="20"/>
          <w:color w:val="auto"/>
        </w:rPr>
      </w:pPr>
      <w:r>
        <w:rPr>
          <w:rFonts w:ascii="Arial" w:cs="Arial" w:eastAsia="Arial" w:hAnsi="Arial"/>
          <w:sz w:val="12"/>
          <w:szCs w:val="12"/>
          <w:color w:val="auto"/>
        </w:rPr>
        <w:t>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4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12. Indemnification.</w:t>
      </w:r>
    </w:p>
    <w:p>
      <w:pPr>
        <w:spacing w:after="0" w:line="90" w:lineRule="exact"/>
        <w:rPr>
          <w:sz w:val="20"/>
          <w:szCs w:val="20"/>
          <w:color w:val="auto"/>
        </w:rPr>
      </w:pPr>
    </w:p>
    <w:p>
      <w:pPr>
        <w:ind w:left="1" w:firstLine="161"/>
        <w:spacing w:after="0" w:line="258" w:lineRule="auto"/>
        <w:rPr>
          <w:sz w:val="20"/>
          <w:szCs w:val="20"/>
          <w:color w:val="auto"/>
        </w:rPr>
      </w:pPr>
      <w:r>
        <w:rPr>
          <w:rFonts w:ascii="Arial" w:cs="Arial" w:eastAsia="Arial" w:hAnsi="Arial"/>
          <w:sz w:val="13"/>
          <w:szCs w:val="13"/>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13. Arbitration.</w:t>
      </w:r>
    </w:p>
    <w:p>
      <w:pPr>
        <w:spacing w:after="0" w:line="90" w:lineRule="exact"/>
        <w:rPr>
          <w:sz w:val="20"/>
          <w:szCs w:val="20"/>
          <w:color w:val="auto"/>
        </w:rPr>
      </w:pPr>
    </w:p>
    <w:p>
      <w:pPr>
        <w:ind w:left="1" w:right="40" w:firstLine="161"/>
        <w:spacing w:after="0" w:line="301" w:lineRule="auto"/>
        <w:rPr>
          <w:sz w:val="20"/>
          <w:szCs w:val="20"/>
          <w:color w:val="auto"/>
        </w:rPr>
      </w:pPr>
      <w:r>
        <w:rPr>
          <w:rFonts w:ascii="Arial" w:cs="Arial" w:eastAsia="Arial" w:hAnsi="Arial"/>
          <w:sz w:val="11"/>
          <w:szCs w:val="11"/>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w:t>
      </w:r>
    </w:p>
    <w:p>
      <w:pPr>
        <w:spacing w:after="0" w:line="1" w:lineRule="exact"/>
        <w:rPr>
          <w:sz w:val="20"/>
          <w:szCs w:val="20"/>
          <w:color w:val="auto"/>
        </w:rPr>
      </w:pPr>
    </w:p>
    <w:p>
      <w:pPr>
        <w:ind w:left="1" w:right="40" w:hanging="1"/>
        <w:spacing w:after="0" w:line="256" w:lineRule="auto"/>
        <w:tabs>
          <w:tab w:leader="none" w:pos="318" w:val="left"/>
        </w:tabs>
        <w:numPr>
          <w:ilvl w:val="0"/>
          <w:numId w:val="99"/>
        </w:numPr>
        <w:rPr>
          <w:rFonts w:ascii="Arial" w:cs="Arial" w:eastAsia="Arial" w:hAnsi="Arial"/>
          <w:sz w:val="13"/>
          <w:szCs w:val="13"/>
          <w:color w:val="auto"/>
        </w:rPr>
      </w:pPr>
      <w:r>
        <w:rPr>
          <w:rFonts w:ascii="Arial" w:cs="Arial" w:eastAsia="Arial" w:hAnsi="Arial"/>
          <w:sz w:val="13"/>
          <w:szCs w:val="13"/>
          <w:color w:val="auto"/>
        </w:rPr>
        <w:t>(or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auto"/>
        </w:rPr>
        <w:t>and all injunctive relief provided for therein, shall be enforceable through a court of law upon motion of either party.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14. Requirement of Timely Payments.</w:t>
      </w:r>
    </w:p>
    <w:p>
      <w:pPr>
        <w:spacing w:after="0" w:line="90"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15. Withholding of Taxes.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may withhold from any compensation and benefits payable under this Agreement all applicable federal, state, local, or other taxes.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16. Source of Payments.</w:t>
      </w:r>
    </w:p>
    <w:p>
      <w:pPr>
        <w:spacing w:after="0" w:line="90" w:lineRule="exact"/>
        <w:rPr>
          <w:sz w:val="20"/>
          <w:szCs w:val="20"/>
          <w:color w:val="auto"/>
        </w:rPr>
      </w:pPr>
    </w:p>
    <w:p>
      <w:pPr>
        <w:ind w:firstLine="157"/>
        <w:spacing w:after="0" w:line="334" w:lineRule="auto"/>
        <w:rPr>
          <w:sz w:val="20"/>
          <w:szCs w:val="20"/>
          <w:color w:val="auto"/>
        </w:rPr>
      </w:pPr>
      <w:r>
        <w:rPr>
          <w:rFonts w:ascii="Arial" w:cs="Arial" w:eastAsia="Arial" w:hAnsi="Arial"/>
          <w:sz w:val="11"/>
          <w:szCs w:val="11"/>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17. Assignment.</w:t>
      </w:r>
    </w:p>
    <w:p>
      <w:pPr>
        <w:spacing w:after="0" w:line="90" w:lineRule="exact"/>
        <w:rPr>
          <w:sz w:val="20"/>
          <w:szCs w:val="20"/>
          <w:color w:val="auto"/>
        </w:rPr>
      </w:pPr>
    </w:p>
    <w:p>
      <w:pPr>
        <w:jc w:val="both"/>
        <w:ind w:right="120" w:firstLine="161"/>
        <w:spacing w:after="0" w:line="264" w:lineRule="auto"/>
        <w:rPr>
          <w:sz w:val="20"/>
          <w:szCs w:val="20"/>
          <w:color w:val="auto"/>
        </w:rPr>
      </w:pPr>
      <w:r>
        <w:rPr>
          <w:rFonts w:ascii="Arial" w:cs="Arial" w:eastAsia="Arial" w:hAnsi="Arial"/>
          <w:sz w:val="13"/>
          <w:szCs w:val="13"/>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18. Entire Agreement; Amendment.</w:t>
      </w:r>
    </w:p>
    <w:p>
      <w:pPr>
        <w:spacing w:after="0" w:line="90" w:lineRule="exact"/>
        <w:rPr>
          <w:sz w:val="20"/>
          <w:szCs w:val="20"/>
          <w:color w:val="auto"/>
        </w:rPr>
      </w:pPr>
    </w:p>
    <w:p>
      <w:pPr>
        <w:jc w:val="both"/>
        <w:ind w:right="80" w:firstLine="161"/>
        <w:spacing w:after="0" w:line="264" w:lineRule="auto"/>
        <w:rPr>
          <w:sz w:val="20"/>
          <w:szCs w:val="20"/>
          <w:color w:val="auto"/>
        </w:rPr>
      </w:pPr>
      <w:r>
        <w:rPr>
          <w:rFonts w:ascii="Arial" w:cs="Arial" w:eastAsia="Arial" w:hAnsi="Arial"/>
          <w:sz w:val="13"/>
          <w:szCs w:val="13"/>
          <w:color w:val="auto"/>
        </w:rPr>
        <w:t>This Agreement shall supersede any and all existing 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05" w:name="page106"/>
    <w:bookmarkEnd w:id="105"/>
    <w:p>
      <w:pPr>
        <w:spacing w:after="0" w:line="264" w:lineRule="auto"/>
        <w:rPr>
          <w:sz w:val="20"/>
          <w:szCs w:val="20"/>
          <w:color w:val="auto"/>
        </w:rPr>
      </w:pPr>
      <w:r>
        <w:rPr>
          <w:rFonts w:ascii="Arial" w:cs="Arial" w:eastAsia="Arial" w:hAnsi="Arial"/>
          <w:sz w:val="13"/>
          <w:szCs w:val="13"/>
          <w:color w:val="auto"/>
        </w:rPr>
        <w:t>the Company’s prior Employment Agreement(s) or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19. Governing Law and Venue.</w:t>
      </w:r>
    </w:p>
    <w:p>
      <w:pPr>
        <w:spacing w:after="0" w:line="90"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20. Notices.</w:t>
      </w:r>
    </w:p>
    <w:p>
      <w:pPr>
        <w:spacing w:after="0" w:line="90" w:lineRule="exact"/>
        <w:rPr>
          <w:sz w:val="20"/>
          <w:szCs w:val="20"/>
          <w:color w:val="auto"/>
        </w:rPr>
      </w:pPr>
    </w:p>
    <w:p>
      <w:pPr>
        <w:ind w:right="280" w:firstLine="157"/>
        <w:spacing w:after="0" w:line="320" w:lineRule="auto"/>
        <w:rPr>
          <w:sz w:val="20"/>
          <w:szCs w:val="20"/>
          <w:color w:val="auto"/>
        </w:rPr>
      </w:pPr>
      <w:r>
        <w:rPr>
          <w:rFonts w:ascii="Arial" w:cs="Arial" w:eastAsia="Arial" w:hAnsi="Arial"/>
          <w:sz w:val="12"/>
          <w:szCs w:val="12"/>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60"/>
          </w:cols>
          <w:pgMar w:left="220" w:top="720" w:right="219" w:bottom="1440" w:gutter="0" w:footer="0" w:header="0"/>
        </w:sectPr>
      </w:pPr>
    </w:p>
    <w:p>
      <w:pPr>
        <w:spacing w:after="0" w:line="104"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Waste Management, Inc.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1001 Fannin, Suite 4000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Attention: General Counsel</w:t>
      </w:r>
    </w:p>
    <w:p>
      <w:pPr>
        <w:spacing w:after="0" w:line="181" w:lineRule="exact"/>
        <w:rPr>
          <w:sz w:val="20"/>
          <w:szCs w:val="20"/>
          <w:color w:val="auto"/>
        </w:rPr>
      </w:pPr>
    </w:p>
    <w:p>
      <w:pPr>
        <w:sectPr>
          <w:pgSz w:w="11900" w:h="16838" w:orient="portrait"/>
          <w:cols w:equalWidth="0" w:num="2">
            <w:col w:w="2940" w:space="720"/>
            <w:col w:w="7800"/>
          </w:cols>
          <w:pgMar w:left="220" w:top="720" w:right="219" w:bottom="1440" w:gutter="0" w:footer="0" w:header="0"/>
          <w:type w:val="continuous"/>
        </w:sectPr>
      </w:pPr>
    </w:p>
    <w:p>
      <w:pPr>
        <w:ind w:left="1840"/>
        <w:spacing w:after="0"/>
        <w:rPr>
          <w:sz w:val="20"/>
          <w:szCs w:val="20"/>
          <w:color w:val="auto"/>
        </w:rPr>
      </w:pPr>
      <w:r>
        <w:rPr>
          <w:rFonts w:ascii="Arial" w:cs="Arial" w:eastAsia="Arial" w:hAnsi="Arial"/>
          <w:sz w:val="11"/>
          <w:szCs w:val="11"/>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At the address for Executive set forth below.</w:t>
      </w:r>
    </w:p>
    <w:p>
      <w:pPr>
        <w:spacing w:after="0" w:line="105" w:lineRule="exact"/>
        <w:rPr>
          <w:sz w:val="20"/>
          <w:szCs w:val="20"/>
          <w:color w:val="auto"/>
        </w:rPr>
      </w:pPr>
    </w:p>
    <w:p>
      <w:pPr>
        <w:sectPr>
          <w:pgSz w:w="11900" w:h="16838" w:orient="portrait"/>
          <w:cols w:equalWidth="0" w:num="2">
            <w:col w:w="2940" w:space="720"/>
            <w:col w:w="7800"/>
          </w:cols>
          <w:pgMar w:left="220" w:top="720" w:right="219" w:bottom="1440" w:gutter="0" w:footer="0" w:header="0"/>
          <w:type w:val="continuous"/>
        </w:sectPr>
      </w:pPr>
    </w:p>
    <w:p>
      <w:pPr>
        <w:ind w:left="160"/>
        <w:spacing w:after="0"/>
        <w:rPr>
          <w:sz w:val="20"/>
          <w:szCs w:val="20"/>
          <w:color w:val="auto"/>
        </w:rPr>
      </w:pPr>
      <w:r>
        <w:rPr>
          <w:rFonts w:ascii="Arial" w:cs="Arial" w:eastAsia="Arial" w:hAnsi="Arial"/>
          <w:sz w:val="13"/>
          <w:szCs w:val="13"/>
          <w:b w:val="1"/>
          <w:bCs w:val="1"/>
          <w:color w:val="auto"/>
        </w:rPr>
        <w:t>21. Miscellaneous.</w:t>
      </w:r>
    </w:p>
    <w:p>
      <w:pPr>
        <w:spacing w:after="0" w:line="86" w:lineRule="exact"/>
        <w:rPr>
          <w:sz w:val="20"/>
          <w:szCs w:val="20"/>
          <w:color w:val="auto"/>
        </w:rPr>
      </w:pPr>
    </w:p>
    <w:p>
      <w:pPr>
        <w:ind w:right="60" w:firstLine="162"/>
        <w:spacing w:after="0" w:line="283" w:lineRule="auto"/>
        <w:tabs>
          <w:tab w:leader="none" w:pos="347"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 </w:t>
      </w:r>
      <w:r>
        <w:rPr>
          <w:rFonts w:ascii="Arial" w:cs="Arial" w:eastAsia="Arial" w:hAnsi="Arial"/>
          <w:sz w:val="13"/>
          <w:szCs w:val="13"/>
          <w:color w:val="auto"/>
        </w:rPr>
        <w:t>The failure of a party to insist upon strict adherence to any term of this Agreement on any occasion shall not be considered a waiver thereof or deprive that party of the right thereafter to insist upon strict</w:t>
      </w:r>
      <w:r>
        <w:rPr>
          <w:rFonts w:ascii="Arial" w:cs="Arial" w:eastAsia="Arial" w:hAnsi="Arial"/>
          <w:sz w:val="13"/>
          <w:szCs w:val="13"/>
          <w:b w:val="1"/>
          <w:bCs w:val="1"/>
          <w:color w:val="auto"/>
        </w:rPr>
        <w:t xml:space="preserve"> </w:t>
      </w:r>
      <w:r>
        <w:rPr>
          <w:rFonts w:ascii="Arial" w:cs="Arial" w:eastAsia="Arial" w:hAnsi="Arial"/>
          <w:sz w:val="13"/>
          <w:szCs w:val="13"/>
          <w:color w:val="auto"/>
        </w:rPr>
        <w:t>adherence to that term or any other term of this Agreement.</w:t>
      </w:r>
    </w:p>
    <w:p>
      <w:pPr>
        <w:spacing w:after="0" w:line="40" w:lineRule="exact"/>
        <w:rPr>
          <w:rFonts w:ascii="Arial" w:cs="Arial" w:eastAsia="Arial" w:hAnsi="Arial"/>
          <w:sz w:val="13"/>
          <w:szCs w:val="13"/>
          <w:b w:val="1"/>
          <w:bCs w:val="1"/>
          <w:color w:val="auto"/>
        </w:rPr>
      </w:pPr>
    </w:p>
    <w:p>
      <w:pPr>
        <w:ind w:right="200" w:firstLine="162"/>
        <w:spacing w:after="0" w:line="283" w:lineRule="auto"/>
        <w:tabs>
          <w:tab w:leader="none" w:pos="357"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Subject to Section 11 hereof, if any term or provision of this Agreement is declared illegal or unenforceable by any court of competent jurisdiction and cannot be modified to be enforceable, such</w:t>
      </w:r>
      <w:r>
        <w:rPr>
          <w:rFonts w:ascii="Arial" w:cs="Arial" w:eastAsia="Arial" w:hAnsi="Arial"/>
          <w:sz w:val="13"/>
          <w:szCs w:val="13"/>
          <w:b w:val="1"/>
          <w:bCs w:val="1"/>
          <w:color w:val="auto"/>
        </w:rPr>
        <w:t xml:space="preserve"> </w:t>
      </w:r>
      <w:r>
        <w:rPr>
          <w:rFonts w:ascii="Arial" w:cs="Arial" w:eastAsia="Arial" w:hAnsi="Arial"/>
          <w:sz w:val="13"/>
          <w:szCs w:val="13"/>
          <w:color w:val="auto"/>
        </w:rPr>
        <w:t>term or provision shall immediately become null and void, leaving the remainder of this Agreement in full force and effect.</w:t>
      </w:r>
    </w:p>
    <w:p>
      <w:pPr>
        <w:spacing w:after="0" w:line="40" w:lineRule="exact"/>
        <w:rPr>
          <w:rFonts w:ascii="Arial" w:cs="Arial" w:eastAsia="Arial" w:hAnsi="Arial"/>
          <w:sz w:val="13"/>
          <w:szCs w:val="13"/>
          <w:b w:val="1"/>
          <w:bCs w:val="1"/>
          <w:color w:val="auto"/>
        </w:rPr>
      </w:pPr>
    </w:p>
    <w:p>
      <w:pPr>
        <w:ind w:left="340" w:hanging="178"/>
        <w:spacing w:after="0"/>
        <w:tabs>
          <w:tab w:leader="none" w:pos="34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Headings. </w:t>
      </w:r>
      <w:r>
        <w:rPr>
          <w:rFonts w:ascii="Arial" w:cs="Arial" w:eastAsia="Arial" w:hAnsi="Arial"/>
          <w:sz w:val="13"/>
          <w:szCs w:val="13"/>
          <w:color w:val="auto"/>
        </w:rPr>
        <w:t>Section headings are used herein for convenience of reference only and shall not affect the meaning of any provision of this Agreement.</w:t>
      </w:r>
    </w:p>
    <w:p>
      <w:pPr>
        <w:spacing w:after="0" w:line="86" w:lineRule="exact"/>
        <w:rPr>
          <w:rFonts w:ascii="Arial" w:cs="Arial" w:eastAsia="Arial" w:hAnsi="Arial"/>
          <w:sz w:val="13"/>
          <w:szCs w:val="13"/>
          <w:b w:val="1"/>
          <w:bCs w:val="1"/>
          <w:color w:val="auto"/>
        </w:rPr>
      </w:pPr>
    </w:p>
    <w:p>
      <w:pPr>
        <w:ind w:left="360" w:hanging="198"/>
        <w:spacing w:after="0"/>
        <w:tabs>
          <w:tab w:leader="none" w:pos="36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Rules of Construction. </w:t>
      </w:r>
      <w:r>
        <w:rPr>
          <w:rFonts w:ascii="Arial" w:cs="Arial" w:eastAsia="Arial" w:hAnsi="Arial"/>
          <w:sz w:val="13"/>
          <w:szCs w:val="13"/>
          <w:color w:val="auto"/>
        </w:rPr>
        <w:t>Whenever the context so requires, the use of the singular shall be deemed to include the plural and vice versa.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type w:val="continuous"/>
        </w:sectPr>
      </w:pPr>
    </w:p>
    <w:bookmarkStart w:id="106" w:name="page107"/>
    <w:bookmarkEnd w:id="106"/>
    <w:p>
      <w:pPr>
        <w:ind w:left="340" w:hanging="178"/>
        <w:spacing w:after="0"/>
        <w:tabs>
          <w:tab w:leader="none" w:pos="34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so executed shall be deemed to be an original, and such counterparts will together constitute but one Agreement.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 Potential Limitation on Severance Benefits.</w:t>
      </w:r>
    </w:p>
    <w:p>
      <w:pPr>
        <w:spacing w:after="0" w:line="86" w:lineRule="exact"/>
        <w:rPr>
          <w:sz w:val="20"/>
          <w:szCs w:val="20"/>
          <w:color w:val="auto"/>
        </w:rPr>
      </w:pPr>
    </w:p>
    <w:p>
      <w:pPr>
        <w:ind w:right="160" w:firstLine="162"/>
        <w:spacing w:after="0" w:line="262" w:lineRule="auto"/>
        <w:tabs>
          <w:tab w:leader="none" w:pos="349"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Maximum Severance Amount. </w:t>
      </w:r>
      <w:r>
        <w:rPr>
          <w:rFonts w:ascii="Arial" w:cs="Arial" w:eastAsia="Arial" w:hAnsi="Arial"/>
          <w:sz w:val="13"/>
          <w:szCs w:val="13"/>
          <w:color w:val="auto"/>
        </w:rPr>
        <w:t>Notwithstanding any provision in this Agreement to the contrary, in the event of a qualifying termination (or resignation) under Section 6(e) or Section 7 of this Agreement it is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54" w:lineRule="exact"/>
        <w:rPr>
          <w:rFonts w:ascii="Arial" w:cs="Arial" w:eastAsia="Arial" w:hAnsi="Arial"/>
          <w:sz w:val="13"/>
          <w:szCs w:val="13"/>
          <w:b w:val="1"/>
          <w:bCs w:val="1"/>
          <w:color w:val="auto"/>
        </w:rPr>
      </w:pPr>
    </w:p>
    <w:p>
      <w:pPr>
        <w:ind w:right="300" w:firstLine="162"/>
        <w:spacing w:after="0" w:line="283" w:lineRule="auto"/>
        <w:tabs>
          <w:tab w:leader="none" w:pos="357"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For purposes of determining Severance Benefits under Section 22(a) above, Severance Benefits means the present value of payments or distributions by the Company, its subsidiaries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affiliated entities to or for the benefit of the Executive (whether paid or provided pursuant to the terms of this Agreement or otherwise), and</w:t>
      </w:r>
    </w:p>
    <w:p>
      <w:pPr>
        <w:spacing w:after="0" w:line="44" w:lineRule="exact"/>
        <w:rPr>
          <w:rFonts w:ascii="Arial" w:cs="Arial" w:eastAsia="Arial" w:hAnsi="Arial"/>
          <w:sz w:val="13"/>
          <w:szCs w:val="13"/>
          <w:b w:val="1"/>
          <w:bCs w:val="1"/>
          <w:color w:val="auto"/>
        </w:rPr>
      </w:pPr>
    </w:p>
    <w:p>
      <w:pPr>
        <w:ind w:left="340" w:right="400" w:hanging="7"/>
        <w:spacing w:after="0" w:line="276" w:lineRule="auto"/>
        <w:tabs>
          <w:tab w:leader="none" w:pos="555" w:val="left"/>
        </w:tabs>
        <w:numPr>
          <w:ilvl w:val="1"/>
          <w:numId w:val="102"/>
        </w:numPr>
        <w:rPr>
          <w:rFonts w:ascii="Arial" w:cs="Arial" w:eastAsia="Arial" w:hAnsi="Arial"/>
          <w:sz w:val="13"/>
          <w:szCs w:val="13"/>
          <w:color w:val="auto"/>
        </w:rPr>
      </w:pPr>
      <w:r>
        <w:rPr>
          <w:rFonts w:ascii="Arial" w:cs="Arial" w:eastAsia="Arial" w:hAnsi="Arial"/>
          <w:sz w:val="13"/>
          <w:szCs w:val="13"/>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59" w:lineRule="exact"/>
        <w:rPr>
          <w:rFonts w:ascii="Arial" w:cs="Arial" w:eastAsia="Arial" w:hAnsi="Arial"/>
          <w:sz w:val="13"/>
          <w:szCs w:val="13"/>
          <w:color w:val="auto"/>
        </w:rPr>
      </w:pPr>
    </w:p>
    <w:p>
      <w:pPr>
        <w:ind w:left="340" w:hanging="7"/>
        <w:spacing w:after="0" w:line="258" w:lineRule="auto"/>
        <w:tabs>
          <w:tab w:leader="none" w:pos="547" w:val="left"/>
        </w:tabs>
        <w:numPr>
          <w:ilvl w:val="1"/>
          <w:numId w:val="102"/>
        </w:numPr>
        <w:rPr>
          <w:rFonts w:ascii="Arial" w:cs="Arial" w:eastAsia="Arial" w:hAnsi="Arial"/>
          <w:sz w:val="13"/>
          <w:szCs w:val="13"/>
          <w:color w:val="auto"/>
        </w:rPr>
      </w:pPr>
      <w:r>
        <w:rPr>
          <w:rFonts w:ascii="Arial" w:cs="Arial" w:eastAsia="Arial" w:hAnsi="Arial"/>
          <w:sz w:val="13"/>
          <w:szCs w:val="13"/>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57" w:lineRule="exact"/>
        <w:rPr>
          <w:rFonts w:ascii="Arial" w:cs="Arial" w:eastAsia="Arial" w:hAnsi="Arial"/>
          <w:sz w:val="13"/>
          <w:szCs w:val="13"/>
          <w:color w:val="auto"/>
        </w:rPr>
      </w:pPr>
    </w:p>
    <w:p>
      <w:pPr>
        <w:jc w:val="both"/>
        <w:ind w:right="20" w:firstLine="162"/>
        <w:spacing w:after="0" w:line="267" w:lineRule="auto"/>
        <w:tabs>
          <w:tab w:leader="none" w:pos="342"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Possible 280G Reduction. </w:t>
      </w:r>
      <w:r>
        <w:rPr>
          <w:rFonts w:ascii="Arial" w:cs="Arial" w:eastAsia="Arial" w:hAnsi="Arial"/>
          <w:sz w:val="13"/>
          <w:szCs w:val="13"/>
          <w:color w:val="auto"/>
        </w:rPr>
        <w:t>Following application of Section 22(a), in the event that the payment of the remaining Severance Benefits to Executive plus any other payments to Executive which would be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Internal Revenue Code Section 280G (including any reduced Severance Benefits) (“280G Severance Benefits”) would be subject (in whole or part), to any excise tax imposed under Internal Revenue Code Section 4999 (the “Excise Tax”), then the cash portion of the 280G Severance Benefits shall first be further reduced, and the non-cash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07" w:name="page108"/>
    <w:bookmarkEnd w:id="107"/>
    <w:p>
      <w:pPr>
        <w:spacing w:after="0" w:line="316" w:lineRule="auto"/>
        <w:rPr>
          <w:sz w:val="20"/>
          <w:szCs w:val="20"/>
          <w:color w:val="auto"/>
        </w:rPr>
      </w:pPr>
      <w:r>
        <w:rPr>
          <w:rFonts w:ascii="Arial" w:cs="Arial" w:eastAsia="Arial" w:hAnsi="Arial"/>
          <w:sz w:val="11"/>
          <w:szCs w:val="11"/>
          <w:color w:val="auto"/>
        </w:rPr>
        <w:t>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28" w:lineRule="exact"/>
        <w:rPr>
          <w:sz w:val="20"/>
          <w:szCs w:val="20"/>
          <w:color w:val="auto"/>
        </w:rPr>
      </w:pPr>
    </w:p>
    <w:p>
      <w:pPr>
        <w:ind w:right="40" w:firstLine="162"/>
        <w:spacing w:after="0" w:line="278" w:lineRule="auto"/>
        <w:tabs>
          <w:tab w:leader="none" w:pos="357"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Calculation of 280G Severance Benefits. </w:t>
      </w:r>
      <w:r>
        <w:rPr>
          <w:rFonts w:ascii="Arial" w:cs="Arial" w:eastAsia="Arial" w:hAnsi="Arial"/>
          <w:sz w:val="12"/>
          <w:szCs w:val="12"/>
          <w:color w:val="auto"/>
        </w:rPr>
        <w:t>For purposes of determining the 280G Severance Benefits, (i) no portion of the 280G Severance Benefits, the receipt or enjoyment of which Executive shall have</w:t>
      </w:r>
      <w:r>
        <w:rPr>
          <w:rFonts w:ascii="Arial" w:cs="Arial" w:eastAsia="Arial" w:hAnsi="Arial"/>
          <w:sz w:val="12"/>
          <w:szCs w:val="12"/>
          <w:b w:val="1"/>
          <w:bCs w:val="1"/>
          <w:color w:val="auto"/>
        </w:rPr>
        <w:t xml:space="preserve"> </w:t>
      </w:r>
      <w:r>
        <w:rPr>
          <w:rFonts w:ascii="Arial" w:cs="Arial" w:eastAsia="Arial" w:hAnsi="Arial"/>
          <w:sz w:val="12"/>
          <w:szCs w:val="12"/>
          <w:color w:val="auto"/>
        </w:rPr>
        <w:t>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280G(b)(2) (including by reason of Internal Revenue Code</w:t>
      </w:r>
    </w:p>
    <w:p>
      <w:pPr>
        <w:spacing w:after="0" w:line="1" w:lineRule="exact"/>
        <w:rPr>
          <w:rFonts w:ascii="Arial" w:cs="Arial" w:eastAsia="Arial" w:hAnsi="Arial"/>
          <w:sz w:val="12"/>
          <w:szCs w:val="12"/>
          <w:b w:val="1"/>
          <w:bCs w:val="1"/>
          <w:color w:val="auto"/>
        </w:rPr>
      </w:pPr>
    </w:p>
    <w:p>
      <w:pPr>
        <w:spacing w:after="0" w:line="327" w:lineRule="auto"/>
        <w:rPr>
          <w:rFonts w:ascii="Arial" w:cs="Arial" w:eastAsia="Arial" w:hAnsi="Arial"/>
          <w:sz w:val="12"/>
          <w:szCs w:val="12"/>
          <w:b w:val="1"/>
          <w:bCs w:val="1"/>
          <w:color w:val="auto"/>
        </w:rPr>
      </w:pPr>
      <w:r>
        <w:rPr>
          <w:rFonts w:ascii="Arial" w:cs="Arial" w:eastAsia="Arial" w:hAnsi="Arial"/>
          <w:sz w:val="11"/>
          <w:szCs w:val="11"/>
          <w:color w:val="auto"/>
        </w:rPr>
        <w:t>Section 280G(b)(4)(A)); (iii) no portion of the 280G Severance Benefits shall be taken into account which, in the opinion of Tax Counsel, constitutes reasonable compensation for services actually rendered, within the meaning of Internal Revenue Code Section 280G(b)(4)(B),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21" w:lineRule="exact"/>
        <w:rPr>
          <w:rFonts w:ascii="Arial" w:cs="Arial" w:eastAsia="Arial" w:hAnsi="Arial"/>
          <w:sz w:val="12"/>
          <w:szCs w:val="12"/>
          <w:b w:val="1"/>
          <w:bCs w:val="1"/>
          <w:color w:val="auto"/>
        </w:rPr>
      </w:pPr>
    </w:p>
    <w:p>
      <w:pPr>
        <w:ind w:right="280" w:firstLine="162"/>
        <w:spacing w:after="0" w:line="283" w:lineRule="auto"/>
        <w:tabs>
          <w:tab w:leader="none" w:pos="342"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Determination of Present Value. </w:t>
      </w:r>
      <w:r>
        <w:rPr>
          <w:rFonts w:ascii="Arial" w:cs="Arial" w:eastAsia="Arial" w:hAnsi="Arial"/>
          <w:sz w:val="13"/>
          <w:szCs w:val="13"/>
          <w:color w:val="auto"/>
        </w:rPr>
        <w:t>For purposes of this Section 22, the present value of Severance Benefits and 280G Severance Benefits 280G shall be determined in accordance with Internal Revenue Code</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280G(d)(4).</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23. Compliance with Internal Revenue Code Section 409A.</w:t>
      </w:r>
    </w:p>
    <w:p>
      <w:pPr>
        <w:spacing w:after="0" w:line="86" w:lineRule="exact"/>
        <w:rPr>
          <w:sz w:val="20"/>
          <w:szCs w:val="20"/>
          <w:color w:val="auto"/>
        </w:rPr>
      </w:pPr>
    </w:p>
    <w:p>
      <w:pPr>
        <w:ind w:left="340" w:hanging="178"/>
        <w:spacing w:after="0"/>
        <w:tabs>
          <w:tab w:leader="none" w:pos="34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Compliance. </w:t>
      </w:r>
      <w:r>
        <w:rPr>
          <w:rFonts w:ascii="Arial" w:cs="Arial" w:eastAsia="Arial" w:hAnsi="Arial"/>
          <w:sz w:val="12"/>
          <w:szCs w:val="12"/>
          <w:color w:val="auto"/>
        </w:rPr>
        <w:t>It is the intention of the Company and Executive that this Employment Agreement not result in unfavorable tax consequences to Executive under Internal Revenue Code Section 409A. This</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53" w:lineRule="exact"/>
        <w:rPr>
          <w:sz w:val="20"/>
          <w:szCs w:val="20"/>
          <w:color w:val="auto"/>
        </w:rPr>
      </w:pPr>
    </w:p>
    <w:p>
      <w:pPr>
        <w:ind w:right="280" w:firstLine="162"/>
        <w:spacing w:after="0" w:line="283" w:lineRule="auto"/>
        <w:tabs>
          <w:tab w:leader="none" w:pos="357"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Payment Timing. </w:t>
      </w:r>
      <w:r>
        <w:rPr>
          <w:rFonts w:ascii="Arial" w:cs="Arial" w:eastAsia="Arial" w:hAnsi="Arial"/>
          <w:sz w:val="13"/>
          <w:szCs w:val="13"/>
          <w:color w:val="auto"/>
        </w:rPr>
        <w:t>The payments of severance under Sections 6(e)(iii) and (iv) and Sections 7(a)(i) and (ii) above (“Separation Payments”) are designated as separate payments for purposes of the short-term</w:t>
      </w:r>
      <w:r>
        <w:rPr>
          <w:rFonts w:ascii="Arial" w:cs="Arial" w:eastAsia="Arial" w:hAnsi="Arial"/>
          <w:sz w:val="13"/>
          <w:szCs w:val="13"/>
          <w:b w:val="1"/>
          <w:bCs w:val="1"/>
          <w:color w:val="auto"/>
        </w:rPr>
        <w:t xml:space="preserve"> </w:t>
      </w:r>
      <w:r>
        <w:rPr>
          <w:rFonts w:ascii="Arial" w:cs="Arial" w:eastAsia="Arial" w:hAnsi="Arial"/>
          <w:sz w:val="13"/>
          <w:szCs w:val="13"/>
          <w:color w:val="auto"/>
        </w:rPr>
        <w:t>deferral rules under Treasury Regulation Section 1.409A-1(b)(4)(i)(F), and, with respect to such Separation Payments, the exemption for involuntary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8" w:name="page109"/>
    <w:bookmarkEnd w:id="108"/>
    <w:p>
      <w:pPr>
        <w:ind w:left="1"/>
        <w:spacing w:after="0" w:line="300" w:lineRule="auto"/>
        <w:rPr>
          <w:sz w:val="20"/>
          <w:szCs w:val="20"/>
          <w:color w:val="auto"/>
        </w:rPr>
      </w:pPr>
      <w:r>
        <w:rPr>
          <w:rFonts w:ascii="Arial" w:cs="Arial" w:eastAsia="Arial" w:hAnsi="Arial"/>
          <w:sz w:val="11"/>
          <w:szCs w:val="11"/>
          <w:color w:val="auto"/>
        </w:rPr>
        <w:t>terminations under separation pay plans under Treasury Regulation Section 1.409A-1(b)(9)(iii). As a result, (A) Separation Payments that are by their terms scheduled to be made on or before March 15th of the calendar year following the applicable year of termination, (B) 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w:t>
      </w:r>
    </w:p>
    <w:p>
      <w:pPr>
        <w:spacing w:after="0" w:line="2" w:lineRule="exact"/>
        <w:rPr>
          <w:sz w:val="20"/>
          <w:szCs w:val="20"/>
          <w:color w:val="auto"/>
        </w:rPr>
      </w:pPr>
    </w:p>
    <w:p>
      <w:pPr>
        <w:ind w:left="1" w:right="80" w:hanging="1"/>
        <w:spacing w:after="0" w:line="264" w:lineRule="auto"/>
        <w:tabs>
          <w:tab w:leader="none" w:pos="18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months and one (1) day after Executive’s termination. Continued medical benefits under Sections 6(e)(v) and 7(a)(i) above are intended to satisfy the exemption for medical expense reimbursements under Treasury Regulation Section 1.409A-1(b)(9)(v)(B).</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WITNESS WHEREOF, this Agreement is EXECUTED as of the date first set forth above and effective as set forth therein.</w:t>
      </w:r>
    </w:p>
    <w:p>
      <w:pPr>
        <w:spacing w:after="0" w:line="161" w:lineRule="exact"/>
        <w:rPr>
          <w:sz w:val="20"/>
          <w:szCs w:val="20"/>
          <w:color w:val="auto"/>
        </w:rPr>
      </w:pPr>
    </w:p>
    <w:p>
      <w:pPr>
        <w:ind w:left="5521"/>
        <w:spacing w:after="0"/>
        <w:rPr>
          <w:sz w:val="20"/>
          <w:szCs w:val="20"/>
          <w:color w:val="auto"/>
        </w:rPr>
      </w:pPr>
      <w:r>
        <w:rPr>
          <w:rFonts w:ascii="Arial" w:cs="Arial" w:eastAsia="Arial" w:hAnsi="Arial"/>
          <w:sz w:val="13"/>
          <w:szCs w:val="13"/>
          <w:b w:val="1"/>
          <w:bCs w:val="1"/>
          <w:color w:val="auto"/>
        </w:rPr>
        <w:t>JAMES C. FISH, JR.</w:t>
      </w:r>
    </w:p>
    <w:p>
      <w:pPr>
        <w:spacing w:after="0" w:line="19"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w:t>
      </w:r>
    </w:p>
    <w:p>
      <w:pPr>
        <w:spacing w:after="0" w:line="15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9083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James C. Fish, Jr.</w:t>
      </w:r>
    </w:p>
    <w:p>
      <w:pPr>
        <w:spacing w:after="0" w:line="165" w:lineRule="exact"/>
        <w:rPr>
          <w:sz w:val="20"/>
          <w:szCs w:val="20"/>
          <w:color w:val="auto"/>
        </w:rPr>
      </w:pPr>
    </w:p>
    <w:p>
      <w:pPr>
        <w:ind w:left="9581"/>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4155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15540" cy="635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216535</wp:posOffset>
            </wp:positionV>
            <wp:extent cx="29083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9" w:name="page110"/>
    <w:bookmarkEnd w:id="109"/>
    <w:p>
      <w:pPr>
        <w:ind w:left="420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(The “Company”)</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10795</wp:posOffset>
            </wp:positionV>
            <wp:extent cx="259651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jc w:val="right"/>
        <w:ind w:right="2559"/>
        <w:spacing w:after="0"/>
        <w:rPr>
          <w:sz w:val="20"/>
          <w:szCs w:val="20"/>
          <w:color w:val="auto"/>
        </w:rPr>
      </w:pPr>
      <w:r>
        <w:rPr>
          <w:rFonts w:ascii="Arial" w:cs="Arial" w:eastAsia="Arial" w:hAnsi="Arial"/>
          <w:sz w:val="13"/>
          <w:szCs w:val="13"/>
          <w:color w:val="auto"/>
        </w:rPr>
        <w:t>President and Chief Executive Officer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019"/>
          </w:cols>
          <w:pgMar w:left="1440" w:top="874"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10.3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90" w:lineRule="exact"/>
        <w:rPr>
          <w:sz w:val="20"/>
          <w:szCs w:val="20"/>
          <w:color w:val="auto"/>
        </w:rPr>
      </w:pPr>
    </w:p>
    <w:p>
      <w:pPr>
        <w:ind w:right="620" w:firstLine="161"/>
        <w:spacing w:after="0" w:line="276" w:lineRule="auto"/>
        <w:rPr>
          <w:sz w:val="20"/>
          <w:szCs w:val="20"/>
          <w:color w:val="auto"/>
        </w:rPr>
      </w:pPr>
      <w:r>
        <w:rPr>
          <w:rFonts w:ascii="Arial" w:cs="Arial" w:eastAsia="Arial" w:hAnsi="Arial"/>
          <w:sz w:val="13"/>
          <w:szCs w:val="13"/>
          <w:color w:val="auto"/>
        </w:rPr>
        <w:t>This EMPLOYMENT AGREEMENT (the “Agreement”) is made and entered into on this 23rd day of August, 2011 by and between Waste Management, Inc. (the “Company”) and William K. Caesar (the “Executive”).</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shall employ Executive, and Executive shall be employed by the Company upon the terms and subject to the conditions set forth in this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 Term of Employment.</w:t>
      </w:r>
    </w:p>
    <w:p>
      <w:pPr>
        <w:spacing w:after="0" w:line="9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The period of Executive’s employment under this Agreement began on June 13, 2011 (“Employment Date”), and may be terminated by either party pursuant to Section 5 below. The period during which Executive is employed hereunder shall be referred to as the “Employment Period.”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3. Duties and Responsibilities.</w:t>
      </w:r>
    </w:p>
    <w:p>
      <w:pPr>
        <w:spacing w:after="0" w:line="90" w:lineRule="exact"/>
        <w:rPr>
          <w:sz w:val="20"/>
          <w:szCs w:val="20"/>
          <w:color w:val="auto"/>
        </w:rPr>
      </w:pPr>
    </w:p>
    <w:p>
      <w:pPr>
        <w:ind w:right="100" w:firstLine="162"/>
        <w:spacing w:after="0" w:line="276" w:lineRule="auto"/>
        <w:tabs>
          <w:tab w:leader="none" w:pos="349"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Executive shall serve as Chef Strategy Officer. In such capacity, Executive shall perform such duties and have the power, authority, and functions consistent with such position, as may be deemed appropriate for the position and assigned to Executive from time to time by the Chief Executive Officer or the Board of Directors (the “Board”) of the Company.</w:t>
      </w:r>
    </w:p>
    <w:p>
      <w:pPr>
        <w:spacing w:after="0" w:line="49" w:lineRule="exact"/>
        <w:rPr>
          <w:rFonts w:ascii="Arial" w:cs="Arial" w:eastAsia="Arial" w:hAnsi="Arial"/>
          <w:sz w:val="13"/>
          <w:szCs w:val="13"/>
          <w:b w:val="1"/>
          <w:bCs w:val="1"/>
          <w:color w:val="auto"/>
        </w:rPr>
      </w:pPr>
    </w:p>
    <w:p>
      <w:pPr>
        <w:jc w:val="both"/>
        <w:ind w:right="80" w:firstLine="162"/>
        <w:spacing w:after="0" w:line="260" w:lineRule="auto"/>
        <w:tabs>
          <w:tab w:leader="none" w:pos="356"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 Compensation and Benefits.</w:t>
      </w:r>
    </w:p>
    <w:p>
      <w:pPr>
        <w:spacing w:after="0" w:line="86" w:lineRule="exact"/>
        <w:rPr>
          <w:sz w:val="20"/>
          <w:szCs w:val="20"/>
          <w:color w:val="auto"/>
        </w:rPr>
      </w:pPr>
    </w:p>
    <w:p>
      <w:pPr>
        <w:ind w:right="100" w:firstLine="162"/>
        <w:spacing w:after="0" w:line="267" w:lineRule="auto"/>
        <w:tabs>
          <w:tab w:leader="none" w:pos="349"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During the Employment Period, the Company shall pay Executive a base salary at the annual rate of Three Hundred Sixty Thousand Five Hundred and 00/100ths Dollars ($360,500.00) per year, or</w:t>
      </w:r>
      <w:r>
        <w:rPr>
          <w:rFonts w:ascii="Arial" w:cs="Arial" w:eastAsia="Arial" w:hAnsi="Arial"/>
          <w:sz w:val="13"/>
          <w:szCs w:val="13"/>
          <w:b w:val="1"/>
          <w:bCs w:val="1"/>
          <w:color w:val="auto"/>
        </w:rPr>
        <w:t xml:space="preserve"> </w:t>
      </w:r>
      <w:r>
        <w:rPr>
          <w:rFonts w:ascii="Arial" w:cs="Arial" w:eastAsia="Arial" w:hAnsi="Arial"/>
          <w:sz w:val="13"/>
          <w:szCs w:val="13"/>
          <w:color w:val="auto"/>
        </w:rPr>
        <w:t>such higher rate as may be determined from time to time by the Company (“Base Salary”). Such Base Salary shall be paid in accordance with the Company’s standard payroll practice for its executive officers. Once increased, Base Salary shall not be reduced except by mutual agreement.</w:t>
      </w:r>
    </w:p>
    <w:p>
      <w:pPr>
        <w:spacing w:after="0" w:line="51" w:lineRule="exact"/>
        <w:rPr>
          <w:rFonts w:ascii="Arial" w:cs="Arial" w:eastAsia="Arial" w:hAnsi="Arial"/>
          <w:sz w:val="13"/>
          <w:szCs w:val="13"/>
          <w:b w:val="1"/>
          <w:bCs w:val="1"/>
          <w:color w:val="auto"/>
        </w:rPr>
      </w:pPr>
    </w:p>
    <w:p>
      <w:pPr>
        <w:ind w:right="280" w:firstLine="162"/>
        <w:spacing w:after="0" w:line="283" w:lineRule="auto"/>
        <w:tabs>
          <w:tab w:leader="none" w:pos="349"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Annual Bonus. </w:t>
      </w:r>
      <w:r>
        <w:rPr>
          <w:rFonts w:ascii="Arial" w:cs="Arial" w:eastAsia="Arial" w:hAnsi="Arial"/>
          <w:sz w:val="13"/>
          <w:szCs w:val="13"/>
          <w:color w:val="auto"/>
        </w:rPr>
        <w:t>Beginning on January 1, 2011 and continuing during the remaining Employment Period, Executive will be entitled to participate in an annual incentive compensation plan of the Company, as</w:t>
      </w:r>
      <w:r>
        <w:rPr>
          <w:rFonts w:ascii="Arial" w:cs="Arial" w:eastAsia="Arial" w:hAnsi="Arial"/>
          <w:sz w:val="13"/>
          <w:szCs w:val="13"/>
          <w:b w:val="1"/>
          <w:bCs w:val="1"/>
          <w:color w:val="auto"/>
        </w:rPr>
        <w:t xml:space="preserve"> </w:t>
      </w:r>
      <w:r>
        <w:rPr>
          <w:rFonts w:ascii="Arial" w:cs="Arial" w:eastAsia="Arial" w:hAnsi="Arial"/>
          <w:sz w:val="13"/>
          <w:szCs w:val="13"/>
          <w:color w:val="auto"/>
        </w:rPr>
        <w:t>established by the Management Development and Compensation Committee (“Compensation Committee”) of the Board from time to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1" w:name="page112"/>
    <w:bookmarkEnd w:id="111"/>
    <w:p>
      <w:pPr>
        <w:ind w:right="40"/>
        <w:spacing w:after="0" w:line="260" w:lineRule="auto"/>
        <w:rPr>
          <w:sz w:val="20"/>
          <w:szCs w:val="20"/>
          <w:color w:val="auto"/>
        </w:rPr>
      </w:pPr>
      <w:r>
        <w:rPr>
          <w:rFonts w:ascii="Arial" w:cs="Arial" w:eastAsia="Arial" w:hAnsi="Arial"/>
          <w:sz w:val="13"/>
          <w:szCs w:val="13"/>
          <w:color w:val="auto"/>
        </w:rPr>
        <w:t>Executive’s target annual bonus will be sixty percent (60%) of his Base Salary in effect for such year (the “Target Bonus”), and his actual annual bonus may range from 0% to 120% of Base Salary (</w:t>
      </w:r>
      <w:r>
        <w:rPr>
          <w:rFonts w:ascii="Arial" w:cs="Arial" w:eastAsia="Arial" w:hAnsi="Arial"/>
          <w:sz w:val="13"/>
          <w:szCs w:val="13"/>
          <w:i w:val="1"/>
          <w:iCs w:val="1"/>
          <w:color w:val="auto"/>
        </w:rPr>
        <w:t>i.e</w:t>
      </w:r>
      <w:r>
        <w:rPr>
          <w:rFonts w:ascii="Arial" w:cs="Arial" w:eastAsia="Arial" w:hAnsi="Arial"/>
          <w:sz w:val="13"/>
          <w:szCs w:val="13"/>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Executive’s immediate supervisor. The annual bonus will be paid at such time and in such manner as set forth in the annual incentive compensation plan document.</w:t>
      </w:r>
    </w:p>
    <w:p>
      <w:pPr>
        <w:spacing w:after="0" w:line="56" w:lineRule="exact"/>
        <w:rPr>
          <w:sz w:val="20"/>
          <w:szCs w:val="20"/>
          <w:color w:val="auto"/>
        </w:rPr>
      </w:pPr>
    </w:p>
    <w:p>
      <w:pPr>
        <w:jc w:val="both"/>
        <w:ind w:firstLine="162"/>
        <w:spacing w:after="0" w:line="300" w:lineRule="auto"/>
        <w:tabs>
          <w:tab w:leader="none" w:pos="342"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Benefit Plans and Vacation. </w:t>
      </w:r>
      <w:r>
        <w:rPr>
          <w:rFonts w:ascii="Arial" w:cs="Arial" w:eastAsia="Arial" w:hAnsi="Arial"/>
          <w:sz w:val="12"/>
          <w:szCs w:val="12"/>
          <w:color w:val="auto"/>
        </w:rPr>
        <w:t>Subject to the terms of such plans, Executive shall be eligible to participate in or receive benefits under any profit sharing plan, salary deferral plan, medical and dental benefits plan,</w:t>
      </w:r>
      <w:r>
        <w:rPr>
          <w:rFonts w:ascii="Arial" w:cs="Arial" w:eastAsia="Arial" w:hAnsi="Arial"/>
          <w:sz w:val="12"/>
          <w:szCs w:val="12"/>
          <w:b w:val="1"/>
          <w:bCs w:val="1"/>
          <w:color w:val="auto"/>
        </w:rPr>
        <w:t xml:space="preserve"> </w:t>
      </w:r>
      <w:r>
        <w:rPr>
          <w:rFonts w:ascii="Arial" w:cs="Arial" w:eastAsia="Arial" w:hAnsi="Arial"/>
          <w:sz w:val="12"/>
          <w:szCs w:val="12"/>
          <w:color w:val="auto"/>
        </w:rPr>
        <w:t>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w:t>
      </w:r>
    </w:p>
    <w:p>
      <w:pPr>
        <w:spacing w:after="0" w:line="37"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45" w:lineRule="exact"/>
        <w:rPr>
          <w:sz w:val="20"/>
          <w:szCs w:val="20"/>
          <w:color w:val="auto"/>
        </w:rPr>
      </w:pPr>
    </w:p>
    <w:p>
      <w:pPr>
        <w:jc w:val="both"/>
        <w:ind w:right="140" w:firstLine="162"/>
        <w:spacing w:after="0" w:line="267" w:lineRule="auto"/>
        <w:tabs>
          <w:tab w:leader="none" w:pos="357"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 Reimbursement. </w:t>
      </w:r>
      <w:r>
        <w:rPr>
          <w:rFonts w:ascii="Arial" w:cs="Arial" w:eastAsia="Arial" w:hAnsi="Arial"/>
          <w:sz w:val="13"/>
          <w:szCs w:val="13"/>
          <w:color w:val="auto"/>
        </w:rPr>
        <w:t>The Company shall promptly reimburse Executive for the ordinary and necessary business expenses incurred by Executive in the performance of his duties hereunder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51" w:lineRule="exact"/>
        <w:rPr>
          <w:rFonts w:ascii="Arial" w:cs="Arial" w:eastAsia="Arial" w:hAnsi="Arial"/>
          <w:sz w:val="13"/>
          <w:szCs w:val="13"/>
          <w:b w:val="1"/>
          <w:bCs w:val="1"/>
          <w:color w:val="auto"/>
        </w:rPr>
      </w:pPr>
    </w:p>
    <w:p>
      <w:pPr>
        <w:ind w:left="340" w:hanging="178"/>
        <w:spacing w:after="0"/>
        <w:tabs>
          <w:tab w:leader="none" w:pos="340" w:val="left"/>
        </w:tabs>
        <w:numPr>
          <w:ilvl w:val="0"/>
          <w:numId w:val="11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Other Perquisites. </w:t>
      </w:r>
      <w:r>
        <w:rPr>
          <w:rFonts w:ascii="Arial" w:cs="Arial" w:eastAsia="Arial" w:hAnsi="Arial"/>
          <w:sz w:val="11"/>
          <w:szCs w:val="11"/>
          <w:color w:val="auto"/>
        </w:rPr>
        <w:t>Executive shall be entitled to all perquisites provided to Senior Vice Presidents of the Company as approved by the Compensation Committee of the Board, and as they may exist from time to</w:t>
      </w:r>
    </w:p>
    <w:p>
      <w:pPr>
        <w:spacing w:after="0" w:line="42"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time.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5. Termination of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Executive’s employment hereunder may be terminated during the Employment Period under the following circumstances:</w:t>
      </w:r>
    </w:p>
    <w:p>
      <w:pPr>
        <w:spacing w:after="0" w:line="82" w:lineRule="exact"/>
        <w:rPr>
          <w:sz w:val="20"/>
          <w:szCs w:val="20"/>
          <w:color w:val="auto"/>
        </w:rPr>
      </w:pPr>
    </w:p>
    <w:p>
      <w:pPr>
        <w:ind w:left="340" w:hanging="178"/>
        <w:spacing w:after="0"/>
        <w:tabs>
          <w:tab w:leader="none" w:pos="340"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Death. </w:t>
      </w:r>
      <w:r>
        <w:rPr>
          <w:rFonts w:ascii="Arial" w:cs="Arial" w:eastAsia="Arial" w:hAnsi="Arial"/>
          <w:sz w:val="13"/>
          <w:szCs w:val="13"/>
          <w:color w:val="auto"/>
        </w:rPr>
        <w:t>Executive’s employment hereunder shall terminate upon Executive’s death.</w:t>
      </w:r>
    </w:p>
    <w:p>
      <w:pPr>
        <w:spacing w:after="0" w:line="86" w:lineRule="exact"/>
        <w:rPr>
          <w:rFonts w:ascii="Arial" w:cs="Arial" w:eastAsia="Arial" w:hAnsi="Arial"/>
          <w:sz w:val="13"/>
          <w:szCs w:val="13"/>
          <w:b w:val="1"/>
          <w:bCs w:val="1"/>
          <w:color w:val="auto"/>
        </w:rPr>
      </w:pPr>
    </w:p>
    <w:p>
      <w:pPr>
        <w:ind w:right="320" w:firstLine="162"/>
        <w:spacing w:after="0" w:line="267" w:lineRule="auto"/>
        <w:tabs>
          <w:tab w:leader="none" w:pos="354"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Total Disability. </w:t>
      </w:r>
      <w:r>
        <w:rPr>
          <w:rFonts w:ascii="Arial" w:cs="Arial" w:eastAsia="Arial" w:hAnsi="Arial"/>
          <w:sz w:val="13"/>
          <w:szCs w:val="13"/>
          <w:color w:val="auto"/>
        </w:rPr>
        <w:t>The Company may terminate Executive’s employment hereunder upon Executive’s becoming “Totally Disabled.” For purposes of this Agreement, Executive shall be considered “Totally</w:t>
      </w:r>
      <w:r>
        <w:rPr>
          <w:rFonts w:ascii="Arial" w:cs="Arial" w:eastAsia="Arial" w:hAnsi="Arial"/>
          <w:sz w:val="13"/>
          <w:szCs w:val="13"/>
          <w:b w:val="1"/>
          <w:bCs w:val="1"/>
          <w:color w:val="auto"/>
        </w:rPr>
        <w:t xml:space="preserve"> </w:t>
      </w:r>
      <w:r>
        <w:rPr>
          <w:rFonts w:ascii="Arial" w:cs="Arial" w:eastAsia="Arial" w:hAnsi="Arial"/>
          <w:sz w:val="13"/>
          <w:szCs w:val="13"/>
          <w:color w:val="auto"/>
        </w:rPr>
        <w:t>Disabled” if Executive has become physically or mentally disabled so as to render Executive incapable of performing the essential functions of his position (with or without reasonable accommodations) and such disability is expected to result in death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2" w:name="page113"/>
    <w:bookmarkEnd w:id="112"/>
    <w:p>
      <w:pPr>
        <w:ind w:right="180"/>
        <w:spacing w:after="0" w:line="320" w:lineRule="auto"/>
        <w:rPr>
          <w:sz w:val="20"/>
          <w:szCs w:val="20"/>
          <w:color w:val="auto"/>
        </w:rPr>
      </w:pPr>
      <w:r>
        <w:rPr>
          <w:rFonts w:ascii="Arial" w:cs="Arial" w:eastAsia="Arial" w:hAnsi="Arial"/>
          <w:sz w:val="12"/>
          <w:szCs w:val="12"/>
          <w:color w:val="auto"/>
        </w:rPr>
        <w:t>to last for a continuous period of at least 12 months, provided that such condition constitutes a “disability” within the meaning of Section 409A of the Internal Revenue Code. Executive’s receipt of disability benefits under the Company’s long-term disability plan or receipt of Social Security disability benefits shall be deemed conclusive evidence of Total Disability for purpose of this Agreement.</w:t>
      </w:r>
    </w:p>
    <w:p>
      <w:pPr>
        <w:spacing w:after="0" w:line="21" w:lineRule="exact"/>
        <w:rPr>
          <w:sz w:val="20"/>
          <w:szCs w:val="20"/>
          <w:color w:val="auto"/>
        </w:rPr>
      </w:pPr>
    </w:p>
    <w:p>
      <w:pPr>
        <w:ind w:left="340" w:hanging="178"/>
        <w:spacing w:after="0"/>
        <w:tabs>
          <w:tab w:leader="none" w:pos="34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the Company for Cause. </w:t>
      </w:r>
      <w:r>
        <w:rPr>
          <w:rFonts w:ascii="Arial" w:cs="Arial" w:eastAsia="Arial" w:hAnsi="Arial"/>
          <w:sz w:val="12"/>
          <w:szCs w:val="12"/>
          <w:color w:val="auto"/>
        </w:rPr>
        <w:t>The Company may terminate Executive’s employment hereunder for “Cause” at any time after providing a Notice of Termination for Cause to Executive.</w:t>
      </w:r>
    </w:p>
    <w:p>
      <w:pPr>
        <w:spacing w:after="0" w:line="101" w:lineRule="exact"/>
        <w:rPr>
          <w:rFonts w:ascii="Arial" w:cs="Arial" w:eastAsia="Arial" w:hAnsi="Arial"/>
          <w:sz w:val="12"/>
          <w:szCs w:val="12"/>
          <w:b w:val="1"/>
          <w:bCs w:val="1"/>
          <w:color w:val="auto"/>
        </w:rPr>
      </w:pPr>
    </w:p>
    <w:p>
      <w:pPr>
        <w:ind w:left="680" w:hanging="337"/>
        <w:spacing w:after="0" w:line="282" w:lineRule="auto"/>
        <w:tabs>
          <w:tab w:leader="none" w:pos="68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 xml:space="preserve">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2"/>
          <w:szCs w:val="12"/>
          <w:i w:val="1"/>
          <w:iCs w:val="1"/>
          <w:color w:val="auto"/>
        </w:rPr>
        <w:t>nolo contendre</w:t>
      </w:r>
      <w:r>
        <w:rPr>
          <w:rFonts w:ascii="Arial" w:cs="Arial" w:eastAsia="Arial" w:hAnsi="Arial"/>
          <w:sz w:val="12"/>
          <w:szCs w:val="12"/>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49" w:lineRule="exact"/>
        <w:rPr>
          <w:rFonts w:ascii="Arial" w:cs="Arial" w:eastAsia="Arial" w:hAnsi="Arial"/>
          <w:sz w:val="12"/>
          <w:szCs w:val="12"/>
          <w:color w:val="auto"/>
        </w:rPr>
      </w:pPr>
    </w:p>
    <w:p>
      <w:pPr>
        <w:ind w:left="680" w:right="140" w:hanging="337"/>
        <w:spacing w:after="0" w:line="276" w:lineRule="auto"/>
        <w:tabs>
          <w:tab w:leader="none" w:pos="6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45" w:lineRule="exact"/>
        <w:rPr>
          <w:rFonts w:ascii="Arial" w:cs="Arial" w:eastAsia="Arial" w:hAnsi="Arial"/>
          <w:sz w:val="13"/>
          <w:szCs w:val="13"/>
          <w:color w:val="auto"/>
        </w:rPr>
      </w:pPr>
    </w:p>
    <w:p>
      <w:pPr>
        <w:ind w:left="360" w:hanging="198"/>
        <w:spacing w:after="0"/>
        <w:tabs>
          <w:tab w:leader="none" w:pos="36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Executive may terminate his employment hereunder with or without Good Reason at any time upon written notice to the Company.</w:t>
      </w:r>
    </w:p>
    <w:p>
      <w:pPr>
        <w:spacing w:after="0" w:line="90" w:lineRule="exact"/>
        <w:rPr>
          <w:rFonts w:ascii="Arial" w:cs="Arial" w:eastAsia="Arial" w:hAnsi="Arial"/>
          <w:sz w:val="13"/>
          <w:szCs w:val="13"/>
          <w:b w:val="1"/>
          <w:bCs w:val="1"/>
          <w:color w:val="auto"/>
        </w:rPr>
      </w:pPr>
    </w:p>
    <w:p>
      <w:pPr>
        <w:ind w:left="680" w:right="40" w:hanging="337"/>
        <w:spacing w:after="0" w:line="258" w:lineRule="auto"/>
        <w:tabs>
          <w:tab w:leader="none" w:pos="6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3" w:name="page114"/>
    <w:bookmarkEnd w:id="113"/>
    <w:p>
      <w:pPr>
        <w:ind w:left="680"/>
        <w:spacing w:after="0" w:line="285" w:lineRule="auto"/>
        <w:rPr>
          <w:sz w:val="20"/>
          <w:szCs w:val="20"/>
          <w:color w:val="auto"/>
        </w:rPr>
      </w:pPr>
      <w:r>
        <w:rPr>
          <w:rFonts w:ascii="Arial" w:cs="Arial" w:eastAsia="Arial" w:hAnsi="Arial"/>
          <w:sz w:val="12"/>
          <w:szCs w:val="12"/>
          <w:color w:val="auto"/>
        </w:rPr>
        <w:t>of Executive’s employment for Death, Total Disability,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the Executive from the officer position with the Company specified herein, or removal of the Executive from any of his then officer positions; (D) any material breach by the Company of any provision of this Agreement;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46" w:lineRule="exact"/>
        <w:rPr>
          <w:sz w:val="20"/>
          <w:szCs w:val="20"/>
          <w:color w:val="auto"/>
        </w:rPr>
      </w:pPr>
    </w:p>
    <w:p>
      <w:pPr>
        <w:ind w:left="680" w:right="40" w:hanging="337"/>
        <w:spacing w:after="0" w:line="260" w:lineRule="auto"/>
        <w:tabs>
          <w:tab w:leader="none" w:pos="6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5" w:lineRule="exact"/>
        <w:rPr>
          <w:rFonts w:ascii="Arial" w:cs="Arial" w:eastAsia="Arial" w:hAnsi="Arial"/>
          <w:sz w:val="13"/>
          <w:szCs w:val="13"/>
          <w:color w:val="auto"/>
        </w:rPr>
      </w:pPr>
    </w:p>
    <w:p>
      <w:pPr>
        <w:ind w:left="340" w:hanging="178"/>
        <w:spacing w:after="0"/>
        <w:tabs>
          <w:tab w:leader="none" w:pos="34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w:t>
      </w:r>
      <w:r>
        <w:rPr>
          <w:rFonts w:ascii="Arial" w:cs="Arial" w:eastAsia="Arial" w:hAnsi="Arial"/>
          <w:sz w:val="13"/>
          <w:szCs w:val="13"/>
          <w:color w:val="auto"/>
        </w:rPr>
        <w:t>The Company may terminate Executive’s employment hereunder without Cause at any time upon written notice to Executive.</w:t>
      </w:r>
    </w:p>
    <w:p>
      <w:pPr>
        <w:spacing w:after="0" w:line="86" w:lineRule="exact"/>
        <w:rPr>
          <w:rFonts w:ascii="Arial" w:cs="Arial" w:eastAsia="Arial" w:hAnsi="Arial"/>
          <w:sz w:val="13"/>
          <w:szCs w:val="13"/>
          <w:b w:val="1"/>
          <w:bCs w:val="1"/>
          <w:color w:val="auto"/>
        </w:rPr>
      </w:pPr>
    </w:p>
    <w:p>
      <w:pPr>
        <w:ind w:right="40" w:firstLine="162"/>
        <w:spacing w:after="0" w:line="283" w:lineRule="auto"/>
        <w:tabs>
          <w:tab w:leader="none" w:pos="327"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 of Termination. </w:t>
      </w:r>
      <w:r>
        <w:rPr>
          <w:rFonts w:ascii="Arial" w:cs="Arial" w:eastAsia="Arial" w:hAnsi="Arial"/>
          <w:sz w:val="13"/>
          <w:szCs w:val="13"/>
          <w:color w:val="auto"/>
        </w:rPr>
        <w:t>Upon any termination of employment for any reason, Executive shall immediately resign from all Board memberships and other positions with the Company or any of its subsidiaries held</w:t>
      </w:r>
      <w:r>
        <w:rPr>
          <w:rFonts w:ascii="Arial" w:cs="Arial" w:eastAsia="Arial" w:hAnsi="Arial"/>
          <w:sz w:val="13"/>
          <w:szCs w:val="13"/>
          <w:b w:val="1"/>
          <w:bCs w:val="1"/>
          <w:color w:val="auto"/>
        </w:rPr>
        <w:t xml:space="preserve"> </w:t>
      </w:r>
      <w:r>
        <w:rPr>
          <w:rFonts w:ascii="Arial" w:cs="Arial" w:eastAsia="Arial" w:hAnsi="Arial"/>
          <w:sz w:val="13"/>
          <w:szCs w:val="13"/>
          <w:color w:val="auto"/>
        </w:rPr>
        <w:t>by him at such time.</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6. Compensation Following Termination of Employment.</w:t>
      </w:r>
    </w:p>
    <w:p>
      <w:pPr>
        <w:spacing w:after="0" w:line="9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45" w:lineRule="exact"/>
        <w:rPr>
          <w:sz w:val="20"/>
          <w:szCs w:val="20"/>
          <w:color w:val="auto"/>
        </w:rPr>
      </w:pPr>
    </w:p>
    <w:p>
      <w:pPr>
        <w:ind w:left="340" w:hanging="178"/>
        <w:spacing w:after="0"/>
        <w:tabs>
          <w:tab w:leader="none" w:pos="34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Reason of Death. </w:t>
      </w:r>
      <w:r>
        <w:rPr>
          <w:rFonts w:ascii="Arial" w:cs="Arial" w:eastAsia="Arial" w:hAnsi="Arial"/>
          <w:sz w:val="12"/>
          <w:szCs w:val="12"/>
          <w:color w:val="auto"/>
        </w:rPr>
        <w:t>In the event that Executive’s employment is terminated by reason of Executive’s death, the Company shall pay the following amounts to Executive’s beneficiary or estate:</w:t>
      </w:r>
    </w:p>
    <w:p>
      <w:pPr>
        <w:spacing w:after="0" w:line="101" w:lineRule="exact"/>
        <w:rPr>
          <w:rFonts w:ascii="Arial" w:cs="Arial" w:eastAsia="Arial" w:hAnsi="Arial"/>
          <w:sz w:val="12"/>
          <w:szCs w:val="12"/>
          <w:b w:val="1"/>
          <w:bCs w:val="1"/>
          <w:color w:val="auto"/>
        </w:rPr>
      </w:pPr>
    </w:p>
    <w:p>
      <w:pPr>
        <w:ind w:left="680" w:hanging="337"/>
        <w:spacing w:after="0" w:line="264"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death, any accrued but unpaid expenses required to be reimbursed under this Agreement, any accrued but unused vacation to the date of employment termination, and any earned but unpaid bonuses for any prior calendar year. Executive shall also be eligible for a pro-rata bonus or incentive compensation payment for the calendar year of his employment termination to the extent such awards are made to other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4" w:name="page115"/>
    <w:bookmarkEnd w:id="114"/>
    <w:p>
      <w:pPr>
        <w:ind w:left="620"/>
        <w:spacing w:after="0"/>
        <w:rPr>
          <w:sz w:val="20"/>
          <w:szCs w:val="20"/>
          <w:color w:val="auto"/>
        </w:rPr>
      </w:pPr>
      <w:r>
        <w:rPr>
          <w:rFonts w:ascii="Arial" w:cs="Arial" w:eastAsia="Arial" w:hAnsi="Arial"/>
          <w:sz w:val="13"/>
          <w:szCs w:val="13"/>
          <w:color w:val="auto"/>
        </w:rPr>
        <w:t>senior executives of the Company and paid at the same time as other senior executives are paid.</w:t>
      </w:r>
    </w:p>
    <w:p>
      <w:pPr>
        <w:spacing w:after="0" w:line="86" w:lineRule="exact"/>
        <w:rPr>
          <w:sz w:val="20"/>
          <w:szCs w:val="20"/>
          <w:color w:val="auto"/>
        </w:rPr>
      </w:pPr>
    </w:p>
    <w:p>
      <w:pPr>
        <w:ind w:left="620" w:right="40" w:hanging="337"/>
        <w:spacing w:after="0" w:line="276" w:lineRule="auto"/>
        <w:tabs>
          <w:tab w:leader="none" w:pos="62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45" w:lineRule="exact"/>
        <w:rPr>
          <w:rFonts w:ascii="Arial" w:cs="Arial" w:eastAsia="Arial" w:hAnsi="Arial"/>
          <w:sz w:val="13"/>
          <w:szCs w:val="13"/>
          <w:color w:val="auto"/>
        </w:rPr>
      </w:pPr>
    </w:p>
    <w:p>
      <w:pPr>
        <w:ind w:left="-60" w:right="100" w:firstLine="162"/>
        <w:spacing w:after="0" w:line="283" w:lineRule="auto"/>
        <w:tabs>
          <w:tab w:leader="none" w:pos="294"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Reason of Total Disability. </w:t>
      </w:r>
      <w:r>
        <w:rPr>
          <w:rFonts w:ascii="Arial" w:cs="Arial" w:eastAsia="Arial" w:hAnsi="Arial"/>
          <w:sz w:val="13"/>
          <w:szCs w:val="13"/>
          <w:color w:val="auto"/>
        </w:rPr>
        <w:t>In the event that Executive’s employment is terminated by the Company by reason of Executive’s Total Disability (as determined in accordance with Section 5(b)),</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pay the following amounts to Executive:</w:t>
      </w:r>
    </w:p>
    <w:p>
      <w:pPr>
        <w:spacing w:after="0" w:line="44" w:lineRule="exact"/>
        <w:rPr>
          <w:rFonts w:ascii="Arial" w:cs="Arial" w:eastAsia="Arial" w:hAnsi="Arial"/>
          <w:sz w:val="13"/>
          <w:szCs w:val="13"/>
          <w:b w:val="1"/>
          <w:bCs w:val="1"/>
          <w:color w:val="auto"/>
        </w:rPr>
      </w:pPr>
    </w:p>
    <w:p>
      <w:pPr>
        <w:jc w:val="both"/>
        <w:ind w:left="620" w:right="80" w:hanging="337"/>
        <w:spacing w:after="0" w:line="296" w:lineRule="auto"/>
        <w:tabs>
          <w:tab w:leader="none" w:pos="62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40" w:lineRule="exact"/>
        <w:rPr>
          <w:sz w:val="20"/>
          <w:szCs w:val="20"/>
          <w:color w:val="auto"/>
        </w:rPr>
      </w:pPr>
    </w:p>
    <w:p>
      <w:pPr>
        <w:ind w:left="620" w:right="400" w:hanging="337"/>
        <w:spacing w:after="0" w:line="276" w:lineRule="auto"/>
        <w:tabs>
          <w:tab w:leader="none" w:pos="62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280" w:hanging="178"/>
        <w:spacing w:after="0"/>
        <w:tabs>
          <w:tab w:leader="none" w:pos="28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for Cause. </w:t>
      </w:r>
      <w:r>
        <w:rPr>
          <w:rFonts w:ascii="Arial" w:cs="Arial" w:eastAsia="Arial" w:hAnsi="Arial"/>
          <w:sz w:val="13"/>
          <w:szCs w:val="13"/>
          <w:color w:val="auto"/>
        </w:rPr>
        <w:t>In the event that Executive’s employment is terminated by the Company for Cause, the Company shall pay the following amounts to Executive:</w:t>
      </w:r>
    </w:p>
    <w:p>
      <w:pPr>
        <w:spacing w:after="0" w:line="90" w:lineRule="exact"/>
        <w:rPr>
          <w:rFonts w:ascii="Arial" w:cs="Arial" w:eastAsia="Arial" w:hAnsi="Arial"/>
          <w:sz w:val="13"/>
          <w:szCs w:val="13"/>
          <w:b w:val="1"/>
          <w:bCs w:val="1"/>
          <w:color w:val="auto"/>
        </w:rPr>
      </w:pPr>
    </w:p>
    <w:p>
      <w:pPr>
        <w:ind w:left="620" w:right="80" w:hanging="337"/>
        <w:spacing w:after="0" w:line="276" w:lineRule="auto"/>
        <w:tabs>
          <w:tab w:leader="none" w:pos="62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9" w:lineRule="exact"/>
        <w:rPr>
          <w:sz w:val="20"/>
          <w:szCs w:val="20"/>
          <w:color w:val="auto"/>
        </w:rPr>
      </w:pPr>
    </w:p>
    <w:p>
      <w:pPr>
        <w:ind w:left="620" w:hanging="337"/>
        <w:spacing w:after="0" w:line="276" w:lineRule="auto"/>
        <w:tabs>
          <w:tab w:leader="none" w:pos="6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300" w:hanging="198"/>
        <w:spacing w:after="0"/>
        <w:tabs>
          <w:tab w:leader="none" w:pos="300"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In the event that Executive voluntarily terminates employment other than for Good Reason, the Company shall pay the following amounts to Executive:</w:t>
      </w:r>
    </w:p>
    <w:p>
      <w:pPr>
        <w:spacing w:after="0" w:line="90" w:lineRule="exact"/>
        <w:rPr>
          <w:rFonts w:ascii="Arial" w:cs="Arial" w:eastAsia="Arial" w:hAnsi="Arial"/>
          <w:sz w:val="13"/>
          <w:szCs w:val="13"/>
          <w:b w:val="1"/>
          <w:bCs w:val="1"/>
          <w:color w:val="auto"/>
        </w:rPr>
      </w:pPr>
    </w:p>
    <w:p>
      <w:pPr>
        <w:ind w:left="620" w:hanging="337"/>
        <w:spacing w:after="0"/>
        <w:tabs>
          <w:tab w:leader="none" w:pos="6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20" w:right="279" w:bottom="1440" w:gutter="0" w:footer="0" w:header="0"/>
        </w:sectPr>
      </w:pPr>
    </w:p>
    <w:bookmarkStart w:id="115" w:name="page116"/>
    <w:bookmarkEnd w:id="115"/>
    <w:p>
      <w:pPr>
        <w:ind w:left="640"/>
        <w:spacing w:after="0"/>
        <w:rPr>
          <w:sz w:val="20"/>
          <w:szCs w:val="20"/>
          <w:color w:val="auto"/>
        </w:rPr>
      </w:pPr>
      <w:r>
        <w:rPr>
          <w:rFonts w:ascii="Arial" w:cs="Arial" w:eastAsia="Arial" w:hAnsi="Arial"/>
          <w:sz w:val="13"/>
          <w:szCs w:val="13"/>
          <w:color w:val="auto"/>
        </w:rPr>
        <w:t>any accrued but unused vacation to the date of termination, and any earned but unpaid bonuses for any prior calendar year.</w:t>
      </w:r>
    </w:p>
    <w:p>
      <w:pPr>
        <w:spacing w:after="0" w:line="86" w:lineRule="exact"/>
        <w:rPr>
          <w:sz w:val="20"/>
          <w:szCs w:val="20"/>
          <w:color w:val="auto"/>
        </w:rPr>
      </w:pPr>
    </w:p>
    <w:p>
      <w:pPr>
        <w:ind w:left="640" w:right="20" w:hanging="337"/>
        <w:spacing w:after="0" w:line="276" w:lineRule="auto"/>
        <w:tabs>
          <w:tab w:leader="none" w:pos="64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40" w:right="60" w:firstLine="162"/>
        <w:spacing w:after="0" w:line="267" w:lineRule="auto"/>
        <w:tabs>
          <w:tab w:leader="none" w:pos="30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3"/>
          <w:szCs w:val="13"/>
          <w:color w:val="auto"/>
        </w:rPr>
        <w:t>In the event that Executive’s</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is terminated by the Company outside a Change in Control Period (as defined in Section 7 below) for reasons other than death, Total Disability or Cause, or Executive terminates his employment for Good Reason outside of a Change in Control Period, the Company shall pay the following amounts to Executive:</w:t>
      </w:r>
    </w:p>
    <w:p>
      <w:pPr>
        <w:spacing w:after="0" w:line="55" w:lineRule="exact"/>
        <w:rPr>
          <w:rFonts w:ascii="Arial" w:cs="Arial" w:eastAsia="Arial" w:hAnsi="Arial"/>
          <w:sz w:val="13"/>
          <w:szCs w:val="13"/>
          <w:b w:val="1"/>
          <w:bCs w:val="1"/>
          <w:color w:val="auto"/>
        </w:rPr>
      </w:pPr>
    </w:p>
    <w:p>
      <w:pPr>
        <w:ind w:left="640" w:right="100" w:hanging="337"/>
        <w:spacing w:after="0" w:line="276" w:lineRule="auto"/>
        <w:tabs>
          <w:tab w:leader="none" w:pos="64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49" w:lineRule="exact"/>
        <w:rPr>
          <w:sz w:val="20"/>
          <w:szCs w:val="20"/>
          <w:color w:val="auto"/>
        </w:rPr>
      </w:pPr>
    </w:p>
    <w:p>
      <w:pPr>
        <w:ind w:left="640" w:right="100" w:hanging="337"/>
        <w:spacing w:after="0" w:line="276" w:lineRule="auto"/>
        <w:tabs>
          <w:tab w:leader="none" w:pos="6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49" w:lineRule="exact"/>
        <w:rPr>
          <w:rFonts w:ascii="Arial" w:cs="Arial" w:eastAsia="Arial" w:hAnsi="Arial"/>
          <w:sz w:val="13"/>
          <w:szCs w:val="13"/>
          <w:color w:val="auto"/>
        </w:rPr>
      </w:pPr>
    </w:p>
    <w:p>
      <w:pPr>
        <w:ind w:left="640" w:right="180" w:hanging="337"/>
        <w:spacing w:after="0" w:line="276" w:lineRule="auto"/>
        <w:tabs>
          <w:tab w:leader="none" w:pos="6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Executive’s employment is terminated.</w:t>
      </w:r>
    </w:p>
    <w:p>
      <w:pPr>
        <w:spacing w:after="0" w:line="49" w:lineRule="exact"/>
        <w:rPr>
          <w:rFonts w:ascii="Arial" w:cs="Arial" w:eastAsia="Arial" w:hAnsi="Arial"/>
          <w:sz w:val="13"/>
          <w:szCs w:val="13"/>
          <w:color w:val="auto"/>
        </w:rPr>
      </w:pPr>
    </w:p>
    <w:p>
      <w:pPr>
        <w:ind w:left="640" w:hanging="337"/>
        <w:spacing w:after="0" w:line="260" w:lineRule="auto"/>
        <w:tabs>
          <w:tab w:leader="none" w:pos="6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 amount equal to two (2) times the sum of Executive’s Base Salary plus his Target Annual Bonus (in each case, as then in effect), of which one-half of such amount shall be paid in a lump sum within the calendar quarter 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59" w:lineRule="exact"/>
        <w:rPr>
          <w:rFonts w:ascii="Arial" w:cs="Arial" w:eastAsia="Arial" w:hAnsi="Arial"/>
          <w:sz w:val="13"/>
          <w:szCs w:val="13"/>
          <w:color w:val="auto"/>
        </w:rPr>
      </w:pPr>
    </w:p>
    <w:p>
      <w:pPr>
        <w:ind w:left="640" w:right="40" w:hanging="337"/>
        <w:spacing w:after="0" w:line="276" w:lineRule="auto"/>
        <w:tabs>
          <w:tab w:leader="none" w:pos="6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and Executive’s completion of required enrollment elections, the Company will continue for Executive and Executive’s spouse and eligible dependents coverage under the Company’s health benefit plan and disability benefit plans, in which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116" w:name="page117"/>
    <w:bookmarkEnd w:id="116"/>
    <w:p>
      <w:pPr>
        <w:ind w:left="660"/>
        <w:spacing w:after="0"/>
        <w:rPr>
          <w:sz w:val="20"/>
          <w:szCs w:val="20"/>
          <w:color w:val="auto"/>
        </w:rPr>
      </w:pPr>
      <w:r>
        <w:rPr>
          <w:rFonts w:ascii="Arial" w:cs="Arial" w:eastAsia="Arial" w:hAnsi="Arial"/>
          <w:sz w:val="12"/>
          <w:szCs w:val="12"/>
          <w:color w:val="auto"/>
        </w:rPr>
        <w:t>Executive was a participant at any time during the twelve-month period prior to the date of termination, until the earliest to occur of (A) twenty-four (24) months after the employment termination date;</w:t>
      </w:r>
    </w:p>
    <w:p>
      <w:pPr>
        <w:spacing w:after="0" w:line="27" w:lineRule="exact"/>
        <w:rPr>
          <w:sz w:val="20"/>
          <w:szCs w:val="20"/>
          <w:color w:val="auto"/>
        </w:rPr>
      </w:pPr>
    </w:p>
    <w:p>
      <w:pPr>
        <w:ind w:left="660"/>
        <w:spacing w:after="0" w:line="256" w:lineRule="auto"/>
        <w:rPr>
          <w:sz w:val="20"/>
          <w:szCs w:val="20"/>
          <w:color w:val="auto"/>
        </w:rPr>
      </w:pPr>
      <w:r>
        <w:rPr>
          <w:rFonts w:ascii="Arial" w:cs="Arial" w:eastAsia="Arial" w:hAnsi="Arial"/>
          <w:sz w:val="13"/>
          <w:szCs w:val="13"/>
          <w:color w:val="auto"/>
        </w:rPr>
        <w:t>(B)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w:t>
      </w:r>
    </w:p>
    <w:p>
      <w:pPr>
        <w:spacing w:after="0" w:line="58" w:lineRule="exact"/>
        <w:rPr>
          <w:sz w:val="20"/>
          <w:szCs w:val="20"/>
          <w:color w:val="auto"/>
        </w:rPr>
      </w:pPr>
    </w:p>
    <w:p>
      <w:pPr>
        <w:ind w:left="-20" w:right="340" w:firstLine="162"/>
        <w:spacing w:after="0" w:line="327" w:lineRule="auto"/>
        <w:tabs>
          <w:tab w:leader="none" w:pos="307"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Suspension and Refund of Termination Benefits for Subsequently Discovered Cause. </w:t>
      </w:r>
      <w:r>
        <w:rPr>
          <w:rFonts w:ascii="Arial" w:cs="Arial" w:eastAsia="Arial" w:hAnsi="Arial"/>
          <w:sz w:val="12"/>
          <w:szCs w:val="12"/>
          <w:color w:val="auto"/>
        </w:rPr>
        <w:t>Notwithstanding any provision of this Agreement to the contrary, if within one (1) year of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date for any reason other than for Cause, it is determined by the Company that Executive could have been terminated for Cause, then to the extent permitted by law:</w:t>
      </w:r>
    </w:p>
    <w:p>
      <w:pPr>
        <w:spacing w:after="0" w:line="21" w:lineRule="exact"/>
        <w:rPr>
          <w:rFonts w:ascii="Arial" w:cs="Arial" w:eastAsia="Arial" w:hAnsi="Arial"/>
          <w:sz w:val="12"/>
          <w:szCs w:val="12"/>
          <w:b w:val="1"/>
          <w:bCs w:val="1"/>
          <w:color w:val="auto"/>
        </w:rPr>
      </w:pPr>
    </w:p>
    <w:p>
      <w:pPr>
        <w:ind w:left="660" w:hanging="337"/>
        <w:spacing w:after="0"/>
        <w:tabs>
          <w:tab w:leader="none" w:pos="66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the Company may elect to cancel any and all payments of any benefits otherwise due Executive, but not yet paid, under this Agreement or otherwise; and</w:t>
      </w:r>
    </w:p>
    <w:p>
      <w:pPr>
        <w:spacing w:after="0" w:line="86" w:lineRule="exact"/>
        <w:rPr>
          <w:rFonts w:ascii="Arial" w:cs="Arial" w:eastAsia="Arial" w:hAnsi="Arial"/>
          <w:sz w:val="13"/>
          <w:szCs w:val="13"/>
          <w:color w:val="auto"/>
        </w:rPr>
      </w:pPr>
    </w:p>
    <w:p>
      <w:pPr>
        <w:ind w:left="660" w:hanging="337"/>
        <w:spacing w:after="0" w:line="264" w:lineRule="auto"/>
        <w:tabs>
          <w:tab w:leader="none" w:pos="66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7. Resignation by Executive for Good Reason or Termination by Company Without Cause During a Change in Control Period.</w:t>
      </w:r>
    </w:p>
    <w:p>
      <w:pPr>
        <w:spacing w:after="0" w:line="86" w:lineRule="exact"/>
        <w:rPr>
          <w:sz w:val="20"/>
          <w:szCs w:val="20"/>
          <w:color w:val="auto"/>
        </w:rPr>
      </w:pPr>
    </w:p>
    <w:p>
      <w:pPr>
        <w:ind w:left="-20" w:right="60" w:firstLine="162"/>
        <w:spacing w:after="0" w:line="267" w:lineRule="auto"/>
        <w:tabs>
          <w:tab w:leader="none" w:pos="329"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Certain Terminations During a Change in Control Period. </w:t>
      </w:r>
      <w:r>
        <w:rPr>
          <w:rFonts w:ascii="Arial" w:cs="Arial" w:eastAsia="Arial" w:hAnsi="Arial"/>
          <w:sz w:val="13"/>
          <w:szCs w:val="13"/>
          <w:color w:val="auto"/>
        </w:rPr>
        <w:t>Subject to reduction required by Section 22, in the event a Change in Control occurs and (x) Executive terminates his employment for Good Reason</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55" w:lineRule="exact"/>
        <w:rPr>
          <w:rFonts w:ascii="Arial" w:cs="Arial" w:eastAsia="Arial" w:hAnsi="Arial"/>
          <w:sz w:val="13"/>
          <w:szCs w:val="13"/>
          <w:b w:val="1"/>
          <w:bCs w:val="1"/>
          <w:color w:val="auto"/>
        </w:rPr>
      </w:pPr>
    </w:p>
    <w:p>
      <w:pPr>
        <w:ind w:left="660" w:hanging="337"/>
        <w:spacing w:after="0"/>
        <w:tabs>
          <w:tab w:leader="none" w:pos="66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The payments and benefits provided for in Section 6(e)(iv) and (v) in the same form as provided for therein.</w:t>
      </w:r>
    </w:p>
    <w:p>
      <w:pPr>
        <w:spacing w:after="0" w:line="86" w:lineRule="exact"/>
        <w:rPr>
          <w:rFonts w:ascii="Arial" w:cs="Arial" w:eastAsia="Arial" w:hAnsi="Arial"/>
          <w:sz w:val="13"/>
          <w:szCs w:val="13"/>
          <w:color w:val="auto"/>
        </w:rPr>
      </w:pPr>
    </w:p>
    <w:p>
      <w:pPr>
        <w:ind w:left="660" w:hanging="337"/>
        <w:spacing w:after="0" w:line="320" w:lineRule="auto"/>
        <w:tabs>
          <w:tab w:leader="none" w:pos="6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Executive shall also receive a bonus or incentive compensation payment for the calendar year of the employment termination, payable at 100% of the maximum bonus available to Executive, pro-rated as of the employment termination date. Such bonus payment shall be payable within five (5) days after the later of the effective date of Executive’s termination or the Change in Control.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17" w:name="page118"/>
    <w:bookmarkEnd w:id="117"/>
    <w:p>
      <w:pPr>
        <w:ind w:left="200" w:hanging="198"/>
        <w:spacing w:after="0"/>
        <w:tabs>
          <w:tab w:leader="none" w:pos="200"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Certain Definitions.</w:t>
      </w:r>
    </w:p>
    <w:p>
      <w:pPr>
        <w:spacing w:after="0" w:line="90" w:lineRule="exact"/>
        <w:rPr>
          <w:rFonts w:ascii="Arial" w:cs="Arial" w:eastAsia="Arial" w:hAnsi="Arial"/>
          <w:sz w:val="13"/>
          <w:szCs w:val="13"/>
          <w:b w:val="1"/>
          <w:bCs w:val="1"/>
          <w:color w:val="auto"/>
        </w:rPr>
      </w:pPr>
    </w:p>
    <w:p>
      <w:pPr>
        <w:ind w:left="520" w:hanging="337"/>
        <w:spacing w:after="0"/>
        <w:tabs>
          <w:tab w:leader="none" w:pos="52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For purposes of this Agreement, “Change in Control” means the first to occur on or after the date on which this Agreement is first signed, the occurrence of any of the following events:</w:t>
      </w:r>
    </w:p>
    <w:p>
      <w:pPr>
        <w:spacing w:after="0" w:line="86" w:lineRule="exact"/>
        <w:rPr>
          <w:rFonts w:ascii="Arial" w:cs="Arial" w:eastAsia="Arial" w:hAnsi="Arial"/>
          <w:sz w:val="13"/>
          <w:szCs w:val="13"/>
          <w:color w:val="auto"/>
        </w:rPr>
      </w:pPr>
    </w:p>
    <w:p>
      <w:pPr>
        <w:ind w:left="860" w:hanging="333"/>
        <w:spacing w:after="0" w:line="264" w:lineRule="auto"/>
        <w:tabs>
          <w:tab w:leader="none" w:pos="86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57" w:lineRule="exact"/>
        <w:rPr>
          <w:rFonts w:ascii="Arial" w:cs="Arial" w:eastAsia="Arial" w:hAnsi="Arial"/>
          <w:sz w:val="13"/>
          <w:szCs w:val="13"/>
          <w:color w:val="auto"/>
        </w:rPr>
      </w:pPr>
    </w:p>
    <w:p>
      <w:pPr>
        <w:ind w:left="860" w:right="180" w:hanging="333"/>
        <w:spacing w:after="0" w:line="264" w:lineRule="auto"/>
        <w:tabs>
          <w:tab w:leader="none" w:pos="86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57" w:lineRule="exact"/>
        <w:rPr>
          <w:rFonts w:ascii="Arial" w:cs="Arial" w:eastAsia="Arial" w:hAnsi="Arial"/>
          <w:sz w:val="13"/>
          <w:szCs w:val="13"/>
          <w:color w:val="auto"/>
        </w:rPr>
      </w:pPr>
    </w:p>
    <w:p>
      <w:pPr>
        <w:ind w:left="860" w:hanging="333"/>
        <w:spacing w:after="0" w:line="258" w:lineRule="auto"/>
        <w:tabs>
          <w:tab w:leader="none" w:pos="86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61" w:lineRule="exact"/>
        <w:rPr>
          <w:rFonts w:ascii="Arial" w:cs="Arial" w:eastAsia="Arial" w:hAnsi="Arial"/>
          <w:sz w:val="13"/>
          <w:szCs w:val="13"/>
          <w:color w:val="auto"/>
        </w:rPr>
      </w:pPr>
    </w:p>
    <w:p>
      <w:pPr>
        <w:ind w:left="860" w:hanging="333"/>
        <w:spacing w:after="0" w:line="289" w:lineRule="auto"/>
        <w:tabs>
          <w:tab w:leader="none" w:pos="86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43" w:lineRule="exact"/>
        <w:rPr>
          <w:rFonts w:ascii="Arial" w:cs="Arial" w:eastAsia="Arial" w:hAnsi="Arial"/>
          <w:sz w:val="12"/>
          <w:szCs w:val="12"/>
          <w:color w:val="auto"/>
        </w:rPr>
      </w:pPr>
    </w:p>
    <w:p>
      <w:pPr>
        <w:ind w:left="520" w:hanging="337"/>
        <w:spacing w:after="0"/>
        <w:tabs>
          <w:tab w:leader="none" w:pos="52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For purposes of this Agreement, “Change in Control Period” means the period</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80" w:top="795" w:right="259" w:bottom="1440" w:gutter="0" w:footer="0" w:header="0"/>
        </w:sectPr>
      </w:pPr>
    </w:p>
    <w:bookmarkStart w:id="118" w:name="page119"/>
    <w:bookmarkEnd w:id="118"/>
    <w:p>
      <w:pPr>
        <w:ind w:left="680"/>
        <w:spacing w:after="0"/>
        <w:rPr>
          <w:sz w:val="20"/>
          <w:szCs w:val="20"/>
          <w:color w:val="auto"/>
        </w:rPr>
      </w:pPr>
      <w:r>
        <w:rPr>
          <w:rFonts w:ascii="Arial" w:cs="Arial" w:eastAsia="Arial" w:hAnsi="Arial"/>
          <w:sz w:val="12"/>
          <w:szCs w:val="12"/>
          <w:color w:val="auto"/>
        </w:rPr>
        <w:t>commencing on the date occurring six months immediately prior to the date on which a Change in Control occurs and ending on the second anniversary of the date on which a Change in Control occurs.</w:t>
      </w:r>
    </w:p>
    <w:p>
      <w:pPr>
        <w:spacing w:after="0" w:line="98" w:lineRule="exact"/>
        <w:rPr>
          <w:sz w:val="20"/>
          <w:szCs w:val="20"/>
          <w:color w:val="auto"/>
        </w:rPr>
      </w:pPr>
    </w:p>
    <w:p>
      <w:pPr>
        <w:ind w:left="680" w:hanging="337"/>
        <w:spacing w:after="0"/>
        <w:tabs>
          <w:tab w:leader="none" w:pos="68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For purposes of this Agreement, “Exchange Act” means the Securities and Exchange Act of 1934, as amended from time to time.</w:t>
      </w:r>
    </w:p>
    <w:p>
      <w:pPr>
        <w:spacing w:after="0" w:line="86" w:lineRule="exact"/>
        <w:rPr>
          <w:rFonts w:ascii="Arial" w:cs="Arial" w:eastAsia="Arial" w:hAnsi="Arial"/>
          <w:sz w:val="13"/>
          <w:szCs w:val="13"/>
          <w:color w:val="auto"/>
        </w:rPr>
      </w:pPr>
    </w:p>
    <w:p>
      <w:pPr>
        <w:ind w:left="680" w:right="60" w:hanging="337"/>
        <w:spacing w:after="0" w:line="260" w:lineRule="auto"/>
        <w:tabs>
          <w:tab w:leader="none" w:pos="68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59" w:lineRule="exact"/>
        <w:rPr>
          <w:rFonts w:ascii="Arial" w:cs="Arial" w:eastAsia="Arial" w:hAnsi="Arial"/>
          <w:sz w:val="13"/>
          <w:szCs w:val="13"/>
          <w:color w:val="auto"/>
        </w:rPr>
      </w:pPr>
    </w:p>
    <w:p>
      <w:pPr>
        <w:ind w:left="680" w:right="220" w:hanging="337"/>
        <w:spacing w:after="0" w:line="260" w:lineRule="auto"/>
        <w:tabs>
          <w:tab w:leader="none" w:pos="68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For purposes of this Agreement, “Release” means that specific document which the Company shall present to Executive for consideration and execution after any applicable termination of employment,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1985 (“COBRA”)).</w:t>
      </w:r>
    </w:p>
    <w:p>
      <w:pPr>
        <w:spacing w:after="0" w:line="55" w:lineRule="exact"/>
        <w:rPr>
          <w:rFonts w:ascii="Arial" w:cs="Arial" w:eastAsia="Arial" w:hAnsi="Arial"/>
          <w:sz w:val="13"/>
          <w:szCs w:val="13"/>
          <w:color w:val="auto"/>
        </w:rPr>
      </w:pPr>
    </w:p>
    <w:p>
      <w:pPr>
        <w:ind w:firstLine="162"/>
        <w:spacing w:after="0" w:line="267" w:lineRule="auto"/>
        <w:tabs>
          <w:tab w:leader="none" w:pos="295"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Other Benefits or Compensation. </w:t>
      </w:r>
      <w:r>
        <w:rPr>
          <w:rFonts w:ascii="Arial" w:cs="Arial" w:eastAsia="Arial" w:hAnsi="Arial"/>
          <w:sz w:val="13"/>
          <w:szCs w:val="13"/>
          <w:color w:val="auto"/>
        </w:rPr>
        <w:t>Except as may be provided under this Agreement, or under the terms of any incentive compensation, employee benefit, or fringe benefit plan applicable to Executive at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51" w:lineRule="exact"/>
        <w:rPr>
          <w:rFonts w:ascii="Arial" w:cs="Arial" w:eastAsia="Arial" w:hAnsi="Arial"/>
          <w:sz w:val="13"/>
          <w:szCs w:val="13"/>
          <w:b w:val="1"/>
          <w:bCs w:val="1"/>
          <w:color w:val="auto"/>
        </w:rPr>
      </w:pPr>
    </w:p>
    <w:p>
      <w:pPr>
        <w:ind w:right="160" w:firstLine="162"/>
        <w:spacing w:after="0" w:line="283" w:lineRule="auto"/>
        <w:tabs>
          <w:tab w:leader="none" w:pos="295"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Mitigation. </w:t>
      </w:r>
      <w:r>
        <w:rPr>
          <w:rFonts w:ascii="Arial" w:cs="Arial" w:eastAsia="Arial" w:hAnsi="Arial"/>
          <w:sz w:val="13"/>
          <w:szCs w:val="13"/>
          <w:color w:val="auto"/>
        </w:rPr>
        <w:t>In the event of any termination of employment hereunder, Executive shall be under no obligation to seek other employment, and there shall be no offset against any amounts due Executive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on account of any remuneration attributable to any subsequent employment that Executive may obtain.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9" w:name="page120"/>
    <w:bookmarkEnd w:id="119"/>
    <w:p>
      <w:pPr>
        <w:ind w:firstLine="162"/>
        <w:spacing w:after="0" w:line="280" w:lineRule="auto"/>
        <w:tabs>
          <w:tab w:leader="none" w:pos="3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Protective Covenants</w:t>
      </w:r>
      <w:r>
        <w:rPr>
          <w:rFonts w:ascii="Arial" w:cs="Arial" w:eastAsia="Arial" w:hAnsi="Arial"/>
          <w:sz w:val="12"/>
          <w:szCs w:val="12"/>
          <w:color w:val="auto"/>
        </w:rPr>
        <w:t>. In reliance upon Executive’s promise to abide by the various protective covenants and restrictions provided for below, the Company will continue to provide Executive with one or more of</w:t>
      </w:r>
      <w:r>
        <w:rPr>
          <w:rFonts w:ascii="Arial" w:cs="Arial" w:eastAsia="Arial" w:hAnsi="Arial"/>
          <w:sz w:val="12"/>
          <w:szCs w:val="12"/>
          <w:b w:val="1"/>
          <w:bCs w:val="1"/>
          <w:color w:val="auto"/>
        </w:rPr>
        <w:t xml:space="preserve"> </w:t>
      </w:r>
      <w:r>
        <w:rPr>
          <w:rFonts w:ascii="Arial" w:cs="Arial" w:eastAsia="Arial" w:hAnsi="Arial"/>
          <w:sz w:val="12"/>
          <w:szCs w:val="12"/>
          <w:color w:val="auto"/>
        </w:rPr>
        <w:t>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45" w:lineRule="exact"/>
        <w:rPr>
          <w:sz w:val="20"/>
          <w:szCs w:val="20"/>
          <w:color w:val="auto"/>
        </w:rPr>
      </w:pPr>
    </w:p>
    <w:p>
      <w:pPr>
        <w:ind w:firstLine="162"/>
        <w:spacing w:after="0" w:line="306" w:lineRule="auto"/>
        <w:tabs>
          <w:tab w:leader="none" w:pos="349" w:val="left"/>
        </w:tabs>
        <w:numPr>
          <w:ilvl w:val="0"/>
          <w:numId w:val="131"/>
        </w:numPr>
        <w:rPr>
          <w:rFonts w:ascii="Arial" w:cs="Arial" w:eastAsia="Arial" w:hAnsi="Arial"/>
          <w:sz w:val="11"/>
          <w:szCs w:val="11"/>
          <w:b w:val="1"/>
          <w:bCs w:val="1"/>
          <w:color w:val="auto"/>
        </w:rPr>
      </w:pPr>
      <w:r>
        <w:rPr>
          <w:rFonts w:ascii="Arial" w:cs="Arial" w:eastAsia="Arial" w:hAnsi="Arial"/>
          <w:sz w:val="11"/>
          <w:szCs w:val="11"/>
          <w:b w:val="1"/>
          <w:bCs w:val="1"/>
          <w:color w:val="auto"/>
        </w:rPr>
        <w:t>Company Property, Computer Systems, and Inventions</w:t>
      </w:r>
      <w:r>
        <w:rPr>
          <w:rFonts w:ascii="Arial" w:cs="Arial" w:eastAsia="Arial" w:hAnsi="Arial"/>
          <w:sz w:val="11"/>
          <w:szCs w:val="11"/>
          <w:color w:val="auto"/>
        </w:rPr>
        <w:t>. All written materials, records, data, and other documents prepared or possessed by Executive during Executive’s employment with the Company are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1"/>
          <w:szCs w:val="11"/>
          <w:b w:val="1"/>
          <w:bCs w:val="1"/>
          <w:color w:val="auto"/>
        </w:rPr>
        <w:t>no provision in this Agreement requires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0" w:name="page121"/>
    <w:bookmarkEnd w:id="120"/>
    <w:p>
      <w:pPr>
        <w:spacing w:after="0" w:line="257" w:lineRule="auto"/>
        <w:rPr>
          <w:sz w:val="20"/>
          <w:szCs w:val="20"/>
          <w:color w:val="auto"/>
        </w:rPr>
      </w:pPr>
      <w:r>
        <w:rPr>
          <w:rFonts w:ascii="Arial" w:cs="Arial" w:eastAsia="Arial" w:hAnsi="Arial"/>
          <w:sz w:val="13"/>
          <w:szCs w:val="13"/>
          <w:b w:val="1"/>
          <w:bCs w:val="1"/>
          <w:color w:val="auto"/>
        </w:rPr>
        <w:t xml:space="preserve">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3"/>
          <w:szCs w:val="13"/>
          <w:color w:val="auto"/>
        </w:rPr>
        <w:t>This paragraph is intended to compliment and supplement, not replace, any additional written agreement(s)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59" w:lineRule="exact"/>
        <w:rPr>
          <w:sz w:val="20"/>
          <w:szCs w:val="20"/>
          <w:color w:val="auto"/>
        </w:rPr>
      </w:pPr>
    </w:p>
    <w:p>
      <w:pPr>
        <w:ind w:firstLine="162"/>
        <w:spacing w:after="0" w:line="286" w:lineRule="auto"/>
        <w:tabs>
          <w:tab w:leader="none" w:pos="357"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 Information; Non-Disclosure</w:t>
      </w:r>
      <w:r>
        <w:rPr>
          <w:rFonts w:ascii="Arial" w:cs="Arial" w:eastAsia="Arial" w:hAnsi="Arial"/>
          <w:sz w:val="12"/>
          <w:szCs w:val="12"/>
          <w:color w:val="auto"/>
        </w:rPr>
        <w:t>. Executive acknowledges that the business of the Company is highly competitive and that Executive’s position is one where the Company will provide Executive with</w:t>
      </w:r>
      <w:r>
        <w:rPr>
          <w:rFonts w:ascii="Arial" w:cs="Arial" w:eastAsia="Arial" w:hAnsi="Arial"/>
          <w:sz w:val="12"/>
          <w:szCs w:val="12"/>
          <w:b w:val="1"/>
          <w:bCs w:val="1"/>
          <w:color w:val="auto"/>
        </w:rPr>
        <w:t xml:space="preserve"> </w:t>
      </w:r>
      <w:r>
        <w:rPr>
          <w:rFonts w:ascii="Arial" w:cs="Arial" w:eastAsia="Arial" w:hAnsi="Arial"/>
          <w:sz w:val="12"/>
          <w:szCs w:val="12"/>
          <w:color w:val="auto"/>
        </w:rPr>
        <w:t>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47" w:lineRule="exact"/>
        <w:rPr>
          <w:sz w:val="20"/>
          <w:szCs w:val="20"/>
          <w:color w:val="auto"/>
        </w:rPr>
      </w:pPr>
    </w:p>
    <w:p>
      <w:pPr>
        <w:ind w:right="40" w:firstLine="164"/>
        <w:spacing w:after="0" w:line="279" w:lineRule="auto"/>
        <w:rPr>
          <w:sz w:val="20"/>
          <w:szCs w:val="20"/>
          <w:color w:val="auto"/>
        </w:rPr>
      </w:pPr>
      <w:r>
        <w:rPr>
          <w:rFonts w:ascii="Arial" w:cs="Arial" w:eastAsia="Arial" w:hAnsi="Arial"/>
          <w:sz w:val="12"/>
          <w:szCs w:val="12"/>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1" w:name="page122"/>
    <w:bookmarkEnd w:id="121"/>
    <w:p>
      <w:pPr>
        <w:spacing w:after="0" w:line="276" w:lineRule="auto"/>
        <w:rPr>
          <w:sz w:val="20"/>
          <w:szCs w:val="20"/>
          <w:color w:val="auto"/>
        </w:rPr>
      </w:pPr>
      <w:r>
        <w:rPr>
          <w:rFonts w:ascii="Arial" w:cs="Arial" w:eastAsia="Arial" w:hAnsi="Arial"/>
          <w:sz w:val="13"/>
          <w:szCs w:val="13"/>
          <w:color w:val="auto"/>
        </w:rPr>
        <w:t>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56" w:lineRule="exact"/>
        <w:rPr>
          <w:sz w:val="20"/>
          <w:szCs w:val="20"/>
          <w:color w:val="auto"/>
        </w:rPr>
      </w:pPr>
    </w:p>
    <w:p>
      <w:pPr>
        <w:ind w:right="20" w:firstLine="162"/>
        <w:spacing w:after="0" w:line="286" w:lineRule="auto"/>
        <w:tabs>
          <w:tab w:leader="none" w:pos="342"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Unfair Competition Restrictions</w:t>
      </w:r>
      <w:r>
        <w:rPr>
          <w:rFonts w:ascii="Arial" w:cs="Arial" w:eastAsia="Arial" w:hAnsi="Arial"/>
          <w:sz w:val="12"/>
          <w:szCs w:val="12"/>
          <w:color w:val="auto"/>
        </w:rPr>
        <w:t>. Ancillary to the rights provided to Executive following employment termination, the Company’s provision of Confidential Information, specialized training, and/or goodwill</w:t>
      </w:r>
      <w:r>
        <w:rPr>
          <w:rFonts w:ascii="Arial" w:cs="Arial" w:eastAsia="Arial" w:hAnsi="Arial"/>
          <w:sz w:val="12"/>
          <w:szCs w:val="12"/>
          <w:b w:val="1"/>
          <w:bCs w:val="1"/>
          <w:color w:val="auto"/>
        </w:rPr>
        <w:t xml:space="preserve"> </w:t>
      </w:r>
      <w:r>
        <w:rPr>
          <w:rFonts w:ascii="Arial" w:cs="Arial" w:eastAsia="Arial" w:hAnsi="Arial"/>
          <w:sz w:val="12"/>
          <w:szCs w:val="12"/>
          <w:color w:val="auto"/>
        </w:rPr>
        <w:t>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47"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60"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2" w:name="page123"/>
    <w:bookmarkEnd w:id="122"/>
    <w:p>
      <w:pPr>
        <w:ind w:firstLine="157"/>
        <w:spacing w:after="0" w:line="258" w:lineRule="auto"/>
        <w:rPr>
          <w:sz w:val="20"/>
          <w:szCs w:val="20"/>
          <w:color w:val="auto"/>
        </w:rPr>
      </w:pPr>
      <w:r>
        <w:rPr>
          <w:rFonts w:ascii="Arial" w:cs="Arial" w:eastAsia="Arial" w:hAnsi="Arial"/>
          <w:sz w:val="13"/>
          <w:szCs w:val="13"/>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57" w:lineRule="exact"/>
        <w:rPr>
          <w:sz w:val="20"/>
          <w:szCs w:val="20"/>
          <w:color w:val="auto"/>
        </w:rPr>
      </w:pPr>
    </w:p>
    <w:p>
      <w:pPr>
        <w:ind w:firstLine="162"/>
        <w:spacing w:after="0" w:line="300" w:lineRule="auto"/>
        <w:tabs>
          <w:tab w:leader="none" w:pos="357"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Non-Solicitation of Customers</w:t>
      </w:r>
      <w:r>
        <w:rPr>
          <w:rFonts w:ascii="Arial" w:cs="Arial" w:eastAsia="Arial" w:hAnsi="Arial"/>
          <w:sz w:val="12"/>
          <w:szCs w:val="12"/>
          <w:color w:val="auto"/>
        </w:rPr>
        <w:t>. For the Restricted Term, Executive will not, in person or through the direction or control of others, call on, service, or solicit competing business from a Covered Customer, or</w:t>
      </w:r>
      <w:r>
        <w:rPr>
          <w:rFonts w:ascii="Arial" w:cs="Arial" w:eastAsia="Arial" w:hAnsi="Arial"/>
          <w:sz w:val="12"/>
          <w:szCs w:val="12"/>
          <w:b w:val="1"/>
          <w:bCs w:val="1"/>
          <w:color w:val="auto"/>
        </w:rPr>
        <w:t xml:space="preserve"> </w:t>
      </w:r>
      <w:r>
        <w:rPr>
          <w:rFonts w:ascii="Arial" w:cs="Arial" w:eastAsia="Arial" w:hAnsi="Arial"/>
          <w:sz w:val="12"/>
          <w:szCs w:val="12"/>
          <w:color w:val="auto"/>
        </w:rPr>
        <w:t>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32" w:lineRule="exact"/>
        <w:rPr>
          <w:rFonts w:ascii="Arial" w:cs="Arial" w:eastAsia="Arial" w:hAnsi="Arial"/>
          <w:sz w:val="12"/>
          <w:szCs w:val="12"/>
          <w:b w:val="1"/>
          <w:bCs w:val="1"/>
          <w:color w:val="auto"/>
        </w:rPr>
      </w:pPr>
    </w:p>
    <w:p>
      <w:pPr>
        <w:ind w:right="40" w:firstLine="162"/>
        <w:spacing w:after="0" w:line="267" w:lineRule="auto"/>
        <w:tabs>
          <w:tab w:leader="none" w:pos="342"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Non-Solicitation of Employees</w:t>
      </w:r>
      <w:r>
        <w:rPr>
          <w:rFonts w:ascii="Arial" w:cs="Arial" w:eastAsia="Arial" w:hAnsi="Arial"/>
          <w:sz w:val="13"/>
          <w:szCs w:val="13"/>
          <w:color w:val="auto"/>
        </w:rPr>
        <w:t>. During Executive’s employment, and for the Restricted Term, Executive will not, in person or through the direction or control of others, call on, solicit, encourage, or induce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51" w:lineRule="exact"/>
        <w:rPr>
          <w:rFonts w:ascii="Arial" w:cs="Arial" w:eastAsia="Arial" w:hAnsi="Arial"/>
          <w:sz w:val="13"/>
          <w:szCs w:val="13"/>
          <w:b w:val="1"/>
          <w:bCs w:val="1"/>
          <w:color w:val="auto"/>
        </w:rPr>
      </w:pPr>
    </w:p>
    <w:p>
      <w:pPr>
        <w:ind w:right="240" w:firstLine="162"/>
        <w:spacing w:after="0" w:line="267" w:lineRule="auto"/>
        <w:tabs>
          <w:tab w:leader="none" w:pos="327"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Non-Disparagement. </w:t>
      </w:r>
      <w:r>
        <w:rPr>
          <w:rFonts w:ascii="Arial" w:cs="Arial" w:eastAsia="Arial" w:hAnsi="Arial"/>
          <w:sz w:val="13"/>
          <w:szCs w:val="13"/>
          <w:color w:val="auto"/>
        </w:rPr>
        <w:t>During Executive’s employment, and for the Restricted Term, Executive covenants and agrees that Executive shall not engage in any pattern of conduct that involves the making or</w:t>
      </w:r>
      <w:r>
        <w:rPr>
          <w:rFonts w:ascii="Arial" w:cs="Arial" w:eastAsia="Arial" w:hAnsi="Arial"/>
          <w:sz w:val="13"/>
          <w:szCs w:val="13"/>
          <w:b w:val="1"/>
          <w:bCs w:val="1"/>
          <w:color w:val="auto"/>
        </w:rPr>
        <w:t xml:space="preserve"> </w:t>
      </w:r>
      <w:r>
        <w:rPr>
          <w:rFonts w:ascii="Arial" w:cs="Arial" w:eastAsia="Arial" w:hAnsi="Arial"/>
          <w:sz w:val="13"/>
          <w:szCs w:val="13"/>
          <w:color w:val="auto"/>
        </w:rPr>
        <w:t>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1" w:lineRule="exact"/>
        <w:rPr>
          <w:rFonts w:ascii="Arial" w:cs="Arial" w:eastAsia="Arial" w:hAnsi="Arial"/>
          <w:sz w:val="13"/>
          <w:szCs w:val="13"/>
          <w:b w:val="1"/>
          <w:bCs w:val="1"/>
          <w:color w:val="auto"/>
        </w:rPr>
      </w:pPr>
    </w:p>
    <w:p>
      <w:pPr>
        <w:ind w:firstLine="162"/>
        <w:spacing w:after="0" w:line="286" w:lineRule="auto"/>
        <w:tabs>
          <w:tab w:leader="none" w:pos="349"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Protected Communications. </w:t>
      </w:r>
      <w:r>
        <w:rPr>
          <w:rFonts w:ascii="Arial" w:cs="Arial" w:eastAsia="Arial" w:hAnsi="Arial"/>
          <w:sz w:val="12"/>
          <w:szCs w:val="12"/>
          <w:color w:val="auto"/>
        </w:rPr>
        <w:t>Nothing in this Agreement (particularly nothing in Paragraphs 10(b) and (f) regarding non-disclosure and non-disparagement) is intended or to be construed to prohibit or interfere</w:t>
      </w:r>
      <w:r>
        <w:rPr>
          <w:rFonts w:ascii="Arial" w:cs="Arial" w:eastAsia="Arial" w:hAnsi="Arial"/>
          <w:sz w:val="12"/>
          <w:szCs w:val="12"/>
          <w:b w:val="1"/>
          <w:bCs w:val="1"/>
          <w:color w:val="auto"/>
        </w:rPr>
        <w:t xml:space="preserve"> </w:t>
      </w:r>
      <w:r>
        <w:rPr>
          <w:rFonts w:ascii="Arial" w:cs="Arial" w:eastAsia="Arial" w:hAnsi="Arial"/>
          <w:sz w:val="12"/>
          <w:szCs w:val="12"/>
          <w:color w:val="auto"/>
        </w:rPr>
        <w:t>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 interests it may have in maintaining Confidential Information as confidential (through protective order or other means) before engaging in such a disclosure.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3" w:name="page124"/>
    <w:bookmarkEnd w:id="123"/>
    <w:p>
      <w:pPr>
        <w:ind w:left="160"/>
        <w:spacing w:after="0"/>
        <w:rPr>
          <w:sz w:val="20"/>
          <w:szCs w:val="20"/>
          <w:color w:val="auto"/>
        </w:rPr>
      </w:pPr>
      <w:r>
        <w:rPr>
          <w:rFonts w:ascii="Arial" w:cs="Arial" w:eastAsia="Arial" w:hAnsi="Arial"/>
          <w:sz w:val="13"/>
          <w:szCs w:val="13"/>
          <w:b w:val="1"/>
          <w:bCs w:val="1"/>
          <w:color w:val="auto"/>
        </w:rPr>
        <w:t>11. Enforcement of Protective Covenants.</w:t>
      </w:r>
    </w:p>
    <w:p>
      <w:pPr>
        <w:spacing w:after="0" w:line="86" w:lineRule="exact"/>
        <w:rPr>
          <w:sz w:val="20"/>
          <w:szCs w:val="20"/>
          <w:color w:val="auto"/>
        </w:rPr>
      </w:pPr>
    </w:p>
    <w:p>
      <w:pPr>
        <w:ind w:right="160" w:firstLine="162"/>
        <w:spacing w:after="0" w:line="267" w:lineRule="auto"/>
        <w:tabs>
          <w:tab w:leader="none" w:pos="347"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of Employment and Forfeiture of Compensation. </w:t>
      </w:r>
      <w:r>
        <w:rPr>
          <w:rFonts w:ascii="Arial" w:cs="Arial" w:eastAsia="Arial" w:hAnsi="Arial"/>
          <w:sz w:val="13"/>
          <w:szCs w:val="13"/>
          <w:color w:val="auto"/>
        </w:rPr>
        <w:t>Executive agrees that any breach by Executive of any of the Protective Covenants set forth in Section 10 during Executive’s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be grounds for immediate employment termination of Executive for Cause pursuant to Section 5(c)(i), which shall be in addition to and not exclusive of any and all other rights and remedies the Company may have against Executive.</w:t>
      </w:r>
    </w:p>
    <w:p>
      <w:pPr>
        <w:spacing w:after="0" w:line="5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the event that Executive violates one of the Protective Covenants, (i) the Company shall have the right to immediately cease making any payments that it may otherwise owe to 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6(e)(iii), 6(e)(iv), 6(e)(v), 7(a)(i) or 7(a)(ii),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39" w:lineRule="exact"/>
        <w:rPr>
          <w:sz w:val="20"/>
          <w:szCs w:val="20"/>
          <w:color w:val="auto"/>
        </w:rPr>
      </w:pPr>
    </w:p>
    <w:p>
      <w:pPr>
        <w:ind w:right="60" w:firstLine="162"/>
        <w:spacing w:after="0" w:line="286" w:lineRule="auto"/>
        <w:tabs>
          <w:tab w:leader="none" w:pos="357"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Right to Injunction</w:t>
      </w:r>
      <w:r>
        <w:rPr>
          <w:rFonts w:ascii="Arial" w:cs="Arial" w:eastAsia="Arial" w:hAnsi="Arial"/>
          <w:sz w:val="12"/>
          <w:szCs w:val="12"/>
          <w:color w:val="auto"/>
        </w:rPr>
        <w:t>. Executive acknowledges that a breach of a Protective Covenant set forth in Section 10 hereof will cause irreparable damage to the Company with respect to which the Company’s remedy at</w:t>
      </w:r>
      <w:r>
        <w:rPr>
          <w:rFonts w:ascii="Arial" w:cs="Arial" w:eastAsia="Arial" w:hAnsi="Arial"/>
          <w:sz w:val="12"/>
          <w:szCs w:val="12"/>
          <w:b w:val="1"/>
          <w:bCs w:val="1"/>
          <w:color w:val="auto"/>
        </w:rPr>
        <w:t xml:space="preserve"> </w:t>
      </w:r>
      <w:r>
        <w:rPr>
          <w:rFonts w:ascii="Arial" w:cs="Arial" w:eastAsia="Arial" w:hAnsi="Arial"/>
          <w:sz w:val="12"/>
          <w:szCs w:val="12"/>
          <w:color w:val="auto"/>
        </w:rPr>
        <w:t>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42" w:lineRule="exact"/>
        <w:rPr>
          <w:rFonts w:ascii="Arial" w:cs="Arial" w:eastAsia="Arial" w:hAnsi="Arial"/>
          <w:sz w:val="12"/>
          <w:szCs w:val="12"/>
          <w:b w:val="1"/>
          <w:bCs w:val="1"/>
          <w:color w:val="auto"/>
        </w:rPr>
      </w:pPr>
    </w:p>
    <w:p>
      <w:pPr>
        <w:ind w:firstLine="162"/>
        <w:spacing w:after="0" w:line="318" w:lineRule="auto"/>
        <w:tabs>
          <w:tab w:leader="none" w:pos="342" w:val="left"/>
        </w:tabs>
        <w:numPr>
          <w:ilvl w:val="0"/>
          <w:numId w:val="13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Reformation of Covenants. </w:t>
      </w:r>
      <w:r>
        <w:rPr>
          <w:rFonts w:ascii="Arial" w:cs="Arial" w:eastAsia="Arial" w:hAnsi="Arial"/>
          <w:sz w:val="11"/>
          <w:szCs w:val="11"/>
          <w:color w:val="auto"/>
        </w:rPr>
        <w:t>The Protective Covenants set forth in Section 10 constitute a series of separate but ancillary covenants, one for each applicable State in the United States and the District of Columbia,</w:t>
      </w:r>
      <w:r>
        <w:rPr>
          <w:rFonts w:ascii="Arial" w:cs="Arial" w:eastAsia="Arial" w:hAnsi="Arial"/>
          <w:sz w:val="11"/>
          <w:szCs w:val="11"/>
          <w:b w:val="1"/>
          <w:bCs w:val="1"/>
          <w:color w:val="auto"/>
        </w:rPr>
        <w:t xml:space="preserve"> </w:t>
      </w:r>
      <w:r>
        <w:rPr>
          <w:rFonts w:ascii="Arial" w:cs="Arial" w:eastAsia="Arial" w:hAnsi="Arial"/>
          <w:sz w:val="11"/>
          <w:szCs w:val="11"/>
          <w:color w:val="auto"/>
        </w:rPr>
        <w:t>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27" w:lineRule="exact"/>
        <w:rPr>
          <w:rFonts w:ascii="Arial" w:cs="Arial" w:eastAsia="Arial" w:hAnsi="Arial"/>
          <w:sz w:val="11"/>
          <w:szCs w:val="11"/>
          <w:b w:val="1"/>
          <w:bCs w:val="1"/>
          <w:color w:val="auto"/>
        </w:rPr>
      </w:pPr>
    </w:p>
    <w:p>
      <w:pPr>
        <w:ind w:left="360" w:hanging="198"/>
        <w:spacing w:after="0"/>
        <w:tabs>
          <w:tab w:leader="none" w:pos="36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Survival. </w:t>
      </w:r>
      <w:r>
        <w:rPr>
          <w:rFonts w:ascii="Arial" w:cs="Arial" w:eastAsia="Arial" w:hAnsi="Arial"/>
          <w:sz w:val="13"/>
          <w:szCs w:val="13"/>
          <w:color w:val="auto"/>
        </w:rPr>
        <w:t>Executive and the Company further agree that the protective Covenants set forth in Section 10 shall each be construed as a separate agreement independent of any other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24" w:name="page125"/>
    <w:bookmarkEnd w:id="124"/>
    <w:p>
      <w:pPr>
        <w:ind w:left="1" w:right="140"/>
        <w:spacing w:after="0" w:line="285" w:lineRule="auto"/>
        <w:rPr>
          <w:sz w:val="20"/>
          <w:szCs w:val="20"/>
          <w:color w:val="auto"/>
        </w:rPr>
      </w:pPr>
      <w:r>
        <w:rPr>
          <w:rFonts w:ascii="Arial" w:cs="Arial" w:eastAsia="Arial" w:hAnsi="Arial"/>
          <w:sz w:val="12"/>
          <w:szCs w:val="12"/>
          <w:color w:val="auto"/>
        </w:rPr>
        <w:t>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4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12. Indemnification.</w:t>
      </w:r>
    </w:p>
    <w:p>
      <w:pPr>
        <w:spacing w:after="0" w:line="90" w:lineRule="exact"/>
        <w:rPr>
          <w:sz w:val="20"/>
          <w:szCs w:val="20"/>
          <w:color w:val="auto"/>
        </w:rPr>
      </w:pPr>
    </w:p>
    <w:p>
      <w:pPr>
        <w:ind w:left="1" w:firstLine="161"/>
        <w:spacing w:after="0" w:line="258" w:lineRule="auto"/>
        <w:rPr>
          <w:sz w:val="20"/>
          <w:szCs w:val="20"/>
          <w:color w:val="auto"/>
        </w:rPr>
      </w:pPr>
      <w:r>
        <w:rPr>
          <w:rFonts w:ascii="Arial" w:cs="Arial" w:eastAsia="Arial" w:hAnsi="Arial"/>
          <w:sz w:val="13"/>
          <w:szCs w:val="13"/>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13. Arbitration.</w:t>
      </w:r>
    </w:p>
    <w:p>
      <w:pPr>
        <w:spacing w:after="0" w:line="90" w:lineRule="exact"/>
        <w:rPr>
          <w:sz w:val="20"/>
          <w:szCs w:val="20"/>
          <w:color w:val="auto"/>
        </w:rPr>
      </w:pPr>
    </w:p>
    <w:p>
      <w:pPr>
        <w:ind w:left="1" w:right="40" w:firstLine="161"/>
        <w:spacing w:after="0" w:line="301" w:lineRule="auto"/>
        <w:rPr>
          <w:sz w:val="20"/>
          <w:szCs w:val="20"/>
          <w:color w:val="auto"/>
        </w:rPr>
      </w:pPr>
      <w:r>
        <w:rPr>
          <w:rFonts w:ascii="Arial" w:cs="Arial" w:eastAsia="Arial" w:hAnsi="Arial"/>
          <w:sz w:val="11"/>
          <w:szCs w:val="11"/>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w:t>
      </w:r>
    </w:p>
    <w:p>
      <w:pPr>
        <w:spacing w:after="0" w:line="1" w:lineRule="exact"/>
        <w:rPr>
          <w:sz w:val="20"/>
          <w:szCs w:val="20"/>
          <w:color w:val="auto"/>
        </w:rPr>
      </w:pPr>
    </w:p>
    <w:p>
      <w:pPr>
        <w:ind w:left="1" w:right="40" w:hanging="1"/>
        <w:spacing w:after="0" w:line="256" w:lineRule="auto"/>
        <w:tabs>
          <w:tab w:leader="none" w:pos="31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auto"/>
        </w:rPr>
        <w:t>and all injunctive relief provided for therein, shall be enforceable through a court of law upon motion of either party.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14. Requirement of Timely Payments.</w:t>
      </w:r>
    </w:p>
    <w:p>
      <w:pPr>
        <w:spacing w:after="0" w:line="90"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15. Withholding of Taxes.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may withhold from any compensation and benefits payable under this Agreement all applicable federal, state, local, or other taxes.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16. Source of Payments.</w:t>
      </w:r>
    </w:p>
    <w:p>
      <w:pPr>
        <w:spacing w:after="0" w:line="90" w:lineRule="exact"/>
        <w:rPr>
          <w:sz w:val="20"/>
          <w:szCs w:val="20"/>
          <w:color w:val="auto"/>
        </w:rPr>
      </w:pPr>
    </w:p>
    <w:p>
      <w:pPr>
        <w:ind w:firstLine="157"/>
        <w:spacing w:after="0" w:line="334" w:lineRule="auto"/>
        <w:rPr>
          <w:sz w:val="20"/>
          <w:szCs w:val="20"/>
          <w:color w:val="auto"/>
        </w:rPr>
      </w:pPr>
      <w:r>
        <w:rPr>
          <w:rFonts w:ascii="Arial" w:cs="Arial" w:eastAsia="Arial" w:hAnsi="Arial"/>
          <w:sz w:val="11"/>
          <w:szCs w:val="11"/>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17. Assignment.</w:t>
      </w:r>
    </w:p>
    <w:p>
      <w:pPr>
        <w:spacing w:after="0" w:line="90" w:lineRule="exact"/>
        <w:rPr>
          <w:sz w:val="20"/>
          <w:szCs w:val="20"/>
          <w:color w:val="auto"/>
        </w:rPr>
      </w:pPr>
    </w:p>
    <w:p>
      <w:pPr>
        <w:jc w:val="both"/>
        <w:ind w:right="120" w:firstLine="161"/>
        <w:spacing w:after="0" w:line="264" w:lineRule="auto"/>
        <w:rPr>
          <w:sz w:val="20"/>
          <w:szCs w:val="20"/>
          <w:color w:val="auto"/>
        </w:rPr>
      </w:pPr>
      <w:r>
        <w:rPr>
          <w:rFonts w:ascii="Arial" w:cs="Arial" w:eastAsia="Arial" w:hAnsi="Arial"/>
          <w:sz w:val="13"/>
          <w:szCs w:val="13"/>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18. Entire Agreement; Amendment.</w:t>
      </w:r>
    </w:p>
    <w:p>
      <w:pPr>
        <w:spacing w:after="0" w:line="90" w:lineRule="exact"/>
        <w:rPr>
          <w:sz w:val="20"/>
          <w:szCs w:val="20"/>
          <w:color w:val="auto"/>
        </w:rPr>
      </w:pPr>
    </w:p>
    <w:p>
      <w:pPr>
        <w:jc w:val="both"/>
        <w:ind w:right="80" w:firstLine="161"/>
        <w:spacing w:after="0" w:line="264" w:lineRule="auto"/>
        <w:rPr>
          <w:sz w:val="20"/>
          <w:szCs w:val="20"/>
          <w:color w:val="auto"/>
        </w:rPr>
      </w:pPr>
      <w:r>
        <w:rPr>
          <w:rFonts w:ascii="Arial" w:cs="Arial" w:eastAsia="Arial" w:hAnsi="Arial"/>
          <w:sz w:val="13"/>
          <w:szCs w:val="13"/>
          <w:color w:val="auto"/>
        </w:rPr>
        <w:t>This Agreement shall supersede any and all existing 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6" w:name="page127"/>
    <w:bookmarkEnd w:id="126"/>
    <w:p>
      <w:pPr>
        <w:ind w:right="80"/>
        <w:spacing w:after="0" w:line="264" w:lineRule="auto"/>
        <w:rPr>
          <w:sz w:val="20"/>
          <w:szCs w:val="20"/>
          <w:color w:val="auto"/>
        </w:rPr>
      </w:pPr>
      <w:r>
        <w:rPr>
          <w:rFonts w:ascii="Arial" w:cs="Arial" w:eastAsia="Arial" w:hAnsi="Arial"/>
          <w:sz w:val="13"/>
          <w:szCs w:val="13"/>
          <w:color w:val="auto"/>
        </w:rPr>
        <w:t>the Company’s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19. Governing Law and Venue.</w:t>
      </w:r>
    </w:p>
    <w:p>
      <w:pPr>
        <w:spacing w:after="0" w:line="90"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20. Notices.</w:t>
      </w:r>
    </w:p>
    <w:p>
      <w:pPr>
        <w:spacing w:after="0" w:line="90" w:lineRule="exact"/>
        <w:rPr>
          <w:sz w:val="20"/>
          <w:szCs w:val="20"/>
          <w:color w:val="auto"/>
        </w:rPr>
      </w:pPr>
    </w:p>
    <w:p>
      <w:pPr>
        <w:ind w:right="220" w:firstLine="157"/>
        <w:spacing w:after="0" w:line="320" w:lineRule="auto"/>
        <w:rPr>
          <w:sz w:val="20"/>
          <w:szCs w:val="20"/>
          <w:color w:val="auto"/>
        </w:rPr>
      </w:pPr>
      <w:r>
        <w:rPr>
          <w:rFonts w:ascii="Arial" w:cs="Arial" w:eastAsia="Arial" w:hAnsi="Arial"/>
          <w:sz w:val="12"/>
          <w:szCs w:val="12"/>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20" w:top="720" w:right="279" w:bottom="1440" w:gutter="0" w:footer="0" w:header="0"/>
        </w:sectPr>
      </w:pPr>
    </w:p>
    <w:p>
      <w:pPr>
        <w:spacing w:after="0" w:line="104" w:lineRule="exact"/>
        <w:rPr>
          <w:sz w:val="20"/>
          <w:szCs w:val="20"/>
          <w:color w:val="auto"/>
        </w:rPr>
      </w:pPr>
    </w:p>
    <w:p>
      <w:pPr>
        <w:jc w:val="center"/>
        <w:ind w:left="840"/>
        <w:spacing w:after="0"/>
        <w:rPr>
          <w:sz w:val="20"/>
          <w:szCs w:val="20"/>
          <w:color w:val="auto"/>
        </w:rPr>
      </w:pPr>
      <w:r>
        <w:rPr>
          <w:rFonts w:ascii="Arial" w:cs="Arial" w:eastAsia="Arial" w:hAnsi="Arial"/>
          <w:sz w:val="11"/>
          <w:szCs w:val="11"/>
          <w:color w:val="auto"/>
        </w:rPr>
        <w:t>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Waste Management, Inc.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1001 Fannin, Suite 4000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Attention: General Counsel</w:t>
      </w:r>
    </w:p>
    <w:p>
      <w:pPr>
        <w:spacing w:after="0" w:line="181" w:lineRule="exact"/>
        <w:rPr>
          <w:sz w:val="20"/>
          <w:szCs w:val="20"/>
          <w:color w:val="auto"/>
        </w:rPr>
      </w:pPr>
    </w:p>
    <w:p>
      <w:pPr>
        <w:sectPr>
          <w:pgSz w:w="11900" w:h="16838" w:orient="portrait"/>
          <w:cols w:equalWidth="0" w:num="2">
            <w:col w:w="3080" w:space="720"/>
            <w:col w:w="7600"/>
          </w:cols>
          <w:pgMar w:left="220" w:top="720" w:right="279" w:bottom="1440" w:gutter="0" w:footer="0" w:header="0"/>
          <w:type w:val="continuous"/>
        </w:sectPr>
      </w:pPr>
    </w:p>
    <w:p>
      <w:pPr>
        <w:jc w:val="center"/>
        <w:ind w:left="660"/>
        <w:spacing w:after="0"/>
        <w:rPr>
          <w:sz w:val="20"/>
          <w:szCs w:val="20"/>
          <w:color w:val="auto"/>
        </w:rPr>
      </w:pPr>
      <w:r>
        <w:rPr>
          <w:rFonts w:ascii="Arial" w:cs="Arial" w:eastAsia="Arial" w:hAnsi="Arial"/>
          <w:sz w:val="12"/>
          <w:szCs w:val="12"/>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At the address for Executive set forth below.</w:t>
      </w:r>
    </w:p>
    <w:p>
      <w:pPr>
        <w:spacing w:after="0" w:line="105" w:lineRule="exact"/>
        <w:rPr>
          <w:sz w:val="20"/>
          <w:szCs w:val="20"/>
          <w:color w:val="auto"/>
        </w:rPr>
      </w:pPr>
    </w:p>
    <w:p>
      <w:pPr>
        <w:sectPr>
          <w:pgSz w:w="11900" w:h="16838" w:orient="portrait"/>
          <w:cols w:equalWidth="0" w:num="2">
            <w:col w:w="3080" w:space="720"/>
            <w:col w:w="7600"/>
          </w:cols>
          <w:pgMar w:left="220" w:top="720" w:right="279" w:bottom="1440" w:gutter="0" w:footer="0" w:header="0"/>
          <w:type w:val="continuous"/>
        </w:sectPr>
      </w:pPr>
    </w:p>
    <w:p>
      <w:pPr>
        <w:ind w:left="160"/>
        <w:spacing w:after="0"/>
        <w:rPr>
          <w:sz w:val="20"/>
          <w:szCs w:val="20"/>
          <w:color w:val="auto"/>
        </w:rPr>
      </w:pPr>
      <w:r>
        <w:rPr>
          <w:rFonts w:ascii="Arial" w:cs="Arial" w:eastAsia="Arial" w:hAnsi="Arial"/>
          <w:sz w:val="13"/>
          <w:szCs w:val="13"/>
          <w:b w:val="1"/>
          <w:bCs w:val="1"/>
          <w:color w:val="auto"/>
        </w:rPr>
        <w:t>21. Miscellaneous.</w:t>
      </w:r>
    </w:p>
    <w:p>
      <w:pPr>
        <w:spacing w:after="0" w:line="86" w:lineRule="exact"/>
        <w:rPr>
          <w:sz w:val="20"/>
          <w:szCs w:val="20"/>
          <w:color w:val="auto"/>
        </w:rPr>
      </w:pPr>
    </w:p>
    <w:p>
      <w:pPr>
        <w:ind w:firstLine="162"/>
        <w:spacing w:after="0" w:line="283" w:lineRule="auto"/>
        <w:tabs>
          <w:tab w:leader="none" w:pos="347"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 </w:t>
      </w:r>
      <w:r>
        <w:rPr>
          <w:rFonts w:ascii="Arial" w:cs="Arial" w:eastAsia="Arial" w:hAnsi="Arial"/>
          <w:sz w:val="13"/>
          <w:szCs w:val="13"/>
          <w:color w:val="auto"/>
        </w:rPr>
        <w:t>The failure of a party to insist upon strict adherence to any term of this Agreement on any occasion shall not be considered a waiver thereof or deprive that party of the right thereafter to insist upon strict</w:t>
      </w:r>
      <w:r>
        <w:rPr>
          <w:rFonts w:ascii="Arial" w:cs="Arial" w:eastAsia="Arial" w:hAnsi="Arial"/>
          <w:sz w:val="13"/>
          <w:szCs w:val="13"/>
          <w:b w:val="1"/>
          <w:bCs w:val="1"/>
          <w:color w:val="auto"/>
        </w:rPr>
        <w:t xml:space="preserve"> </w:t>
      </w:r>
      <w:r>
        <w:rPr>
          <w:rFonts w:ascii="Arial" w:cs="Arial" w:eastAsia="Arial" w:hAnsi="Arial"/>
          <w:sz w:val="13"/>
          <w:szCs w:val="13"/>
          <w:color w:val="auto"/>
        </w:rPr>
        <w:t>adherence to that term or any other term of this Agreement.</w:t>
      </w:r>
    </w:p>
    <w:p>
      <w:pPr>
        <w:spacing w:after="0" w:line="40" w:lineRule="exact"/>
        <w:rPr>
          <w:rFonts w:ascii="Arial" w:cs="Arial" w:eastAsia="Arial" w:hAnsi="Arial"/>
          <w:sz w:val="13"/>
          <w:szCs w:val="13"/>
          <w:b w:val="1"/>
          <w:bCs w:val="1"/>
          <w:color w:val="auto"/>
        </w:rPr>
      </w:pPr>
    </w:p>
    <w:p>
      <w:pPr>
        <w:ind w:right="140" w:firstLine="162"/>
        <w:spacing w:after="0" w:line="283" w:lineRule="auto"/>
        <w:tabs>
          <w:tab w:leader="none" w:pos="357"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Subject to Section 11 hereof, if any term or provision of this Agreement is declared illegal or unenforceable by any court of competent jurisdiction and cannot be modified to be enforceable, such</w:t>
      </w:r>
      <w:r>
        <w:rPr>
          <w:rFonts w:ascii="Arial" w:cs="Arial" w:eastAsia="Arial" w:hAnsi="Arial"/>
          <w:sz w:val="13"/>
          <w:szCs w:val="13"/>
          <w:b w:val="1"/>
          <w:bCs w:val="1"/>
          <w:color w:val="auto"/>
        </w:rPr>
        <w:t xml:space="preserve"> </w:t>
      </w:r>
      <w:r>
        <w:rPr>
          <w:rFonts w:ascii="Arial" w:cs="Arial" w:eastAsia="Arial" w:hAnsi="Arial"/>
          <w:sz w:val="13"/>
          <w:szCs w:val="13"/>
          <w:color w:val="auto"/>
        </w:rPr>
        <w:t>term or provision shall immediately become null and void, leaving the remainder of this Agreement in full force and effect.</w:t>
      </w:r>
    </w:p>
    <w:p>
      <w:pPr>
        <w:spacing w:after="0" w:line="40" w:lineRule="exact"/>
        <w:rPr>
          <w:rFonts w:ascii="Arial" w:cs="Arial" w:eastAsia="Arial" w:hAnsi="Arial"/>
          <w:sz w:val="13"/>
          <w:szCs w:val="13"/>
          <w:b w:val="1"/>
          <w:bCs w:val="1"/>
          <w:color w:val="auto"/>
        </w:rPr>
      </w:pPr>
    </w:p>
    <w:p>
      <w:pPr>
        <w:ind w:left="340" w:hanging="178"/>
        <w:spacing w:after="0"/>
        <w:tabs>
          <w:tab w:leader="none" w:pos="34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Headings. </w:t>
      </w:r>
      <w:r>
        <w:rPr>
          <w:rFonts w:ascii="Arial" w:cs="Arial" w:eastAsia="Arial" w:hAnsi="Arial"/>
          <w:sz w:val="13"/>
          <w:szCs w:val="13"/>
          <w:color w:val="auto"/>
        </w:rPr>
        <w:t>Section headings are used herein for convenience of reference only and shall not affect the meaning of any provision of this Agreement.</w:t>
      </w:r>
    </w:p>
    <w:p>
      <w:pPr>
        <w:spacing w:after="0" w:line="86" w:lineRule="exact"/>
        <w:rPr>
          <w:rFonts w:ascii="Arial" w:cs="Arial" w:eastAsia="Arial" w:hAnsi="Arial"/>
          <w:sz w:val="13"/>
          <w:szCs w:val="13"/>
          <w:b w:val="1"/>
          <w:bCs w:val="1"/>
          <w:color w:val="auto"/>
        </w:rPr>
      </w:pPr>
    </w:p>
    <w:p>
      <w:pPr>
        <w:ind w:left="360" w:hanging="198"/>
        <w:spacing w:after="0"/>
        <w:tabs>
          <w:tab w:leader="none" w:pos="36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Rules of Construction. </w:t>
      </w:r>
      <w:r>
        <w:rPr>
          <w:rFonts w:ascii="Arial" w:cs="Arial" w:eastAsia="Arial" w:hAnsi="Arial"/>
          <w:sz w:val="13"/>
          <w:szCs w:val="13"/>
          <w:color w:val="auto"/>
        </w:rPr>
        <w:t>Whenever the context so requires, the use of the singular shall be deemed to include the plural and vice versa.</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type w:val="continuous"/>
        </w:sectPr>
      </w:pPr>
    </w:p>
    <w:bookmarkStart w:id="127" w:name="page128"/>
    <w:bookmarkEnd w:id="127"/>
    <w:p>
      <w:pPr>
        <w:ind w:left="320" w:hanging="178"/>
        <w:spacing w:after="0"/>
        <w:tabs>
          <w:tab w:leader="none" w:pos="3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so executed shall be deemed to be an original, and such counterparts will together constitute but one Agreement.</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22. Potential Limitation on Severance Benefits.</w:t>
      </w:r>
    </w:p>
    <w:p>
      <w:pPr>
        <w:spacing w:after="0" w:line="86" w:lineRule="exact"/>
        <w:rPr>
          <w:sz w:val="20"/>
          <w:szCs w:val="20"/>
          <w:color w:val="auto"/>
        </w:rPr>
      </w:pPr>
    </w:p>
    <w:p>
      <w:pPr>
        <w:ind w:left="-20" w:right="140" w:firstLine="162"/>
        <w:spacing w:after="0" w:line="262" w:lineRule="auto"/>
        <w:tabs>
          <w:tab w:leader="none" w:pos="329"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Maximum Severance Amount. </w:t>
      </w:r>
      <w:r>
        <w:rPr>
          <w:rFonts w:ascii="Arial" w:cs="Arial" w:eastAsia="Arial" w:hAnsi="Arial"/>
          <w:sz w:val="13"/>
          <w:szCs w:val="13"/>
          <w:color w:val="auto"/>
        </w:rPr>
        <w:t>Notwithstanding any provision in this Agreement to the contrary, in the event of a qualifying termination (or resignation) under Section 6(e) or Section 7 of this Agreement it is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54" w:lineRule="exact"/>
        <w:rPr>
          <w:rFonts w:ascii="Arial" w:cs="Arial" w:eastAsia="Arial" w:hAnsi="Arial"/>
          <w:sz w:val="13"/>
          <w:szCs w:val="13"/>
          <w:b w:val="1"/>
          <w:bCs w:val="1"/>
          <w:color w:val="auto"/>
        </w:rPr>
      </w:pPr>
    </w:p>
    <w:p>
      <w:pPr>
        <w:ind w:left="-20" w:right="280" w:firstLine="162"/>
        <w:spacing w:after="0" w:line="283" w:lineRule="auto"/>
        <w:tabs>
          <w:tab w:leader="none" w:pos="337"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For purposes of determining Severance Benefits under Section 22(a) above, Severance Benefits means the present value of payments or distributions by the Company, its subsidiaries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affiliated entities to or for the benefit of the Executive (whether paid or provided pursuant to the terms of this Agreement or otherwise), and</w:t>
      </w:r>
    </w:p>
    <w:p>
      <w:pPr>
        <w:spacing w:after="0" w:line="44" w:lineRule="exact"/>
        <w:rPr>
          <w:rFonts w:ascii="Arial" w:cs="Arial" w:eastAsia="Arial" w:hAnsi="Arial"/>
          <w:sz w:val="13"/>
          <w:szCs w:val="13"/>
          <w:b w:val="1"/>
          <w:bCs w:val="1"/>
          <w:color w:val="auto"/>
        </w:rPr>
      </w:pPr>
    </w:p>
    <w:p>
      <w:pPr>
        <w:ind w:left="200" w:right="480" w:firstLine="8"/>
        <w:spacing w:after="0" w:line="276" w:lineRule="auto"/>
        <w:tabs>
          <w:tab w:leader="none" w:pos="415" w:val="left"/>
        </w:tabs>
        <w:numPr>
          <w:ilvl w:val="1"/>
          <w:numId w:val="140"/>
        </w:numPr>
        <w:rPr>
          <w:rFonts w:ascii="Arial" w:cs="Arial" w:eastAsia="Arial" w:hAnsi="Arial"/>
          <w:sz w:val="13"/>
          <w:szCs w:val="13"/>
          <w:color w:val="auto"/>
        </w:rPr>
      </w:pPr>
      <w:r>
        <w:rPr>
          <w:rFonts w:ascii="Arial" w:cs="Arial" w:eastAsia="Arial" w:hAnsi="Arial"/>
          <w:sz w:val="13"/>
          <w:szCs w:val="13"/>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49" w:lineRule="exact"/>
        <w:rPr>
          <w:rFonts w:ascii="Arial" w:cs="Arial" w:eastAsia="Arial" w:hAnsi="Arial"/>
          <w:sz w:val="13"/>
          <w:szCs w:val="13"/>
          <w:color w:val="auto"/>
        </w:rPr>
      </w:pPr>
    </w:p>
    <w:p>
      <w:pPr>
        <w:ind w:left="200" w:right="20" w:firstLine="8"/>
        <w:spacing w:after="0" w:line="258" w:lineRule="auto"/>
        <w:tabs>
          <w:tab w:leader="none" w:pos="407" w:val="left"/>
        </w:tabs>
        <w:numPr>
          <w:ilvl w:val="1"/>
          <w:numId w:val="140"/>
        </w:numPr>
        <w:rPr>
          <w:rFonts w:ascii="Arial" w:cs="Arial" w:eastAsia="Arial" w:hAnsi="Arial"/>
          <w:sz w:val="13"/>
          <w:szCs w:val="13"/>
          <w:color w:val="auto"/>
        </w:rPr>
      </w:pPr>
      <w:r>
        <w:rPr>
          <w:rFonts w:ascii="Arial" w:cs="Arial" w:eastAsia="Arial" w:hAnsi="Arial"/>
          <w:sz w:val="13"/>
          <w:szCs w:val="13"/>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57" w:lineRule="exact"/>
        <w:rPr>
          <w:rFonts w:ascii="Arial" w:cs="Arial" w:eastAsia="Arial" w:hAnsi="Arial"/>
          <w:sz w:val="13"/>
          <w:szCs w:val="13"/>
          <w:color w:val="auto"/>
        </w:rPr>
      </w:pPr>
    </w:p>
    <w:p>
      <w:pPr>
        <w:jc w:val="both"/>
        <w:ind w:left="-20" w:firstLine="162"/>
        <w:spacing w:after="0" w:line="267" w:lineRule="auto"/>
        <w:tabs>
          <w:tab w:leader="none" w:pos="322"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Possible 280G Reduction. </w:t>
      </w:r>
      <w:r>
        <w:rPr>
          <w:rFonts w:ascii="Arial" w:cs="Arial" w:eastAsia="Arial" w:hAnsi="Arial"/>
          <w:sz w:val="13"/>
          <w:szCs w:val="13"/>
          <w:color w:val="auto"/>
        </w:rPr>
        <w:t>Following application of Section 22(a), in the event that the payment of the remaining Severance Benefits to Executive plus any other payments to Executive which would be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Internal Revenue Code Section 280G (including any reduced Severance Benefits) (“280G Severance Benefits”) would be subject (in whole or part), to any excise tax imposed under Internal Revenue Code Section 4999 (the “Excise Tax”), then the cash portion of the 280G Severance Benefits shall first be further reduced, and the non-cash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28" w:name="page129"/>
    <w:bookmarkEnd w:id="128"/>
    <w:p>
      <w:pPr>
        <w:spacing w:after="0" w:line="316" w:lineRule="auto"/>
        <w:rPr>
          <w:sz w:val="20"/>
          <w:szCs w:val="20"/>
          <w:color w:val="auto"/>
        </w:rPr>
      </w:pPr>
      <w:r>
        <w:rPr>
          <w:rFonts w:ascii="Arial" w:cs="Arial" w:eastAsia="Arial" w:hAnsi="Arial"/>
          <w:sz w:val="11"/>
          <w:szCs w:val="11"/>
          <w:color w:val="auto"/>
        </w:rPr>
        <w:t>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28" w:lineRule="exact"/>
        <w:rPr>
          <w:sz w:val="20"/>
          <w:szCs w:val="20"/>
          <w:color w:val="auto"/>
        </w:rPr>
      </w:pPr>
    </w:p>
    <w:p>
      <w:pPr>
        <w:ind w:right="40" w:firstLine="162"/>
        <w:spacing w:after="0" w:line="278" w:lineRule="auto"/>
        <w:tabs>
          <w:tab w:leader="none" w:pos="357"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Calculation of 280G Severance Benefits. </w:t>
      </w:r>
      <w:r>
        <w:rPr>
          <w:rFonts w:ascii="Arial" w:cs="Arial" w:eastAsia="Arial" w:hAnsi="Arial"/>
          <w:sz w:val="12"/>
          <w:szCs w:val="12"/>
          <w:color w:val="auto"/>
        </w:rPr>
        <w:t>For purposes of determining the 280G Severance Benefits, (i) no portion of the 280G Severance Benefits, the receipt or enjoyment of which Executive shall have</w:t>
      </w:r>
      <w:r>
        <w:rPr>
          <w:rFonts w:ascii="Arial" w:cs="Arial" w:eastAsia="Arial" w:hAnsi="Arial"/>
          <w:sz w:val="12"/>
          <w:szCs w:val="12"/>
          <w:b w:val="1"/>
          <w:bCs w:val="1"/>
          <w:color w:val="auto"/>
        </w:rPr>
        <w:t xml:space="preserve"> </w:t>
      </w:r>
      <w:r>
        <w:rPr>
          <w:rFonts w:ascii="Arial" w:cs="Arial" w:eastAsia="Arial" w:hAnsi="Arial"/>
          <w:sz w:val="12"/>
          <w:szCs w:val="12"/>
          <w:color w:val="auto"/>
        </w:rPr>
        <w:t>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280G(b)(2) (including by reason of Internal Revenue Code</w:t>
      </w:r>
    </w:p>
    <w:p>
      <w:pPr>
        <w:spacing w:after="0" w:line="1" w:lineRule="exact"/>
        <w:rPr>
          <w:rFonts w:ascii="Arial" w:cs="Arial" w:eastAsia="Arial" w:hAnsi="Arial"/>
          <w:sz w:val="12"/>
          <w:szCs w:val="12"/>
          <w:b w:val="1"/>
          <w:bCs w:val="1"/>
          <w:color w:val="auto"/>
        </w:rPr>
      </w:pPr>
    </w:p>
    <w:p>
      <w:pPr>
        <w:spacing w:after="0" w:line="327" w:lineRule="auto"/>
        <w:rPr>
          <w:rFonts w:ascii="Arial" w:cs="Arial" w:eastAsia="Arial" w:hAnsi="Arial"/>
          <w:sz w:val="12"/>
          <w:szCs w:val="12"/>
          <w:b w:val="1"/>
          <w:bCs w:val="1"/>
          <w:color w:val="auto"/>
        </w:rPr>
      </w:pPr>
      <w:r>
        <w:rPr>
          <w:rFonts w:ascii="Arial" w:cs="Arial" w:eastAsia="Arial" w:hAnsi="Arial"/>
          <w:sz w:val="11"/>
          <w:szCs w:val="11"/>
          <w:color w:val="auto"/>
        </w:rPr>
        <w:t>Section 280G(b)(4)(A)); (iii) no portion of the 280G Severance Benefits shall be taken into account which, in the opinion of Tax Counsel, constitutes reasonable compensation for services actually rendered, within the meaning of Internal Revenue Code Section 280G(b)(4)(B),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21" w:lineRule="exact"/>
        <w:rPr>
          <w:rFonts w:ascii="Arial" w:cs="Arial" w:eastAsia="Arial" w:hAnsi="Arial"/>
          <w:sz w:val="12"/>
          <w:szCs w:val="12"/>
          <w:b w:val="1"/>
          <w:bCs w:val="1"/>
          <w:color w:val="auto"/>
        </w:rPr>
      </w:pPr>
    </w:p>
    <w:p>
      <w:pPr>
        <w:ind w:right="280" w:firstLine="162"/>
        <w:spacing w:after="0" w:line="283" w:lineRule="auto"/>
        <w:tabs>
          <w:tab w:leader="none" w:pos="342"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Determination of Present Value. </w:t>
      </w:r>
      <w:r>
        <w:rPr>
          <w:rFonts w:ascii="Arial" w:cs="Arial" w:eastAsia="Arial" w:hAnsi="Arial"/>
          <w:sz w:val="13"/>
          <w:szCs w:val="13"/>
          <w:color w:val="auto"/>
        </w:rPr>
        <w:t>For purposes of this Section 22, the present value of Severance Benefits and 280G Severance Benefits 280G shall be determined in accordance with Internal Revenue Code</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280G(d)(4).</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23. Compliance with Internal Revenue Code Section 409A.</w:t>
      </w:r>
    </w:p>
    <w:p>
      <w:pPr>
        <w:spacing w:after="0" w:line="86" w:lineRule="exact"/>
        <w:rPr>
          <w:sz w:val="20"/>
          <w:szCs w:val="20"/>
          <w:color w:val="auto"/>
        </w:rPr>
      </w:pPr>
    </w:p>
    <w:p>
      <w:pPr>
        <w:ind w:left="340" w:hanging="178"/>
        <w:spacing w:after="0"/>
        <w:tabs>
          <w:tab w:leader="none" w:pos="34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Compliance. </w:t>
      </w:r>
      <w:r>
        <w:rPr>
          <w:rFonts w:ascii="Arial" w:cs="Arial" w:eastAsia="Arial" w:hAnsi="Arial"/>
          <w:sz w:val="12"/>
          <w:szCs w:val="12"/>
          <w:color w:val="auto"/>
        </w:rPr>
        <w:t>It is the intention of the Company and Executive that this Employment Agreement not result in unfavorable tax consequences to Executive under Internal Revenue Code Section 409A. This</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53" w:lineRule="exact"/>
        <w:rPr>
          <w:sz w:val="20"/>
          <w:szCs w:val="20"/>
          <w:color w:val="auto"/>
        </w:rPr>
      </w:pPr>
    </w:p>
    <w:p>
      <w:pPr>
        <w:ind w:right="280" w:firstLine="162"/>
        <w:spacing w:after="0" w:line="283" w:lineRule="auto"/>
        <w:tabs>
          <w:tab w:leader="none" w:pos="357"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Payment Timing. </w:t>
      </w:r>
      <w:r>
        <w:rPr>
          <w:rFonts w:ascii="Arial" w:cs="Arial" w:eastAsia="Arial" w:hAnsi="Arial"/>
          <w:sz w:val="13"/>
          <w:szCs w:val="13"/>
          <w:color w:val="auto"/>
        </w:rPr>
        <w:t>The payments of severance under Sections 6(e)(iii) and (iv) and Sections 7(a)(i) and (ii) above (“Separation Payments”) are designated as separate payments for purposes of the short-term</w:t>
      </w:r>
      <w:r>
        <w:rPr>
          <w:rFonts w:ascii="Arial" w:cs="Arial" w:eastAsia="Arial" w:hAnsi="Arial"/>
          <w:sz w:val="13"/>
          <w:szCs w:val="13"/>
          <w:b w:val="1"/>
          <w:bCs w:val="1"/>
          <w:color w:val="auto"/>
        </w:rPr>
        <w:t xml:space="preserve"> </w:t>
      </w:r>
      <w:r>
        <w:rPr>
          <w:rFonts w:ascii="Arial" w:cs="Arial" w:eastAsia="Arial" w:hAnsi="Arial"/>
          <w:sz w:val="13"/>
          <w:szCs w:val="13"/>
          <w:color w:val="auto"/>
        </w:rPr>
        <w:t>deferral rules under Treasury Regulation Section 1.409A-1(b)(4)(i)(F), and, with respect to such Separation Payments, the exemption for involuntary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9" w:name="page130"/>
    <w:bookmarkEnd w:id="129"/>
    <w:p>
      <w:pPr>
        <w:ind w:left="1"/>
        <w:spacing w:after="0" w:line="300" w:lineRule="auto"/>
        <w:rPr>
          <w:sz w:val="20"/>
          <w:szCs w:val="20"/>
          <w:color w:val="auto"/>
        </w:rPr>
      </w:pPr>
      <w:r>
        <w:rPr>
          <w:rFonts w:ascii="Arial" w:cs="Arial" w:eastAsia="Arial" w:hAnsi="Arial"/>
          <w:sz w:val="11"/>
          <w:szCs w:val="11"/>
          <w:color w:val="auto"/>
        </w:rPr>
        <w:t>terminations under separation pay plans under Treasury Regulation Section 1.409A-1(b)(9)(iii). As a result, (A) Separation Payments that are by their terms scheduled to be made on or before March 15th of the calendar year following the applicable year of termination, (B) 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w:t>
      </w:r>
    </w:p>
    <w:p>
      <w:pPr>
        <w:spacing w:after="0" w:line="2" w:lineRule="exact"/>
        <w:rPr>
          <w:sz w:val="20"/>
          <w:szCs w:val="20"/>
          <w:color w:val="auto"/>
        </w:rPr>
      </w:pPr>
    </w:p>
    <w:p>
      <w:pPr>
        <w:ind w:left="1" w:right="80" w:hanging="1"/>
        <w:spacing w:after="0" w:line="264" w:lineRule="auto"/>
        <w:tabs>
          <w:tab w:leader="none" w:pos="187" w:val="left"/>
        </w:tabs>
        <w:numPr>
          <w:ilvl w:val="0"/>
          <w:numId w:val="144"/>
        </w:numPr>
        <w:rPr>
          <w:rFonts w:ascii="Arial" w:cs="Arial" w:eastAsia="Arial" w:hAnsi="Arial"/>
          <w:sz w:val="13"/>
          <w:szCs w:val="13"/>
          <w:color w:val="auto"/>
        </w:rPr>
      </w:pPr>
      <w:r>
        <w:rPr>
          <w:rFonts w:ascii="Arial" w:cs="Arial" w:eastAsia="Arial" w:hAnsi="Arial"/>
          <w:sz w:val="13"/>
          <w:szCs w:val="13"/>
          <w:color w:val="auto"/>
        </w:rPr>
        <w:t>months and one (1) day after Executive’s termination. Continued medical benefits under Sections 6(e)(v) and 7(a)(i) above are intended to satisfy the exemption for medical expense reimbursements under Treasury Regulation Section 1.409A-1(b)(9)(v)(B).</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WITNESS WHEREOF, this Agreement is EXECUTED as of the date first set forth above and effective as set forth therein.</w:t>
      </w:r>
    </w:p>
    <w:p>
      <w:pPr>
        <w:spacing w:after="0" w:line="161" w:lineRule="exact"/>
        <w:rPr>
          <w:sz w:val="20"/>
          <w:szCs w:val="20"/>
          <w:color w:val="auto"/>
        </w:rPr>
      </w:pPr>
    </w:p>
    <w:p>
      <w:pPr>
        <w:ind w:left="5521"/>
        <w:spacing w:after="0"/>
        <w:rPr>
          <w:sz w:val="20"/>
          <w:szCs w:val="20"/>
          <w:color w:val="auto"/>
        </w:rPr>
      </w:pPr>
      <w:r>
        <w:rPr>
          <w:rFonts w:ascii="Arial" w:cs="Arial" w:eastAsia="Arial" w:hAnsi="Arial"/>
          <w:sz w:val="13"/>
          <w:szCs w:val="13"/>
          <w:b w:val="1"/>
          <w:bCs w:val="1"/>
          <w:color w:val="auto"/>
        </w:rPr>
        <w:t>WILLIAM K. CAESAR</w:t>
      </w:r>
    </w:p>
    <w:p>
      <w:pPr>
        <w:spacing w:after="0" w:line="19"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w:t>
      </w:r>
    </w:p>
    <w:p>
      <w:pPr>
        <w:spacing w:after="0" w:line="15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3"/>
          <w:szCs w:val="13"/>
          <w:i w:val="1"/>
          <w:iCs w:val="1"/>
          <w:color w:val="auto"/>
        </w:rPr>
        <w:t>William K. Caesar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William K. Caesar</w:t>
      </w:r>
    </w:p>
    <w:p>
      <w:pPr>
        <w:spacing w:after="0" w:line="15" w:lineRule="exact"/>
        <w:rPr>
          <w:sz w:val="20"/>
          <w:szCs w:val="20"/>
          <w:color w:val="auto"/>
        </w:rPr>
      </w:pPr>
    </w:p>
    <w:p>
      <w:pPr>
        <w:ind w:left="9241"/>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5715</wp:posOffset>
            </wp:positionV>
            <wp:extent cx="234696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46960" cy="635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211455</wp:posOffset>
            </wp:positionV>
            <wp:extent cx="268986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30" w:name="page131"/>
    <w:bookmarkEnd w:id="130"/>
    <w:p>
      <w:pPr>
        <w:ind w:left="420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(The “Company”)</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i w:val="1"/>
          <w:iCs w:val="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10795</wp:posOffset>
            </wp:positionV>
            <wp:extent cx="259651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jc w:val="right"/>
        <w:ind w:right="2559"/>
        <w:spacing w:after="0"/>
        <w:rPr>
          <w:sz w:val="20"/>
          <w:szCs w:val="20"/>
          <w:color w:val="auto"/>
        </w:rPr>
      </w:pPr>
      <w:r>
        <w:rPr>
          <w:rFonts w:ascii="Arial" w:cs="Arial" w:eastAsia="Arial" w:hAnsi="Arial"/>
          <w:sz w:val="13"/>
          <w:szCs w:val="13"/>
          <w:color w:val="auto"/>
        </w:rPr>
        <w:t>President and Chief Executive Officer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019"/>
          </w:cols>
          <w:pgMar w:left="1440" w:top="1031" w:right="1440"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300" w:hanging="138"/>
        <w:spacing w:after="0"/>
        <w:tabs>
          <w:tab w:leader="none" w:pos="3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October 27, 2011</w:t>
      </w:r>
    </w:p>
    <w:p>
      <w:pPr>
        <w:sectPr>
          <w:pgSz w:w="11900" w:h="16838" w:orient="portrait"/>
          <w:cols w:equalWidth="0" w:num="1">
            <w:col w:w="11460"/>
          </w:cols>
          <w:pgMar w:left="220" w:top="131" w:right="2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Steven C. Preston, certify that:</w:t>
      </w:r>
    </w:p>
    <w:p>
      <w:pPr>
        <w:spacing w:after="0" w:line="86" w:lineRule="exact"/>
        <w:rPr>
          <w:sz w:val="20"/>
          <w:szCs w:val="20"/>
          <w:color w:val="auto"/>
        </w:rPr>
      </w:pPr>
    </w:p>
    <w:p>
      <w:pPr>
        <w:ind w:left="300" w:hanging="138"/>
        <w:spacing w:after="0"/>
        <w:tabs>
          <w:tab w:leader="none" w:pos="30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4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4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14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14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14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1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Steven C. Preston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Executive Vice President - Finance, Recycling &amp; Energy Services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October 27, 2011</w:t>
      </w:r>
    </w:p>
    <w:p>
      <w:pPr>
        <w:sectPr>
          <w:pgSz w:w="11900" w:h="16838" w:orient="portrait"/>
          <w:cols w:equalWidth="0" w:num="1">
            <w:col w:w="11460"/>
          </w:cols>
          <w:pgMar w:left="220" w:top="131" w:right="21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2011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October 27, 2011</w:t>
      </w:r>
    </w:p>
    <w:p>
      <w:pPr>
        <w:sectPr>
          <w:pgSz w:w="11900" w:h="16838" w:orient="portrait"/>
          <w:cols w:equalWidth="0" w:num="1">
            <w:col w:w="11460"/>
          </w:cols>
          <w:pgMar w:left="220" w:top="131" w:right="21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September 30, 2011 as filed with the Securities and Exchange Commission on the date hereof (the “Report”), I, Steven C. Preston, Executive Vice President - Finance, Recycling &amp; Energy Services of the Company, certify, pursuant to 18 U.S.C. § 1350, as adopted pursuant to § 906 of the Sarbanes-Oxley Act of 2002, that:</w:t>
      </w:r>
    </w:p>
    <w:p>
      <w:pPr>
        <w:spacing w:after="0" w:line="57" w:lineRule="exact"/>
        <w:rPr>
          <w:sz w:val="20"/>
          <w:szCs w:val="20"/>
          <w:color w:val="auto"/>
        </w:rPr>
      </w:pPr>
    </w:p>
    <w:p>
      <w:pPr>
        <w:ind w:left="580" w:hanging="188"/>
        <w:spacing w:after="0"/>
        <w:tabs>
          <w:tab w:leader="none" w:pos="5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Steven C. Preston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Executive Vice President - Finance, Recycling &amp; Energy Services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October 27, 2011</w:t>
      </w:r>
    </w:p>
    <w:sectPr>
      <w:pgSz w:w="11900" w:h="16838" w:orient="portrait"/>
      <w:cols w:equalWidth="0" w:num="1">
        <w:col w:w="11460"/>
      </w:cols>
      <w:pgMar w:left="220" w:top="1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o"/>
      <w:numFmt w:val="bullet"/>
      <w:start w:val="1"/>
    </w:lvl>
  </w:abstractNum>
  <w:abstractNum w:abstractNumId="2">
    <w:nsid w:val="51D9C564"/>
    <w:multiLevelType w:val="hybridMultilevel"/>
    <w:lvl w:ilvl="0">
      <w:lvlJc w:val="left"/>
      <w:lvlText w:val="%1."/>
      <w:numFmt w:val="decimal"/>
      <w:start w:val="1"/>
    </w:lvl>
  </w:abstractNum>
  <w:abstractNum w:abstractNumId="3">
    <w:nsid w:val="613EFDC5"/>
    <w:multiLevelType w:val="hybridMultilevel"/>
    <w:lvl w:ilvl="0">
      <w:lvlJc w:val="left"/>
      <w:lvlText w:val="%1."/>
      <w:numFmt w:val="decimal"/>
      <w:start w:val="2"/>
    </w:lvl>
  </w:abstractNum>
  <w:abstractNum w:abstractNumId="4">
    <w:nsid w:val="BF72B14"/>
    <w:multiLevelType w:val="hybridMultilevel"/>
    <w:lvl w:ilvl="0">
      <w:lvlJc w:val="left"/>
      <w:lvlText w:val="(%1)"/>
      <w:numFmt w:val="lowerLetter"/>
      <w:start w:val="1"/>
    </w:lvl>
  </w:abstractNum>
  <w:abstractNum w:abstractNumId="5">
    <w:nsid w:val="11447B73"/>
    <w:multiLevelType w:val="hybridMultilevel"/>
    <w:lvl w:ilvl="0">
      <w:lvlJc w:val="left"/>
      <w:lvlText w:val="%1."/>
      <w:numFmt w:val="decimal"/>
      <w:start w:val="3"/>
    </w:lvl>
  </w:abstractNum>
  <w:abstractNum w:abstractNumId="6">
    <w:nsid w:val="42963E5A"/>
    <w:multiLevelType w:val="hybridMultilevel"/>
    <w:lvl w:ilvl="0">
      <w:lvlJc w:val="left"/>
      <w:lvlText w:val="%1."/>
      <w:numFmt w:val="decimal"/>
      <w:start w:val="4"/>
    </w:lvl>
  </w:abstractNum>
  <w:abstractNum w:abstractNumId="7">
    <w:nsid w:val="A0382C5"/>
    <w:multiLevelType w:val="hybridMultilevel"/>
    <w:lvl w:ilvl="0">
      <w:lvlJc w:val="left"/>
      <w:lvlText w:val="(%1)"/>
      <w:numFmt w:val="lowerLetter"/>
      <w:start w:val="1"/>
    </w:lvl>
  </w:abstractNum>
  <w:abstractNum w:abstractNumId="8">
    <w:nsid w:val="8F2B15E"/>
    <w:multiLevelType w:val="hybridMultilevel"/>
    <w:lvl w:ilvl="0">
      <w:lvlJc w:val="left"/>
      <w:lvlText w:val="%1."/>
      <w:numFmt w:val="decimal"/>
      <w:start w:val="5"/>
    </w:lvl>
  </w:abstractNum>
  <w:abstractNum w:abstractNumId="9">
    <w:nsid w:val="1A32234B"/>
    <w:multiLevelType w:val="hybridMultilevel"/>
    <w:lvl w:ilvl="0">
      <w:lvlJc w:val="left"/>
      <w:lvlText w:val="%1."/>
      <w:numFmt w:val="decimal"/>
      <w:start w:val="8"/>
    </w:lvl>
  </w:abstractNum>
  <w:abstractNum w:abstractNumId="10">
    <w:nsid w:val="3B0FD379"/>
    <w:multiLevelType w:val="hybridMultilevel"/>
    <w:lvl w:ilvl="0">
      <w:lvlJc w:val="left"/>
      <w:lvlText w:val="%1."/>
      <w:numFmt w:val="decimal"/>
      <w:start w:val="9"/>
    </w:lvl>
  </w:abstractNum>
  <w:abstractNum w:abstractNumId="11">
    <w:nsid w:val="68EB2F63"/>
    <w:multiLevelType w:val="hybridMultilevel"/>
    <w:lvl w:ilvl="0">
      <w:lvlJc w:val="left"/>
      <w:lvlText w:val="%1."/>
      <w:numFmt w:val="decimal"/>
      <w:start w:val="10"/>
    </w:lvl>
  </w:abstractNum>
  <w:abstractNum w:abstractNumId="12">
    <w:nsid w:val="4962813B"/>
    <w:multiLevelType w:val="hybridMultilevel"/>
    <w:lvl w:ilvl="0">
      <w:lvlJc w:val="left"/>
      <w:lvlText w:val="%1."/>
      <w:numFmt w:val="decimal"/>
      <w:start w:val="11"/>
    </w:lvl>
  </w:abstractNum>
  <w:abstractNum w:abstractNumId="13">
    <w:nsid w:val="60B6DF70"/>
    <w:multiLevelType w:val="hybridMultilevel"/>
    <w:lvl w:ilvl="0">
      <w:lvlJc w:val="left"/>
      <w:lvlText w:val="%1."/>
      <w:numFmt w:val="decimal"/>
      <w:start w:val="12"/>
    </w:lvl>
  </w:abstractNum>
  <w:abstractNum w:abstractNumId="14">
    <w:nsid w:val="6A5EE64"/>
    <w:multiLevelType w:val="hybridMultilevel"/>
    <w:lvl w:ilvl="0">
      <w:lvlJc w:val="left"/>
      <w:lvlText w:val="%1."/>
      <w:numFmt w:val="decimal"/>
      <w:start w:val="13"/>
    </w:lvl>
  </w:abstractNum>
  <w:abstractNum w:abstractNumId="15">
    <w:nsid w:val="14330624"/>
    <w:multiLevelType w:val="hybridMultilevel"/>
    <w:lvl w:ilvl="0">
      <w:lvlJc w:val="left"/>
      <w:lvlText w:val="%1."/>
      <w:numFmt w:val="decimal"/>
      <w:start w:val="14"/>
    </w:lvl>
  </w:abstractNum>
  <w:abstractNum w:abstractNumId="16">
    <w:nsid w:val="7FFFCA11"/>
    <w:multiLevelType w:val="hybridMultilevel"/>
    <w:lvl w:ilvl="0">
      <w:lvlJc w:val="left"/>
      <w:lvlText w:val="%1."/>
      <w:numFmt w:val="decimal"/>
      <w:start w:val="15"/>
    </w:lvl>
  </w:abstractNum>
  <w:abstractNum w:abstractNumId="17">
    <w:nsid w:val="1A27709E"/>
    <w:multiLevelType w:val="hybridMultilevel"/>
    <w:lvl w:ilvl="0">
      <w:lvlJc w:val="left"/>
      <w:lvlText w:val="%1."/>
      <w:numFmt w:val="decimal"/>
      <w:start w:val="16"/>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lvl w:ilvl="1">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1)"/>
      <w:numFmt w:val="lowerLetter"/>
      <w:start w:val="1"/>
    </w:lvl>
  </w:abstractNum>
  <w:abstractNum w:abstractNumId="27">
    <w:nsid w:val="1716703B"/>
    <w:multiLevelType w:val="hybridMultilevel"/>
    <w:lvl w:ilvl="0">
      <w:lvlJc w:val="left"/>
      <w:lvlText w:val="(%1)"/>
      <w:numFmt w:val="lowerLetter"/>
      <w:start w:val="1"/>
    </w:lvl>
  </w:abstractNum>
  <w:abstractNum w:abstractNumId="28">
    <w:nsid w:val="14E17E33"/>
    <w:multiLevelType w:val="hybridMultilevel"/>
    <w:lvl w:ilvl="0">
      <w:lvlJc w:val="left"/>
      <w:lvlText w:val="(%1)"/>
      <w:numFmt w:val="lowerRoman"/>
      <w:start w:val="1"/>
    </w:lvl>
  </w:abstractNum>
  <w:abstractNum w:abstractNumId="29">
    <w:nsid w:val="3222E7CD"/>
    <w:multiLevelType w:val="hybridMultilevel"/>
    <w:lvl w:ilvl="0">
      <w:lvlJc w:val="left"/>
      <w:lvlText w:val="(%1)"/>
      <w:numFmt w:val="lowerRoman"/>
      <w:start w:val="2"/>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lvl w:ilvl="1">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1)"/>
      <w:numFmt w:val="lowerLetter"/>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1)"/>
      <w:numFmt w:val="lowerLetter"/>
      <w:start w:val="1"/>
    </w:lvl>
  </w:abstractNum>
  <w:abstractNum w:abstractNumId="40">
    <w:nsid w:val="26F324BA"/>
    <w:multiLevelType w:val="hybridMultilevel"/>
    <w:lvl w:ilvl="0">
      <w:lvlJc w:val="left"/>
      <w:lvlText w:val="%1."/>
      <w:numFmt w:val="decimal"/>
      <w:start w:val="1"/>
    </w:lvl>
  </w:abstractNum>
  <w:abstractNum w:abstractNumId="41">
    <w:nsid w:val="7F01579B"/>
    <w:multiLevelType w:val="hybridMultilevel"/>
    <w:lvl w:ilvl="0">
      <w:lvlJc w:val="left"/>
      <w:lvlText w:val="(%1)"/>
      <w:numFmt w:val="decimal"/>
      <w:start w:val="1"/>
    </w:lvl>
  </w:abstractNum>
  <w:abstractNum w:abstractNumId="42">
    <w:nsid w:val="49DA307D"/>
    <w:multiLevelType w:val="hybridMultilevel"/>
    <w:lvl w:ilvl="0">
      <w:lvlJc w:val="left"/>
      <w:lvlText w:val="(%1)"/>
      <w:numFmt w:val="decimal"/>
      <w:start w:val="8"/>
    </w:lvl>
  </w:abstractNum>
  <w:abstractNum w:abstractNumId="43">
    <w:nsid w:val="7055A5F5"/>
    <w:multiLevelType w:val="hybridMultilevel"/>
    <w:lvl w:ilvl="0">
      <w:lvlJc w:val="left"/>
      <w:lvlText w:val="%1."/>
      <w:numFmt w:val="decimal"/>
      <w:start w:val="1"/>
    </w:lvl>
  </w:abstractNum>
  <w:abstractNum w:abstractNumId="44">
    <w:nsid w:val="5FB8370B"/>
    <w:multiLevelType w:val="hybridMultilevel"/>
    <w:lvl w:ilvl="0">
      <w:lvlJc w:val="left"/>
      <w:lvlText w:val="%1."/>
      <w:numFmt w:val="decimal"/>
      <w:start w:val="2"/>
    </w:lvl>
  </w:abstractNum>
  <w:abstractNum w:abstractNumId="45">
    <w:nsid w:val="50801EE1"/>
    <w:multiLevelType w:val="hybridMultilevel"/>
    <w:lvl w:ilvl="0">
      <w:lvlJc w:val="left"/>
      <w:lvlText w:val="%1."/>
      <w:numFmt w:val="decimal"/>
      <w:start w:val="3"/>
    </w:lvl>
  </w:abstractNum>
  <w:abstractNum w:abstractNumId="46">
    <w:nsid w:val="488AC1A"/>
    <w:multiLevelType w:val="hybridMultilevel"/>
    <w:lvl w:ilvl="0">
      <w:lvlJc w:val="left"/>
      <w:lvlText w:val="%1."/>
      <w:numFmt w:val="decimal"/>
      <w:start w:val="4"/>
    </w:lvl>
  </w:abstractNum>
  <w:abstractNum w:abstractNumId="47">
    <w:nsid w:val="5FB8011C"/>
    <w:multiLevelType w:val="hybridMultilevel"/>
    <w:lvl w:ilvl="0">
      <w:lvlJc w:val="left"/>
      <w:lvlText w:val="%1."/>
      <w:numFmt w:val="decimal"/>
      <w:start w:val="5"/>
    </w:lvl>
  </w:abstractNum>
  <w:abstractNum w:abstractNumId="48">
    <w:nsid w:val="6AA78F7F"/>
    <w:multiLevelType w:val="hybridMultilevel"/>
    <w:lvl w:ilvl="0">
      <w:lvlJc w:val="left"/>
      <w:lvlText w:val="%1."/>
      <w:numFmt w:val="decimal"/>
      <w:start w:val="6"/>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1)"/>
      <w:numFmt w:val="decimal"/>
      <w:start w:val="2"/>
    </w:lvl>
  </w:abstractNum>
  <w:abstractNum w:abstractNumId="51">
    <w:nsid w:val="6A5F7029"/>
    <w:multiLevelType w:val="hybridMultilevel"/>
    <w:lvl w:ilvl="0">
      <w:lvlJc w:val="left"/>
      <w:lvlText w:val="%1."/>
      <w:numFmt w:val="decimal"/>
      <w:start w:val="7"/>
    </w:lvl>
  </w:abstractNum>
  <w:abstractNum w:abstractNumId="52">
    <w:nsid w:val="7D5E18F8"/>
    <w:multiLevelType w:val="hybridMultilevel"/>
    <w:lvl w:ilvl="0">
      <w:lvlJc w:val="left"/>
      <w:lvlText w:val="%1."/>
      <w:numFmt w:val="decimal"/>
      <w:start w:val="8"/>
    </w:lvl>
  </w:abstractNum>
  <w:abstractNum w:abstractNumId="53">
    <w:nsid w:val="5F3534A4"/>
    <w:multiLevelType w:val="hybridMultilevel"/>
    <w:lvl w:ilvl="0">
      <w:lvlJc w:val="left"/>
      <w:lvlText w:val="%1."/>
      <w:numFmt w:val="decimal"/>
      <w:start w:val="9"/>
    </w:lvl>
  </w:abstractNum>
  <w:abstractNum w:abstractNumId="54">
    <w:nsid w:val="73A1821B"/>
    <w:multiLevelType w:val="hybridMultilevel"/>
    <w:lvl w:ilvl="0">
      <w:lvlJc w:val="left"/>
      <w:lvlText w:val="%1."/>
      <w:numFmt w:val="decimal"/>
      <w:start w:val="10"/>
    </w:lvl>
  </w:abstractNum>
  <w:abstractNum w:abstractNumId="55">
    <w:nsid w:val="7DE67713"/>
    <w:multiLevelType w:val="hybridMultilevel"/>
    <w:lvl w:ilvl="0">
      <w:lvlJc w:val="left"/>
      <w:lvlText w:val="%1."/>
      <w:numFmt w:val="decimal"/>
      <w:start w:val="11"/>
    </w:lvl>
  </w:abstractNum>
  <w:abstractNum w:abstractNumId="56">
    <w:nsid w:val="555C55B5"/>
    <w:multiLevelType w:val="hybridMultilevel"/>
    <w:lvl w:ilvl="0">
      <w:lvlJc w:val="left"/>
      <w:lvlText w:val="%1."/>
      <w:numFmt w:val="decimal"/>
      <w:start w:val="12"/>
    </w:lvl>
  </w:abstractNum>
  <w:abstractNum w:abstractNumId="57">
    <w:nsid w:val="3FA62ACA"/>
    <w:multiLevelType w:val="hybridMultilevel"/>
    <w:lvl w:ilvl="0">
      <w:lvlJc w:val="left"/>
      <w:lvlText w:val="%1."/>
      <w:numFmt w:val="decimal"/>
      <w:start w:val="13"/>
    </w:lvl>
  </w:abstractNum>
  <w:abstractNum w:abstractNumId="58">
    <w:nsid w:val="14FCE74E"/>
    <w:multiLevelType w:val="hybridMultilevel"/>
    <w:lvl w:ilvl="0">
      <w:lvlJc w:val="left"/>
      <w:lvlText w:val="%1."/>
      <w:numFmt w:val="decimal"/>
      <w:start w:val="14"/>
    </w:lvl>
  </w:abstractNum>
  <w:abstractNum w:abstractNumId="59">
    <w:nsid w:val="6A3DD3E8"/>
    <w:multiLevelType w:val="hybridMultilevel"/>
    <w:lvl w:ilvl="0">
      <w:lvlJc w:val="left"/>
      <w:lvlText w:val="%1."/>
      <w:numFmt w:val="decimal"/>
      <w:start w:val="15"/>
    </w:lvl>
  </w:abstractNum>
  <w:abstractNum w:abstractNumId="60">
    <w:nsid w:val="71C91298"/>
    <w:multiLevelType w:val="hybridMultilevel"/>
    <w:lvl w:ilvl="0">
      <w:lvlJc w:val="left"/>
      <w:lvlText w:val="%1."/>
      <w:numFmt w:val="decimal"/>
      <w:start w:val="16"/>
    </w:lvl>
  </w:abstractNum>
  <w:abstractNum w:abstractNumId="61">
    <w:nsid w:val="9DAF632"/>
    <w:multiLevelType w:val="hybridMultilevel"/>
    <w:lvl w:ilvl="0">
      <w:lvlJc w:val="left"/>
      <w:lvlText w:val="%1."/>
      <w:numFmt w:val="decimal"/>
      <w:start w:val="17"/>
    </w:lvl>
  </w:abstractNum>
  <w:abstractNum w:abstractNumId="62">
    <w:nsid w:val="53299938"/>
    <w:multiLevelType w:val="hybridMultilevel"/>
    <w:lvl w:ilvl="0">
      <w:lvlJc w:val="left"/>
      <w:lvlText w:val="%1."/>
      <w:numFmt w:val="decimal"/>
      <w:start w:val="18"/>
    </w:lvl>
  </w:abstractNum>
  <w:abstractNum w:abstractNumId="63">
    <w:nsid w:val="1FBFE8E0"/>
    <w:multiLevelType w:val="hybridMultilevel"/>
    <w:lvl w:ilvl="0">
      <w:lvlJc w:val="left"/>
      <w:lvlText w:val="(%1)"/>
      <w:numFmt w:val="lowerLetter"/>
      <w:start w:val="1"/>
    </w:lvl>
  </w:abstractNum>
  <w:abstractNum w:abstractNumId="64">
    <w:nsid w:val="5092CA79"/>
    <w:multiLevelType w:val="hybridMultilevel"/>
    <w:lvl w:ilvl="0">
      <w:lvlJc w:val="left"/>
      <w:lvlText w:val="(%1)"/>
      <w:numFmt w:val="lowerRoman"/>
      <w:start w:val="1"/>
    </w:lvl>
  </w:abstractNum>
  <w:abstractNum w:abstractNumId="65">
    <w:nsid w:val="1D545C4D"/>
    <w:multiLevelType w:val="hybridMultilevel"/>
    <w:lvl w:ilvl="0">
      <w:lvlJc w:val="left"/>
      <w:lvlText w:val="(%1)"/>
      <w:numFmt w:val="lowerLetter"/>
      <w:start w:val="1"/>
    </w:lvl>
  </w:abstractNum>
  <w:abstractNum w:abstractNumId="66">
    <w:nsid w:val="59ADEA3D"/>
    <w:multiLevelType w:val="hybridMultilevel"/>
    <w:lvl w:ilvl="0">
      <w:lvlJc w:val="left"/>
      <w:lvlText w:val="(%1)"/>
      <w:numFmt w:val="lowerLetter"/>
      <w:start w:val="1"/>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3"/>
    </w:lvl>
  </w:abstractNum>
  <w:abstractNum w:abstractNumId="69">
    <w:nsid w:val="1D9F6E5F"/>
    <w:multiLevelType w:val="hybridMultilevel"/>
    <w:lvl w:ilvl="0">
      <w:lvlJc w:val="left"/>
      <w:lvlText w:val="(%1)"/>
      <w:numFmt w:val="lowerLetter"/>
      <w:start w:val="4"/>
    </w:lvl>
  </w:abstractNum>
  <w:abstractNum w:abstractNumId="70">
    <w:nsid w:val="97E1B4E"/>
    <w:multiLevelType w:val="hybridMultilevel"/>
    <w:lvl w:ilvl="0">
      <w:lvlJc w:val="left"/>
      <w:lvlText w:val="(%1)"/>
      <w:numFmt w:val="lowerLetter"/>
      <w:start w:val="1"/>
    </w:lvl>
  </w:abstractNum>
  <w:abstractNum w:abstractNumId="71">
    <w:nsid w:val="51088277"/>
    <w:multiLevelType w:val="hybridMultilevel"/>
    <w:lvl w:ilvl="0">
      <w:lvlJc w:val="left"/>
      <w:lvlText w:val="(%1)"/>
      <w:numFmt w:val="lowerLetter"/>
      <w:start w:val="3"/>
    </w:lvl>
    <w:lvl w:ilvl="1">
      <w:lvlJc w:val="left"/>
      <w:lvlText w:val="(%2)"/>
      <w:numFmt w:val="lowerRoman"/>
      <w:start w:val="1"/>
    </w:lvl>
  </w:abstractNum>
  <w:abstractNum w:abstractNumId="72">
    <w:nsid w:val="1CA0C5FA"/>
    <w:multiLevelType w:val="hybridMultilevel"/>
    <w:lvl w:ilvl="0">
      <w:lvlJc w:val="left"/>
      <w:lvlText w:val="%1"/>
      <w:numFmt w:val="lowerLetter"/>
      <w:start w:val="1"/>
    </w:lvl>
    <w:lvl w:ilvl="1">
      <w:lvlJc w:val="left"/>
      <w:lvlText w:val="(%2)"/>
      <w:numFmt w:val="lowerLetter"/>
      <w:start w:val="35"/>
    </w:lvl>
  </w:abstractNum>
  <w:abstractNum w:abstractNumId="73">
    <w:nsid w:val="53584BCB"/>
    <w:multiLevelType w:val="hybridMultilevel"/>
    <w:lvl w:ilvl="0">
      <w:lvlJc w:val="left"/>
      <w:lvlText w:val="(%1)"/>
      <w:numFmt w:val="lowerLetter"/>
      <w:start w:val="5"/>
    </w:lvl>
    <w:lvl w:ilvl="1">
      <w:lvlJc w:val="left"/>
      <w:lvlText w:val="%2"/>
      <w:numFmt w:val="lowerLetter"/>
      <w:start w:val="1"/>
    </w:lvl>
  </w:abstractNum>
  <w:abstractNum w:abstractNumId="74">
    <w:nsid w:val="415E286C"/>
    <w:multiLevelType w:val="hybridMultilevel"/>
    <w:lvl w:ilvl="0">
      <w:lvlJc w:val="left"/>
      <w:lvlText w:val="(%1)"/>
      <w:numFmt w:val="lowerLetter"/>
      <w:start w:val="1"/>
    </w:lvl>
    <w:lvl w:ilvl="1">
      <w:lvlJc w:val="left"/>
      <w:lvlText w:val="(%2)"/>
      <w:numFmt w:val="lowerLetter"/>
      <w:start w:val="9"/>
    </w:lvl>
  </w:abstractNum>
  <w:abstractNum w:abstractNumId="75">
    <w:nsid w:val="7C58FD05"/>
    <w:multiLevelType w:val="hybridMultilevel"/>
    <w:lvl w:ilvl="0">
      <w:lvlJc w:val="left"/>
      <w:lvlText w:val="%1"/>
      <w:numFmt w:val="lowerLetter"/>
      <w:start w:val="1"/>
    </w:lvl>
    <w:lvl w:ilvl="1">
      <w:lvlJc w:val="left"/>
      <w:lvlText w:val="(%2)"/>
      <w:numFmt w:val="lowerLetter"/>
      <w:start w:val="35"/>
    </w:lvl>
  </w:abstractNum>
  <w:abstractNum w:abstractNumId="76">
    <w:nsid w:val="23D86AAC"/>
    <w:multiLevelType w:val="hybridMultilevel"/>
    <w:lvl w:ilvl="0">
      <w:lvlJc w:val="left"/>
      <w:lvlText w:val="(%1)"/>
      <w:numFmt w:val="lowerLetter"/>
      <w:start w:val="2"/>
    </w:lvl>
    <w:lvl w:ilvl="1">
      <w:lvlJc w:val="left"/>
      <w:lvlText w:val="(%2)"/>
      <w:numFmt w:val="lowerLetter"/>
      <w:start w:val="9"/>
    </w:lvl>
  </w:abstractNum>
  <w:abstractNum w:abstractNumId="77">
    <w:nsid w:val="45E6D486"/>
    <w:multiLevelType w:val="hybridMultilevel"/>
    <w:lvl w:ilvl="0">
      <w:lvlJc w:val="left"/>
      <w:lvlText w:val="%1"/>
      <w:numFmt w:val="lowerLetter"/>
      <w:start w:val="1"/>
    </w:lvl>
    <w:lvl w:ilvl="1">
      <w:lvlJc w:val="left"/>
      <w:lvlText w:val="(%2)"/>
      <w:numFmt w:val="lowerLetter"/>
      <w:start w:val="35"/>
    </w:lvl>
  </w:abstractNum>
  <w:abstractNum w:abstractNumId="78">
    <w:nsid w:val="5C10FE21"/>
    <w:multiLevelType w:val="hybridMultilevel"/>
    <w:lvl w:ilvl="0">
      <w:lvlJc w:val="left"/>
      <w:lvlText w:val="(%1)"/>
      <w:numFmt w:val="lowerLetter"/>
      <w:start w:val="3"/>
    </w:lvl>
    <w:lvl w:ilvl="1">
      <w:lvlJc w:val="left"/>
      <w:lvlText w:val="(%2)"/>
      <w:numFmt w:val="lowerLetter"/>
      <w:start w:val="9"/>
    </w:lvl>
  </w:abstractNum>
  <w:abstractNum w:abstractNumId="79">
    <w:nsid w:val="E7FFA2B"/>
    <w:multiLevelType w:val="hybridMultilevel"/>
    <w:lvl w:ilvl="0">
      <w:lvlJc w:val="left"/>
      <w:lvlText w:val="%1"/>
      <w:numFmt w:val="lowerLetter"/>
      <w:start w:val="1"/>
    </w:lvl>
    <w:lvl w:ilvl="1">
      <w:lvlJc w:val="left"/>
      <w:lvlText w:val="(%2)"/>
      <w:numFmt w:val="lowerLetter"/>
      <w:start w:val="35"/>
    </w:lvl>
  </w:abstractNum>
  <w:abstractNum w:abstractNumId="80">
    <w:nsid w:val="3C5991AA"/>
    <w:multiLevelType w:val="hybridMultilevel"/>
    <w:lvl w:ilvl="0">
      <w:lvlJc w:val="left"/>
      <w:lvlText w:val="(%1)"/>
      <w:numFmt w:val="lowerLetter"/>
      <w:start w:val="4"/>
    </w:lvl>
    <w:lvl w:ilvl="1">
      <w:lvlJc w:val="left"/>
      <w:lvlText w:val="%2"/>
      <w:numFmt w:val="lowerLetter"/>
      <w:start w:val="1"/>
    </w:lvl>
  </w:abstractNum>
  <w:abstractNum w:abstractNumId="81">
    <w:nsid w:val="4BD8591A"/>
    <w:multiLevelType w:val="hybridMultilevel"/>
    <w:lvl w:ilvl="0">
      <w:lvlJc w:val="left"/>
      <w:lvlText w:val="%1"/>
      <w:numFmt w:val="lowerLetter"/>
      <w:start w:val="1"/>
    </w:lvl>
    <w:lvl w:ilvl="1">
      <w:lvlJc w:val="left"/>
      <w:lvlText w:val="(%2)"/>
      <w:numFmt w:val="lowerRoman"/>
      <w:start w:val="1"/>
    </w:lvl>
  </w:abstractNum>
  <w:abstractNum w:abstractNumId="82">
    <w:nsid w:val="78DF6A55"/>
    <w:multiLevelType w:val="hybridMultilevel"/>
    <w:lvl w:ilvl="0">
      <w:lvlJc w:val="left"/>
      <w:lvlText w:val="(%1)"/>
      <w:numFmt w:val="lowerLetter"/>
      <w:start w:val="5"/>
    </w:lvl>
    <w:lvl w:ilvl="1">
      <w:lvlJc w:val="left"/>
      <w:lvlText w:val="(%2)"/>
      <w:numFmt w:val="lowerRoman"/>
      <w:start w:val="1"/>
    </w:lvl>
  </w:abstractNum>
  <w:abstractNum w:abstractNumId="83">
    <w:nsid w:val="39B7AAA2"/>
    <w:multiLevelType w:val="hybridMultilevel"/>
    <w:lvl w:ilvl="0">
      <w:lvlJc w:val="left"/>
      <w:lvlText w:val="%1"/>
      <w:numFmt w:val="lowerLetter"/>
      <w:start w:val="1"/>
    </w:lvl>
    <w:lvl w:ilvl="1">
      <w:lvlJc w:val="left"/>
      <w:lvlText w:val="(%2)"/>
      <w:numFmt w:val="lowerLetter"/>
      <w:start w:val="22"/>
    </w:lvl>
  </w:abstractNum>
  <w:abstractNum w:abstractNumId="84">
    <w:nsid w:val="2B0D8DBE"/>
    <w:multiLevelType w:val="hybridMultilevel"/>
    <w:lvl w:ilvl="0">
      <w:lvlJc w:val="left"/>
      <w:lvlText w:val="(%1)"/>
      <w:numFmt w:val="lowerLetter"/>
      <w:start w:val="6"/>
    </w:lvl>
    <w:lvl w:ilvl="1">
      <w:lvlJc w:val="left"/>
      <w:lvlText w:val="(%2)"/>
      <w:numFmt w:val="lowerLetter"/>
      <w:start w:val="9"/>
    </w:lvl>
  </w:abstractNum>
  <w:abstractNum w:abstractNumId="85">
    <w:nsid w:val="6C80EC70"/>
    <w:multiLevelType w:val="hybridMultilevel"/>
    <w:lvl w:ilvl="0">
      <w:lvlJc w:val="left"/>
      <w:lvlText w:val="%1"/>
      <w:numFmt w:val="decimal"/>
      <w:start w:val="1"/>
    </w:lvl>
    <w:lvl w:ilvl="1">
      <w:lvlJc w:val="left"/>
      <w:lvlText w:val="(%2)"/>
      <w:numFmt w:val="lowerRoman"/>
      <w:start w:val="2"/>
    </w:lvl>
  </w:abstractNum>
  <w:abstractNum w:abstractNumId="86">
    <w:nsid w:val="379E21B5"/>
    <w:multiLevelType w:val="hybridMultilevel"/>
    <w:lvl w:ilvl="0">
      <w:lvlJc w:val="left"/>
      <w:lvlText w:val="%1."/>
      <w:numFmt w:val="decimal"/>
      <w:start w:val="7"/>
    </w:lvl>
    <w:lvl w:ilvl="1">
      <w:lvlJc w:val="left"/>
      <w:lvlText w:val="%2"/>
      <w:numFmt w:val="lowerRoman"/>
      <w:start w:val="1"/>
    </w:lvl>
  </w:abstractNum>
  <w:abstractNum w:abstractNumId="87">
    <w:nsid w:val="69E373"/>
    <w:multiLevelType w:val="hybridMultilevel"/>
    <w:lvl w:ilvl="0">
      <w:lvlJc w:val="left"/>
      <w:lvlText w:val="(%1)"/>
      <w:numFmt w:val="lowerLetter"/>
      <w:start w:val="1"/>
    </w:lvl>
    <w:lvl w:ilvl="1">
      <w:lvlJc w:val="left"/>
      <w:lvlText w:val="(%2)"/>
      <w:numFmt w:val="lowerRoman"/>
      <w:start w:val="1"/>
    </w:lvl>
  </w:abstractNum>
  <w:abstractNum w:abstractNumId="88">
    <w:nsid w:val="2C2717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4C9B0904"/>
    <w:multiLevelType w:val="hybridMultilevel"/>
    <w:lvl w:ilvl="0">
      <w:lvlJc w:val="left"/>
      <w:lvlText w:val="%1"/>
      <w:numFmt w:val="decimal"/>
      <w:start w:val="1"/>
    </w:lvl>
    <w:lvl w:ilvl="1">
      <w:lvlJc w:val="left"/>
      <w:lvlText w:val="(%2)"/>
      <w:numFmt w:val="lowerRoman"/>
      <w:start w:val="2"/>
    </w:lvl>
  </w:abstractNum>
  <w:abstractNum w:abstractNumId="90">
    <w:nsid w:val="6AA7B75C"/>
    <w:multiLevelType w:val="hybridMultilevel"/>
    <w:lvl w:ilvl="0">
      <w:lvlJc w:val="left"/>
      <w:lvlText w:val="%1."/>
      <w:numFmt w:val="decimal"/>
      <w:start w:val="8"/>
    </w:lvl>
    <w:lvl w:ilvl="1">
      <w:lvlJc w:val="left"/>
      <w:lvlText w:val="%2"/>
      <w:numFmt w:val="lowerRoman"/>
      <w:start w:val="1"/>
    </w:lvl>
  </w:abstractNum>
  <w:abstractNum w:abstractNumId="91">
    <w:nsid w:val="1DF029D3"/>
    <w:multiLevelType w:val="hybridMultilevel"/>
    <w:lvl w:ilvl="0">
      <w:lvlJc w:val="left"/>
      <w:lvlText w:val="%1."/>
      <w:numFmt w:val="decimal"/>
      <w:start w:val="10"/>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2"/>
    </w:lvl>
  </w:abstractNum>
  <w:abstractNum w:abstractNumId="94">
    <w:nsid w:val="3DB012B3"/>
    <w:multiLevelType w:val="hybridMultilevel"/>
    <w:lvl w:ilvl="0">
      <w:lvlJc w:val="left"/>
      <w:lvlText w:val="(%1)"/>
      <w:numFmt w:val="lowerLetter"/>
      <w:start w:val="3"/>
    </w:lvl>
  </w:abstractNum>
  <w:abstractNum w:abstractNumId="95">
    <w:nsid w:val="2708C9AF"/>
    <w:multiLevelType w:val="hybridMultilevel"/>
    <w:lvl w:ilvl="0">
      <w:lvlJc w:val="left"/>
      <w:lvlText w:val="(%1)"/>
      <w:numFmt w:val="lowerLetter"/>
      <w:start w:val="4"/>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2"/>
    </w:lvl>
  </w:abstractNum>
  <w:abstractNum w:abstractNumId="98">
    <w:nsid w:val="4F97E3E4"/>
    <w:multiLevelType w:val="hybridMultilevel"/>
    <w:lvl w:ilvl="0">
      <w:lvlJc w:val="left"/>
      <w:lvlText w:val="%1"/>
      <w:numFmt w:val="upperLetter"/>
      <w:start w:val="53"/>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1)"/>
      <w:numFmt w:val="lowerLetter"/>
      <w:start w:val="5"/>
    </w:lvl>
  </w:abstractNum>
  <w:abstractNum w:abstractNumId="101">
    <w:nsid w:val="5915FF32"/>
    <w:multiLevelType w:val="hybridMultilevel"/>
    <w:lvl w:ilvl="0">
      <w:lvlJc w:val="left"/>
      <w:lvlText w:val="(%1)"/>
      <w:numFmt w:val="lowerLetter"/>
      <w:start w:val="1"/>
    </w:lvl>
    <w:lvl w:ilvl="1">
      <w:lvlJc w:val="left"/>
      <w:lvlText w:val="(%2)"/>
      <w:numFmt w:val="upperLetter"/>
      <w:start w:val="1"/>
    </w:lvl>
  </w:abstractNum>
  <w:abstractNum w:abstractNumId="102">
    <w:nsid w:val="56438D15"/>
    <w:multiLevelType w:val="hybridMultilevel"/>
    <w:lvl w:ilvl="0">
      <w:lvlJc w:val="left"/>
      <w:lvlText w:val="(%1)"/>
      <w:numFmt w:val="lowerLetter"/>
      <w:start w:val="4"/>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1)"/>
      <w:numFmt w:val="lowerLetter"/>
      <w:start w:val="2"/>
    </w:lvl>
  </w:abstractNum>
  <w:abstractNum w:abstractNumId="105">
    <w:nsid w:val="17A1B582"/>
    <w:multiLevelType w:val="hybridMultilevel"/>
    <w:lvl w:ilvl="0">
      <w:lvlJc w:val="left"/>
      <w:lvlText w:val="(%1)"/>
      <w:numFmt w:val="decimal"/>
      <w:start w:val="6"/>
    </w:lvl>
  </w:abstractNum>
  <w:abstractNum w:abstractNumId="106">
    <w:nsid w:val="4DF72E4E"/>
    <w:multiLevelType w:val="hybridMultilevel"/>
    <w:lvl w:ilvl="0">
      <w:lvlJc w:val="left"/>
      <w:lvlText w:val="(%1)"/>
      <w:numFmt w:val="lowerLetter"/>
      <w:start w:val="1"/>
    </w:lvl>
  </w:abstractNum>
  <w:abstractNum w:abstractNumId="107">
    <w:nsid w:val="5046B5A9"/>
    <w:multiLevelType w:val="hybridMultilevel"/>
    <w:lvl w:ilvl="0">
      <w:lvlJc w:val="left"/>
      <w:lvlText w:val="(%1)"/>
      <w:numFmt w:val="lowerLetter"/>
      <w:start w:val="1"/>
    </w:lvl>
  </w:abstractNum>
  <w:abstractNum w:abstractNumId="108">
    <w:nsid w:val="5D888A08"/>
    <w:multiLevelType w:val="hybridMultilevel"/>
    <w:lvl w:ilvl="0">
      <w:lvlJc w:val="left"/>
      <w:lvlText w:val="(%1)"/>
      <w:numFmt w:val="lowerLetter"/>
      <w:start w:val="3"/>
    </w:lvl>
  </w:abstractNum>
  <w:abstractNum w:abstractNumId="109">
    <w:nsid w:val="2A082C70"/>
    <w:multiLevelType w:val="hybridMultilevel"/>
    <w:lvl w:ilvl="0">
      <w:lvlJc w:val="left"/>
      <w:lvlText w:val="(%1)"/>
      <w:numFmt w:val="lowerLetter"/>
      <w:start w:val="4"/>
    </w:lvl>
  </w:abstractNum>
  <w:abstractNum w:abstractNumId="110">
    <w:nsid w:val="5EC6AFD4"/>
    <w:multiLevelType w:val="hybridMultilevel"/>
    <w:lvl w:ilvl="0">
      <w:lvlJc w:val="left"/>
      <w:lvlText w:val="(%1)"/>
      <w:numFmt w:val="lowerLetter"/>
      <w:start w:val="1"/>
    </w:lvl>
  </w:abstractNum>
  <w:abstractNum w:abstractNumId="111">
    <w:nsid w:val="19E21BB2"/>
    <w:multiLevelType w:val="hybridMultilevel"/>
    <w:lvl w:ilvl="0">
      <w:lvlJc w:val="left"/>
      <w:lvlText w:val="(%1)"/>
      <w:numFmt w:val="lowerLetter"/>
      <w:start w:val="3"/>
    </w:lvl>
    <w:lvl w:ilvl="1">
      <w:lvlJc w:val="left"/>
      <w:lvlText w:val="(%2)"/>
      <w:numFmt w:val="lowerRoman"/>
      <w:start w:val="1"/>
    </w:lvl>
  </w:abstractNum>
  <w:abstractNum w:abstractNumId="112">
    <w:nsid w:val="75E0858A"/>
    <w:multiLevelType w:val="hybridMultilevel"/>
    <w:lvl w:ilvl="0">
      <w:lvlJc w:val="left"/>
      <w:lvlText w:val="%1"/>
      <w:numFmt w:val="lowerLetter"/>
      <w:start w:val="1"/>
    </w:lvl>
    <w:lvl w:ilvl="1">
      <w:lvlJc w:val="left"/>
      <w:lvlText w:val="(%2)"/>
      <w:numFmt w:val="lowerLetter"/>
      <w:start w:val="35"/>
    </w:lvl>
  </w:abstractNum>
  <w:abstractNum w:abstractNumId="113">
    <w:nsid w:val="57A61A29"/>
    <w:multiLevelType w:val="hybridMultilevel"/>
    <w:lvl w:ilvl="0">
      <w:lvlJc w:val="left"/>
      <w:lvlText w:val="(%1)"/>
      <w:numFmt w:val="lowerLetter"/>
      <w:start w:val="5"/>
    </w:lvl>
    <w:lvl w:ilvl="1">
      <w:lvlJc w:val="left"/>
      <w:lvlText w:val="%2"/>
      <w:numFmt w:val="lowerLetter"/>
      <w:start w:val="1"/>
    </w:lvl>
  </w:abstractNum>
  <w:abstractNum w:abstractNumId="114">
    <w:nsid w:val="5399C654"/>
    <w:multiLevelType w:val="hybridMultilevel"/>
    <w:lvl w:ilvl="0">
      <w:lvlJc w:val="left"/>
      <w:lvlText w:val="(%1)"/>
      <w:numFmt w:val="lowerLetter"/>
      <w:start w:val="1"/>
    </w:lvl>
    <w:lvl w:ilvl="1">
      <w:lvlJc w:val="left"/>
      <w:lvlText w:val="(%2)"/>
      <w:numFmt w:val="lowerRoman"/>
      <w:start w:val="1"/>
    </w:lvl>
  </w:abstractNum>
  <w:abstractNum w:abstractNumId="115">
    <w:nsid w:val="20EE1348"/>
    <w:multiLevelType w:val="hybridMultilevel"/>
    <w:lvl w:ilvl="0">
      <w:lvlJc w:val="left"/>
      <w:lvlText w:val="%1"/>
      <w:numFmt w:val="lowerLetter"/>
      <w:start w:val="1"/>
    </w:lvl>
    <w:lvl w:ilvl="1">
      <w:lvlJc w:val="left"/>
      <w:lvlText w:val="(%2)"/>
      <w:numFmt w:val="lowerLetter"/>
      <w:start w:val="35"/>
    </w:lvl>
  </w:abstractNum>
  <w:abstractNum w:abstractNumId="116">
    <w:nsid w:val="4427069A"/>
    <w:multiLevelType w:val="hybridMultilevel"/>
    <w:lvl w:ilvl="0">
      <w:lvlJc w:val="left"/>
      <w:lvlText w:val="(%1)"/>
      <w:numFmt w:val="lowerLetter"/>
      <w:start w:val="2"/>
    </w:lvl>
    <w:lvl w:ilvl="1">
      <w:lvlJc w:val="left"/>
      <w:lvlText w:val="(%2)"/>
      <w:numFmt w:val="lowerLetter"/>
      <w:start w:val="9"/>
    </w:lvl>
  </w:abstractNum>
  <w:abstractNum w:abstractNumId="117">
    <w:nsid w:val="B37E80A"/>
    <w:multiLevelType w:val="hybridMultilevel"/>
    <w:lvl w:ilvl="0">
      <w:lvlJc w:val="left"/>
      <w:lvlText w:val="%1"/>
      <w:numFmt w:val="lowerLetter"/>
      <w:start w:val="1"/>
    </w:lvl>
    <w:lvl w:ilvl="1">
      <w:lvlJc w:val="left"/>
      <w:lvlText w:val="(%2)"/>
      <w:numFmt w:val="lowerLetter"/>
      <w:start w:val="35"/>
    </w:lvl>
  </w:abstractNum>
  <w:abstractNum w:abstractNumId="118">
    <w:nsid w:val="2157F6BC"/>
    <w:multiLevelType w:val="hybridMultilevel"/>
    <w:lvl w:ilvl="0">
      <w:lvlJc w:val="left"/>
      <w:lvlText w:val="(%1)"/>
      <w:numFmt w:val="lowerLetter"/>
      <w:start w:val="3"/>
    </w:lvl>
    <w:lvl w:ilvl="1">
      <w:lvlJc w:val="left"/>
      <w:lvlText w:val="(%2)"/>
      <w:numFmt w:val="lowerLetter"/>
      <w:start w:val="9"/>
    </w:lvl>
  </w:abstractNum>
  <w:abstractNum w:abstractNumId="119">
    <w:nsid w:val="704E1DD5"/>
    <w:multiLevelType w:val="hybridMultilevel"/>
    <w:lvl w:ilvl="0">
      <w:lvlJc w:val="left"/>
      <w:lvlText w:val="%1"/>
      <w:numFmt w:val="lowerLetter"/>
      <w:start w:val="1"/>
    </w:lvl>
    <w:lvl w:ilvl="1">
      <w:lvlJc w:val="left"/>
      <w:lvlText w:val="(%2)"/>
      <w:numFmt w:val="lowerLetter"/>
      <w:start w:val="35"/>
    </w:lvl>
  </w:abstractNum>
  <w:abstractNum w:abstractNumId="120">
    <w:nsid w:val="57D2F10E"/>
    <w:multiLevelType w:val="hybridMultilevel"/>
    <w:lvl w:ilvl="0">
      <w:lvlJc w:val="left"/>
      <w:lvlText w:val="(%1)"/>
      <w:numFmt w:val="lowerLetter"/>
      <w:start w:val="4"/>
    </w:lvl>
    <w:lvl w:ilvl="1">
      <w:lvlJc w:val="left"/>
      <w:lvlText w:val="(%2)"/>
      <w:numFmt w:val="lowerLetter"/>
      <w:start w:val="9"/>
    </w:lvl>
  </w:abstractNum>
  <w:abstractNum w:abstractNumId="121">
    <w:nsid w:val="BFFAE18"/>
    <w:multiLevelType w:val="hybridMultilevel"/>
    <w:lvl w:ilvl="0">
      <w:lvlJc w:val="left"/>
      <w:lvlText w:val="%1"/>
      <w:numFmt w:val="lowerLetter"/>
      <w:start w:val="1"/>
    </w:lvl>
    <w:lvl w:ilvl="1">
      <w:lvlJc w:val="left"/>
      <w:lvlText w:val="(%2)"/>
      <w:numFmt w:val="lowerLetter"/>
      <w:start w:val="35"/>
    </w:lvl>
  </w:abstractNum>
  <w:abstractNum w:abstractNumId="122">
    <w:nsid w:val="E3E47A8"/>
    <w:multiLevelType w:val="hybridMultilevel"/>
    <w:lvl w:ilvl="0">
      <w:lvlJc w:val="left"/>
      <w:lvlText w:val="(%1)"/>
      <w:numFmt w:val="lowerLetter"/>
      <w:start w:val="5"/>
    </w:lvl>
    <w:lvl w:ilvl="1">
      <w:lvlJc w:val="left"/>
      <w:lvlText w:val="(%2)"/>
      <w:numFmt w:val="lowerLetter"/>
      <w:start w:val="9"/>
    </w:lvl>
  </w:abstractNum>
  <w:abstractNum w:abstractNumId="123">
    <w:nsid w:val="2E48F044"/>
    <w:multiLevelType w:val="hybridMultilevel"/>
    <w:lvl w:ilvl="0">
      <w:lvlJc w:val="left"/>
      <w:lvlText w:val="(%1)"/>
      <w:numFmt w:val="lowerRoman"/>
      <w:start w:val="2"/>
    </w:lvl>
  </w:abstractNum>
  <w:abstractNum w:abstractNumId="124">
    <w:nsid w:val="49D0FEAC"/>
    <w:multiLevelType w:val="hybridMultilevel"/>
    <w:lvl w:ilvl="0">
      <w:lvlJc w:val="left"/>
      <w:lvlText w:val="(%1)"/>
      <w:numFmt w:val="lowerLetter"/>
      <w:start w:val="6"/>
    </w:lvl>
    <w:lvl w:ilvl="1">
      <w:lvlJc w:val="left"/>
      <w:lvlText w:val="(%2)"/>
      <w:numFmt w:val="lowerRoman"/>
      <w:start w:val="1"/>
    </w:lvl>
  </w:abstractNum>
  <w:abstractNum w:abstractNumId="125">
    <w:nsid w:val="4BEE5A5B"/>
    <w:multiLevelType w:val="hybridMultilevel"/>
    <w:lvl w:ilvl="0">
      <w:lvlJc w:val="left"/>
      <w:lvlText w:val="(%1)"/>
      <w:numFmt w:val="lowerLetter"/>
      <w:start w:val="1"/>
    </w:lvl>
    <w:lvl w:ilvl="1">
      <w:lvlJc w:val="left"/>
      <w:lvlText w:val="(%2)"/>
      <w:numFmt w:val="lowerRoman"/>
      <w:start w:val="1"/>
    </w:lvl>
  </w:abstractNum>
  <w:abstractNum w:abstractNumId="126">
    <w:nsid w:val="5551B9F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7">
    <w:nsid w:val="24F6AB8E"/>
    <w:multiLevelType w:val="hybridMultilevel"/>
    <w:lvl w:ilvl="0">
      <w:lvlJc w:val="left"/>
      <w:lvlText w:val="%1"/>
      <w:numFmt w:val="decimal"/>
      <w:start w:val="1"/>
    </w:lvl>
    <w:lvl w:ilvl="1">
      <w:lvlJc w:val="left"/>
      <w:lvlText w:val="(%2)"/>
      <w:numFmt w:val="lowerRoman"/>
      <w:start w:val="3"/>
    </w:lvl>
  </w:abstractNum>
  <w:abstractNum w:abstractNumId="128">
    <w:nsid w:val="634C574C"/>
    <w:multiLevelType w:val="hybridMultilevel"/>
    <w:lvl w:ilvl="0">
      <w:lvlJc w:val="left"/>
      <w:lvlText w:val="%1."/>
      <w:numFmt w:val="decimal"/>
      <w:start w:val="8"/>
    </w:lvl>
    <w:lvl w:ilvl="1">
      <w:lvlJc w:val="left"/>
      <w:lvlText w:val="%2"/>
      <w:numFmt w:val="lowerRoman"/>
      <w:start w:val="1"/>
    </w:lvl>
  </w:abstractNum>
  <w:abstractNum w:abstractNumId="129">
    <w:nsid w:val="24E99DD7"/>
    <w:multiLevelType w:val="hybridMultilevel"/>
    <w:lvl w:ilvl="0">
      <w:lvlJc w:val="left"/>
      <w:lvlText w:val="%1."/>
      <w:numFmt w:val="decimal"/>
      <w:start w:val="10"/>
    </w:lvl>
  </w:abstractNum>
  <w:abstractNum w:abstractNumId="130">
    <w:nsid w:val="2A31B62D"/>
    <w:multiLevelType w:val="hybridMultilevel"/>
    <w:lvl w:ilvl="0">
      <w:lvlJc w:val="left"/>
      <w:lvlText w:val="(%1)"/>
      <w:numFmt w:val="lowerLetter"/>
      <w:start w:val="1"/>
    </w:lvl>
  </w:abstractNum>
  <w:abstractNum w:abstractNumId="131">
    <w:nsid w:val="1849C29B"/>
    <w:multiLevelType w:val="hybridMultilevel"/>
    <w:lvl w:ilvl="0">
      <w:lvlJc w:val="left"/>
      <w:lvlText w:val="(%1)"/>
      <w:numFmt w:val="lowerLetter"/>
      <w:start w:val="2"/>
    </w:lvl>
  </w:abstractNum>
  <w:abstractNum w:abstractNumId="132">
    <w:nsid w:val="7DFF9D09"/>
    <w:multiLevelType w:val="hybridMultilevel"/>
    <w:lvl w:ilvl="0">
      <w:lvlJc w:val="left"/>
      <w:lvlText w:val="(%1)"/>
      <w:numFmt w:val="lowerLetter"/>
      <w:start w:val="3"/>
    </w:lvl>
  </w:abstractNum>
  <w:abstractNum w:abstractNumId="133">
    <w:nsid w:val="754342"/>
    <w:multiLevelType w:val="hybridMultilevel"/>
    <w:lvl w:ilvl="0">
      <w:lvlJc w:val="left"/>
      <w:lvlText w:val="(%1)"/>
      <w:numFmt w:val="lowerLetter"/>
      <w:start w:val="4"/>
    </w:lvl>
  </w:abstractNum>
  <w:abstractNum w:abstractNumId="134">
    <w:nsid w:val="69E7F3E5"/>
    <w:multiLevelType w:val="hybridMultilevel"/>
    <w:lvl w:ilvl="0">
      <w:lvlJc w:val="left"/>
      <w:lvlText w:val="(%1)"/>
      <w:numFmt w:val="lowerLetter"/>
      <w:start w:val="1"/>
    </w:lvl>
  </w:abstractNum>
  <w:abstractNum w:abstractNumId="135">
    <w:nsid w:val="2A6DE806"/>
    <w:multiLevelType w:val="hybridMultilevel"/>
    <w:lvl w:ilvl="0">
      <w:lvlJc w:val="left"/>
      <w:lvlText w:val="(%1)"/>
      <w:numFmt w:val="lowerLetter"/>
      <w:start w:val="2"/>
    </w:lvl>
  </w:abstractNum>
  <w:abstractNum w:abstractNumId="136">
    <w:nsid w:val="1816F8C4"/>
    <w:multiLevelType w:val="hybridMultilevel"/>
    <w:lvl w:ilvl="0">
      <w:lvlJc w:val="left"/>
      <w:lvlText w:val="%1"/>
      <w:numFmt w:val="upperLetter"/>
      <w:start w:val="53"/>
    </w:lvl>
  </w:abstractNum>
  <w:abstractNum w:abstractNumId="137">
    <w:nsid w:val="37DF2233"/>
    <w:multiLevelType w:val="hybridMultilevel"/>
    <w:lvl w:ilvl="0">
      <w:lvlJc w:val="left"/>
      <w:lvlText w:val="(%1)"/>
      <w:numFmt w:val="lowerLetter"/>
      <w:start w:val="1"/>
    </w:lvl>
  </w:abstractNum>
  <w:abstractNum w:abstractNumId="138">
    <w:nsid w:val="7AB49DAF"/>
    <w:multiLevelType w:val="hybridMultilevel"/>
    <w:lvl w:ilvl="0">
      <w:lvlJc w:val="left"/>
      <w:lvlText w:val="(%1)"/>
      <w:numFmt w:val="lowerLetter"/>
      <w:start w:val="5"/>
    </w:lvl>
  </w:abstractNum>
  <w:abstractNum w:abstractNumId="139">
    <w:nsid w:val="759F82CD"/>
    <w:multiLevelType w:val="hybridMultilevel"/>
    <w:lvl w:ilvl="0">
      <w:lvlJc w:val="left"/>
      <w:lvlText w:val="(%1)"/>
      <w:numFmt w:val="lowerLetter"/>
      <w:start w:val="1"/>
    </w:lvl>
    <w:lvl w:ilvl="1">
      <w:lvlJc w:val="left"/>
      <w:lvlText w:val="(%2)"/>
      <w:numFmt w:val="upperLetter"/>
      <w:start w:val="1"/>
    </w:lvl>
  </w:abstractNum>
  <w:abstractNum w:abstractNumId="140">
    <w:nsid w:val="61E74EA3"/>
    <w:multiLevelType w:val="hybridMultilevel"/>
    <w:lvl w:ilvl="0">
      <w:lvlJc w:val="left"/>
      <w:lvlText w:val="(%1)"/>
      <w:numFmt w:val="lowerLetter"/>
      <w:start w:val="4"/>
    </w:lvl>
  </w:abstractNum>
  <w:abstractNum w:abstractNumId="141">
    <w:nsid w:val="597B4D84"/>
    <w:multiLevelType w:val="hybridMultilevel"/>
    <w:lvl w:ilvl="0">
      <w:lvlJc w:val="left"/>
      <w:lvlText w:val="(%1)"/>
      <w:numFmt w:val="lowerLetter"/>
      <w:start w:val="1"/>
    </w:lvl>
  </w:abstractNum>
  <w:abstractNum w:abstractNumId="142">
    <w:nsid w:val="F819E7F"/>
    <w:multiLevelType w:val="hybridMultilevel"/>
    <w:lvl w:ilvl="0">
      <w:lvlJc w:val="left"/>
      <w:lvlText w:val="(%1)"/>
      <w:numFmt w:val="lowerLetter"/>
      <w:start w:val="2"/>
    </w:lvl>
  </w:abstractNum>
  <w:abstractNum w:abstractNumId="143">
    <w:nsid w:val="57C7D42D"/>
    <w:multiLevelType w:val="hybridMultilevel"/>
    <w:lvl w:ilvl="0">
      <w:lvlJc w:val="left"/>
      <w:lvlText w:val="(%1)"/>
      <w:numFmt w:val="decimal"/>
      <w:start w:val="6"/>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2019-12-10T08:21:27Z</dcterms:created>
  <dcterms:modified xsi:type="dcterms:W3CDTF">2019-12-10T08:21:27Z</dcterms:modified>
</cp:coreProperties>
</file>