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29,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Waste Management, Inc. (the “Company”) has issued a press release this morning, announcing its earnings for the quarter ended September 30, 2009, a copy of which is attached hereto as exhibit 99.1. The Company is holding a conference call to discuss these results from 9:00 a.m. to 10:00 a.m. Central time this morning. The call will be webcast live, and may be heard by accessing the Company’s website at www.wm.com. The call may also be listened to by calling (877) 710-6139 and entering the access code 30064951.</w:t>
      </w:r>
    </w:p>
    <w:p>
      <w:pPr>
        <w:spacing w:after="0" w:line="7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the call, management of the Company is expected to discuss results of operations using certain non-GAAP financial measures that are included in the Company’s press release. The Company has provided information regarding its use of the non-GAAP measures contained in its press release and reconciliations of them to their most comparable GAAP measures in the press release and the schedules thereto that are attached to this Form 8-K as exhibit 99.1.</w:t>
      </w:r>
    </w:p>
    <w:p>
      <w:pPr>
        <w:spacing w:after="0" w:line="79"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On the call, management is expected also to discuss the additional impacts that changes in (i) commodity prices had on its results of operations from its recycling operations and (ii) natural gas prices had on the electricity sales prices charged by its waste-to-energy plants, which negatively affected the Company’s diluted earnings per share in the third quarter of 2009 on a year-over-year basis. Excluding these additional impacts, the Company’s third quarter 2009 earnings per diluted share would have been $0.63 per share on an as adjusted basis, the same as in the comparable prior year period. Management believes this discussion provides investors with information to better enable them to evaluate the Company’s results of operations by excluding the impact of items that the Company believes were due to general economic conditions as opposed to operations. The non-GAAP information should not be considered a substitute for financial information presented in accordance with GAAP.</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reconciliation of earnings per diluted share to adjusted earnings per diluted share is shown below (dollars in 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440" w:type="dxa"/>
            <w:vAlign w:val="bottom"/>
            <w:gridSpan w:val="4"/>
          </w:tcPr>
          <w:p>
            <w:pPr>
              <w:ind w:left="3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8"/>
              </w:rPr>
              <w:t>Per Share</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w w:val="98"/>
              </w:rPr>
              <w:t>Per Share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Diluted Earnings Per Share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as reported</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items and restructuring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Labor disruption and gains from divestitures</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as adjusted</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0.54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Adjustments for effects of negative market conditions: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Decline in price and demand of recycling commodities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Decline in energy prices</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as further adjusted</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0.63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negative effect of the labor disruption completely offset the positive effect of the gains from divestitures, resulting in no net change from the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 October 29, 2009</w:t>
      </w:r>
      <w:r>
        <w:rPr>
          <w:sz w:val="20"/>
          <w:szCs w:val="20"/>
          <w:color w:val="auto"/>
        </w:rPr>
        <w:tab/>
      </w:r>
      <w:r>
        <w:rPr>
          <w:rFonts w:ascii="Arial" w:cs="Arial" w:eastAsia="Arial" w:hAnsi="Arial"/>
          <w:sz w:val="17"/>
          <w:szCs w:val="17"/>
          <w:color w:val="auto"/>
        </w:rPr>
        <w:t>By: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Rick L Wittenbraker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958" w:right="5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200" w:type="dxa"/>
            <w:vAlign w:val="bottom"/>
          </w:tcPr>
          <w:p>
            <w:pPr>
              <w:spacing w:after="0"/>
              <w:rPr>
                <w:sz w:val="14"/>
                <w:szCs w:val="14"/>
                <w:color w:val="auto"/>
              </w:rPr>
            </w:pPr>
          </w:p>
        </w:tc>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Press Release dated October 29, 2009</w:t>
            </w:r>
          </w:p>
        </w:tc>
      </w:tr>
    </w:tbl>
    <w:p>
      <w:pPr>
        <w:sectPr>
          <w:pgSz w:w="11900" w:h="16838" w:orient="portrait"/>
          <w:cols w:equalWidth="0" w:num="1">
            <w:col w:w="11420"/>
          </w:cols>
          <w:pgMar w:left="240" w:top="95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223520</wp:posOffset>
            </wp:positionV>
            <wp:extent cx="163766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6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 #09-13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Diluted Earnings per Share of $0.56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2009 Third Quarter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Remains Strong and Company Reaffirms Full Year EPS Guidance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HOUSTON – October 29, 2009 – </w:t>
      </w:r>
      <w:r>
        <w:rPr>
          <w:rFonts w:ascii="Arial" w:cs="Arial" w:eastAsia="Arial" w:hAnsi="Arial"/>
          <w:sz w:val="17"/>
          <w:szCs w:val="17"/>
          <w:color w:val="auto"/>
        </w:rPr>
        <w:t>Waste Management, Inc. (NYSE: WM) today announced financial results for its third quarter ended September 30, 2009.</w:t>
      </w:r>
      <w:r>
        <w:rPr>
          <w:rFonts w:ascii="Arial" w:cs="Arial" w:eastAsia="Arial" w:hAnsi="Arial"/>
          <w:sz w:val="17"/>
          <w:szCs w:val="17"/>
          <w:b w:val="1"/>
          <w:bCs w:val="1"/>
          <w:color w:val="auto"/>
        </w:rPr>
        <w:t xml:space="preserve"> </w:t>
      </w:r>
      <w:r>
        <w:rPr>
          <w:rFonts w:ascii="Arial" w:cs="Arial" w:eastAsia="Arial" w:hAnsi="Arial"/>
          <w:sz w:val="17"/>
          <w:szCs w:val="17"/>
          <w:color w:val="auto"/>
        </w:rPr>
        <w:t>Net income</w:t>
      </w:r>
      <w:r>
        <w:rPr>
          <w:rFonts w:ascii="Arial" w:cs="Arial" w:eastAsia="Arial" w:hAnsi="Arial"/>
          <w:sz w:val="14"/>
          <w:szCs w:val="14"/>
          <w:color w:val="auto"/>
        </w:rPr>
        <w:t>(a)</w:t>
      </w:r>
      <w:r>
        <w:rPr>
          <w:rFonts w:ascii="Arial" w:cs="Arial" w:eastAsia="Arial" w:hAnsi="Arial"/>
          <w:sz w:val="17"/>
          <w:szCs w:val="17"/>
          <w:color w:val="auto"/>
        </w:rPr>
        <w:t xml:space="preserve"> for the quarter was $277 million, or $0.56 per diluted share, compared with $310 million, or $0.63 per diluted share, for the third quarter of 2008. Revenues for the third quarter of 2009 were $3.02 billion compared with $3.53 billion for the same 2008 period. Results in the 2009 third quarter included a net benefit of $0.02 per diluted share from the combined effects of certain favorable income tax adjustments and charges related to our restructuring announced in February 2009. Excluding those items, earnings would have been $265 million, or $0.54 per diluted share.</w:t>
      </w:r>
      <w:r>
        <w:rPr>
          <w:rFonts w:ascii="Arial" w:cs="Arial" w:eastAsia="Arial" w:hAnsi="Arial"/>
          <w:sz w:val="14"/>
          <w:szCs w:val="14"/>
          <w:color w:val="auto"/>
        </w:rPr>
        <w:t>(b)</w:t>
      </w:r>
    </w:p>
    <w:p>
      <w:pPr>
        <w:spacing w:after="0" w:line="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David P. Steiner, Chief Executive Officer of Waste Management, commented, “The third quarter once again shows the strength of our strategy to maintain pricing while reducing costs. Our collection and disposal pricing remained strong, with internal revenue growth from yield of 2.9%. Recycling commodity prices increased each month in the third quarter, and have increased over 80% from the lows reached in January of 2009. On the cost side, the company-wide restructuring we announced in February produced savings consistent with the prior quarter, and we expect to exceed our original forecast of annualized savings of $120 million.</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commercial and residential business lines continued to demonstrate their recession-resistant qualities. Commercial revenue, excluding revenue from our fuel surcharge, remained solid, declining just 0.7% compared with the third quarter of 2008. Residential revenue, excluding revenue from our fuel surcharge, performed even better, declining only 0.4% compared with the prior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2009</w:t>
      </w:r>
    </w:p>
    <w:p>
      <w:pPr>
        <w:spacing w:after="0" w:line="121"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from our collection and disposal operations was 2.9%.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8.9%.</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declined by $502 million. Of this decline, $189 million was due to lower recycling revenues and electricity sales prices, $108 million was related to the decline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fuel surcharge revenue as crude oil prices declined, and $10 million was due to foreign currency translation.</w:t>
      </w:r>
    </w:p>
    <w:p>
      <w:pPr>
        <w:spacing w:after="0" w:line="131" w:lineRule="exact"/>
        <w:rPr>
          <w:sz w:val="20"/>
          <w:szCs w:val="20"/>
          <w:color w:val="auto"/>
        </w:rPr>
      </w:pPr>
    </w:p>
    <w:p>
      <w:pPr>
        <w:ind w:left="660" w:right="2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Operating expenses declined by $365 million, or approximately 16.4%, to $1.86 billion in the third quarter of 2009. Operating expenses, adjusted for labor disruption costs of $26 million that occurred in the third quarter of 2008, declined $339 million, or approximately 15.4%. As a percentage of revenue, third quarter 2009 operating expenses decreased to 61.4%, which is a 90 basis point improvement compared with the same quarter in 2008, as adjusted.</w:t>
      </w:r>
      <w:r>
        <w:rPr>
          <w:rFonts w:ascii="Arial" w:cs="Arial" w:eastAsia="Arial" w:hAnsi="Arial"/>
          <w:sz w:val="15"/>
          <w:szCs w:val="15"/>
          <w:color w:val="auto"/>
        </w:rPr>
        <w:t>(b)</w:t>
      </w:r>
    </w:p>
    <w:p>
      <w:pPr>
        <w:spacing w:after="0" w:line="92"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decreased by $30 million compared with the third quarter of 2008.</w:t>
      </w:r>
    </w:p>
    <w:p>
      <w:pPr>
        <w:spacing w:after="0" w:line="130" w:lineRule="exact"/>
        <w:rPr>
          <w:rFonts w:ascii="Arial" w:cs="Arial" w:eastAsia="Arial" w:hAnsi="Arial"/>
          <w:sz w:val="18"/>
          <w:szCs w:val="18"/>
          <w:b w:val="1"/>
          <w:bCs w:val="1"/>
          <w:color w:val="auto"/>
        </w:rPr>
      </w:pPr>
    </w:p>
    <w:p>
      <w:pPr>
        <w:ind w:left="660" w:right="620" w:hanging="436"/>
        <w:spacing w:after="0" w:line="34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Average recycling commodity prices were down 40% in the third quarter of 2009 compared with the prior year period. This decline caused a negative year-over-year impact to earnings of $0.05 per diluted share in the third quarter, compared with the prior year period.</w:t>
      </w:r>
    </w:p>
    <w:p>
      <w:pPr>
        <w:spacing w:after="0" w:line="29" w:lineRule="exact"/>
        <w:rPr>
          <w:rFonts w:ascii="Arial" w:cs="Arial" w:eastAsia="Arial" w:hAnsi="Arial"/>
          <w:sz w:val="16"/>
          <w:szCs w:val="16"/>
          <w:b w:val="1"/>
          <w:bCs w:val="1"/>
          <w:color w:val="auto"/>
        </w:rPr>
      </w:pPr>
    </w:p>
    <w:p>
      <w:pPr>
        <w:ind w:left="660" w:right="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Natural gas markets adversely affected electricity sales prices at some of our waste-to-energy plants in the third quarter of 2009, causing a decline in earnings per diluted share of $0.04 compared with the prior year period.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Free cash flow was $343 million in the quarter, and is $839 million for the first three quarters.</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Capital expenditures were $240 million in the quarter.</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$208 million was returned to shareholders in the third quarter, consisting of $143 million in cash dividends and $65 million in common stock repurchases.</w:t>
      </w:r>
    </w:p>
    <w:p>
      <w:pPr>
        <w:spacing w:after="0" w:line="75" w:lineRule="exact"/>
        <w:rPr>
          <w:rFonts w:ascii="Arial" w:cs="Arial" w:eastAsia="Arial" w:hAnsi="Arial"/>
          <w:sz w:val="18"/>
          <w:szCs w:val="18"/>
          <w:b w:val="1"/>
          <w:bCs w:val="1"/>
          <w:color w:val="auto"/>
        </w:rPr>
      </w:pPr>
    </w:p>
    <w:p>
      <w:pPr>
        <w:jc w:val="both"/>
        <w:ind w:left="660" w:right="68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was approximately 31.2%. The reduction in the effective tax rate for the quarter is due principally to the favorable impacts of finalizing our 2008 tax returns, tax audit settlements, currently recognizing the benefit of state net operating loss carry forwards, and updating our 2009 effective tax rate.</w:t>
      </w:r>
    </w:p>
    <w:p>
      <w:pPr>
        <w:spacing w:after="0" w:line="7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Steiner continued, “Economic conditions and our volumes have stabilized. So, as we look to the fourth quarter of this year, we expect the rate of decline in volumes to be slightly better than the rate of decline in the third quarter of 2009. In addition, our recycling business has shown consistent improvement since the lows in commodity prices reached during January 2009, and we expect a positive $0.02 to $0.04 impact on earnings per diluted share from our recycling operations in the fourth quarter of 2009, compared with the prior year period. On the other hand, we expect lower year-over-year natural gas prices to cause lower electricity sales prices in the fourth quarter of 2009, which would cause earnings per diluted share to decline $0.02 to $0.04 compared with the prior year period. So, we expect the negative effect from lower electricity sales prices to be offset by the positive effect from recycled commodities prices. Given these factors, we are comfortable we can achieve our previously issued full year 2009 earnings guidance of $1.95 to $1.99 per diluted share on an as adjusted basis. This is consistent with the current Wall Street earnings consensus of $0.48 per share for the fourth quarter of 2009. We continue to target full-year free cash flow of approximately $1.3 billion.”</w:t>
      </w:r>
      <w:r>
        <w:rPr>
          <w:rFonts w:ascii="Arial" w:cs="Arial" w:eastAsia="Arial" w:hAnsi="Arial"/>
          <w:sz w:val="14"/>
          <w:szCs w:val="14"/>
          <w:color w:val="auto"/>
        </w:rPr>
        <w:t>(b)</w:t>
      </w:r>
    </w:p>
    <w:p>
      <w:pPr>
        <w:spacing w:after="0" w:line="7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Steiner concluded, “During the economic downturn we have maintained our commitment to returning cash to our shareholders. In the third quarter we paid out $143 million in dividends and repurchased $65 million of common stock. We also closed $82 million of acquisitions in the quarter. The recession-resistant qualities and strong cash flows of our solid waste business, combined with our focus on pricing and cost reduction, give us confidence that we will continue to generate strong cash returns for our shareholders and emerge from this economic downturn as a stronger, leaner company that is positioned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340" w:right="9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t>For purposes of this press release, all references to “Net income” refers to the financial statement line item “Net income attributable to Waste Management, Inc.”</w:t>
      </w:r>
    </w:p>
    <w:p>
      <w:pPr>
        <w:spacing w:after="0" w:line="75"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340" w:right="60"/>
        <w:spacing w:after="0" w:line="254"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The Company has adjusted net income, earnings per diluted share, projected earnings per diluted share and operating expense as a percent of revenue in this press release to exclude the impact of certain unusual, non-recurring or otherwise non-operational items.</w:t>
      </w:r>
    </w:p>
    <w:p>
      <w:pPr>
        <w:spacing w:after="0" w:line="95" w:lineRule="exact"/>
        <w:rPr>
          <w:sz w:val="20"/>
          <w:szCs w:val="20"/>
          <w:color w:val="auto"/>
        </w:rPr>
      </w:pPr>
    </w:p>
    <w:p>
      <w:pPr>
        <w:ind w:left="340" w:right="220"/>
        <w:spacing w:after="0" w:line="257" w:lineRule="auto"/>
        <w:rPr>
          <w:sz w:val="20"/>
          <w:szCs w:val="20"/>
          <w:color w:val="auto"/>
        </w:rPr>
      </w:pPr>
      <w:r>
        <w:rPr>
          <w:rFonts w:ascii="Arial" w:cs="Arial" w:eastAsia="Arial" w:hAnsi="Arial"/>
          <w:sz w:val="18"/>
          <w:szCs w:val="18"/>
          <w:color w:val="auto"/>
        </w:rPr>
        <w:t>The Company also discusses free cash flow and projected free cash flow, each of which is a non-GAAP measure, because it believes that investors are interested in the cash produced by the Company from non-financing activities that is available for uses such as the Company’s acquisitions, its share repurchase program, and the payment of dividends. However, free cash flow has material limitations, as it does not represent cash flow available for discretionary expenditures because it excludes certain expenditures that we have committed to such as debt service obligations. The Company defines free cash flow as:</w:t>
      </w:r>
    </w:p>
    <w:p>
      <w:pPr>
        <w:spacing w:after="0" w:line="23" w:lineRule="exact"/>
        <w:rPr>
          <w:sz w:val="20"/>
          <w:szCs w:val="20"/>
          <w:color w:val="auto"/>
        </w:rPr>
      </w:pPr>
    </w:p>
    <w:p>
      <w:pPr>
        <w:ind w:left="660" w:hanging="436"/>
        <w:spacing w:after="0"/>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Net cash provided by operating activities</w:t>
      </w:r>
    </w:p>
    <w:p>
      <w:pPr>
        <w:spacing w:after="0" w:line="98" w:lineRule="exact"/>
        <w:rPr>
          <w:rFonts w:ascii="Arial" w:cs="Arial" w:eastAsia="Arial" w:hAnsi="Arial"/>
          <w:sz w:val="25"/>
          <w:szCs w:val="25"/>
          <w:color w:val="auto"/>
          <w:vertAlign w:val="superscript"/>
        </w:rPr>
      </w:pPr>
    </w:p>
    <w:p>
      <w:pPr>
        <w:ind w:left="660" w:hanging="436"/>
        <w:spacing w:after="0" w:line="199"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Less, capital expenditures</w:t>
      </w:r>
    </w:p>
    <w:p>
      <w:pPr>
        <w:spacing w:after="0" w:line="99" w:lineRule="exact"/>
        <w:rPr>
          <w:rFonts w:ascii="Arial" w:cs="Arial" w:eastAsia="Arial" w:hAnsi="Arial"/>
          <w:sz w:val="25"/>
          <w:szCs w:val="25"/>
          <w:color w:val="auto"/>
          <w:vertAlign w:val="superscript"/>
        </w:rPr>
      </w:pPr>
    </w:p>
    <w:p>
      <w:pPr>
        <w:ind w:left="660" w:hanging="436"/>
        <w:spacing w:after="0" w:line="199"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Plus, proceeds from divestitures of businesses, net of cash divested, and other sales of assets.</w:t>
      </w:r>
    </w:p>
    <w:p>
      <w:pPr>
        <w:spacing w:after="0" w:line="99" w:lineRule="exact"/>
        <w:rPr>
          <w:sz w:val="20"/>
          <w:szCs w:val="20"/>
          <w:color w:val="auto"/>
        </w:rPr>
      </w:pPr>
    </w:p>
    <w:p>
      <w:pPr>
        <w:ind w:left="220" w:right="20"/>
        <w:spacing w:after="0" w:line="272"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80" w:lineRule="exact"/>
        <w:rPr>
          <w:sz w:val="20"/>
          <w:szCs w:val="20"/>
          <w:color w:val="auto"/>
        </w:rPr>
      </w:pPr>
    </w:p>
    <w:p>
      <w:pPr>
        <w:ind w:left="220" w:right="40"/>
        <w:spacing w:after="0" w:line="270" w:lineRule="auto"/>
        <w:rPr>
          <w:sz w:val="20"/>
          <w:szCs w:val="20"/>
          <w:color w:val="auto"/>
        </w:rPr>
      </w:pPr>
      <w:r>
        <w:rPr>
          <w:rFonts w:ascii="Arial" w:cs="Arial" w:eastAsia="Arial" w:hAnsi="Arial"/>
          <w:sz w:val="17"/>
          <w:szCs w:val="17"/>
          <w:color w:val="auto"/>
        </w:rPr>
        <w:t>The full year adjusted earnings projection of $1.95 to $1.99 per diluted share announced by the Company excludes (i) the first quarter impact of (A) a $23 million after-tax restructuring charge and (B) a $30 million after-tax asset impairment related to our revenue management software; (ii) the second quarter impact of (A) a restructuring charge of $3 million after-tax and (B) a $6 million after-tax charge related to our withdrawal from an underfunded multi-employer pension plan; and (iii) the third quarter impact of (A) a restructuring charge of $2 million after tax and, (B) a $14 million benefit related to tax items. GAAP net earnings per diluted share for the fourth quarter of 2009 may include other items that are not currently determinable, but may be significant, such as asset impairment and unusual items, charges, gains or losses from divestitures, or resolution of income tax items. The full year 2009 adjusted projected earnings announced today excludes the impact of any such items that may occur. GAAP net earnings per diluted share projected for the full year would require inclusion of the projected impact of these items. Due to the uncertainty of the likelihood, amount and timing of any such items, we do not believe we have the information available to provide projected full year GAAP net earnings per diluted share and the quantitative reconciliation to our current adjusted earning per diluted share projection.</w:t>
      </w:r>
    </w:p>
    <w:p>
      <w:pPr>
        <w:spacing w:after="0" w:line="83" w:lineRule="exact"/>
        <w:rPr>
          <w:sz w:val="20"/>
          <w:szCs w:val="20"/>
          <w:color w:val="auto"/>
        </w:rPr>
      </w:pPr>
    </w:p>
    <w:p>
      <w:pPr>
        <w:ind w:left="220" w:right="260"/>
        <w:spacing w:after="0" w:line="342" w:lineRule="auto"/>
        <w:rPr>
          <w:sz w:val="20"/>
          <w:szCs w:val="20"/>
          <w:color w:val="auto"/>
        </w:rPr>
      </w:pPr>
      <w:r>
        <w:rPr>
          <w:rFonts w:ascii="Arial" w:cs="Arial" w:eastAsia="Arial" w:hAnsi="Arial"/>
          <w:sz w:val="16"/>
          <w:szCs w:val="16"/>
          <w:color w:val="auto"/>
        </w:rPr>
        <w:t>The quantitative reconciliations of each of the other non-GAAP measures presented herein to the most comparable GAAP measures are included in the accompanying schedules. Investors are urged to take into account GAAP measures as well as non-GAAP measures in evaluating the Company.</w:t>
      </w:r>
    </w:p>
    <w:p>
      <w:pPr>
        <w:spacing w:after="0" w:line="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and select “Earnings Webcast.” You may also listen to the analyst conference call by telephone by contacting the conference call operator 5 to 10 minutes prior to the scheduled start time and asking for the “Waste Management Conference Call – Call ID 30064951.” US/Canada Dial-In Number: (877) 710-6139. Int’l/Local Dial-In Number: (706) 643-7398. For those unable to listen to the live call, a replay will be available 24 hours a day beginning at approximately 1:00 p.m. Eastern time on October 29th through 5:00 p.m. Eastern time on November 12th. To hear a replay of the call over the Internet, access the Waste Management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25"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30064951.</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2009 and beyond and that could cause actual results to be materially different from those that may be set forth in forward-looking statements made by the Company. We caution you not to place undue reliance on any forward-looking statements, which speak only as of their dates. The following are some of the risks that we face:</w:t>
      </w:r>
    </w:p>
    <w:p>
      <w:pPr>
        <w:spacing w:after="0" w:line="58" w:lineRule="exact"/>
        <w:rPr>
          <w:sz w:val="20"/>
          <w:szCs w:val="20"/>
          <w:color w:val="auto"/>
        </w:rPr>
      </w:pPr>
    </w:p>
    <w:p>
      <w:pPr>
        <w:ind w:left="660" w:right="3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higher interest rates and other general and local economic conditions may negatively affect the volumes of waste generated, our liquidity, our financing costs and other expenses;</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660" w:right="20" w:hanging="436"/>
        <w:spacing w:after="0" w:line="342"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86"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4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left="440" w:right="60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440" w:right="50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440" w:right="120" w:hanging="436"/>
        <w:spacing w:after="0" w:line="264"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440" w:right="10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440" w:right="8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440" w:hanging="436"/>
        <w:spacing w:after="0" w:line="264"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7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2008.</w:t>
      </w:r>
    </w:p>
    <w:p>
      <w:pPr>
        <w:spacing w:after="0" w:line="2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46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1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492.2</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40" w:type="dxa"/>
            <w:vAlign w:val="bottom"/>
            <w:gridSpan w:val="2"/>
          </w:tcPr>
          <w:p>
            <w:pPr>
              <w:ind w:left="5600"/>
              <w:spacing w:after="0"/>
              <w:rPr>
                <w:sz w:val="20"/>
                <w:szCs w:val="20"/>
                <w:color w:val="auto"/>
              </w:rPr>
            </w:pPr>
            <w:r>
              <w:rPr>
                <w:rFonts w:ascii="Arial" w:cs="Arial" w:eastAsia="Arial" w:hAnsi="Arial"/>
                <w:sz w:val="18"/>
                <w:szCs w:val="18"/>
                <w:color w:val="auto"/>
              </w:rPr>
              <w:t>(1)</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140" w:type="dxa"/>
            <w:vAlign w:val="bottom"/>
            <w:gridSpan w:val="7"/>
          </w:tcPr>
          <w:p>
            <w:pPr>
              <w:ind w:left="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8,785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10,280</w:t>
            </w: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999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397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492.1</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0.87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00" w:type="dxa"/>
            <w:vAlign w:val="bottom"/>
            <w:gridSpan w:val="2"/>
          </w:tcPr>
          <w:p>
            <w:pPr>
              <w:ind w:left="56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679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5,575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20,392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20,227</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2,063</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13,871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439"/>
        </w:trPr>
        <w:tc>
          <w:tcPr>
            <w:tcW w:w="89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729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5"/>
              </w:rPr>
              <w:t>Quarters Ended</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0"/>
                <w:szCs w:val="10"/>
                <w:color w:val="auto"/>
              </w:rPr>
            </w:pPr>
          </w:p>
        </w:tc>
        <w:tc>
          <w:tcPr>
            <w:tcW w:w="1340" w:type="dxa"/>
            <w:vAlign w:val="bottom"/>
            <w:gridSpan w:val="5"/>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June 30,</w:t>
            </w: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4"/>
          </w:tcPr>
          <w:p>
            <w:pPr>
              <w:ind w:left="30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jc w:val="center"/>
              <w:ind w:left="236"/>
              <w:spacing w:after="0"/>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21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1,999</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Transfer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3,023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2,952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a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of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 xml:space="preserve">Recycling </w:t>
            </w:r>
            <w:r>
              <w:rPr>
                <w:rFonts w:ascii="Arial" w:cs="Arial" w:eastAsia="Arial" w:hAnsi="Arial"/>
                <w:sz w:val="18"/>
                <w:szCs w:val="18"/>
                <w:b w:val="1"/>
                <w:bCs w:val="1"/>
                <w:color w:val="auto"/>
              </w:rPr>
              <w:t>(b)</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Electricity</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Fuel surcharge and mandated fees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tcPr>
          <w:p>
            <w:pPr>
              <w:ind w:left="400"/>
              <w:spacing w:after="0"/>
              <w:rPr>
                <w:sz w:val="20"/>
                <w:szCs w:val="20"/>
                <w:color w:val="auto"/>
              </w:rPr>
            </w:pPr>
            <w:r>
              <w:rPr>
                <w:rFonts w:ascii="Arial" w:cs="Arial" w:eastAsia="Arial" w:hAnsi="Arial"/>
                <w:sz w:val="18"/>
                <w:szCs w:val="18"/>
                <w:color w:val="auto"/>
              </w:rPr>
              <w:t>Decline from commodity and non-operational items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(307)</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 and disposal yield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Volumes (excluding recycling)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net of divestitures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(195)</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4"/>
                <w:szCs w:val="14"/>
                <w:b w:val="1"/>
                <w:bCs w:val="1"/>
                <w:color w:val="auto"/>
                <w:w w:val="95"/>
              </w:rPr>
              <w:t>Quarters Ended</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0"/>
                <w:szCs w:val="10"/>
                <w:color w:val="auto"/>
              </w:rPr>
            </w:pPr>
          </w:p>
        </w:tc>
        <w:tc>
          <w:tcPr>
            <w:tcW w:w="1340" w:type="dxa"/>
            <w:vAlign w:val="bottom"/>
            <w:gridSpan w:val="5"/>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June 30,</w:t>
            </w: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4"/>
          </w:tcPr>
          <w:p>
            <w:pPr>
              <w:ind w:left="30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jc w:val="center"/>
              <w:ind w:left="236"/>
              <w:spacing w:after="0"/>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21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(c)</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200"/>
              <w:spacing w:after="0"/>
              <w:rPr>
                <w:sz w:val="20"/>
                <w:szCs w:val="20"/>
                <w:color w:val="auto"/>
              </w:rPr>
            </w:pPr>
            <w:r>
              <w:rPr>
                <w:rFonts w:ascii="Arial" w:cs="Arial" w:eastAsia="Arial" w:hAnsi="Arial"/>
                <w:sz w:val="18"/>
                <w:szCs w:val="18"/>
                <w:color w:val="auto"/>
              </w:rPr>
              <w:t>Cash paid for acquisitions</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5"/>
              </w:rPr>
              <w:t>Quarters Ended September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9"/>
          </w:tcPr>
          <w:p>
            <w:pPr>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575</w:t>
            </w: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4"/>
          </w:tcPr>
          <w:p>
            <w:pPr>
              <w:jc w:val="right"/>
              <w:ind w:right="220"/>
              <w:spacing w:after="0"/>
              <w:rPr>
                <w:sz w:val="20"/>
                <w:szCs w:val="20"/>
                <w:color w:val="auto"/>
              </w:rPr>
            </w:pPr>
            <w:r>
              <w:rPr>
                <w:rFonts w:ascii="Arial" w:cs="Arial" w:eastAsia="Arial" w:hAnsi="Arial"/>
                <w:sz w:val="18"/>
                <w:szCs w:val="18"/>
                <w:color w:val="auto"/>
              </w:rPr>
              <w:t>771</w:t>
            </w: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1,642</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 sales of</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839</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volume related decline of $23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8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138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2009</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8,246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8,243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 (a)</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6,367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14,767</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14,610</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(b)</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2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a result of the company’s adoption of accounting guidance related to noncontrolling interests in consolidated financial statements on January 1, 2009</w:t>
      </w:r>
      <w:r>
        <w:rPr>
          <w:rFonts w:ascii="Arial" w:cs="Arial" w:eastAsia="Arial" w:hAnsi="Arial"/>
          <w:sz w:val="18"/>
          <w:szCs w:val="18"/>
          <w:i w:val="1"/>
          <w:iCs w:val="1"/>
          <w:color w:val="auto"/>
        </w:rPr>
        <w:t>,</w:t>
      </w:r>
      <w:r>
        <w:rPr>
          <w:rFonts w:ascii="Arial" w:cs="Arial" w:eastAsia="Arial" w:hAnsi="Arial"/>
          <w:sz w:val="18"/>
          <w:szCs w:val="18"/>
          <w:color w:val="auto"/>
        </w:rPr>
        <w:t xml:space="preserve"> noncontrolling interests in subsidiaries are now reported in Total equity. Prior year information has been reclassified to conform to 2009 presentation.</w:t>
      </w:r>
    </w:p>
    <w:p>
      <w:pPr>
        <w:spacing w:after="0" w:line="32" w:lineRule="exact"/>
        <w:rPr>
          <w:rFonts w:ascii="Arial" w:cs="Arial" w:eastAsia="Arial" w:hAnsi="Arial"/>
          <w:sz w:val="18"/>
          <w:szCs w:val="18"/>
          <w:color w:val="auto"/>
        </w:rPr>
      </w:pPr>
    </w:p>
    <w:p>
      <w:pPr>
        <w:ind w:left="460" w:right="260" w:hanging="452"/>
        <w:spacing w:after="0" w:line="30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quarter ended June 30, 2009 as compared with the quarter ended March 31, 2009 reflects an increase in amortization expense The quarter ended September 30, 2009, as compared with the quarter ended September 30, 2008 reflects a reduction in amortization expense of $22.4 million, of which $17.9 million is primarily due to lower landfill volumes resulting from the weakened economy. Additionally, there was a year-over-year net rate decrease of $4.5 million primarily as a result of adjustments for revisions in estimates of capping and closure/post-closure costs.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ind w:left="10720"/>
        <w:spacing w:after="0"/>
        <w:rPr>
          <w:sz w:val="20"/>
          <w:szCs w:val="20"/>
          <w:color w:val="auto"/>
        </w:rPr>
      </w:pPr>
      <w:r>
        <w:rPr>
          <w:rFonts w:ascii="Arial" w:cs="Arial" w:eastAsia="Arial" w:hAnsi="Arial"/>
          <w:sz w:val="16"/>
          <w:szCs w:val="16"/>
          <w:b w:val="1"/>
          <w:bCs w:val="1"/>
          <w:color w:val="auto"/>
        </w:rPr>
        <w:t>Exhibit 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exhibit provides details associated with the period-to-period change in revenues and includes internal revenue growth as a percent of revenues on a total company basis as well as a percent of revenues on related business. We believe providing this information will help our investors better understand the Company’s Internal Revenue Growth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 explain how the following percent changes are calculated, provided below are the calculations for “Collection, landfill and transfer” as a percentage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Business and as a percentage of Total Company:</w:t>
      </w:r>
    </w:p>
    <w:p>
      <w:pPr>
        <w:spacing w:after="0" w:line="103" w:lineRule="exact"/>
        <w:rPr>
          <w:sz w:val="20"/>
          <w:szCs w:val="20"/>
          <w:color w:val="auto"/>
        </w:rPr>
      </w:pPr>
    </w:p>
    <w:p>
      <w:pPr>
        <w:ind w:left="240" w:right="260" w:hanging="4"/>
        <w:spacing w:after="0" w:line="264"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“Collection, landfill and transfer” as a percentage of related business revenues of 3.1% is calculated by dividing the $85 million average yield by the denominator of $2,733 million. The denominator includes prior year “Collection, landfill and transfer” revenues ($2,742 million) less the impact of divestitures related to “Collection, landfill and transfer” ($9 million).</w:t>
      </w:r>
    </w:p>
    <w:p>
      <w:pPr>
        <w:spacing w:after="0" w:line="73" w:lineRule="exact"/>
        <w:rPr>
          <w:rFonts w:ascii="Arial" w:cs="Arial" w:eastAsia="Arial" w:hAnsi="Arial"/>
          <w:sz w:val="18"/>
          <w:szCs w:val="18"/>
          <w:color w:val="auto"/>
        </w:rPr>
      </w:pPr>
    </w:p>
    <w:p>
      <w:pPr>
        <w:jc w:val="center"/>
        <w:ind w:left="240" w:right="140" w:hanging="4"/>
        <w:spacing w:after="0" w:line="342" w:lineRule="auto"/>
        <w:tabs>
          <w:tab w:leader="none" w:pos="5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“Collection, landfill and transfer” as a percentage of total company revenus of 2.4% is calculated by dividing the $85 million average yield by the denominator of $3,516 million. The denominator includes prior year total company revenues ($3,525 million) less the impact of divestitures ($9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Quarters Ended</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September 30, 2009</w:t>
            </w:r>
          </w:p>
        </w:tc>
        <w:tc>
          <w:tcPr>
            <w:tcW w:w="76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September 30, 2008</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3"/>
              </w:rPr>
              <w:t>As a % of</w:t>
            </w: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As a %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96"/>
              </w:rPr>
              <w:t>As a % of</w:t>
            </w:r>
          </w:p>
        </w:tc>
        <w:tc>
          <w:tcPr>
            <w:tcW w:w="20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1"/>
              </w:rPr>
              <w:t>Related</w:t>
            </w:r>
          </w:p>
        </w:tc>
        <w:tc>
          <w:tcPr>
            <w:tcW w:w="146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6"/>
              </w:rPr>
              <w:t>Total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Related</w:t>
            </w:r>
          </w:p>
        </w:tc>
        <w:tc>
          <w:tcPr>
            <w:tcW w:w="2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color w:val="auto"/>
                <w:w w:val="95"/>
              </w:rPr>
              <w:t>Amount</w:t>
            </w:r>
          </w:p>
        </w:tc>
        <w:tc>
          <w:tcPr>
            <w:tcW w:w="1800" w:type="dxa"/>
            <w:vAlign w:val="bottom"/>
            <w:gridSpan w:val="3"/>
          </w:tcPr>
          <w:p>
            <w:pPr>
              <w:jc w:val="center"/>
              <w:ind w:right="300"/>
              <w:spacing w:after="0"/>
              <w:rPr>
                <w:sz w:val="20"/>
                <w:szCs w:val="20"/>
                <w:color w:val="auto"/>
              </w:rPr>
            </w:pPr>
            <w:r>
              <w:rPr>
                <w:rFonts w:ascii="Arial" w:cs="Arial" w:eastAsia="Arial" w:hAnsi="Arial"/>
                <w:sz w:val="14"/>
                <w:szCs w:val="14"/>
                <w:color w:val="auto"/>
                <w:w w:val="89"/>
              </w:rPr>
              <w:t>Business (a)</w:t>
            </w:r>
          </w:p>
        </w:tc>
        <w:tc>
          <w:tcPr>
            <w:tcW w:w="1460" w:type="dxa"/>
            <w:vAlign w:val="bottom"/>
            <w:gridSpan w:val="2"/>
          </w:tcPr>
          <w:p>
            <w:pPr>
              <w:jc w:val="center"/>
              <w:ind w:right="700"/>
              <w:spacing w:after="0"/>
              <w:rPr>
                <w:sz w:val="20"/>
                <w:szCs w:val="20"/>
                <w:color w:val="auto"/>
              </w:rPr>
            </w:pPr>
            <w:r>
              <w:rPr>
                <w:rFonts w:ascii="Arial" w:cs="Arial" w:eastAsia="Arial" w:hAnsi="Arial"/>
                <w:sz w:val="14"/>
                <w:szCs w:val="14"/>
                <w:color w:val="auto"/>
                <w:w w:val="93"/>
              </w:rPr>
              <w:t>Company (b)</w:t>
            </w: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Amount</w:t>
            </w: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Business (a)</w:t>
            </w: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93"/>
              </w:rPr>
              <w:t>Company (b)</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Yield:</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20"/>
              <w:spacing w:after="0"/>
              <w:rPr>
                <w:sz w:val="20"/>
                <w:szCs w:val="20"/>
                <w:color w:val="auto"/>
              </w:rPr>
            </w:pPr>
            <w:r>
              <w:rPr>
                <w:rFonts w:ascii="Arial" w:cs="Arial" w:eastAsia="Arial" w:hAnsi="Arial"/>
                <w:sz w:val="18"/>
                <w:szCs w:val="18"/>
                <w:b w:val="1"/>
                <w:bCs w:val="1"/>
                <w:color w:val="auto"/>
              </w:rPr>
              <w:t>Collection, landfill and transfer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3.1%</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Waste-to-energy disposal</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Collection and disposal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0" w:type="dxa"/>
            <w:vAlign w:val="bottom"/>
            <w:gridSpan w:val="3"/>
            <w:vMerge w:val="restart"/>
          </w:tcPr>
          <w:p>
            <w:pPr>
              <w:jc w:val="right"/>
              <w:ind w:right="560"/>
              <w:spacing w:after="0"/>
              <w:rPr>
                <w:sz w:val="20"/>
                <w:szCs w:val="20"/>
                <w:color w:val="auto"/>
              </w:rPr>
            </w:pPr>
            <w:r>
              <w:rPr>
                <w:rFonts w:ascii="Arial" w:cs="Arial" w:eastAsia="Arial" w:hAnsi="Arial"/>
                <w:sz w:val="18"/>
                <w:szCs w:val="18"/>
                <w:color w:val="auto"/>
              </w:rPr>
              <w:t>2.9%</w:t>
            </w: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3.0%</w:t>
            </w: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Recycling commodity</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-38.7%</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b w:val="1"/>
                <w:bCs w:val="1"/>
                <w:color w:val="auto"/>
              </w:rPr>
              <w:t>Electricity</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-27.3%</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color w:val="auto"/>
              </w:rPr>
              <w:t>12.5%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Fuel surcharges and mandated fees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-51.2%</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57.5%</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0" w:type="dxa"/>
            <w:vAlign w:val="bottom"/>
            <w:gridSpan w:val="3"/>
            <w:vMerge w:val="restart"/>
          </w:tcPr>
          <w:p>
            <w:pPr>
              <w:jc w:val="right"/>
              <w:ind w:right="560"/>
              <w:spacing w:after="0"/>
              <w:rPr>
                <w:sz w:val="20"/>
                <w:szCs w:val="20"/>
                <w:color w:val="auto"/>
              </w:rPr>
            </w:pPr>
            <w:r>
              <w:rPr>
                <w:rFonts w:ascii="Arial" w:cs="Arial" w:eastAsia="Arial" w:hAnsi="Arial"/>
                <w:sz w:val="18"/>
                <w:szCs w:val="18"/>
                <w:color w:val="auto"/>
              </w:rPr>
              <w:t>-5.5%</w:t>
            </w: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58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6.7%</w:t>
            </w: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(314)</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Divestitures</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-14.2%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revenue information below represents the denominator used to calculate the percentages of related business and is defined as prior year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less the impact of divestitures.</w:t>
      </w:r>
    </w:p>
    <w:p>
      <w:pPr>
        <w:spacing w:after="0" w:line="15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Denominator for the Quarters</w:t>
      </w:r>
    </w:p>
    <w:p>
      <w:pPr>
        <w:jc w:val="center"/>
        <w:ind w:left="9160"/>
        <w:spacing w:after="0" w:line="23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gridSpan w:val="4"/>
          </w:tcPr>
          <w:p>
            <w:pPr>
              <w:ind w:left="60"/>
              <w:spacing w:after="0" w:line="119" w:lineRule="exact"/>
              <w:rPr>
                <w:sz w:val="20"/>
                <w:szCs w:val="20"/>
                <w:color w:val="auto"/>
              </w:rPr>
            </w:pPr>
            <w:r>
              <w:rPr>
                <w:rFonts w:ascii="Arial" w:cs="Arial" w:eastAsia="Arial" w:hAnsi="Arial"/>
                <w:sz w:val="13"/>
                <w:szCs w:val="13"/>
                <w:b w:val="1"/>
                <w:bCs w:val="1"/>
                <w:color w:val="auto"/>
              </w:rPr>
              <w:t>Sept. 30,</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Related business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Collection, landfill and transfer</w:t>
            </w:r>
          </w:p>
        </w:tc>
        <w:tc>
          <w:tcPr>
            <w:tcW w:w="140" w:type="dxa"/>
            <w:vAlign w:val="bottom"/>
            <w:gridSpan w:val="2"/>
          </w:tcPr>
          <w:p>
            <w:pPr>
              <w:jc w:val="right"/>
              <w:ind w:right="2"/>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2,733</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2,742</w:t>
            </w: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Waste-to-energy disposal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Collection and disposal</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Recycling commodity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Electricity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36"/>
        </w:trPr>
        <w:tc>
          <w:tcPr>
            <w:tcW w:w="9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Fuel surcharges and mandated fees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211</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7"/>
        </w:trPr>
        <w:tc>
          <w:tcPr>
            <w:tcW w:w="9280" w:type="dxa"/>
            <w:vAlign w:val="bottom"/>
          </w:tcPr>
          <w:p>
            <w:pPr>
              <w:spacing w:after="0"/>
              <w:rPr>
                <w:sz w:val="20"/>
                <w:szCs w:val="20"/>
                <w:color w:val="auto"/>
              </w:rPr>
            </w:pPr>
            <w:r>
              <w:rPr>
                <w:rFonts w:ascii="Arial" w:cs="Arial" w:eastAsia="Arial" w:hAnsi="Arial"/>
                <w:sz w:val="18"/>
                <w:szCs w:val="18"/>
                <w:color w:val="auto"/>
              </w:rPr>
              <w:t>Total Company</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These percentages are calculated using the related business revenue as the denominator.</w:t>
      </w:r>
    </w:p>
    <w:p>
      <w:pPr>
        <w:spacing w:after="0" w:line="76" w:lineRule="exact"/>
        <w:rPr>
          <w:rFonts w:ascii="Arial" w:cs="Arial" w:eastAsia="Arial" w:hAnsi="Arial"/>
          <w:sz w:val="18"/>
          <w:szCs w:val="18"/>
          <w:b w:val="1"/>
          <w:bCs w:val="1"/>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These percentages are calculated using the total company revenue as the denominator.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Starting with the quarter ended March 31, 2009, we have made the following changes to our Internal Revenue Growth table:</w:t>
      </w:r>
    </w:p>
    <w:p>
      <w:pPr>
        <w:spacing w:after="0" w:line="121"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Average yield from “Collection and Disposal” excludes any electricity related revenues. These electricity revenues are now included within Average Yield in the “Electricity” caption. Note that the “Waste to Energy” component of “Collection and Disposal” is primarily disposal related revenues. We have reclassified prior periods to conform to the 2009 presentation.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 2009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4"/>
          </w:tcPr>
          <w:p>
            <w:pPr>
              <w:jc w:val="right"/>
              <w:ind w:right="380"/>
              <w:spacing w:after="0" w:line="119" w:lineRule="exact"/>
              <w:rPr>
                <w:sz w:val="20"/>
                <w:szCs w:val="20"/>
                <w:color w:val="auto"/>
              </w:rPr>
            </w:pPr>
            <w:r>
              <w:rPr>
                <w:rFonts w:ascii="Arial" w:cs="Arial" w:eastAsia="Arial" w:hAnsi="Arial"/>
                <w:sz w:val="13"/>
                <w:szCs w:val="13"/>
                <w:b w:val="1"/>
                <w:bCs w:val="1"/>
                <w:color w:val="auto"/>
              </w:rPr>
              <w:t>After-tax</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attributable to WMI and Diluted Earnings Per Share</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WMI and Diluted EPS, as reported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277</w:t>
            </w:r>
          </w:p>
        </w:tc>
        <w:tc>
          <w:tcPr>
            <w:tcW w:w="5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0.56</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310</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43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Adjustments (a):</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items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(Income) expense from divestitures, asset impairments and unusual items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Labor disruptions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w:t>
            </w:r>
          </w:p>
        </w:tc>
        <w:tc>
          <w:tcPr>
            <w:tcW w:w="5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(0.02)</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WMI and Diluted EPS, as adjusted</w:t>
            </w:r>
          </w:p>
        </w:tc>
        <w:tc>
          <w:tcPr>
            <w:tcW w:w="6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Impacts of Labor Disruption Costs on Operating Expenses as a percent of Revenues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11"/>
          </w:tcPr>
          <w:p>
            <w:pPr>
              <w:jc w:val="right"/>
              <w:ind w:right="280"/>
              <w:spacing w:after="0"/>
              <w:rPr>
                <w:sz w:val="20"/>
                <w:szCs w:val="20"/>
                <w:color w:val="auto"/>
              </w:rPr>
            </w:pPr>
            <w:r>
              <w:rPr>
                <w:rFonts w:ascii="Arial" w:cs="Arial" w:eastAsia="Arial" w:hAnsi="Arial"/>
                <w:sz w:val="14"/>
                <w:szCs w:val="14"/>
                <w:b w:val="1"/>
                <w:bCs w:val="1"/>
                <w:color w:val="auto"/>
                <w:w w:val="97"/>
              </w:rPr>
              <w:t>Quarters Ended September 30,</w:t>
            </w: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As reported:</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3,023</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1,856</w:t>
            </w:r>
          </w:p>
        </w:tc>
        <w:tc>
          <w:tcPr>
            <w:tcW w:w="320" w:type="dxa"/>
            <w:vAlign w:val="bottom"/>
          </w:tcPr>
          <w:p>
            <w:pPr>
              <w:spacing w:after="0"/>
              <w:rPr>
                <w:sz w:val="20"/>
                <w:szCs w:val="20"/>
                <w:color w:val="auto"/>
              </w:rPr>
            </w:pPr>
          </w:p>
        </w:tc>
        <w:tc>
          <w:tcPr>
            <w:tcW w:w="46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Expenses as a percent of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63.0%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Adjustment for Labor Disruption Costs: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As adjusted:</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Operating revenues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3,023</w:t>
            </w:r>
          </w:p>
        </w:tc>
        <w:tc>
          <w:tcPr>
            <w:tcW w:w="320" w:type="dxa"/>
            <w:vAlign w:val="bottom"/>
          </w:tcPr>
          <w:p>
            <w:pPr>
              <w:spacing w:after="0"/>
              <w:rPr>
                <w:sz w:val="18"/>
                <w:szCs w:val="18"/>
                <w:color w:val="auto"/>
              </w:rPr>
            </w:pPr>
          </w:p>
        </w:tc>
        <w:tc>
          <w:tcPr>
            <w:tcW w:w="460" w:type="dxa"/>
            <w:vAlign w:val="bottom"/>
            <w:gridSpan w:val="3"/>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18"/>
                <w:szCs w:val="18"/>
                <w:b w:val="1"/>
                <w:bCs w:val="1"/>
                <w:color w:val="auto"/>
              </w:rPr>
              <w:t>(b)</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8"/>
              </w:rPr>
              <w:t>1,856</w:t>
            </w:r>
          </w:p>
        </w:tc>
        <w:tc>
          <w:tcPr>
            <w:tcW w:w="3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0" w:type="dxa"/>
            <w:vAlign w:val="bottom"/>
          </w:tcPr>
          <w:p>
            <w:pPr>
              <w:ind w:left="200"/>
              <w:spacing w:after="0"/>
              <w:rPr>
                <w:sz w:val="20"/>
                <w:szCs w:val="20"/>
                <w:color w:val="auto"/>
              </w:rPr>
            </w:pPr>
            <w:r>
              <w:rPr>
                <w:rFonts w:ascii="Arial" w:cs="Arial" w:eastAsia="Arial" w:hAnsi="Arial"/>
                <w:sz w:val="18"/>
                <w:szCs w:val="18"/>
                <w:b w:val="1"/>
                <w:bCs w:val="1"/>
                <w:color w:val="auto"/>
              </w:rPr>
              <w:t>Adjusted Operating Expenses as a percent of Revenues (b)</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61.4%</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62.3%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Full Year 2009 Free Cash Flow Reconciliation </w:t>
            </w:r>
            <w:r>
              <w:rPr>
                <w:rFonts w:ascii="Arial" w:cs="Arial" w:eastAsia="Arial" w:hAnsi="Arial"/>
                <w:sz w:val="18"/>
                <w:szCs w:val="18"/>
                <w:b w:val="1"/>
                <w:bCs w:val="1"/>
                <w:color w:val="auto"/>
              </w:rPr>
              <w:t>(c)</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w w:val="88"/>
              </w:rPr>
              <w:t>2,355</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expenditures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28"/>
              <w:spacing w:after="0"/>
              <w:rPr>
                <w:sz w:val="20"/>
                <w:szCs w:val="20"/>
                <w:color w:val="auto"/>
              </w:rPr>
            </w:pPr>
            <w:r>
              <w:rPr>
                <w:rFonts w:ascii="Arial" w:cs="Arial" w:eastAsia="Arial" w:hAnsi="Arial"/>
                <w:sz w:val="18"/>
                <w:szCs w:val="18"/>
                <w:color w:val="auto"/>
              </w:rPr>
              <w:t>(1,080)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5"/>
          </w:tcPr>
          <w:p>
            <w:pPr>
              <w:ind w:left="4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w w:val="88"/>
              </w:rPr>
              <w:t>1,300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Adjustments include unusual, nonrecurring or non-operational items, the exclusion of which allows investors to have the same information management uses in evaluating the Company’s results of operations. The exclusion of these items also allows investors to compare results of operations in the current period to prior period’s results based on the Company’s fundamental business performance.</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 adjusted for labor disruption costs in 2008, Operating Expenses decreased by $339 million, or 90 basis points as a percent of revenues.</w:t>
      </w:r>
    </w:p>
    <w:p>
      <w:pPr>
        <w:spacing w:after="0" w:line="88" w:lineRule="exact"/>
        <w:rPr>
          <w:rFonts w:ascii="Arial" w:cs="Arial" w:eastAsia="Arial" w:hAnsi="Arial"/>
          <w:sz w:val="17"/>
          <w:szCs w:val="17"/>
          <w:color w:val="auto"/>
        </w:rPr>
      </w:pPr>
    </w:p>
    <w:p>
      <w:pPr>
        <w:ind w:left="460" w:right="12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reconciliation illustrates a scenario that shows our projected Free Cash Flow to be $1.3 billion for the year. The amounts used in the reconciliation are subject to many variables, some of which are not in our control and therefore are not necessarily indicative of what actual results will be.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n"/>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2019-12-10T06:41:19Z</dcterms:created>
  <dcterms:modified xsi:type="dcterms:W3CDTF">2019-12-10T06:41:19Z</dcterms:modified>
</cp:coreProperties>
</file>