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26, 2005</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Employment Agreement -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On August 26, 2005, Waste Management, Inc. (the “Company”) entered into a new employment agreement with Cherie C. Rice, Vice President – Finance and Treasurer, effective as of March 7, 2005. The Company announced in March 2005 that Ms. Rice, who has served as Vice President – Finance and Treasurer since January 2004, has been elevated to the Company’s Senior Leadership Team. Ms. Rice previously served as Vice President – Investor Relations for over six years and has approximately 20 years of service with the Company or one of its predecessors.</w:t>
      </w:r>
    </w:p>
    <w:p>
      <w:pPr>
        <w:spacing w:after="0" w:line="63"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agreement is for a term of two years, and automatically renews for successive one-year periods thereafter. During the employment period, Ms. Rice shall be paid a minimum base salary of $262,000 per year and shall be entitled to a bonus in accordance with the Company’s incentive compensation plan. Ms. Rice shall have a target annual bonus of 50% of her base salary, although her actual bonus may range from 0 – 100% of her base salary, depending on the achievement of certain personal and corporate performance goals. Additionally, Ms. Rice shall be entitled to certain perquisites, including an annual automobile allowance, financial planning services, social organization initiation fees and dues and an annual physical examination. Ms. Rice shall also be entitled to participate in or receive benefits under any and all plans and programs made available to executive employees of the Company generally.</w:t>
      </w:r>
    </w:p>
    <w:p>
      <w:pPr>
        <w:spacing w:after="0" w:line="5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the event of the termination of Ms. Rice’s employment by the Company, she will be entitled to certain severance payments. Specifically, if Ms. Rice is terminated without cause or she leaves the Company for good reason, in addition to the benefits all employees receive, including all amounts accrued but unpaid at the date of termination and payments under applicable Company plans, policies and arrangements, Ms. Rice generally is entitled to a payment equal to one times her base salary, of which one-half shall be paid in a lump sum within ten (10) days after such termination and one-half shall be paid during the one (1) year period beginning on the date of termination and shall be paid at the same time and in the same manner as base salary would have been paid if Ms. Rice had remained employed by the Company, and continuation of all health and welfare plan benefits for her and her family for the lesser of one year, her death or until she becomes covered by a subsequent employer. In the event Ms. Rice is terminated without cause or leaves the Company for good reason, in connection with a change in control, she generally is entitled to the same benefits that she would receive as described for a termination without cause or by Ms. Rice for good reason, except the amount of the payment would be made in a lump sum. In the event Ms. Rice’s employment is terminated by reason of death or total disability, she generally will receive all amounts accrued but unpaid at the date of termination, a pro rated bonus payment and any benefits to which she is entitled pursuant to the plans, policies and arrangements of the Company in accordance with their terms.</w:t>
      </w:r>
    </w:p>
    <w:p>
      <w:pPr>
        <w:spacing w:after="0" w:line="65"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Ms. Rice’s agreement also contains certain restrictive covenants, including covenants not to compete or solicit Company customers or employees for a period of two years after the termination of her employment, and a covenant not to disparage the Company.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terms “cause,” “good reason,” and “total disability” are all defined in Ms. Rice’s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10.1  Employment Agreement between Waste Management, Inc. and Cherie C. Rice, dated August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August 30,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Linda J. Smith,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10.1  Employment Agreement between Waste Management, Inc. and Cherie C. Rice, dated August 26, 2005</w:t>
      </w:r>
    </w:p>
    <w:p>
      <w:pPr>
        <w:sectPr>
          <w:pgSz w:w="11900" w:h="16838" w:orient="portrait"/>
          <w:cols w:equalWidth="0" w:num="1">
            <w:col w:w="10219"/>
          </w:cols>
          <w:pgMar w:left="240" w:top="419" w:right="1440" w:bottom="1440" w:gutter="0" w:footer="0" w:header="0"/>
        </w:sectPr>
      </w:pPr>
    </w:p>
    <w:bookmarkStart w:id="7" w:name="page8"/>
    <w:bookmarkEnd w:id="7"/>
    <w:p>
      <w:pPr>
        <w:ind w:left="10480"/>
        <w:spacing w:after="0"/>
        <w:rPr>
          <w:sz w:val="20"/>
          <w:szCs w:val="20"/>
          <w:color w:val="auto"/>
        </w:rPr>
      </w:pPr>
      <w:r>
        <w:rPr>
          <w:rFonts w:ascii="Arial" w:cs="Arial" w:eastAsia="Arial" w:hAnsi="Arial"/>
          <w:sz w:val="16"/>
          <w:szCs w:val="16"/>
          <w:b w:val="1"/>
          <w:bCs w:val="1"/>
          <w:color w:val="auto"/>
        </w:rPr>
        <w:t>Exhibit 10.1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This EMPLOYMENT AGREEMENT (the “Agreement”) is made and entered into on this 26th day of August, 2005, but as effective as of the date set forth herein, by and between Waste Management, Inc. (the “Company”), and Cherie C. Rice (the “Executive”).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62" w:lineRule="exact"/>
        <w:rPr>
          <w:sz w:val="20"/>
          <w:szCs w:val="20"/>
          <w:color w:val="auto"/>
        </w:rPr>
      </w:pPr>
    </w:p>
    <w:p>
      <w:pPr>
        <w:jc w:val="both"/>
        <w:ind w:right="400" w:firstLine="225"/>
        <w:spacing w:after="0" w:line="259" w:lineRule="auto"/>
        <w:rPr>
          <w:sz w:val="20"/>
          <w:szCs w:val="20"/>
          <w:color w:val="auto"/>
        </w:rPr>
      </w:pPr>
      <w:r>
        <w:rPr>
          <w:rFonts w:ascii="Arial" w:cs="Arial" w:eastAsia="Arial" w:hAnsi="Arial"/>
          <w:sz w:val="18"/>
          <w:szCs w:val="18"/>
          <w:color w:val="auto"/>
        </w:rPr>
        <w:t>Executive acknowledges and represents that, any and all prior employment agreements, including without limitation certain Employment Agreement between she and the Company dated July 17, 1998, is terminated, and that any and all obligation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period of Executive’s employment under this Agreement shall commence on March 7, 2005 (the “Employment Date”), which is the Date of Executive’s induction to the Senior Leadership Team of the Company,,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21" w:lineRule="exact"/>
        <w:rPr>
          <w:sz w:val="20"/>
          <w:szCs w:val="20"/>
          <w:color w:val="auto"/>
        </w:rPr>
      </w:pPr>
    </w:p>
    <w:p>
      <w:pPr>
        <w:ind w:right="40" w:firstLine="233"/>
        <w:spacing w:after="0" w:line="259" w:lineRule="auto"/>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Executive shall serve as the Vice President, Finance and Treasurer.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Operating Officer or the Board of Directors (the “Board”) of the Company.</w:t>
      </w:r>
    </w:p>
    <w:p>
      <w:pPr>
        <w:spacing w:after="0" w:line="78" w:lineRule="exact"/>
        <w:rPr>
          <w:rFonts w:ascii="Arial" w:cs="Arial" w:eastAsia="Arial" w:hAnsi="Arial"/>
          <w:sz w:val="18"/>
          <w:szCs w:val="18"/>
          <w:b w:val="1"/>
          <w:bCs w:val="1"/>
          <w:color w:val="auto"/>
        </w:rPr>
      </w:pPr>
    </w:p>
    <w:p>
      <w:pPr>
        <w:ind w:right="40" w:firstLine="233"/>
        <w:spacing w:after="0" w:line="257" w:lineRule="auto"/>
        <w:tabs>
          <w:tab w:leader="none" w:pos="49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Executive shall devote substantially all of her working time, attention and energies to the business of the Company, and its affiliated entities. Executive may make and manage her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her duties hereunder (however, the Board does not typically allow officers to serve on more than one public company board at 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17" w:lineRule="exact"/>
        <w:rPr>
          <w:sz w:val="20"/>
          <w:szCs w:val="20"/>
          <w:color w:val="auto"/>
        </w:rPr>
      </w:pPr>
    </w:p>
    <w:p>
      <w:pPr>
        <w:jc w:val="both"/>
        <w:ind w:right="100" w:firstLine="233"/>
        <w:spacing w:after="0" w:line="314" w:lineRule="auto"/>
        <w:tabs>
          <w:tab w:leader="none" w:pos="4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During the Employment Period, the Company shall pay Executive a base salary at the annual rate of Two Hundred Sixty Two Thousand</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($262,000.00)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34" w:lineRule="exact"/>
        <w:rPr>
          <w:rFonts w:ascii="Arial" w:cs="Arial" w:eastAsia="Arial" w:hAnsi="Arial"/>
          <w:sz w:val="16"/>
          <w:szCs w:val="16"/>
          <w:b w:val="1"/>
          <w:bCs w:val="1"/>
          <w:color w:val="auto"/>
        </w:rPr>
      </w:pPr>
    </w:p>
    <w:p>
      <w:pPr>
        <w:ind w:firstLine="233"/>
        <w:spacing w:after="0" w:line="292" w:lineRule="auto"/>
        <w:tabs>
          <w:tab w:leader="none" w:pos="4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During the Employment Period, Executive will be entitled to participate in an annual incentive compensation plan of the Company, as</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by the Compensation Committee of the Board from time to time. The Executive’s target annual bonus will be fifty percent (50%) of her Base Salary in effect for such year (the “Target Bonus”), and her actual annual bonus may range from 0% to 100% of Base Salary (</w:t>
      </w:r>
      <w:r>
        <w:rPr>
          <w:rFonts w:ascii="Arial" w:cs="Arial" w:eastAsia="Arial" w:hAnsi="Arial"/>
          <w:sz w:val="16"/>
          <w:szCs w:val="16"/>
          <w:i w:val="1"/>
          <w:iCs w:val="1"/>
          <w:color w:val="auto"/>
        </w:rPr>
        <w:t>i.e</w:t>
      </w:r>
      <w:r>
        <w:rPr>
          <w:rFonts w:ascii="Arial" w:cs="Arial" w:eastAsia="Arial" w:hAnsi="Arial"/>
          <w:sz w:val="16"/>
          <w:szCs w:val="16"/>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The annual bonus for calendar year 2005 will be paid in 2006, if earned, at the same time as similarly situated executive employees receive or would otherwise receive their bonuses, provided that Executive remains employed through the end of the 2005 calendar year.</w:t>
      </w:r>
    </w:p>
    <w:p>
      <w:pPr>
        <w:spacing w:after="0" w:line="53" w:lineRule="exact"/>
        <w:rPr>
          <w:rFonts w:ascii="Arial" w:cs="Arial" w:eastAsia="Arial" w:hAnsi="Arial"/>
          <w:sz w:val="16"/>
          <w:szCs w:val="16"/>
          <w:b w:val="1"/>
          <w:bCs w:val="1"/>
          <w:color w:val="auto"/>
        </w:rPr>
      </w:pPr>
    </w:p>
    <w:p>
      <w:pPr>
        <w:ind w:right="20" w:firstLine="233"/>
        <w:spacing w:after="0" w:line="258" w:lineRule="auto"/>
        <w:tabs>
          <w:tab w:leader="none" w:pos="4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58" w:lineRule="exact"/>
        <w:rPr>
          <w:sz w:val="20"/>
          <w:szCs w:val="20"/>
          <w:color w:val="auto"/>
        </w:rPr>
      </w:pPr>
    </w:p>
    <w:p>
      <w:pPr>
        <w:ind w:right="40" w:firstLine="233"/>
        <w:spacing w:after="0" w:line="313" w:lineRule="auto"/>
        <w:tabs>
          <w:tab w:leader="none" w:pos="49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The Company shall promptly reimburse Executive for the ordinary and necessary business expenses incurred by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performance of the duties hereunder in accordance with the Company’s customary practices applicable to its executive officers.</w:t>
      </w:r>
    </w:p>
    <w:p>
      <w:pPr>
        <w:spacing w:after="0" w:line="30" w:lineRule="exact"/>
        <w:rPr>
          <w:rFonts w:ascii="Arial" w:cs="Arial" w:eastAsia="Arial" w:hAnsi="Arial"/>
          <w:sz w:val="17"/>
          <w:szCs w:val="17"/>
          <w:b w:val="1"/>
          <w:bCs w:val="1"/>
          <w:color w:val="auto"/>
        </w:rPr>
      </w:pPr>
    </w:p>
    <w:p>
      <w:pPr>
        <w:ind w:right="100" w:firstLine="233"/>
        <w:spacing w:after="0" w:line="282" w:lineRule="auto"/>
        <w:tabs>
          <w:tab w:leader="none" w:pos="4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and as they may exist from time to time, including the following:</w:t>
      </w:r>
    </w:p>
    <w:p>
      <w:pPr>
        <w:spacing w:after="0" w:line="5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Automobile allowance at the annual rate of Twelve Thousand Dollars ($12,000.00), payable in accordance with the Company’s standard payroll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ind w:left="600"/>
        <w:spacing w:after="0"/>
        <w:rPr>
          <w:sz w:val="20"/>
          <w:szCs w:val="20"/>
          <w:color w:val="auto"/>
        </w:rPr>
      </w:pPr>
      <w:r>
        <w:rPr>
          <w:rFonts w:ascii="Arial" w:cs="Arial" w:eastAsia="Arial" w:hAnsi="Arial"/>
          <w:sz w:val="18"/>
          <w:szCs w:val="18"/>
          <w:color w:val="auto"/>
        </w:rPr>
        <w:t>practice for its executive officers and prorated in any year that Executive does not work a full calendar year;</w:t>
      </w:r>
    </w:p>
    <w:p>
      <w:pPr>
        <w:spacing w:after="0" w:line="131" w:lineRule="exact"/>
        <w:rPr>
          <w:sz w:val="20"/>
          <w:szCs w:val="20"/>
          <w:color w:val="auto"/>
        </w:rPr>
      </w:pPr>
    </w:p>
    <w:p>
      <w:pPr>
        <w:ind w:left="600" w:hanging="43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130" w:lineRule="exact"/>
        <w:rPr>
          <w:rFonts w:ascii="Arial" w:cs="Arial" w:eastAsia="Arial" w:hAnsi="Arial"/>
          <w:sz w:val="18"/>
          <w:szCs w:val="18"/>
          <w:color w:val="auto"/>
        </w:rPr>
      </w:pPr>
    </w:p>
    <w:p>
      <w:pPr>
        <w:ind w:left="600" w:right="20" w:hanging="436"/>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one-time financial planning services at actual cost, not to exceed $20,000, for services in preparation for voluntary retirement (for such purposes voluntary retirement means retirement from the Company after attainment of both (x) the age of 55 and (y) a sum of years of services with the Company plus age equal to 65 or greater);</w:t>
      </w:r>
    </w:p>
    <w:p>
      <w:pPr>
        <w:spacing w:after="0" w:line="86" w:lineRule="exact"/>
        <w:rPr>
          <w:rFonts w:ascii="Arial" w:cs="Arial" w:eastAsia="Arial" w:hAnsi="Arial"/>
          <w:sz w:val="18"/>
          <w:szCs w:val="18"/>
          <w:color w:val="auto"/>
        </w:rPr>
      </w:pPr>
    </w:p>
    <w:p>
      <w:pPr>
        <w:ind w:left="600" w:right="120" w:hanging="436"/>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75" w:lineRule="exact"/>
        <w:rPr>
          <w:rFonts w:ascii="Arial" w:cs="Arial" w:eastAsia="Arial" w:hAnsi="Arial"/>
          <w:sz w:val="18"/>
          <w:szCs w:val="18"/>
          <w:color w:val="auto"/>
        </w:rPr>
      </w:pPr>
    </w:p>
    <w:p>
      <w:pPr>
        <w:ind w:left="600" w:hanging="43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Termination of Employment.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420" w:hanging="247"/>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17" w:lineRule="exact"/>
        <w:rPr>
          <w:rFonts w:ascii="Arial" w:cs="Arial" w:eastAsia="Arial" w:hAnsi="Arial"/>
          <w:sz w:val="18"/>
          <w:szCs w:val="18"/>
          <w:b w:val="1"/>
          <w:bCs w:val="1"/>
          <w:color w:val="auto"/>
        </w:rPr>
      </w:pPr>
    </w:p>
    <w:p>
      <w:pPr>
        <w:ind w:left="-60" w:firstLine="233"/>
        <w:spacing w:after="0" w:line="295" w:lineRule="auto"/>
        <w:tabs>
          <w:tab w:leader="none" w:pos="42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Total Disability. </w:t>
      </w:r>
      <w:r>
        <w:rPr>
          <w:rFonts w:ascii="Arial" w:cs="Arial" w:eastAsia="Arial" w:hAnsi="Arial"/>
          <w:sz w:val="16"/>
          <w:szCs w:val="16"/>
          <w:color w:val="auto"/>
        </w:rPr>
        <w:t>The Company may terminate Executive’s employment hereunder upon Executive becoming “Totally Disabled.”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may, in their reasonable discretion (but based upon appropriate medical evidence), determine that Executive is Totally Disabled.</w:t>
      </w:r>
    </w:p>
    <w:p>
      <w:pPr>
        <w:spacing w:after="0" w:line="47" w:lineRule="exact"/>
        <w:rPr>
          <w:rFonts w:ascii="Arial" w:cs="Arial" w:eastAsia="Arial" w:hAnsi="Arial"/>
          <w:sz w:val="16"/>
          <w:szCs w:val="16"/>
          <w:b w:val="1"/>
          <w:bCs w:val="1"/>
          <w:color w:val="auto"/>
        </w:rPr>
      </w:pPr>
    </w:p>
    <w:p>
      <w:pPr>
        <w:ind w:left="-60" w:right="40" w:firstLine="233"/>
        <w:spacing w:after="0" w:line="282" w:lineRule="auto"/>
        <w:tabs>
          <w:tab w:leader="none" w:pos="40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57" w:lineRule="exact"/>
        <w:rPr>
          <w:rFonts w:ascii="Arial" w:cs="Arial" w:eastAsia="Arial" w:hAnsi="Arial"/>
          <w:sz w:val="18"/>
          <w:szCs w:val="18"/>
          <w:b w:val="1"/>
          <w:bCs w:val="1"/>
          <w:color w:val="auto"/>
        </w:rPr>
      </w:pPr>
    </w:p>
    <w:p>
      <w:pPr>
        <w:ind w:left="600" w:hanging="436"/>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0" w:name="page11"/>
    <w:bookmarkEnd w:id="10"/>
    <w:p>
      <w:pPr>
        <w:ind w:left="640"/>
        <w:spacing w:after="0"/>
        <w:rPr>
          <w:sz w:val="20"/>
          <w:szCs w:val="20"/>
          <w:color w:val="auto"/>
        </w:rPr>
      </w:pPr>
      <w:r>
        <w:rPr>
          <w:rFonts w:ascii="Arial" w:cs="Arial" w:eastAsia="Arial" w:hAnsi="Arial"/>
          <w:sz w:val="16"/>
          <w:szCs w:val="16"/>
          <w:color w:val="auto"/>
        </w:rPr>
        <w:t>nonperformance within ten (10) days of receipt of said written notice; (B) breach of any statutory or common law duty of loyalty to the Company;</w:t>
      </w:r>
    </w:p>
    <w:p>
      <w:pPr>
        <w:spacing w:after="0" w:line="46"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 xml:space="preserve">(C) has been convicted of, or pleaded </w:t>
      </w:r>
      <w:r>
        <w:rPr>
          <w:rFonts w:ascii="Arial" w:cs="Arial" w:eastAsia="Arial" w:hAnsi="Arial"/>
          <w:sz w:val="17"/>
          <w:szCs w:val="17"/>
          <w:i w:val="1"/>
          <w:iCs w:val="1"/>
          <w:color w:val="auto"/>
        </w:rPr>
        <w:t>nolo contendre</w:t>
      </w:r>
      <w:r>
        <w:rPr>
          <w:rFonts w:ascii="Arial" w:cs="Arial" w:eastAsia="Arial" w:hAnsi="Arial"/>
          <w:sz w:val="17"/>
          <w:szCs w:val="17"/>
          <w:color w:val="auto"/>
        </w:rPr>
        <w:t xml:space="preserve"> to, any felony; (D) willfully or intentionally caused material injury to the Company, its property, or its assets; (E) disclosed to 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82" w:lineRule="exact"/>
        <w:rPr>
          <w:sz w:val="20"/>
          <w:szCs w:val="20"/>
          <w:color w:val="auto"/>
        </w:rPr>
      </w:pPr>
    </w:p>
    <w:p>
      <w:pPr>
        <w:ind w:left="640" w:hanging="436"/>
        <w:spacing w:after="0" w:line="270"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her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69" w:lineRule="exact"/>
        <w:rPr>
          <w:rFonts w:ascii="Arial" w:cs="Arial" w:eastAsia="Arial" w:hAnsi="Arial"/>
          <w:sz w:val="17"/>
          <w:szCs w:val="17"/>
          <w:color w:val="auto"/>
        </w:rPr>
      </w:pPr>
    </w:p>
    <w:p>
      <w:pPr>
        <w:ind w:left="-20" w:right="280" w:firstLine="233"/>
        <w:spacing w:after="0" w:line="282" w:lineRule="auto"/>
        <w:tabs>
          <w:tab w:leader="none" w:pos="46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her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58" w:lineRule="exact"/>
        <w:rPr>
          <w:sz w:val="20"/>
          <w:szCs w:val="20"/>
          <w:color w:val="auto"/>
        </w:rPr>
      </w:pPr>
    </w:p>
    <w:p>
      <w:pPr>
        <w:ind w:left="640" w:right="100" w:hanging="436"/>
        <w:spacing w:after="0" w:line="289"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her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her position unless she is also the equivalent of Vice-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1" w:name="page12"/>
    <w:bookmarkEnd w:id="11"/>
    <w:p>
      <w:pPr>
        <w:ind w:left="660" w:right="240"/>
        <w:spacing w:after="0" w:line="291" w:lineRule="auto"/>
        <w:rPr>
          <w:sz w:val="20"/>
          <w:szCs w:val="20"/>
          <w:color w:val="auto"/>
        </w:rPr>
      </w:pPr>
      <w:r>
        <w:rPr>
          <w:rFonts w:ascii="Arial" w:cs="Arial" w:eastAsia="Arial" w:hAnsi="Arial"/>
          <w:sz w:val="16"/>
          <w:szCs w:val="16"/>
          <w:color w:val="auto"/>
        </w:rPr>
        <w:t>President, Finance and Treasurer of the Company or such other successor entity of the ultimate parent entity; (B) removal or the non-reelection of the Executive from the officer position with the Company specified herein, or removal of the Executive from any of her then officer positions;</w:t>
      </w:r>
    </w:p>
    <w:p>
      <w:pPr>
        <w:ind w:left="660" w:right="240"/>
        <w:spacing w:after="0" w:line="254" w:lineRule="auto"/>
        <w:rPr>
          <w:sz w:val="20"/>
          <w:szCs w:val="20"/>
          <w:color w:val="auto"/>
        </w:rPr>
      </w:pPr>
      <w:r>
        <w:rPr>
          <w:rFonts w:ascii="Arial" w:cs="Arial" w:eastAsia="Arial" w:hAnsi="Arial"/>
          <w:sz w:val="18"/>
          <w:szCs w:val="18"/>
          <w:color w:val="auto"/>
        </w:rPr>
        <w:t>(C)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her then business office location.</w:t>
      </w:r>
    </w:p>
    <w:p>
      <w:pPr>
        <w:spacing w:after="0" w:line="95" w:lineRule="exact"/>
        <w:rPr>
          <w:sz w:val="20"/>
          <w:szCs w:val="20"/>
          <w:color w:val="auto"/>
        </w:rPr>
      </w:pPr>
    </w:p>
    <w:p>
      <w:pPr>
        <w:ind w:left="660" w:hanging="436"/>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her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66" w:lineRule="exact"/>
        <w:rPr>
          <w:sz w:val="20"/>
          <w:szCs w:val="20"/>
          <w:color w:val="auto"/>
        </w:rPr>
      </w:pPr>
    </w:p>
    <w:p>
      <w:pPr>
        <w:ind w:right="380" w:firstLine="233"/>
        <w:spacing w:after="0" w:line="282" w:lineRule="auto"/>
        <w:tabs>
          <w:tab w:leader="none" w:pos="46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53" w:lineRule="exact"/>
        <w:rPr>
          <w:rFonts w:ascii="Arial" w:cs="Arial" w:eastAsia="Arial" w:hAnsi="Arial"/>
          <w:sz w:val="18"/>
          <w:szCs w:val="18"/>
          <w:b w:val="1"/>
          <w:bCs w:val="1"/>
          <w:color w:val="auto"/>
        </w:rPr>
      </w:pPr>
    </w:p>
    <w:p>
      <w:pPr>
        <w:ind w:right="360" w:firstLine="233"/>
        <w:spacing w:after="0" w:line="282" w:lineRule="auto"/>
        <w:tabs>
          <w:tab w:leader="none" w:pos="45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21"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as applicable to the form of termination:</w:t>
      </w:r>
    </w:p>
    <w:p>
      <w:pPr>
        <w:spacing w:after="0" w:line="58" w:lineRule="exact"/>
        <w:rPr>
          <w:sz w:val="20"/>
          <w:szCs w:val="20"/>
          <w:color w:val="auto"/>
        </w:rPr>
      </w:pPr>
    </w:p>
    <w:p>
      <w:pPr>
        <w:ind w:right="100" w:firstLine="233"/>
        <w:spacing w:after="0" w:line="282" w:lineRule="auto"/>
        <w:tabs>
          <w:tab w:leader="none" w:pos="47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57"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left="620" w:right="140"/>
        <w:spacing w:after="0" w:line="277" w:lineRule="auto"/>
        <w:rPr>
          <w:sz w:val="20"/>
          <w:szCs w:val="20"/>
          <w:color w:val="auto"/>
        </w:rPr>
      </w:pPr>
      <w:r>
        <w:rPr>
          <w:rFonts w:ascii="Arial" w:cs="Arial" w:eastAsia="Arial" w:hAnsi="Arial"/>
          <w:sz w:val="18"/>
          <w:szCs w:val="18"/>
          <w:color w:val="auto"/>
        </w:rPr>
        <w:t>or incentive compensation payment for the current calendar year to the extent payments are awarded to senior executives of the Company and paid at the same time as senior executives are paid.</w:t>
      </w:r>
    </w:p>
    <w:p>
      <w:pPr>
        <w:spacing w:after="0" w:line="76" w:lineRule="exact"/>
        <w:rPr>
          <w:sz w:val="20"/>
          <w:szCs w:val="20"/>
          <w:color w:val="auto"/>
        </w:rPr>
      </w:pPr>
    </w:p>
    <w:p>
      <w:pPr>
        <w:ind w:left="620" w:right="560" w:hanging="43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58" w:lineRule="exact"/>
        <w:rPr>
          <w:rFonts w:ascii="Arial" w:cs="Arial" w:eastAsia="Arial" w:hAnsi="Arial"/>
          <w:sz w:val="18"/>
          <w:szCs w:val="18"/>
          <w:color w:val="auto"/>
        </w:rPr>
      </w:pPr>
    </w:p>
    <w:p>
      <w:pPr>
        <w:ind w:left="-40" w:right="160" w:firstLine="233"/>
        <w:spacing w:after="0" w:line="282" w:lineRule="auto"/>
        <w:tabs>
          <w:tab w:leader="none" w:pos="44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58" w:lineRule="exact"/>
        <w:rPr>
          <w:sz w:val="20"/>
          <w:szCs w:val="20"/>
          <w:color w:val="auto"/>
        </w:rPr>
      </w:pPr>
    </w:p>
    <w:p>
      <w:pPr>
        <w:jc w:val="both"/>
        <w:ind w:left="620" w:right="300" w:hanging="436"/>
        <w:spacing w:after="0" w:line="302"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the Executive.</w:t>
      </w:r>
    </w:p>
    <w:p>
      <w:pPr>
        <w:spacing w:after="0" w:line="59" w:lineRule="exact"/>
        <w:rPr>
          <w:rFonts w:ascii="Arial" w:cs="Arial" w:eastAsia="Arial" w:hAnsi="Arial"/>
          <w:sz w:val="16"/>
          <w:szCs w:val="16"/>
          <w:color w:val="auto"/>
        </w:rPr>
      </w:pPr>
    </w:p>
    <w:p>
      <w:pPr>
        <w:ind w:left="620" w:hanging="436"/>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58" w:lineRule="exact"/>
        <w:rPr>
          <w:sz w:val="20"/>
          <w:szCs w:val="20"/>
          <w:color w:val="auto"/>
        </w:rPr>
      </w:pPr>
    </w:p>
    <w:p>
      <w:pPr>
        <w:ind w:left="-40" w:right="360" w:firstLine="233"/>
        <w:spacing w:after="0" w:line="282" w:lineRule="auto"/>
        <w:tabs>
          <w:tab w:leader="none" w:pos="427"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57" w:lineRule="exact"/>
        <w:rPr>
          <w:rFonts w:ascii="Arial" w:cs="Arial" w:eastAsia="Arial" w:hAnsi="Arial"/>
          <w:sz w:val="18"/>
          <w:szCs w:val="18"/>
          <w:b w:val="1"/>
          <w:bCs w:val="1"/>
          <w:color w:val="auto"/>
        </w:rPr>
      </w:pPr>
    </w:p>
    <w:p>
      <w:pPr>
        <w:ind w:left="620" w:right="300" w:hanging="436"/>
        <w:spacing w:after="0" w:line="342" w:lineRule="auto"/>
        <w:tabs>
          <w:tab w:leader="none" w:pos="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20" w:right="60" w:hanging="436"/>
        <w:spacing w:after="0" w:line="308" w:lineRule="auto"/>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left="-40" w:firstLine="233"/>
        <w:spacing w:after="0" w:line="282" w:lineRule="auto"/>
        <w:tabs>
          <w:tab w:leader="none" w:pos="447"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58" w:lineRule="exact"/>
        <w:rPr>
          <w:sz w:val="20"/>
          <w:szCs w:val="20"/>
          <w:color w:val="auto"/>
        </w:rPr>
      </w:pPr>
    </w:p>
    <w:p>
      <w:pPr>
        <w:ind w:left="620" w:right="300" w:hanging="436"/>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3" w:name="page14"/>
    <w:bookmarkEnd w:id="13"/>
    <w:p>
      <w:pPr>
        <w:ind w:left="640"/>
        <w:spacing w:after="0"/>
        <w:rPr>
          <w:sz w:val="20"/>
          <w:szCs w:val="20"/>
          <w:color w:val="auto"/>
        </w:rPr>
      </w:pPr>
      <w:r>
        <w:rPr>
          <w:rFonts w:ascii="Arial" w:cs="Arial" w:eastAsia="Arial" w:hAnsi="Arial"/>
          <w:sz w:val="18"/>
          <w:szCs w:val="18"/>
          <w:color w:val="auto"/>
        </w:rPr>
        <w:t>this Agreement, any vacation accrued to the date of termination, and any earned but unpaid bonuses for any prior calendar year.</w:t>
      </w:r>
    </w:p>
    <w:p>
      <w:pPr>
        <w:spacing w:after="0" w:line="131" w:lineRule="exact"/>
        <w:rPr>
          <w:sz w:val="20"/>
          <w:szCs w:val="20"/>
          <w:color w:val="auto"/>
        </w:rPr>
      </w:pPr>
    </w:p>
    <w:p>
      <w:pPr>
        <w:ind w:left="640" w:right="80" w:hanging="436"/>
        <w:spacing w:after="0" w:line="30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34" w:lineRule="exact"/>
        <w:rPr>
          <w:sz w:val="20"/>
          <w:szCs w:val="20"/>
          <w:color w:val="auto"/>
        </w:rPr>
      </w:pPr>
    </w:p>
    <w:p>
      <w:pPr>
        <w:ind w:left="-20" w:right="160" w:firstLine="233"/>
        <w:spacing w:after="0" w:line="261" w:lineRule="auto"/>
        <w:tabs>
          <w:tab w:leader="none" w:pos="447"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for reasons other than death, Total Disability or Cause, or Executive terminates her employment for Good Reason outside of a Change in Control Period, the Company shall pay the following amounts to Executive:</w:t>
      </w:r>
    </w:p>
    <w:p>
      <w:pPr>
        <w:spacing w:after="0" w:line="75" w:lineRule="exact"/>
        <w:rPr>
          <w:rFonts w:ascii="Arial" w:cs="Arial" w:eastAsia="Arial" w:hAnsi="Arial"/>
          <w:sz w:val="18"/>
          <w:szCs w:val="18"/>
          <w:b w:val="1"/>
          <w:bCs w:val="1"/>
          <w:color w:val="auto"/>
        </w:rPr>
      </w:pPr>
    </w:p>
    <w:p>
      <w:pPr>
        <w:ind w:left="640" w:right="320" w:hanging="436"/>
        <w:spacing w:after="0" w:line="342" w:lineRule="auto"/>
        <w:tabs>
          <w:tab w:leader="none" w:pos="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40" w:right="700" w:hanging="436"/>
        <w:spacing w:after="0" w:line="277"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5" w:lineRule="exact"/>
        <w:rPr>
          <w:rFonts w:ascii="Arial" w:cs="Arial" w:eastAsia="Arial" w:hAnsi="Arial"/>
          <w:sz w:val="18"/>
          <w:szCs w:val="18"/>
          <w:color w:val="auto"/>
        </w:rPr>
      </w:pPr>
    </w:p>
    <w:p>
      <w:pPr>
        <w:ind w:left="640" w:right="120" w:hanging="436"/>
        <w:spacing w:after="0" w:line="259" w:lineRule="auto"/>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an amount equal to Executive’s Base Salary (as then in effect), of which one-half shall be paid in a lump sum within ten (10) days after such termination and one-half shall be paid during the one (1) year period beginning on the date of Executive’s termination and shall be paid at the same time and in the same manner as Base Salary would have been paid if Executive had remained in active employment until the end of such period.</w:t>
      </w:r>
    </w:p>
    <w:p>
      <w:pPr>
        <w:spacing w:after="0" w:line="92" w:lineRule="exact"/>
        <w:rPr>
          <w:rFonts w:ascii="Arial" w:cs="Arial" w:eastAsia="Arial" w:hAnsi="Arial"/>
          <w:sz w:val="18"/>
          <w:szCs w:val="18"/>
          <w:color w:val="auto"/>
        </w:rPr>
      </w:pPr>
    </w:p>
    <w:p>
      <w:pPr>
        <w:ind w:left="640" w:hanging="436"/>
        <w:spacing w:after="0" w:line="270"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one year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4" w:name="page15"/>
    <w:bookmarkEnd w:id="14"/>
    <w:p>
      <w:pPr>
        <w:ind w:left="-20" w:right="40" w:firstLine="233"/>
        <w:spacing w:after="0" w:line="266" w:lineRule="auto"/>
        <w:tabs>
          <w:tab w:leader="none" w:pos="43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72" w:lineRule="exact"/>
        <w:rPr>
          <w:rFonts w:ascii="Arial" w:cs="Arial" w:eastAsia="Arial" w:hAnsi="Arial"/>
          <w:sz w:val="18"/>
          <w:szCs w:val="18"/>
          <w:b w:val="1"/>
          <w:bCs w:val="1"/>
          <w:color w:val="auto"/>
        </w:rPr>
      </w:pPr>
    </w:p>
    <w:p>
      <w:pPr>
        <w:ind w:left="640" w:hanging="436"/>
        <w:spacing w:after="0" w:line="277"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75" w:lineRule="exact"/>
        <w:rPr>
          <w:rFonts w:ascii="Arial" w:cs="Arial" w:eastAsia="Arial" w:hAnsi="Arial"/>
          <w:sz w:val="18"/>
          <w:szCs w:val="18"/>
          <w:color w:val="auto"/>
        </w:rPr>
      </w:pPr>
    </w:p>
    <w:p>
      <w:pPr>
        <w:ind w:left="640" w:right="200" w:hanging="436"/>
        <w:spacing w:after="0" w:line="277"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will refund to the Company any amounts, plus interest, previously paid by Company to Executive pursuant to Subsections 6(e)(iii), 6(e) (iv) or 6(e)(v).</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117" w:lineRule="exact"/>
        <w:rPr>
          <w:sz w:val="20"/>
          <w:szCs w:val="20"/>
          <w:color w:val="auto"/>
        </w:rPr>
      </w:pPr>
    </w:p>
    <w:p>
      <w:pPr>
        <w:ind w:left="-20" w:right="20" w:firstLine="233"/>
        <w:spacing w:after="0" w:line="258" w:lineRule="auto"/>
        <w:tabs>
          <w:tab w:leader="none" w:pos="46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Terminations During a Change in Control Period. </w:t>
      </w:r>
      <w:r>
        <w:rPr>
          <w:rFonts w:ascii="Arial" w:cs="Arial" w:eastAsia="Arial" w:hAnsi="Arial"/>
          <w:sz w:val="18"/>
          <w:szCs w:val="18"/>
          <w:color w:val="auto"/>
        </w:rPr>
        <w:t>In the event a Change in Control occurs and (x) Executive terminates her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Good Reason during a Change in Control Period , or (y) the Company terminates Executive’s employment without Cause (and for reason other than Death of Total Disability) during a Change in Control Period, subject to Executive’s execution of the Release (as defined in this Section 7), the Company shall provide to Executive the payments and benefits provided for in Section 6(e), except that the amount of severance calculated pursuant to Section 6(e)(iii) shall be paid in a lump-sum.</w:t>
      </w:r>
    </w:p>
    <w:p>
      <w:pPr>
        <w:spacing w:after="0" w:line="75" w:lineRule="exact"/>
        <w:rPr>
          <w:rFonts w:ascii="Arial" w:cs="Arial" w:eastAsia="Arial" w:hAnsi="Arial"/>
          <w:sz w:val="18"/>
          <w:szCs w:val="18"/>
          <w:b w:val="1"/>
          <w:bCs w:val="1"/>
          <w:color w:val="auto"/>
        </w:rPr>
      </w:pPr>
    </w:p>
    <w:p>
      <w:pPr>
        <w:ind w:left="480" w:hanging="267"/>
        <w:spacing w:after="0"/>
        <w:tabs>
          <w:tab w:leader="none" w:pos="48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Certain Additional Payments by the Company.</w:t>
      </w:r>
    </w:p>
    <w:p>
      <w:pPr>
        <w:spacing w:after="0" w:line="121" w:lineRule="exact"/>
        <w:rPr>
          <w:rFonts w:ascii="Arial" w:cs="Arial" w:eastAsia="Arial" w:hAnsi="Arial"/>
          <w:sz w:val="18"/>
          <w:szCs w:val="18"/>
          <w:b w:val="1"/>
          <w:bCs w:val="1"/>
          <w:color w:val="auto"/>
        </w:rPr>
      </w:pPr>
    </w:p>
    <w:p>
      <w:pPr>
        <w:ind w:left="640" w:right="60" w:hanging="436"/>
        <w:spacing w:after="0" w:line="289" w:lineRule="auto"/>
        <w:tabs>
          <w:tab w:leader="none" w:pos="6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72" w:lineRule="exact"/>
        <w:rPr>
          <w:rFonts w:ascii="Arial" w:cs="Arial" w:eastAsia="Arial" w:hAnsi="Arial"/>
          <w:sz w:val="16"/>
          <w:szCs w:val="16"/>
          <w:color w:val="auto"/>
        </w:rPr>
      </w:pPr>
    </w:p>
    <w:p>
      <w:pPr>
        <w:ind w:left="640" w:right="200" w:hanging="436"/>
        <w:spacing w:after="0" w:line="277"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determining whether any of the Company Payments and Gross-up Payments (collectively the “Total Payments”) will be subject to the Excise Tax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040" w:right="239" w:bottom="1440" w:gutter="0" w:footer="0" w:header="0"/>
        </w:sectPr>
      </w:pPr>
    </w:p>
    <w:bookmarkStart w:id="15" w:name="page16"/>
    <w:bookmarkEnd w:id="15"/>
    <w:p>
      <w:pPr>
        <w:ind w:left="440"/>
        <w:spacing w:after="0" w:line="254" w:lineRule="auto"/>
        <w:rPr>
          <w:sz w:val="20"/>
          <w:szCs w:val="20"/>
          <w:color w:val="auto"/>
        </w:rPr>
      </w:pPr>
      <w:r>
        <w:rPr>
          <w:rFonts w:ascii="Arial" w:cs="Arial" w:eastAsia="Arial" w:hAnsi="Arial"/>
          <w:sz w:val="18"/>
          <w:szCs w:val="18"/>
          <w:color w:val="auto"/>
        </w:rPr>
        <w:t>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98" w:lineRule="exact"/>
        <w:rPr>
          <w:sz w:val="20"/>
          <w:szCs w:val="20"/>
          <w:color w:val="auto"/>
        </w:rPr>
      </w:pPr>
    </w:p>
    <w:p>
      <w:pPr>
        <w:ind w:left="440" w:hanging="436"/>
        <w:spacing w:after="0" w:line="268"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88" w:lineRule="exact"/>
        <w:rPr>
          <w:rFonts w:ascii="Arial" w:cs="Arial" w:eastAsia="Arial" w:hAnsi="Arial"/>
          <w:sz w:val="17"/>
          <w:szCs w:val="17"/>
          <w:color w:val="auto"/>
        </w:rPr>
      </w:pPr>
    </w:p>
    <w:p>
      <w:pPr>
        <w:ind w:left="440" w:right="80"/>
        <w:spacing w:after="0" w:line="286" w:lineRule="auto"/>
        <w:rPr>
          <w:rFonts w:ascii="Arial" w:cs="Arial" w:eastAsia="Arial" w:hAnsi="Arial"/>
          <w:sz w:val="17"/>
          <w:szCs w:val="17"/>
          <w:color w:val="auto"/>
        </w:rPr>
      </w:pPr>
      <w:r>
        <w:rPr>
          <w:rFonts w:ascii="Arial" w:cs="Arial" w:eastAsia="Arial" w:hAnsi="Arial"/>
          <w:sz w:val="17"/>
          <w:szCs w:val="17"/>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7"/>
          <w:szCs w:val="17"/>
          <w:color w:val="auto"/>
        </w:rPr>
        <w:t>such excess (plus any interest or penalties payable with respect to such excess) at the time that the amount of such excess is finally determined.</w:t>
      </w:r>
    </w:p>
    <w:p>
      <w:pPr>
        <w:spacing w:after="0" w:line="142" w:lineRule="exact"/>
        <w:rPr>
          <w:sz w:val="20"/>
          <w:szCs w:val="20"/>
          <w:color w:val="auto"/>
        </w:rPr>
      </w:pPr>
    </w:p>
    <w:p>
      <w:pPr>
        <w:ind w:left="440" w:hanging="436"/>
        <w:spacing w:after="0" w:line="284"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 of the Code).</w:t>
      </w:r>
    </w:p>
    <w:p>
      <w:pPr>
        <w:spacing w:after="0" w:line="116" w:lineRule="exact"/>
        <w:rPr>
          <w:rFonts w:ascii="Arial" w:cs="Arial" w:eastAsia="Arial" w:hAnsi="Arial"/>
          <w:sz w:val="16"/>
          <w:szCs w:val="16"/>
          <w:color w:val="auto"/>
        </w:rPr>
      </w:pPr>
    </w:p>
    <w:p>
      <w:pPr>
        <w:ind w:left="440" w:hanging="436"/>
        <w:spacing w:after="0" w:line="272"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83" w:lineRule="exact"/>
        <w:rPr>
          <w:rFonts w:ascii="Arial" w:cs="Arial" w:eastAsia="Arial" w:hAnsi="Arial"/>
          <w:sz w:val="17"/>
          <w:szCs w:val="17"/>
          <w:color w:val="auto"/>
        </w:rPr>
      </w:pPr>
    </w:p>
    <w:p>
      <w:pPr>
        <w:ind w:left="440" w:hanging="436"/>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w:t>
      </w:r>
    </w:p>
    <w:p>
      <w:pPr>
        <w:spacing w:after="0" w:line="130" w:lineRule="exact"/>
        <w:rPr>
          <w:rFonts w:ascii="Arial" w:cs="Arial" w:eastAsia="Arial" w:hAnsi="Arial"/>
          <w:sz w:val="18"/>
          <w:szCs w:val="18"/>
          <w:color w:val="auto"/>
        </w:rPr>
      </w:pPr>
    </w:p>
    <w:p>
      <w:pPr>
        <w:ind w:left="440" w:right="780" w:hanging="436"/>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58" w:lineRule="exact"/>
        <w:rPr>
          <w:rFonts w:ascii="Arial" w:cs="Arial" w:eastAsia="Arial" w:hAnsi="Arial"/>
          <w:sz w:val="18"/>
          <w:szCs w:val="18"/>
          <w:color w:val="auto"/>
        </w:rPr>
      </w:pPr>
    </w:p>
    <w:p>
      <w:pPr>
        <w:ind w:left="280" w:hanging="267"/>
        <w:spacing w:after="0"/>
        <w:tabs>
          <w:tab w:leader="none" w:pos="28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440" w:right="520" w:hanging="436"/>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62" w:lineRule="exact"/>
        <w:rPr>
          <w:rFonts w:ascii="Arial" w:cs="Arial" w:eastAsia="Arial" w:hAnsi="Arial"/>
          <w:sz w:val="18"/>
          <w:szCs w:val="18"/>
          <w:color w:val="auto"/>
        </w:rPr>
      </w:pPr>
    </w:p>
    <w:p>
      <w:pPr>
        <w:ind w:left="580" w:right="120" w:firstLine="7"/>
        <w:spacing w:after="0" w:line="277" w:lineRule="auto"/>
        <w:tabs>
          <w:tab w:leader="none" w:pos="8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17" w:name="page18"/>
    <w:bookmarkEnd w:id="17"/>
    <w:p>
      <w:pPr>
        <w:ind w:left="580" w:firstLine="7"/>
        <w:spacing w:after="0" w:line="273" w:lineRule="auto"/>
        <w:tabs>
          <w:tab w:leader="none" w:pos="835"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70" w:lineRule="exact"/>
        <w:rPr>
          <w:rFonts w:ascii="Arial" w:cs="Arial" w:eastAsia="Arial" w:hAnsi="Arial"/>
          <w:sz w:val="17"/>
          <w:szCs w:val="17"/>
          <w:color w:val="auto"/>
        </w:rPr>
      </w:pPr>
    </w:p>
    <w:p>
      <w:pPr>
        <w:ind w:left="580" w:right="260" w:firstLine="7"/>
        <w:spacing w:after="0" w:line="286" w:lineRule="auto"/>
        <w:tabs>
          <w:tab w:leader="none" w:pos="825"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w:t>
      </w:r>
    </w:p>
    <w:p>
      <w:pPr>
        <w:spacing w:after="0" w:line="1" w:lineRule="exact"/>
        <w:rPr>
          <w:rFonts w:ascii="Arial" w:cs="Arial" w:eastAsia="Arial" w:hAnsi="Arial"/>
          <w:sz w:val="16"/>
          <w:szCs w:val="16"/>
          <w:color w:val="auto"/>
        </w:rPr>
      </w:pPr>
    </w:p>
    <w:p>
      <w:pPr>
        <w:ind w:left="580" w:right="420"/>
        <w:spacing w:after="0" w:line="323" w:lineRule="auto"/>
        <w:rPr>
          <w:rFonts w:ascii="Arial" w:cs="Arial" w:eastAsia="Arial" w:hAnsi="Arial"/>
          <w:sz w:val="16"/>
          <w:szCs w:val="16"/>
          <w:color w:val="auto"/>
        </w:rPr>
      </w:pPr>
      <w:r>
        <w:rPr>
          <w:rFonts w:ascii="Arial" w:cs="Arial" w:eastAsia="Arial" w:hAnsi="Arial"/>
          <w:sz w:val="16"/>
          <w:szCs w:val="16"/>
          <w:color w:val="auto"/>
        </w:rPr>
        <w:t>(2)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30" w:lineRule="exact"/>
        <w:rPr>
          <w:rFonts w:ascii="Arial" w:cs="Arial" w:eastAsia="Arial" w:hAnsi="Arial"/>
          <w:sz w:val="16"/>
          <w:szCs w:val="16"/>
          <w:color w:val="auto"/>
        </w:rPr>
      </w:pPr>
    </w:p>
    <w:p>
      <w:pPr>
        <w:ind w:left="580" w:right="40" w:firstLine="7"/>
        <w:spacing w:after="0" w:line="257" w:lineRule="auto"/>
        <w:tabs>
          <w:tab w:leader="none" w:pos="8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80" w:lineRule="exact"/>
        <w:rPr>
          <w:rFonts w:ascii="Arial" w:cs="Arial" w:eastAsia="Arial" w:hAnsi="Arial"/>
          <w:sz w:val="18"/>
          <w:szCs w:val="18"/>
          <w:color w:val="auto"/>
        </w:rPr>
      </w:pPr>
    </w:p>
    <w:p>
      <w:pPr>
        <w:ind w:left="440" w:hanging="43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130" w:lineRule="exact"/>
        <w:rPr>
          <w:rFonts w:ascii="Arial" w:cs="Arial" w:eastAsia="Arial" w:hAnsi="Arial"/>
          <w:sz w:val="18"/>
          <w:szCs w:val="18"/>
          <w:color w:val="auto"/>
        </w:rPr>
      </w:pPr>
    </w:p>
    <w:p>
      <w:pPr>
        <w:ind w:left="440" w:right="160" w:hanging="436"/>
        <w:spacing w:after="0" w:line="342"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29" w:lineRule="exact"/>
        <w:rPr>
          <w:rFonts w:ascii="Arial" w:cs="Arial" w:eastAsia="Arial" w:hAnsi="Arial"/>
          <w:sz w:val="16"/>
          <w:szCs w:val="16"/>
          <w:color w:val="auto"/>
        </w:rPr>
      </w:pPr>
    </w:p>
    <w:p>
      <w:pPr>
        <w:ind w:left="440" w:hanging="43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30" w:lineRule="exact"/>
        <w:rPr>
          <w:rFonts w:ascii="Arial" w:cs="Arial" w:eastAsia="Arial" w:hAnsi="Arial"/>
          <w:sz w:val="18"/>
          <w:szCs w:val="18"/>
          <w:color w:val="auto"/>
        </w:rPr>
      </w:pPr>
    </w:p>
    <w:p>
      <w:pPr>
        <w:ind w:left="440" w:right="180" w:hanging="436"/>
        <w:spacing w:after="0" w:line="277"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the Company, (2) a trustee or</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18" w:name="page19"/>
    <w:bookmarkEnd w:id="18"/>
    <w:p>
      <w:pPr>
        <w:jc w:val="both"/>
        <w:ind w:left="600" w:right="40"/>
        <w:spacing w:after="0" w:line="286" w:lineRule="auto"/>
        <w:rPr>
          <w:sz w:val="20"/>
          <w:szCs w:val="20"/>
          <w:color w:val="auto"/>
        </w:rPr>
      </w:pPr>
      <w:r>
        <w:rPr>
          <w:rFonts w:ascii="Arial" w:cs="Arial" w:eastAsia="Arial" w:hAnsi="Arial"/>
          <w:sz w:val="17"/>
          <w:szCs w:val="17"/>
          <w:color w:val="auto"/>
        </w:rPr>
        <w:t>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71" w:lineRule="exact"/>
        <w:rPr>
          <w:sz w:val="20"/>
          <w:szCs w:val="20"/>
          <w:color w:val="auto"/>
        </w:rPr>
      </w:pPr>
    </w:p>
    <w:p>
      <w:pPr>
        <w:ind w:left="600" w:right="180" w:hanging="436"/>
        <w:spacing w:after="0" w:line="276"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termination of employment pursuant to Section 5(e) and Section 6(e), wherein if she agrees to such, she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60" w:lineRule="exact"/>
        <w:rPr>
          <w:sz w:val="20"/>
          <w:szCs w:val="20"/>
          <w:color w:val="auto"/>
        </w:rPr>
      </w:pPr>
    </w:p>
    <w:p>
      <w:pPr>
        <w:jc w:val="both"/>
        <w:ind w:left="-60" w:right="40" w:firstLine="233"/>
        <w:spacing w:after="0" w:line="314" w:lineRule="auto"/>
        <w:tabs>
          <w:tab w:leader="none" w:pos="345"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34" w:lineRule="exact"/>
        <w:rPr>
          <w:rFonts w:ascii="Arial" w:cs="Arial" w:eastAsia="Arial" w:hAnsi="Arial"/>
          <w:sz w:val="16"/>
          <w:szCs w:val="16"/>
          <w:b w:val="1"/>
          <w:bCs w:val="1"/>
          <w:color w:val="auto"/>
        </w:rPr>
      </w:pPr>
    </w:p>
    <w:p>
      <w:pPr>
        <w:ind w:left="-60" w:firstLine="233"/>
        <w:spacing w:after="0" w:line="258" w:lineRule="auto"/>
        <w:tabs>
          <w:tab w:leader="none" w:pos="34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83" w:lineRule="exact"/>
        <w:rPr>
          <w:rFonts w:ascii="Arial" w:cs="Arial" w:eastAsia="Arial" w:hAnsi="Arial"/>
          <w:sz w:val="18"/>
          <w:szCs w:val="18"/>
          <w:b w:val="1"/>
          <w:bCs w:val="1"/>
          <w:color w:val="auto"/>
        </w:rPr>
      </w:pPr>
    </w:p>
    <w:p>
      <w:pPr>
        <w:ind w:left="440" w:hanging="267"/>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60" w:right="100" w:firstLine="233"/>
        <w:spacing w:after="0" w:line="255" w:lineRule="auto"/>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r>
        <w:rPr>
          <w:rFonts w:ascii="Arial" w:cs="Arial" w:eastAsia="Arial" w:hAnsi="Arial"/>
          <w:sz w:val="18"/>
          <w:szCs w:val="18"/>
          <w:color w:val="auto"/>
        </w:rPr>
        <w:t>. 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9" w:name="page20"/>
    <w:bookmarkEnd w:id="19"/>
    <w:p>
      <w:pPr>
        <w:ind w:right="140" w:firstLine="233"/>
        <w:spacing w:after="0" w:line="347" w:lineRule="auto"/>
        <w:tabs>
          <w:tab w:leader="none" w:pos="49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provided and will continue to provide Executive with access to “Confidential Information” relating to the business of the Company and its affiliates.</w:t>
      </w:r>
    </w:p>
    <w:p>
      <w:pPr>
        <w:spacing w:after="0" w:line="1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6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Executive has and will continue to have access to, or knowledge of, Confidential Information of third parties, such as actual and potential customers, suppliers, partners, joint venturers, investors, financing sources, and the like, of the Company and its affiliates.</w:t>
      </w:r>
    </w:p>
    <w:p>
      <w:pPr>
        <w:spacing w:after="0" w:line="62"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0" w:name="page21"/>
    <w:bookmarkEnd w:id="20"/>
    <w:p>
      <w:pPr>
        <w:ind w:right="20" w:firstLine="225"/>
        <w:spacing w:after="0" w:line="259" w:lineRule="auto"/>
        <w:rPr>
          <w:sz w:val="20"/>
          <w:szCs w:val="20"/>
          <w:color w:val="auto"/>
        </w:rPr>
      </w:pPr>
      <w:r>
        <w:rPr>
          <w:rFonts w:ascii="Arial" w:cs="Arial" w:eastAsia="Arial" w:hAnsi="Arial"/>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her employment responsibilities hereunder. Executive also agrees to preserve and protect the confidentiality of third party Confidential Information to the same extent, and on the same basis, as the Company’s Confidential Information.</w:t>
      </w:r>
    </w:p>
    <w:p>
      <w:pPr>
        <w:spacing w:after="0" w:line="75" w:lineRule="exact"/>
        <w:rPr>
          <w:sz w:val="20"/>
          <w:szCs w:val="20"/>
          <w:color w:val="auto"/>
        </w:rPr>
      </w:pPr>
    </w:p>
    <w:p>
      <w:pPr>
        <w:ind w:right="40" w:firstLine="233"/>
        <w:spacing w:after="0" w:line="272" w:lineRule="auto"/>
        <w:tabs>
          <w:tab w:leader="none" w:pos="47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Unfair Competition Restrictions</w:t>
      </w:r>
      <w:r>
        <w:rPr>
          <w:rFonts w:ascii="Arial" w:cs="Arial" w:eastAsia="Arial" w:hAnsi="Arial"/>
          <w:sz w:val="17"/>
          <w:szCs w:val="17"/>
          <w:color w:val="auto"/>
        </w:rPr>
        <w:t>. The Company agrees to and shall provide Executive with immediate access to Confidential Information. Ancillary</w:t>
      </w:r>
      <w:r>
        <w:rPr>
          <w:rFonts w:ascii="Arial" w:cs="Arial" w:eastAsia="Arial" w:hAnsi="Arial"/>
          <w:sz w:val="17"/>
          <w:szCs w:val="17"/>
          <w:b w:val="1"/>
          <w:bCs w:val="1"/>
          <w:color w:val="auto"/>
        </w:rPr>
        <w:t xml:space="preserve"> </w:t>
      </w:r>
      <w:r>
        <w:rPr>
          <w:rFonts w:ascii="Arial" w:cs="Arial" w:eastAsia="Arial" w:hAnsi="Arial"/>
          <w:sz w:val="17"/>
          <w:szCs w:val="17"/>
          <w:color w:val="auto"/>
        </w:rPr>
        <w:t>to the rights provided to Executive following employment termination, the Company’s provision of Confidential Information, specialized training, and/or goodwill support to Executive, and Executive’s agreements, regarding the use of same, and in order to protect the value of any equity based incentive awards (including, without limitation, stock options, restricted stock, restricted share units or performance share units),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68" w:lineRule="exact"/>
        <w:rPr>
          <w:sz w:val="20"/>
          <w:szCs w:val="20"/>
          <w:color w:val="auto"/>
        </w:rPr>
      </w:pPr>
    </w:p>
    <w:p>
      <w:pPr>
        <w:ind w:left="580" w:right="580"/>
        <w:spacing w:after="0" w:line="255" w:lineRule="auto"/>
        <w:rPr>
          <w:sz w:val="20"/>
          <w:szCs w:val="20"/>
          <w:color w:val="auto"/>
        </w:rPr>
      </w:pPr>
      <w:r>
        <w:rPr>
          <w:rFonts w:ascii="Arial" w:cs="Arial" w:eastAsia="Arial" w:hAnsi="Arial"/>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her ability to engage in certain businesses during the Restricted Term, but acknowledges that these restrictions are necessary to protect the Confidential Information the Company has provided to Executive.</w:t>
      </w:r>
    </w:p>
    <w:p>
      <w:pPr>
        <w:spacing w:after="0" w:line="79"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jc w:val="both"/>
        <w:ind w:right="120"/>
        <w:spacing w:after="0" w:line="259" w:lineRule="auto"/>
        <w:rPr>
          <w:sz w:val="20"/>
          <w:szCs w:val="20"/>
          <w:color w:val="auto"/>
        </w:rPr>
      </w:pPr>
      <w:r>
        <w:rPr>
          <w:rFonts w:ascii="Arial" w:cs="Arial" w:eastAsia="Arial" w:hAnsi="Arial"/>
          <w:sz w:val="18"/>
          <w:szCs w:val="18"/>
          <w:color w:val="auto"/>
        </w:rPr>
        <w:t>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75" w:lineRule="exact"/>
        <w:rPr>
          <w:sz w:val="20"/>
          <w:szCs w:val="20"/>
          <w:color w:val="auto"/>
        </w:rPr>
      </w:pPr>
    </w:p>
    <w:p>
      <w:pPr>
        <w:jc w:val="both"/>
        <w:ind w:right="260" w:firstLine="233"/>
        <w:spacing w:after="0" w:line="261" w:lineRule="auto"/>
        <w:tabs>
          <w:tab w:leader="none" w:pos="49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a period of two (2) years following the termination of employment for any reason, Executive will not call 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71" w:lineRule="exact"/>
        <w:rPr>
          <w:rFonts w:ascii="Arial" w:cs="Arial" w:eastAsia="Arial" w:hAnsi="Arial"/>
          <w:sz w:val="18"/>
          <w:szCs w:val="18"/>
          <w:b w:val="1"/>
          <w:bCs w:val="1"/>
          <w:color w:val="auto"/>
        </w:rPr>
      </w:pPr>
    </w:p>
    <w:p>
      <w:pPr>
        <w:ind w:right="120" w:firstLine="233"/>
        <w:spacing w:after="0" w:line="261" w:lineRule="auto"/>
        <w:tabs>
          <w:tab w:leader="none" w:pos="47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her employment, and will not assist any other person or entity in such a solicitation.</w:t>
      </w:r>
    </w:p>
    <w:p>
      <w:pPr>
        <w:spacing w:after="0" w:line="71" w:lineRule="exact"/>
        <w:rPr>
          <w:rFonts w:ascii="Arial" w:cs="Arial" w:eastAsia="Arial" w:hAnsi="Arial"/>
          <w:sz w:val="18"/>
          <w:szCs w:val="18"/>
          <w:b w:val="1"/>
          <w:bCs w:val="1"/>
          <w:color w:val="auto"/>
        </w:rPr>
      </w:pPr>
    </w:p>
    <w:p>
      <w:pPr>
        <w:ind w:right="20" w:firstLine="233"/>
        <w:spacing w:after="0" w:line="261" w:lineRule="auto"/>
        <w:tabs>
          <w:tab w:leader="none" w:pos="45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Enforcement of Covenants.</w:t>
      </w:r>
    </w:p>
    <w:p>
      <w:pPr>
        <w:spacing w:after="0" w:line="117" w:lineRule="exact"/>
        <w:rPr>
          <w:sz w:val="20"/>
          <w:szCs w:val="20"/>
          <w:color w:val="auto"/>
        </w:rPr>
      </w:pPr>
    </w:p>
    <w:p>
      <w:pPr>
        <w:ind w:firstLine="233"/>
        <w:spacing w:after="0" w:line="289" w:lineRule="auto"/>
        <w:tabs>
          <w:tab w:leader="none" w:pos="477"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and Forfeiture of Compensation. </w:t>
      </w:r>
      <w:r>
        <w:rPr>
          <w:rFonts w:ascii="Arial" w:cs="Arial" w:eastAsia="Arial" w:hAnsi="Arial"/>
          <w:sz w:val="17"/>
          <w:szCs w:val="17"/>
          <w:color w:val="auto"/>
        </w:rPr>
        <w:t>Executive agrees that any breach by Executive of any of the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50" w:lineRule="exact"/>
        <w:rPr>
          <w:rFonts w:ascii="Arial" w:cs="Arial" w:eastAsia="Arial" w:hAnsi="Arial"/>
          <w:sz w:val="17"/>
          <w:szCs w:val="17"/>
          <w:b w:val="1"/>
          <w:bCs w:val="1"/>
          <w:color w:val="auto"/>
        </w:rPr>
      </w:pPr>
    </w:p>
    <w:p>
      <w:pPr>
        <w:ind w:left="500" w:hanging="267"/>
        <w:spacing w:after="0"/>
        <w:tabs>
          <w:tab w:leader="none" w:pos="500"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the covenants set forth in Section 10 hereof will cause irreparable damage to the</w:t>
      </w:r>
    </w:p>
    <w:p>
      <w:pPr>
        <w:spacing w:after="0" w:line="38" w:lineRule="exact"/>
        <w:rPr>
          <w:rFonts w:ascii="Arial" w:cs="Arial" w:eastAsia="Arial" w:hAnsi="Arial"/>
          <w:sz w:val="17"/>
          <w:szCs w:val="17"/>
          <w:b w:val="1"/>
          <w:bCs w:val="1"/>
          <w:color w:val="auto"/>
        </w:rPr>
      </w:pPr>
    </w:p>
    <w:p>
      <w:pPr>
        <w:ind w:right="4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right="80" w:firstLine="8"/>
        <w:spacing w:after="0" w:line="261" w:lineRule="auto"/>
        <w:tabs>
          <w:tab w:leader="none" w:pos="2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2" w:name="page23"/>
    <w:bookmarkEnd w:id="22"/>
    <w:p>
      <w:pPr>
        <w:ind w:firstLine="233"/>
        <w:spacing w:after="0" w:line="290" w:lineRule="auto"/>
        <w:tabs>
          <w:tab w:leader="none" w:pos="47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10 hereof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21"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Arbitration.</w:t>
      </w:r>
    </w:p>
    <w:p>
      <w:pPr>
        <w:spacing w:after="0" w:line="121"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State of Texas. The award shall be enforceable through a court of law upon motion of either party.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Disputes and Payment of Attorney’s Fees.</w:t>
      </w:r>
    </w:p>
    <w:p>
      <w:pPr>
        <w:spacing w:after="0" w:line="121"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Requirement of Timely Payments.</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Withholding of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17. Source of Payments.</w:t>
      </w:r>
    </w:p>
    <w:p>
      <w:pPr>
        <w:spacing w:after="0" w:line="121"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b w:val="1"/>
          <w:bCs w:val="1"/>
          <w:color w:val="auto"/>
        </w:rPr>
        <w:t>18. Assignment.</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her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Entire Agreement; Amendment.</w:t>
      </w:r>
    </w:p>
    <w:p>
      <w:pPr>
        <w:spacing w:after="0" w:line="12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Governing Law.</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Notices.</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00"/>
          </w:cols>
          <w:pgMar w:left="240" w:top="931" w:right="259" w:bottom="1440" w:gutter="0" w:footer="0" w:header="0"/>
        </w:sectPr>
      </w:pPr>
    </w:p>
    <w:p>
      <w:pPr>
        <w:spacing w:after="0" w:line="18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2620" w:space="680"/>
            <w:col w:w="8100"/>
          </w:cols>
          <w:pgMar w:left="240" w:top="931" w:right="259" w:bottom="1440" w:gutter="0" w:footer="0" w:header="0"/>
          <w:type w:val="continuous"/>
        </w:sectPr>
      </w:pPr>
    </w:p>
    <w:p>
      <w:pPr>
        <w:spacing w:after="0" w:line="34"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for Executive set forth below.</w:t>
      </w:r>
    </w:p>
    <w:p>
      <w:pPr>
        <w:spacing w:after="0" w:line="200" w:lineRule="exact"/>
        <w:rPr>
          <w:sz w:val="20"/>
          <w:szCs w:val="20"/>
          <w:color w:val="auto"/>
        </w:rPr>
      </w:pPr>
    </w:p>
    <w:p>
      <w:pPr>
        <w:sectPr>
          <w:pgSz w:w="11900" w:h="16838" w:orient="portrait"/>
          <w:cols w:equalWidth="0" w:num="2">
            <w:col w:w="2580" w:space="720"/>
            <w:col w:w="8100"/>
          </w:cols>
          <w:pgMar w:left="240" w:top="931" w:right="259" w:bottom="1440" w:gutter="0" w:footer="0" w:header="0"/>
          <w:type w:val="continuous"/>
        </w:sectPr>
      </w:pPr>
    </w:p>
    <w:p>
      <w:pPr>
        <w:spacing w:after="0" w:line="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Miscellaneous.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25" w:name="page26"/>
    <w:bookmarkEnd w:id="25"/>
    <w:p>
      <w:pPr>
        <w:ind w:left="-40" w:right="20" w:firstLine="233"/>
        <w:spacing w:after="0" w:line="282" w:lineRule="auto"/>
        <w:tabs>
          <w:tab w:leader="none" w:pos="437"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53" w:lineRule="exact"/>
        <w:rPr>
          <w:rFonts w:ascii="Arial" w:cs="Arial" w:eastAsia="Arial" w:hAnsi="Arial"/>
          <w:sz w:val="18"/>
          <w:szCs w:val="18"/>
          <w:b w:val="1"/>
          <w:bCs w:val="1"/>
          <w:color w:val="auto"/>
        </w:rPr>
      </w:pPr>
    </w:p>
    <w:p>
      <w:pPr>
        <w:ind w:left="-40" w:right="180" w:firstLine="233"/>
        <w:spacing w:after="0" w:line="266" w:lineRule="auto"/>
        <w:tabs>
          <w:tab w:leader="none" w:pos="45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68" w:lineRule="exact"/>
        <w:rPr>
          <w:rFonts w:ascii="Arial" w:cs="Arial" w:eastAsia="Arial" w:hAnsi="Arial"/>
          <w:sz w:val="18"/>
          <w:szCs w:val="18"/>
          <w:b w:val="1"/>
          <w:bCs w:val="1"/>
          <w:color w:val="auto"/>
        </w:rPr>
      </w:pPr>
    </w:p>
    <w:p>
      <w:pPr>
        <w:ind w:left="440" w:hanging="247"/>
        <w:spacing w:after="0"/>
        <w:tabs>
          <w:tab w:leader="none" w:pos="44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40" w:lineRule="exact"/>
        <w:rPr>
          <w:rFonts w:ascii="Arial" w:cs="Arial" w:eastAsia="Arial" w:hAnsi="Arial"/>
          <w:sz w:val="16"/>
          <w:szCs w:val="16"/>
          <w:b w:val="1"/>
          <w:bCs w:val="1"/>
          <w:color w:val="auto"/>
        </w:rPr>
      </w:pPr>
    </w:p>
    <w:p>
      <w:pPr>
        <w:ind w:left="460" w:hanging="267"/>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17" w:lineRule="exact"/>
        <w:rPr>
          <w:rFonts w:ascii="Arial" w:cs="Arial" w:eastAsia="Arial" w:hAnsi="Arial"/>
          <w:sz w:val="18"/>
          <w:szCs w:val="18"/>
          <w:b w:val="1"/>
          <w:bCs w:val="1"/>
          <w:color w:val="auto"/>
        </w:rPr>
      </w:pPr>
    </w:p>
    <w:p>
      <w:pPr>
        <w:ind w:left="-40" w:firstLine="233"/>
        <w:spacing w:after="0" w:line="282" w:lineRule="auto"/>
        <w:tabs>
          <w:tab w:leader="none" w:pos="43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26" w:name="page27"/>
    <w:bookmarkEnd w:id="26"/>
    <w:p>
      <w:pPr>
        <w:ind w:left="240"/>
        <w:spacing w:after="0"/>
        <w:rPr>
          <w:sz w:val="20"/>
          <w:szCs w:val="20"/>
          <w:color w:val="auto"/>
        </w:rPr>
      </w:pPr>
      <w:r>
        <w:rPr>
          <w:rFonts w:ascii="Arial" w:cs="Arial" w:eastAsia="Arial" w:hAnsi="Arial"/>
          <w:sz w:val="18"/>
          <w:szCs w:val="18"/>
          <w:color w:val="auto"/>
        </w:rPr>
        <w:t>IN WITNESS WHEREOF, this Agreement is executed as of the 26th day of August, 2005 and effective as set forth therein.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Cherie C. Rice</w:t>
            </w:r>
          </w:p>
        </w:tc>
        <w:tc>
          <w:tcPr>
            <w:tcW w:w="7680" w:type="dxa"/>
            <w:vAlign w:val="bottom"/>
            <w:gridSpan w:val="2"/>
          </w:tcPr>
          <w:p>
            <w:pPr>
              <w:ind w:left="2500"/>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color w:val="auto"/>
              </w:rPr>
              <w:t>Cherie C. Rice</w:t>
            </w:r>
          </w:p>
        </w:tc>
        <w:tc>
          <w:tcPr>
            <w:tcW w:w="7680" w:type="dxa"/>
            <w:vAlign w:val="bottom"/>
            <w:gridSpan w:val="2"/>
          </w:tcPr>
          <w:p>
            <w:pPr>
              <w:ind w:left="250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28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680" w:type="dxa"/>
            <w:vAlign w:val="bottom"/>
            <w:gridSpan w:val="2"/>
          </w:tcPr>
          <w:p>
            <w:pPr>
              <w:ind w:left="2500"/>
              <w:spacing w:after="0"/>
              <w:rPr>
                <w:sz w:val="20"/>
                <w:szCs w:val="20"/>
                <w:color w:val="auto"/>
              </w:rPr>
            </w:pPr>
            <w:r>
              <w:rPr>
                <w:rFonts w:ascii="Arial" w:cs="Arial" w:eastAsia="Arial" w:hAnsi="Arial"/>
                <w:sz w:val="18"/>
                <w:szCs w:val="18"/>
                <w:color w:val="auto"/>
              </w:rPr>
              <w:t>By:  /s/ Jimmy LaValley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Home Address</w:t>
            </w:r>
          </w:p>
        </w:tc>
        <w:tc>
          <w:tcPr>
            <w:tcW w:w="288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LaValley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680" w:type="dxa"/>
            <w:vAlign w:val="bottom"/>
            <w:gridSpan w:val="2"/>
          </w:tcPr>
          <w:p>
            <w:pPr>
              <w:ind w:left="2880"/>
              <w:spacing w:after="0"/>
              <w:rPr>
                <w:sz w:val="20"/>
                <w:szCs w:val="20"/>
                <w:color w:val="auto"/>
              </w:rPr>
            </w:pPr>
            <w:r>
              <w:rPr>
                <w:rFonts w:ascii="Arial" w:cs="Arial" w:eastAsia="Arial" w:hAnsi="Arial"/>
                <w:sz w:val="18"/>
                <w:szCs w:val="18"/>
                <w:color w:val="auto"/>
              </w:rPr>
              <w:t>SVP – Human Resources</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City, State, ZIP Code</w:t>
            </w:r>
          </w:p>
        </w:tc>
        <w:tc>
          <w:tcPr>
            <w:tcW w:w="28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80" w:type="dxa"/>
            <w:vAlign w:val="bottom"/>
          </w:tcPr>
          <w:p>
            <w:pPr>
              <w:jc w:val="right"/>
              <w:ind w:right="730"/>
              <w:spacing w:after="0"/>
              <w:rPr>
                <w:sz w:val="20"/>
                <w:szCs w:val="20"/>
                <w:color w:val="auto"/>
              </w:rPr>
            </w:pPr>
            <w:r>
              <w:rPr>
                <w:rFonts w:ascii="Arial" w:cs="Arial" w:eastAsia="Arial" w:hAnsi="Arial"/>
                <w:sz w:val="18"/>
                <w:szCs w:val="18"/>
                <w:color w:val="auto"/>
              </w:rPr>
              <w:t>20</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lowerLetter"/>
      <w:start w:val="1"/>
    </w:lvl>
  </w:abstractNum>
  <w:abstractNum w:abstractNumId="1">
    <w:nsid w:val="4353D0CD"/>
    <w:multiLevelType w:val="hybridMultilevel"/>
    <w:lvl w:ilvl="0">
      <w:lvlJc w:val="left"/>
      <w:lvlText w:val="(%1)"/>
      <w:numFmt w:val="lowerLetter"/>
      <w:start w:val="1"/>
    </w:lvl>
  </w:abstractNum>
  <w:abstractNum w:abstractNumId="2">
    <w:nsid w:val="B03E0C6"/>
    <w:multiLevelType w:val="hybridMultilevel"/>
    <w:lvl w:ilvl="0">
      <w:lvlJc w:val="left"/>
      <w:lvlText w:val="(%1)"/>
      <w:numFmt w:val="lowerLetter"/>
      <w:start w:val="4"/>
    </w:lvl>
    <w:lvl w:ilvl="1">
      <w:lvlJc w:val="left"/>
      <w:lvlText w:val="%2"/>
      <w:numFmt w:val="lowerLetter"/>
      <w:start w:val="1"/>
    </w:lvl>
  </w:abstractNum>
  <w:abstractNum w:abstractNumId="3">
    <w:nsid w:val="189A769B"/>
    <w:multiLevelType w:val="hybridMultilevel"/>
    <w:lvl w:ilvl="0">
      <w:lvlJc w:val="left"/>
      <w:lvlText w:val="(%1)"/>
      <w:numFmt w:val="lowerLetter"/>
      <w:start w:val="9"/>
    </w:lvl>
    <w:lvl w:ilvl="1">
      <w:lvlJc w:val="left"/>
      <w:lvlText w:val="%2"/>
      <w:numFmt w:val="lowerLetter"/>
      <w:start w:val="1"/>
    </w:lvl>
  </w:abstractNum>
  <w:abstractNum w:abstractNumId="4">
    <w:nsid w:val="54E49EB4"/>
    <w:multiLevelType w:val="hybridMultilevel"/>
    <w:lvl w:ilvl="0">
      <w:lvlJc w:val="left"/>
      <w:lvlText w:val="(%1)"/>
      <w:numFmt w:val="lowerRoman"/>
      <w:start w:val="2"/>
    </w:lvl>
  </w:abstractNum>
  <w:abstractNum w:abstractNumId="5">
    <w:nsid w:val="71F32454"/>
    <w:multiLevelType w:val="hybridMultilevel"/>
    <w:lvl w:ilvl="0">
      <w:lvlJc w:val="left"/>
      <w:lvlText w:val="(%1)"/>
      <w:numFmt w:val="lowerLetter"/>
      <w:start w:val="1"/>
    </w:lvl>
    <w:lvl w:ilvl="1">
      <w:lvlJc w:val="left"/>
      <w:lvlText w:val="%2"/>
      <w:numFmt w:val="lowerLetter"/>
      <w:start w:val="1"/>
    </w:lvl>
  </w:abstractNum>
  <w:abstractNum w:abstractNumId="6">
    <w:nsid w:val="2CA88611"/>
    <w:multiLevelType w:val="hybridMultilevel"/>
    <w:lvl w:ilvl="0">
      <w:lvlJc w:val="left"/>
      <w:lvlText w:val="(%1)"/>
      <w:numFmt w:val="lowerLetter"/>
      <w:start w:val="9"/>
    </w:lvl>
    <w:lvl w:ilvl="1">
      <w:lvlJc w:val="left"/>
      <w:lvlText w:val="%2"/>
      <w:numFmt w:val="lowerLetter"/>
      <w:start w:val="1"/>
    </w:lvl>
  </w:abstractNum>
  <w:abstractNum w:abstractNumId="7">
    <w:nsid w:val="836C40E"/>
    <w:multiLevelType w:val="hybridMultilevel"/>
    <w:lvl w:ilvl="0">
      <w:lvlJc w:val="left"/>
      <w:lvlText w:val="(%1)"/>
      <w:numFmt w:val="lowerLetter"/>
      <w:start w:val="35"/>
    </w:lvl>
    <w:lvl w:ilvl="1">
      <w:lvlJc w:val="left"/>
      <w:lvlText w:val="%2"/>
      <w:numFmt w:val="lowerLetter"/>
      <w:start w:val="1"/>
    </w:lvl>
  </w:abstractNum>
  <w:abstractNum w:abstractNumId="8">
    <w:nsid w:val="2901D82"/>
    <w:multiLevelType w:val="hybridMultilevel"/>
    <w:lvl w:ilvl="0">
      <w:lvlJc w:val="left"/>
      <w:lvlText w:val="(%1)"/>
      <w:numFmt w:val="lowerLetter"/>
      <w:start w:val="4"/>
    </w:lvl>
    <w:lvl w:ilvl="1">
      <w:lvlJc w:val="left"/>
      <w:lvlText w:val="%2"/>
      <w:numFmt w:val="lowerLetter"/>
      <w:start w:val="1"/>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1)"/>
      <w:numFmt w:val="lowerRoman"/>
      <w:start w:val="2"/>
    </w:lvl>
  </w:abstractNum>
  <w:abstractNum w:abstractNumId="11">
    <w:nsid w:val="1E7FF521"/>
    <w:multiLevelType w:val="hybridMultilevel"/>
    <w:lvl w:ilvl="0">
      <w:lvlJc w:val="left"/>
      <w:lvlText w:val="(%1)"/>
      <w:numFmt w:val="lowerLetter"/>
      <w:start w:val="5"/>
    </w:lvl>
  </w:abstractNum>
  <w:abstractNum w:abstractNumId="12">
    <w:nsid w:val="7C3DBD3D"/>
    <w:multiLevelType w:val="hybridMultilevel"/>
    <w:lvl w:ilvl="0">
      <w:lvlJc w:val="left"/>
      <w:lvlText w:val="(%1)"/>
      <w:numFmt w:val="lowerLetter"/>
      <w:start w:val="1"/>
    </w:lvl>
    <w:lvl w:ilvl="1">
      <w:lvlJc w:val="left"/>
      <w:lvlText w:val="%2"/>
      <w:numFmt w:val="lowerLetter"/>
      <w:start w:val="1"/>
    </w:lvl>
  </w:abstractNum>
  <w:abstractNum w:abstractNumId="13">
    <w:nsid w:val="737B8DDC"/>
    <w:multiLevelType w:val="hybridMultilevel"/>
    <w:lvl w:ilvl="0">
      <w:lvlJc w:val="left"/>
      <w:lvlText w:val="(%1)"/>
      <w:numFmt w:val="lowerLetter"/>
      <w:start w:val="9"/>
    </w:lvl>
    <w:lvl w:ilvl="1">
      <w:lvlJc w:val="left"/>
      <w:lvlText w:val="%2"/>
      <w:numFmt w:val="lowerLetter"/>
      <w:start w:val="1"/>
    </w:lvl>
  </w:abstractNum>
  <w:abstractNum w:abstractNumId="14">
    <w:nsid w:val="6CEAF087"/>
    <w:multiLevelType w:val="hybridMultilevel"/>
    <w:lvl w:ilvl="0">
      <w:lvlJc w:val="left"/>
      <w:lvlText w:val="(%1)"/>
      <w:numFmt w:val="lowerLetter"/>
      <w:start w:val="35"/>
    </w:lvl>
    <w:lvl w:ilvl="1">
      <w:lvlJc w:val="left"/>
      <w:lvlText w:val="%2"/>
      <w:numFmt w:val="lowerLetter"/>
      <w:start w:val="1"/>
    </w:lvl>
  </w:abstractNum>
  <w:abstractNum w:abstractNumId="15">
    <w:nsid w:val="22221A70"/>
    <w:multiLevelType w:val="hybridMultilevel"/>
    <w:lvl w:ilvl="0">
      <w:lvlJc w:val="left"/>
      <w:lvlText w:val="(%1)"/>
      <w:numFmt w:val="lowerLetter"/>
      <w:start w:val="2"/>
    </w:lvl>
    <w:lvl w:ilvl="1">
      <w:lvlJc w:val="left"/>
      <w:lvlText w:val="%2"/>
      <w:numFmt w:val="lowerLetter"/>
      <w:start w:val="1"/>
    </w:lvl>
  </w:abstractNum>
  <w:abstractNum w:abstractNumId="16">
    <w:nsid w:val="4516DDE9"/>
    <w:multiLevelType w:val="hybridMultilevel"/>
    <w:lvl w:ilvl="0">
      <w:lvlJc w:val="left"/>
      <w:lvlText w:val="(%1)"/>
      <w:numFmt w:val="lowerRoman"/>
      <w:start w:val="1"/>
    </w:lvl>
  </w:abstractNum>
  <w:abstractNum w:abstractNumId="17">
    <w:nsid w:val="3006C83E"/>
    <w:multiLevelType w:val="hybridMultilevel"/>
    <w:lvl w:ilvl="0">
      <w:lvlJc w:val="left"/>
      <w:lvlText w:val="%1"/>
      <w:numFmt w:val="lowerRoman"/>
      <w:start w:val="1"/>
    </w:lvl>
    <w:lvl w:ilvl="1">
      <w:lvlJc w:val="left"/>
      <w:lvlText w:val="(%2)"/>
      <w:numFmt w:val="lowerLetter"/>
      <w:start w:val="3"/>
    </w:lvl>
  </w:abstractNum>
  <w:abstractNum w:abstractNumId="18">
    <w:nsid w:val="614FD4A1"/>
    <w:multiLevelType w:val="hybridMultilevel"/>
    <w:lvl w:ilvl="0">
      <w:lvlJc w:val="left"/>
      <w:lvlText w:val="%1"/>
      <w:numFmt w:val="lowerRoman"/>
      <w:start w:val="1"/>
    </w:lvl>
    <w:lvl w:ilvl="1">
      <w:lvlJc w:val="left"/>
      <w:lvlText w:val="(%2)"/>
      <w:numFmt w:val="lowerLetter"/>
      <w:start w:val="9"/>
    </w:lvl>
  </w:abstractNum>
  <w:abstractNum w:abstractNumId="19">
    <w:nsid w:val="419AC241"/>
    <w:multiLevelType w:val="hybridMultilevel"/>
    <w:lvl w:ilvl="0">
      <w:lvlJc w:val="left"/>
      <w:lvlText w:val="%1"/>
      <w:numFmt w:val="lowerRoman"/>
      <w:start w:val="1"/>
    </w:lvl>
    <w:lvl w:ilvl="1">
      <w:lvlJc w:val="left"/>
      <w:lvlText w:val="(%2)"/>
      <w:numFmt w:val="lowerLetter"/>
      <w:start w:val="35"/>
    </w:lvl>
  </w:abstractNum>
  <w:abstractNum w:abstractNumId="20">
    <w:nsid w:val="5577F8E1"/>
    <w:multiLevelType w:val="hybridMultilevel"/>
    <w:lvl w:ilvl="0">
      <w:lvlJc w:val="left"/>
      <w:lvlText w:val="%1"/>
      <w:numFmt w:val="lowerRoman"/>
      <w:start w:val="1"/>
    </w:lvl>
    <w:lvl w:ilvl="1">
      <w:lvlJc w:val="left"/>
      <w:lvlText w:val="(%2)"/>
      <w:numFmt w:val="lowerLetter"/>
      <w:start w:val="4"/>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lowerRoman"/>
      <w:start w:val="2"/>
    </w:lvl>
  </w:abstractNum>
  <w:abstractNum w:abstractNumId="23">
    <w:nsid w:val="3804823E"/>
    <w:multiLevelType w:val="hybridMultilevel"/>
    <w:lvl w:ilvl="0">
      <w:lvlJc w:val="left"/>
      <w:lvlText w:val="%1"/>
      <w:numFmt w:val="lowerRoman"/>
      <w:start w:val="1"/>
    </w:lvl>
    <w:lvl w:ilvl="1">
      <w:lvlJc w:val="left"/>
      <w:lvlText w:val="(%2)"/>
      <w:numFmt w:val="lowerLetter"/>
      <w:start w:val="5"/>
    </w:lvl>
  </w:abstractNum>
  <w:abstractNum w:abstractNumId="24">
    <w:nsid w:val="77465F01"/>
    <w:multiLevelType w:val="hybridMultilevel"/>
    <w:lvl w:ilvl="0">
      <w:lvlJc w:val="left"/>
      <w:lvlText w:val="%1"/>
      <w:numFmt w:val="lowerRoman"/>
      <w:start w:val="1"/>
    </w:lvl>
    <w:lvl w:ilvl="1">
      <w:lvlJc w:val="left"/>
      <w:lvlText w:val="(%2)"/>
      <w:numFmt w:val="lowerLetter"/>
      <w:start w:val="9"/>
    </w:lvl>
  </w:abstractNum>
  <w:abstractNum w:abstractNumId="25">
    <w:nsid w:val="7724C67E"/>
    <w:multiLevelType w:val="hybridMultilevel"/>
    <w:lvl w:ilvl="0">
      <w:lvlJc w:val="left"/>
      <w:lvlText w:val="%1"/>
      <w:numFmt w:val="lowerRoman"/>
      <w:start w:val="1"/>
    </w:lvl>
    <w:lvl w:ilvl="1">
      <w:lvlJc w:val="left"/>
      <w:lvlText w:val="(%2)"/>
      <w:numFmt w:val="lowerLetter"/>
      <w:start w:val="35"/>
    </w:lvl>
  </w:abstractNum>
  <w:abstractNum w:abstractNumId="26">
    <w:nsid w:val="5C482A97"/>
    <w:multiLevelType w:val="hybridMultilevel"/>
    <w:lvl w:ilvl="0">
      <w:lvlJc w:val="left"/>
      <w:lvlText w:val="%1"/>
      <w:numFmt w:val="lowerRoman"/>
      <w:start w:val="1"/>
    </w:lvl>
    <w:lvl w:ilvl="1">
      <w:lvlJc w:val="left"/>
      <w:lvlText w:val="(%2)"/>
      <w:numFmt w:val="lowerLetter"/>
      <w:start w:val="61"/>
    </w:lvl>
  </w:abstractNum>
  <w:abstractNum w:abstractNumId="27">
    <w:nsid w:val="2463B9EA"/>
    <w:multiLevelType w:val="hybridMultilevel"/>
    <w:lvl w:ilvl="0">
      <w:lvlJc w:val="left"/>
      <w:lvlText w:val="(%1)"/>
      <w:numFmt w:val="lowerRoman"/>
      <w:start w:val="4"/>
    </w:lvl>
    <w:lvl w:ilvl="1">
      <w:lvlJc w:val="left"/>
      <w:lvlText w:val="%2"/>
      <w:numFmt w:val="lowerLetter"/>
      <w:start w:val="1"/>
    </w:lvl>
  </w:abstractNum>
  <w:abstractNum w:abstractNumId="28">
    <w:nsid w:val="5E884ADC"/>
    <w:multiLevelType w:val="hybridMultilevel"/>
    <w:lvl w:ilvl="0">
      <w:lvlJc w:val="left"/>
      <w:lvlText w:val="%1"/>
      <w:numFmt w:val="lowerRoman"/>
      <w:start w:val="1"/>
    </w:lvl>
    <w:lvl w:ilvl="1">
      <w:lvlJc w:val="left"/>
      <w:lvlText w:val="(%2)"/>
      <w:numFmt w:val="lowerLetter"/>
      <w:start w:val="6"/>
    </w:lvl>
  </w:abstractNum>
  <w:abstractNum w:abstractNumId="29">
    <w:nsid w:val="51EAD36B"/>
    <w:multiLevelType w:val="hybridMultilevel"/>
    <w:lvl w:ilvl="0">
      <w:lvlJc w:val="left"/>
      <w:lvlText w:val="%1"/>
      <w:numFmt w:val="lowerRoman"/>
      <w:start w:val="1"/>
    </w:lvl>
    <w:lvl w:ilvl="1">
      <w:lvlJc w:val="left"/>
      <w:lvlText w:val="(%2)"/>
      <w:numFmt w:val="lowerLetter"/>
      <w:start w:val="9"/>
    </w:lvl>
  </w:abstractNum>
  <w:abstractNum w:abstractNumId="30">
    <w:nsid w:val="2D517796"/>
    <w:multiLevelType w:val="hybridMultilevel"/>
    <w:lvl w:ilvl="0">
      <w:lvlJc w:val="left"/>
      <w:lvlText w:val="%1"/>
      <w:numFmt w:val="lowerRoman"/>
      <w:start w:val="1"/>
    </w:lvl>
    <w:lvl w:ilvl="1">
      <w:lvlJc w:val="left"/>
      <w:lvlText w:val="(%2)"/>
      <w:numFmt w:val="lowerLetter"/>
      <w:start w:val="35"/>
    </w:lvl>
  </w:abstractNum>
  <w:abstractNum w:abstractNumId="31">
    <w:nsid w:val="580BD78F"/>
    <w:multiLevelType w:val="hybridMultilevel"/>
    <w:lvl w:ilvl="0">
      <w:lvlJc w:val="left"/>
      <w:lvlText w:val="%1"/>
      <w:numFmt w:val="lowerRoman"/>
      <w:start w:val="1"/>
    </w:lvl>
    <w:lvl w:ilvl="1">
      <w:lvlJc w:val="left"/>
      <w:lvlText w:val="(%2)"/>
      <w:numFmt w:val="lowerLetter"/>
      <w:start w:val="1"/>
    </w:lvl>
  </w:abstractNum>
  <w:abstractNum w:abstractNumId="32">
    <w:nsid w:val="153EA438"/>
    <w:multiLevelType w:val="hybridMultilevel"/>
    <w:lvl w:ilvl="0">
      <w:lvlJc w:val="left"/>
      <w:lvlText w:val="%1"/>
      <w:numFmt w:val="lowerRoman"/>
      <w:start w:val="1"/>
    </w:lvl>
    <w:lvl w:ilvl="1">
      <w:lvlJc w:val="left"/>
      <w:lvlText w:val="(%2)"/>
      <w:numFmt w:val="lowerLetter"/>
      <w:start w:val="9"/>
    </w:lvl>
  </w:abstractNum>
  <w:abstractNum w:abstractNumId="33">
    <w:nsid w:val="3855585C"/>
    <w:multiLevelType w:val="hybridMultilevel"/>
    <w:lvl w:ilvl="0">
      <w:lvlJc w:val="left"/>
      <w:lvlText w:val="%1"/>
      <w:numFmt w:val="lowerRoman"/>
      <w:start w:val="1"/>
    </w:lvl>
    <w:lvl w:ilvl="1">
      <w:lvlJc w:val="left"/>
      <w:lvlText w:val="(%2)"/>
      <w:numFmt w:val="lowerLetter"/>
      <w:start w:val="35"/>
    </w:lvl>
  </w:abstractNum>
  <w:abstractNum w:abstractNumId="34">
    <w:nsid w:val="70A64E2A"/>
    <w:multiLevelType w:val="hybridMultilevel"/>
    <w:lvl w:ilvl="0">
      <w:lvlJc w:val="left"/>
      <w:lvlText w:val="(%1)"/>
      <w:numFmt w:val="lowerRoman"/>
      <w:start w:val="3"/>
    </w:lvl>
  </w:abstractNum>
  <w:abstractNum w:abstractNumId="35">
    <w:nsid w:val="6A2342EC"/>
    <w:multiLevelType w:val="hybridMultilevel"/>
    <w:lvl w:ilvl="0">
      <w:lvlJc w:val="left"/>
      <w:lvlText w:val="(%1)"/>
      <w:numFmt w:val="lowerRoman"/>
      <w:start w:val="4"/>
    </w:lvl>
    <w:lvl w:ilvl="1">
      <w:lvlJc w:val="left"/>
      <w:lvlText w:val="(%2)"/>
      <w:numFmt w:val="lowerLetter"/>
      <w:start w:val="2"/>
    </w:lvl>
  </w:abstractNum>
  <w:abstractNum w:abstractNumId="36">
    <w:nsid w:val="2A487CB0"/>
    <w:multiLevelType w:val="hybridMultilevel"/>
    <w:lvl w:ilvl="0">
      <w:lvlJc w:val="left"/>
      <w:lvlText w:val="(%1)"/>
      <w:numFmt w:val="lowerLetter"/>
      <w:start w:val="9"/>
    </w:lvl>
    <w:lvl w:ilvl="1">
      <w:lvlJc w:val="left"/>
      <w:lvlText w:val="(%2)"/>
      <w:numFmt w:val="lowerLetter"/>
      <w:start w:val="1"/>
    </w:lvl>
  </w:abstractNum>
  <w:abstractNum w:abstractNumId="37">
    <w:nsid w:val="1D4ED43B"/>
    <w:multiLevelType w:val="hybridMultilevel"/>
    <w:lvl w:ilvl="0">
      <w:lvlJc w:val="left"/>
      <w:lvlText w:val="%1"/>
      <w:numFmt w:val="lowerRoman"/>
      <w:start w:val="1"/>
    </w:lvl>
    <w:lvl w:ilvl="1">
      <w:lvlJc w:val="left"/>
      <w:lvlText w:val="(%2)"/>
      <w:numFmt w:val="lowerLetter"/>
      <w:start w:val="2"/>
    </w:lvl>
  </w:abstractNum>
  <w:abstractNum w:abstractNumId="38">
    <w:nsid w:val="725A06FB"/>
    <w:multiLevelType w:val="hybridMultilevel"/>
    <w:lvl w:ilvl="0">
      <w:lvlJc w:val="left"/>
      <w:lvlText w:val="(%1)"/>
      <w:numFmt w:val="lowerRoman"/>
      <w:start w:val="2"/>
    </w:lvl>
    <w:lvl w:ilvl="1">
      <w:lvlJc w:val="left"/>
      <w:lvlText w:val="%2"/>
      <w:numFmt w:val="lowerLetter"/>
      <w:start w:val="1"/>
    </w:lvl>
  </w:abstractNum>
  <w:abstractNum w:abstractNumId="39">
    <w:nsid w:val="2CD89A32"/>
    <w:multiLevelType w:val="hybridMultilevel"/>
    <w:lvl w:ilvl="0">
      <w:lvlJc w:val="left"/>
      <w:lvlText w:val="(%1)"/>
      <w:numFmt w:val="lowerRoman"/>
      <w:start w:val="6"/>
    </w:lvl>
  </w:abstractNum>
  <w:abstractNum w:abstractNumId="40">
    <w:nsid w:val="57E4CCAF"/>
    <w:multiLevelType w:val="hybridMultilevel"/>
    <w:lvl w:ilvl="0">
      <w:lvlJc w:val="left"/>
      <w:lvlText w:val="%1."/>
      <w:numFmt w:val="decimal"/>
      <w:start w:val="8"/>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3"/>
    </w:lvl>
  </w:abstractNum>
  <w:abstractNum w:abstractNumId="44">
    <w:nsid w:val="6DE91B18"/>
    <w:multiLevelType w:val="hybridMultilevel"/>
    <w:lvl w:ilvl="0">
      <w:lvlJc w:val="left"/>
      <w:lvlText w:val="(%1)"/>
      <w:numFmt w:val="lowerLetter"/>
      <w:start w:val="4"/>
    </w:lvl>
  </w:abstractNum>
  <w:abstractNum w:abstractNumId="45">
    <w:nsid w:val="38437FDB"/>
    <w:multiLevelType w:val="hybridMultilevel"/>
    <w:lvl w:ilvl="0">
      <w:lvlJc w:val="left"/>
      <w:lvlText w:val="%1"/>
      <w:numFmt w:val="upperLetter"/>
      <w:start w:val="1"/>
    </w:lvl>
    <w:lvl w:ilvl="1">
      <w:lvlJc w:val="left"/>
      <w:lvlText w:val="(%2)"/>
      <w:numFmt w:val="lowerLetter"/>
      <w:start w:val="1"/>
    </w:lvl>
  </w:abstractNum>
  <w:abstractNum w:abstractNumId="46">
    <w:nsid w:val="7644A45C"/>
    <w:multiLevelType w:val="hybridMultilevel"/>
    <w:lvl w:ilvl="0">
      <w:lvlJc w:val="left"/>
      <w:lvlText w:val="(%1)"/>
      <w:numFmt w:val="upperLetter"/>
      <w:start w:val="2"/>
    </w:lvl>
    <w:lvl w:ilvl="1">
      <w:lvlJc w:val="left"/>
      <w:lvlText w:val="%2"/>
      <w:numFmt w:val="lowerLetter"/>
      <w:start w:val="1"/>
    </w:lvl>
  </w:abstractNum>
  <w:abstractNum w:abstractNumId="47">
    <w:nsid w:val="32FFF902"/>
    <w:multiLevelType w:val="hybridMultilevel"/>
    <w:lvl w:ilvl="0">
      <w:lvlJc w:val="left"/>
      <w:lvlText w:val="(%1)"/>
      <w:numFmt w:val="lowerLetter"/>
      <w:start w:val="3"/>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2019-12-20T03:51:31Z</dcterms:created>
  <dcterms:modified xsi:type="dcterms:W3CDTF">2019-12-20T03:51:31Z</dcterms:modified>
</cp:coreProperties>
</file>