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17" w:lineRule="exact"/>
        <w:rPr>
          <w:sz w:val="24"/>
          <w:szCs w:val="24"/>
          <w:color w:val="auto"/>
        </w:rPr>
      </w:pPr>
    </w:p>
    <w:p>
      <w:pPr>
        <w:ind w:left="500" w:right="140" w:hanging="338"/>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00" w:right="120" w:hanging="338"/>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3"/>
          </w:tcPr>
          <w:p>
            <w:pPr>
              <w:jc w:val="center"/>
              <w:ind w:left="1395"/>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203"/>
        </w:trPr>
        <w:tc>
          <w:tcPr>
            <w:tcW w:w="3720" w:type="dxa"/>
            <w:vAlign w:val="bottom"/>
            <w:gridSpan w:val="3"/>
          </w:tcPr>
          <w:p>
            <w:pPr>
              <w:jc w:val="center"/>
              <w:ind w:left="1395"/>
              <w:spacing w:after="0" w:line="202"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57"/>
              <w:spacing w:after="0" w:line="202"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720" w:type="dxa"/>
            <w:vAlign w:val="bottom"/>
            <w:gridSpan w:val="3"/>
          </w:tcPr>
          <w:p>
            <w:pPr>
              <w:jc w:val="center"/>
              <w:ind w:left="1375"/>
              <w:spacing w:after="0"/>
              <w:rPr>
                <w:sz w:val="20"/>
                <w:szCs w:val="20"/>
                <w:color w:val="auto"/>
              </w:rPr>
            </w:pPr>
            <w:r>
              <w:rPr>
                <w:rFonts w:ascii="Arial" w:cs="Arial" w:eastAsia="Arial" w:hAnsi="Arial"/>
                <w:sz w:val="18"/>
                <w:szCs w:val="18"/>
                <w:i w:val="1"/>
                <w:iCs w:val="1"/>
                <w:color w:val="auto"/>
                <w:w w:val="94"/>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7040" w:type="dxa"/>
            <w:vAlign w:val="bottom"/>
            <w:gridSpan w:val="6"/>
          </w:tcPr>
          <w:p>
            <w:pPr>
              <w:jc w:val="center"/>
              <w:ind w:left="3135"/>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40" w:type="dxa"/>
            <w:vAlign w:val="bottom"/>
            <w:gridSpan w:val="6"/>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0"/>
        </w:trPr>
        <w:tc>
          <w:tcPr>
            <w:tcW w:w="3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7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73" w:lineRule="exact"/>
        <w:rPr>
          <w:sz w:val="24"/>
          <w:szCs w:val="24"/>
          <w:color w:val="auto"/>
        </w:rPr>
      </w:pPr>
    </w:p>
    <w:p>
      <w:pPr>
        <w:jc w:val="both"/>
        <w:ind w:left="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jc w:val="both"/>
        <w:ind w:lef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900" w:right="839" w:bottom="1440" w:gutter="0" w:footer="0" w:header="0"/>
        </w:sectPr>
      </w:pPr>
    </w:p>
    <w:p>
      <w:pPr>
        <w:spacing w:after="0" w:line="5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40" w:space="720"/>
            <w:col w:w="2180"/>
          </w:cols>
          <w:pgMar w:left="820" w:top="900" w:right="839" w:bottom="1440" w:gutter="0" w:footer="0" w:header="0"/>
          <w:type w:val="continuous"/>
        </w:sectPr>
      </w:pPr>
    </w:p>
    <w:p>
      <w:pPr>
        <w:ind w:lef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20"/>
        <w:spacing w:after="0" w:line="207" w:lineRule="exact"/>
        <w:tabs>
          <w:tab w:leader="none" w:pos="7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21, 2023 was 405,059,457 (excluding treasury shares of 225,223,004).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22860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900" w:right="8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r>
      <w:tr>
        <w:trPr>
          <w:trHeight w:val="142"/>
        </w:trPr>
        <w:tc>
          <w:tcPr>
            <w:tcW w:w="69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03"/>
        </w:trPr>
        <w:tc>
          <w:tcPr>
            <w:tcW w:w="6940" w:type="dxa"/>
            <w:vAlign w:val="bottom"/>
            <w:shd w:val="clear" w:color="auto" w:fill="CCEEFF"/>
          </w:tcPr>
          <w:p>
            <w:pPr>
              <w:ind w:left="306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Accounts receivable, net of allowance for doubtful accounts of $25 and $26, respectively</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2,461</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receivables, net of allowance for doubtful accounts of $5 and $7, respectively</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Parts and supplies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03"/>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196"/>
        </w:trPr>
        <w:tc>
          <w:tcPr>
            <w:tcW w:w="69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3,551</w:t>
            </w:r>
          </w:p>
        </w:tc>
      </w:tr>
      <w:tr>
        <w:trPr>
          <w:trHeight w:val="185"/>
        </w:trPr>
        <w:tc>
          <w:tcPr>
            <w:tcW w:w="69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94"/>
              </w:rPr>
              <w:t>Property and equipment, net of accumulated depreciation and depletion of $22,400 and $21,627,</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w:t>
            </w: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9,399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9,323</w:t>
            </w: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 net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Restricted funds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r>
      <w:tr>
        <w:trPr>
          <w:trHeight w:val="236"/>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31,614</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31,367</w:t>
            </w:r>
          </w:p>
        </w:tc>
      </w:tr>
      <w:tr>
        <w:trPr>
          <w:trHeight w:val="183"/>
        </w:trPr>
        <w:tc>
          <w:tcPr>
            <w:tcW w:w="6940" w:type="dxa"/>
            <w:vAlign w:val="bottom"/>
            <w:tcBorders>
              <w:top w:val="single" w:sz="8" w:color="CCEEFF"/>
            </w:tcBorders>
          </w:tcPr>
          <w:p>
            <w:pPr>
              <w:ind w:left="2300"/>
              <w:spacing w:after="0" w:line="183" w:lineRule="exact"/>
              <w:rPr>
                <w:sz w:val="20"/>
                <w:szCs w:val="20"/>
                <w:color w:val="auto"/>
              </w:rPr>
            </w:pPr>
            <w:r>
              <w:rPr>
                <w:rFonts w:ascii="Arial" w:cs="Arial" w:eastAsia="Arial" w:hAnsi="Arial"/>
                <w:sz w:val="17"/>
                <w:szCs w:val="17"/>
                <w:b w:val="1"/>
                <w:bCs w:val="1"/>
                <w:color w:val="auto"/>
              </w:rPr>
              <w:t>LIABILITIES AND EQUITY</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1,626</w:t>
            </w:r>
          </w:p>
        </w:tc>
        <w:tc>
          <w:tcPr>
            <w:tcW w:w="100" w:type="dxa"/>
            <w:vAlign w:val="bottom"/>
          </w:tcPr>
          <w:p>
            <w:pPr>
              <w:spacing w:after="0"/>
              <w:rPr>
                <w:sz w:val="17"/>
                <w:szCs w:val="17"/>
                <w:color w:val="auto"/>
              </w:rPr>
            </w:pP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1,766</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Deferred revenues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03"/>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Current portion of long-term debt</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196"/>
        </w:trPr>
        <w:tc>
          <w:tcPr>
            <w:tcW w:w="694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4,394</w:t>
            </w: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14,570</w:t>
            </w: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1,733</w:t>
            </w: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Landfill and environmental remediation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r>
      <w:tr>
        <w:trPr>
          <w:trHeight w:val="203"/>
        </w:trPr>
        <w:tc>
          <w:tcPr>
            <w:tcW w:w="69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r>
      <w:tr>
        <w:trPr>
          <w:trHeight w:val="19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24,503</w:t>
            </w:r>
          </w:p>
        </w:tc>
      </w:tr>
      <w:tr>
        <w:trPr>
          <w:trHeight w:val="196"/>
        </w:trPr>
        <w:tc>
          <w:tcPr>
            <w:tcW w:w="6940" w:type="dxa"/>
            <w:vAlign w:val="bottom"/>
          </w:tcPr>
          <w:p>
            <w:pPr>
              <w:ind w:left="20"/>
              <w:spacing w:after="0"/>
              <w:rPr>
                <w:sz w:val="20"/>
                <w:szCs w:val="20"/>
                <w:color w:val="auto"/>
              </w:rPr>
            </w:pPr>
            <w:r>
              <w:rPr>
                <w:rFonts w:ascii="Arial" w:cs="Arial" w:eastAsia="Arial" w:hAnsi="Arial"/>
                <w:sz w:val="17"/>
                <w:szCs w:val="17"/>
                <w:color w:val="auto"/>
              </w:rPr>
              <w:t>Commitments and contingencies (Note 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Waste Management, Inc. stockholders’ equity:</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Common stock, $0.01 par value; 1,500,000,000 shares authorized; 630,282,461 shares issued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3"/>
        </w:trPr>
        <w:tc>
          <w:tcPr>
            <w:tcW w:w="69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5,314</w:t>
            </w: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13,167</w:t>
            </w:r>
          </w:p>
        </w:tc>
      </w:tr>
      <w:tr>
        <w:trPr>
          <w:trHeight w:val="203"/>
        </w:trPr>
        <w:tc>
          <w:tcPr>
            <w:tcW w:w="6940" w:type="dxa"/>
            <w:vAlign w:val="bottom"/>
          </w:tcPr>
          <w:p>
            <w:pPr>
              <w:ind w:left="220"/>
              <w:spacing w:after="0"/>
              <w:rPr>
                <w:sz w:val="20"/>
                <w:szCs w:val="20"/>
                <w:color w:val="auto"/>
              </w:rPr>
            </w:pPr>
            <w:r>
              <w:rPr>
                <w:rFonts w:ascii="Arial" w:cs="Arial" w:eastAsia="Arial" w:hAnsi="Arial"/>
                <w:sz w:val="17"/>
                <w:szCs w:val="17"/>
                <w:color w:val="auto"/>
              </w:rPr>
              <w:t>Accumulated other comprehensive (loss) income</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225,407,474 and 222,396,166 shares, respectively</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(11,569)</w:t>
            </w:r>
          </w:p>
        </w:tc>
      </w:tr>
      <w:tr>
        <w:trPr>
          <w:trHeight w:val="196"/>
        </w:trPr>
        <w:tc>
          <w:tcPr>
            <w:tcW w:w="694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Total Waste Management, Inc. stockholders’ equity</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6,909</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6,849</w:t>
            </w:r>
          </w:p>
        </w:tc>
      </w:tr>
      <w:tr>
        <w:trPr>
          <w:trHeight w:val="203"/>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196"/>
        </w:trPr>
        <w:tc>
          <w:tcPr>
            <w:tcW w:w="6940" w:type="dxa"/>
            <w:vAlign w:val="bottom"/>
          </w:tcPr>
          <w:p>
            <w:pPr>
              <w:ind w:left="34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w:t>
            </w:r>
          </w:p>
        </w:tc>
      </w:tr>
      <w:tr>
        <w:trPr>
          <w:trHeight w:val="236"/>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31,367</w:t>
            </w: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1500" w:right="1760"/>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9,688</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6,045</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(Gain) loss from divestitures, asset impairments and unusual items, net</w:t>
            </w: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8,030</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1,658</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1,447</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1,101</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Waste Management, Inc.</w:t>
            </w:r>
          </w:p>
        </w:tc>
        <w:tc>
          <w:tcPr>
            <w:tcW w:w="1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97"/>
        </w:trPr>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common share</w:t>
            </w:r>
          </w:p>
        </w:tc>
        <w:tc>
          <w:tcPr>
            <w:tcW w:w="180" w:type="dxa"/>
            <w:vAlign w:val="bottom"/>
            <w:tcBorders>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60" w:type="dxa"/>
            <w:vAlign w:val="bottom"/>
            <w:gridSpan w:val="10"/>
          </w:tcPr>
          <w:p>
            <w:pPr>
              <w:jc w:val="center"/>
              <w:ind w:left="7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jc w:val="center"/>
              <w:ind w:left="3250"/>
              <w:spacing w:after="0"/>
              <w:rPr>
                <w:sz w:val="20"/>
                <w:szCs w:val="20"/>
                <w:color w:val="auto"/>
              </w:rPr>
            </w:pPr>
            <w:r>
              <w:rPr>
                <w:rFonts w:ascii="Arial" w:cs="Arial" w:eastAsia="Arial" w:hAnsi="Arial"/>
                <w:sz w:val="18"/>
                <w:szCs w:val="18"/>
                <w:b w:val="1"/>
                <w:bCs w:val="1"/>
                <w:color w:val="auto"/>
                <w:w w:val="95"/>
              </w:rPr>
              <w:t>(In Millions)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580" w:type="dxa"/>
            <w:vAlign w:val="bottom"/>
          </w:tcPr>
          <w:p>
            <w:pPr>
              <w:spacing w:after="0"/>
              <w:rPr>
                <w:sz w:val="24"/>
                <w:szCs w:val="24"/>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180" w:type="dxa"/>
            <w:vAlign w:val="bottom"/>
            <w:tcBorders>
              <w:left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1,101</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instruments, net</w:t>
            </w:r>
          </w:p>
        </w:tc>
        <w:tc>
          <w:tcPr>
            <w:tcW w:w="180" w:type="dxa"/>
            <w:vAlign w:val="bottom"/>
            <w:tcBorders>
              <w:lef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Available-for-sale securities, net</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Post-retirement benefit obligations, net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1,067</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interests</w:t>
            </w: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 attributable to Waste Management, Inc.</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8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1,066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Six Months Ended</w:t>
      </w:r>
    </w:p>
    <w:p>
      <w:pPr>
        <w:ind w:left="76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6"/>
                <w:szCs w:val="16"/>
                <w:color w:val="auto"/>
              </w:rPr>
              <w:t>Consolidated net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1,145</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1,101</w:t>
            </w: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Depreciation, depletion and amortization</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990</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bad debts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Equity-based compensation expense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 on disposal of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(Gain) loss from divestitures, asset impairments and other, net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in net losses of unconsolidated entities, net of dividends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3"/>
        </w:trPr>
        <w:tc>
          <w:tcPr>
            <w:tcW w:w="69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69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0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revenues and 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196"/>
        </w:trPr>
        <w:tc>
          <w:tcPr>
            <w:tcW w:w="69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w:t>
            </w: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196"/>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New borrowings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5,360</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repayments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Common stock repurchase program</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69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196"/>
        </w:trPr>
        <w:tc>
          <w:tcPr>
            <w:tcW w:w="6900" w:type="dxa"/>
            <w:vAlign w:val="bottom"/>
          </w:tcPr>
          <w:p>
            <w:pPr>
              <w:ind w:left="20"/>
              <w:spacing w:after="0"/>
              <w:rPr>
                <w:sz w:val="20"/>
                <w:szCs w:val="20"/>
                <w:color w:val="auto"/>
              </w:rPr>
            </w:pPr>
            <w:r>
              <w:rPr>
                <w:rFonts w:ascii="Arial" w:cs="Arial" w:eastAsia="Arial" w:hAnsi="Arial"/>
                <w:sz w:val="16"/>
                <w:szCs w:val="16"/>
                <w:color w:val="auto"/>
                <w:w w:val="96"/>
              </w:rPr>
              <w:t>Effect of exchange rate changes on cash, cash equivalents and restricted cash and cash equivalents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cash, cash equivalents and restricted cash and cash equivalents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02"/>
        </w:trPr>
        <w:tc>
          <w:tcPr>
            <w:tcW w:w="69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183"/>
        </w:trPr>
        <w:tc>
          <w:tcPr>
            <w:tcW w:w="69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Reconciliation of cash, cash equivalents and restricted cash and cash equivalents at end of period: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144</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6900" w:type="dxa"/>
            <w:vAlign w:val="bottom"/>
          </w:tcPr>
          <w:p>
            <w:pPr>
              <w:ind w:left="20"/>
              <w:spacing w:after="0"/>
              <w:rPr>
                <w:sz w:val="20"/>
                <w:szCs w:val="20"/>
                <w:color w:val="auto"/>
              </w:rPr>
            </w:pPr>
            <w:r>
              <w:rPr>
                <w:rFonts w:ascii="Arial" w:cs="Arial" w:eastAsia="Arial" w:hAnsi="Arial"/>
                <w:sz w:val="16"/>
                <w:szCs w:val="16"/>
                <w:color w:val="auto"/>
              </w:rPr>
              <w:t>Restricted cash and cash equivalents included in restricted funds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1"/>
          </w:tcPr>
          <w:p>
            <w:pPr>
              <w:jc w:val="right"/>
              <w:ind w:right="369"/>
              <w:spacing w:after="0"/>
              <w:rPr>
                <w:sz w:val="20"/>
                <w:szCs w:val="20"/>
                <w:color w:val="auto"/>
              </w:rPr>
            </w:pPr>
            <w:r>
              <w:rPr>
                <w:rFonts w:ascii="Arial" w:cs="Arial" w:eastAsia="Arial" w:hAnsi="Arial"/>
                <w:sz w:val="13"/>
                <w:szCs w:val="13"/>
                <w:b w:val="1"/>
                <w:bCs w:val="1"/>
                <w:color w:val="auto"/>
              </w:rPr>
              <w:t>Waste Management, Inc. Stockholders’ Equity</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4"/>
              </w:rPr>
              <w:t>Retained</w:t>
            </w:r>
          </w:p>
        </w:tc>
        <w:tc>
          <w:tcPr>
            <w:tcW w:w="6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Comprehensive</w:t>
            </w:r>
          </w:p>
        </w:tc>
        <w:tc>
          <w:tcPr>
            <w:tcW w:w="13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Total</w:t>
            </w:r>
          </w:p>
        </w:tc>
        <w:tc>
          <w:tcPr>
            <w:tcW w:w="560" w:type="dxa"/>
            <w:vAlign w:val="bottom"/>
          </w:tcPr>
          <w:p>
            <w:pPr>
              <w:jc w:val="right"/>
              <w:ind w:right="29"/>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5"/>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9"/>
              <w:spacing w:after="0" w:line="142" w:lineRule="exact"/>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3"/>
              </w:rPr>
              <w:t>Earnings</w:t>
            </w:r>
          </w:p>
        </w:tc>
        <w:tc>
          <w:tcPr>
            <w:tcW w:w="6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2"/>
              </w:rPr>
              <w:t>(Loss) Income</w:t>
            </w:r>
          </w:p>
        </w:tc>
        <w:tc>
          <w:tcPr>
            <w:tcW w:w="620" w:type="dxa"/>
            <w:vAlign w:val="bottom"/>
          </w:tcPr>
          <w:p>
            <w:pPr>
              <w:jc w:val="right"/>
              <w:ind w:right="49"/>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5"/>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4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46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4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2023</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$ 6,808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280" w:type="dxa"/>
            <w:vAlign w:val="bottom"/>
            <w:gridSpan w:val="2"/>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5,244</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$ 13,414</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(57)</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(223,491)</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(11,813)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r>
      <w:tr>
        <w:trPr>
          <w:trHeight w:val="148"/>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30"/>
        </w:trPr>
        <w:tc>
          <w:tcPr>
            <w:tcW w:w="24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of 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4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$0.70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00" w:type="dxa"/>
            <w:vAlign w:val="bottom"/>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4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Equity-based compensation transactions,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(2,074)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4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82"/>
        </w:trPr>
        <w:tc>
          <w:tcPr>
            <w:tcW w:w="246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June 30, 2023</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$ 6,928</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5,341</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$ 13,744</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(225,407)</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(12,150)</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1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4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2022</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$ 7,146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280" w:type="dxa"/>
            <w:vAlign w:val="bottom"/>
            <w:gridSpan w:val="2"/>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5,178</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$ 12,247</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(215,102)</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(10,302)</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587</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4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of 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4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$0.65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0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4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Equity-based compensation transactions,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(2,046)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4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4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June 30, 2022</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$ 7,192</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5,257</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$ 12,563</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(217,006)</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(10,619)</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CONDENSED CONSOLIDATED STATEMENT OF CHANGES IN EQUITY ─ (Continued)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1"/>
          </w:tcPr>
          <w:p>
            <w:pPr>
              <w:jc w:val="right"/>
              <w:ind w:right="369"/>
              <w:spacing w:after="0"/>
              <w:rPr>
                <w:sz w:val="20"/>
                <w:szCs w:val="20"/>
                <w:color w:val="auto"/>
              </w:rPr>
            </w:pPr>
            <w:r>
              <w:rPr>
                <w:rFonts w:ascii="Arial" w:cs="Arial" w:eastAsia="Arial" w:hAnsi="Arial"/>
                <w:sz w:val="13"/>
                <w:szCs w:val="13"/>
                <w:b w:val="1"/>
                <w:bCs w:val="1"/>
                <w:color w:val="auto"/>
              </w:rPr>
              <w:t>Waste Management, Inc. Stockholders’ Equity</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right"/>
              <w:ind w:right="68"/>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Comprehensive</w:t>
            </w:r>
          </w:p>
        </w:tc>
        <w:tc>
          <w:tcPr>
            <w:tcW w:w="13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580" w:type="dxa"/>
            <w:vAlign w:val="bottom"/>
            <w:tcBorders>
              <w:top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9"/>
              <w:spacing w:after="0" w:line="142" w:lineRule="exact"/>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3"/>
              </w:rPr>
              <w:t>Earnings</w:t>
            </w: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2"/>
              </w:rPr>
              <w:t>(Loss) Income</w:t>
            </w:r>
          </w:p>
        </w:tc>
        <w:tc>
          <w:tcPr>
            <w:tcW w:w="62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5"/>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56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9"/>
        </w:trPr>
        <w:tc>
          <w:tcPr>
            <w:tcW w:w="1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2022</w:t>
            </w: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$ 6,864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280" w:type="dxa"/>
            <w:vAlign w:val="bottom"/>
            <w:gridSpan w:val="2"/>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5,314</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$ 13,167</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(222,396)</w:t>
            </w:r>
          </w:p>
        </w:tc>
        <w:tc>
          <w:tcPr>
            <w:tcW w:w="7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 (11,569)</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r>
      <w:tr>
        <w:trPr>
          <w:trHeight w:val="148"/>
        </w:trPr>
        <w:tc>
          <w:tcPr>
            <w:tcW w:w="2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r>
      <w:tr>
        <w:trPr>
          <w:trHeight w:val="130"/>
        </w:trPr>
        <w:tc>
          <w:tcPr>
            <w:tcW w:w="2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Other comprehensive income (loss), net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$1.40 per</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(572)</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Equity-based compensation transactions,</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(3,936)</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82"/>
        </w:trPr>
        <w:tc>
          <w:tcPr>
            <w:tcW w:w="256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June 30, 2023</w:t>
            </w:r>
          </w:p>
        </w:tc>
        <w:tc>
          <w:tcPr>
            <w:tcW w:w="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$ 6,928</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5,341</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$ 13,744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(225,407)</w:t>
            </w:r>
          </w:p>
        </w:tc>
        <w:tc>
          <w:tcPr>
            <w:tcW w:w="6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 (12,150)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1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2021</w:t>
            </w: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$ 7,126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280" w:type="dxa"/>
            <w:vAlign w:val="bottom"/>
            <w:gridSpan w:val="2"/>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5,169</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$ 12,004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(214,159)</w:t>
            </w:r>
          </w:p>
        </w:tc>
        <w:tc>
          <w:tcPr>
            <w:tcW w:w="7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 (10,072)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1,101</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Other comprehensive income (loss), net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$1.30 per</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(544)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Equity-based compensation transactions,</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(3,852)</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(594)</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5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June 30, 2022</w:t>
            </w: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$ 7,192</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5,257</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$ 12,563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(217,006)</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 (10,619)</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121"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June 30, 2023 and for the three and six months ended June 30, 2023 and 2022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2022.</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June 30, 2023 and December 31, 2022, we had $202 million and $192 million, respectively, of deferred contract costs, of which $142 million and $137 million, respectively, was related to deferred sales incentives.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Long-term</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2023 are reflected in the table below (in millions):</w:t>
      </w:r>
    </w:p>
    <w:tbl>
      <w:tblPr>
        <w:tblLayout w:type="fixed"/>
        <w:tblInd w:w="4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Remediation</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Obligations incurred and capitalized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Obligations settled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Interest accretion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Revisions in estimates and interest rate assumptions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Acquisitions, divestitures and other adjustments</w:t>
            </w:r>
          </w:p>
        </w:tc>
        <w:tc>
          <w:tcPr>
            <w:tcW w:w="1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Derivatives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following table summarizes the major components of debt at principal amounts as of each balance sheet date (in millions) and provides the maturities and interest rate ranges of each major category as of June 30,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195"/>
        </w:trPr>
        <w:tc>
          <w:tcPr>
            <w:tcW w:w="69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Commercial paper program (weighted average interest rate of 5.4% as of June 30, 2023 and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30"/>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4.9%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02"/>
        </w:trPr>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Senior notes, maturing through 2050, interest rates ranging from 0.75% to 7.75% (weighted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940" w:type="dxa"/>
            <w:vAlign w:val="bottom"/>
            <w:gridSpan w:val="2"/>
          </w:tcPr>
          <w:p>
            <w:pPr>
              <w:ind w:left="140"/>
              <w:spacing w:after="0"/>
              <w:rPr>
                <w:sz w:val="20"/>
                <w:szCs w:val="20"/>
                <w:color w:val="auto"/>
              </w:rPr>
            </w:pPr>
            <w:r>
              <w:rPr>
                <w:rFonts w:ascii="Arial" w:cs="Arial" w:eastAsia="Arial" w:hAnsi="Arial"/>
                <w:sz w:val="18"/>
                <w:szCs w:val="18"/>
                <w:color w:val="auto"/>
                <w:w w:val="98"/>
              </w:rPr>
              <w:t>average interest rate of 3.5% as of June 30, 2023 and 3.2% as of December 31, 2022)</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8,626</w:t>
            </w:r>
          </w:p>
        </w:tc>
      </w:tr>
      <w:tr>
        <w:trPr>
          <w:trHeight w:val="202"/>
        </w:trPr>
        <w:tc>
          <w:tcPr>
            <w:tcW w:w="6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Term Loan maturing May 2024, interest rate of 5.9% as of June 30, 2023 and 5.1% as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2022</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Canadian senior notes, C$500 million maturing September 2026, interest rate of 2.6%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02"/>
        </w:trPr>
        <w:tc>
          <w:tcPr>
            <w:tcW w:w="6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0.4% to 4.4% (weighted average interest rate of 2.9% as of June 30, 2023 and 2.7% as of</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2022)</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02"/>
        </w:trPr>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1"/>
              </w:rPr>
              <w:t>Financing leases and other, maturing through 2071 (weighted average interest rate of 4.8% as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940" w:type="dxa"/>
            <w:vAlign w:val="bottom"/>
            <w:gridSpan w:val="2"/>
          </w:tcPr>
          <w:p>
            <w:pPr>
              <w:ind w:left="140"/>
              <w:spacing w:after="0"/>
              <w:rPr>
                <w:sz w:val="20"/>
                <w:szCs w:val="20"/>
                <w:color w:val="auto"/>
              </w:rPr>
            </w:pPr>
            <w:r>
              <w:rPr>
                <w:rFonts w:ascii="Arial" w:cs="Arial" w:eastAsia="Arial" w:hAnsi="Arial"/>
                <w:sz w:val="18"/>
                <w:szCs w:val="18"/>
                <w:color w:val="auto"/>
              </w:rPr>
              <w:t>of June 30, 2023 and 4.7% as of December 31, 2022) (a)</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 discounts and other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9"/>
        </w:trPr>
        <w:tc>
          <w:tcPr>
            <w:tcW w:w="2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r>
      <w:tr>
        <w:trPr>
          <w:trHeight w:val="20"/>
        </w:trPr>
        <w:tc>
          <w:tcPr>
            <w:tcW w:w="2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59" w:hanging="330"/>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2023, we had approximately $3.6 billion of debt maturing within the next 12 months, including</w:t>
      </w:r>
    </w:p>
    <w:p>
      <w:pPr>
        <w:spacing w:after="0" w:line="35" w:lineRule="exact"/>
        <w:rPr>
          <w:sz w:val="20"/>
          <w:szCs w:val="20"/>
          <w:color w:val="auto"/>
        </w:rPr>
      </w:pPr>
    </w:p>
    <w:p>
      <w:pPr>
        <w:jc w:val="both"/>
        <w:ind w:left="60" w:right="59" w:hanging="10"/>
        <w:spacing w:after="0" w:line="281" w:lineRule="auto"/>
        <w:tabs>
          <w:tab w:leader="none" w:pos="276" w:val="left"/>
        </w:tabs>
        <w:numPr>
          <w:ilvl w:val="0"/>
          <w:numId w:val="7"/>
        </w:numPr>
        <w:rPr>
          <w:rFonts w:ascii="Arial" w:cs="Arial" w:eastAsia="Arial" w:hAnsi="Arial"/>
          <w:sz w:val="16"/>
          <w:szCs w:val="16"/>
          <w:color w:val="auto"/>
        </w:rPr>
      </w:pPr>
      <w:r>
        <w:rPr>
          <w:rFonts w:ascii="Arial" w:cs="Arial" w:eastAsia="Arial" w:hAnsi="Arial"/>
          <w:sz w:val="16"/>
          <w:szCs w:val="16"/>
          <w:color w:val="auto"/>
        </w:rPr>
        <w:t>$1.3 billion of short-term borrowings under our commercial paper program (net of related discount on issuance); (ii) our $1.0 billion, two-year, U.S. term credit agreement maturing May 2024 (“Term Loan”); (iii) $983 million of tax-exempt bonds with term interest rate periods that expire within the next 12 months, which is prior to their scheduled maturities;</w:t>
      </w:r>
    </w:p>
    <w:p>
      <w:pPr>
        <w:spacing w:after="0" w:line="1" w:lineRule="exact"/>
        <w:rPr>
          <w:rFonts w:ascii="Arial" w:cs="Arial" w:eastAsia="Arial" w:hAnsi="Arial"/>
          <w:sz w:val="16"/>
          <w:szCs w:val="16"/>
          <w:color w:val="auto"/>
        </w:rPr>
      </w:pPr>
    </w:p>
    <w:p>
      <w:pPr>
        <w:jc w:val="both"/>
        <w:ind w:left="60" w:right="59" w:hanging="10"/>
        <w:spacing w:after="0" w:line="270"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$156 million of 3.5% senior notes that mature in May 2024 and (v) $172 million of other debt with scheduled maturities within the next 12 months, including $55 million of tax-exempt bonds. As of June 30, 2023, we have classified $3.1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$513 million of debt maturing in the next 12 months is classified as current obligations.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Commercial Paper Program and Term Loan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maturing May 2027, provides us</w:t>
      </w:r>
      <w:r>
        <w:rPr>
          <w:rFonts w:ascii="Arial" w:cs="Arial" w:eastAsia="Arial" w:hAnsi="Arial"/>
          <w:sz w:val="16"/>
          <w:szCs w:val="16"/>
          <w:i w:val="1"/>
          <w:iCs w:val="1"/>
          <w:color w:val="auto"/>
        </w:rPr>
        <w:t xml:space="preserve"> </w:t>
      </w:r>
      <w:r>
        <w:rPr>
          <w:rFonts w:ascii="Arial" w:cs="Arial" w:eastAsia="Arial" w:hAnsi="Arial"/>
          <w:sz w:val="16"/>
          <w:szCs w:val="16"/>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Dollar Offered Rate (“CDOR”), respectively, plus a spread depending on WMI’s senior public debt rating assigned by Moody’s Investors Service, Inc. and Standard and Poor’s Global Ratings. As of June 30, 2023, we had no outstanding borrowings under this facility. We had $179 million of letters of credit issued and $1.3 billion of outstanding borrowings (net of related discount on issuance) under our commercial paper program, both supported by the facility, leaving unused and available credit capacity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$2.0 billion as of June 30, 2023.WM Holdings, a wholly-owned subsidiary of WMI, guarantees all the obligations under the $3.5 billion revolving credit facility.</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June 30, 2023, we had $1.3 billion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Term Loan — </w:t>
      </w:r>
      <w:r>
        <w:rPr>
          <w:rFonts w:ascii="Arial" w:cs="Arial" w:eastAsia="Arial" w:hAnsi="Arial"/>
          <w:sz w:val="18"/>
          <w:szCs w:val="18"/>
          <w:color w:val="auto"/>
        </w:rPr>
        <w:t>In May 2022, we entered into our $1.0 billion, Term Loan maturing May 2024 to support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The interest rate we pay on our outstanding balance is generally based on SOFR, plus a spread depending on WMI’s senior public debt rating assigned by Moody’s Investors Service, Inc. and Standard and Poor’s Global Ratings. As of June 30, 2023, we had $1.0 billion of outstanding borrowings under our Term Loan. WM Holdings also guarantees all the obligations under the Term Loan.</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June 30, 2023, we had utilized $802 million of other uncommitted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lines with terms maturing through December 2026.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six months ended June 30, 2023, we made cash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$10.5 billion, which were partially offset by $10.1 billion of cash borrowings (net of related discount on issuance). A portion of these borrowings were used to repay senior notes at maturity as discussed below.</w:t>
      </w:r>
    </w:p>
    <w:p>
      <w:pPr>
        <w:spacing w:after="0" w:line="184"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In February 2023, WMI issued $750 million and $500 million of 4.625% senior notes due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sustainability capital investment program.</w:t>
      </w:r>
    </w:p>
    <w:p>
      <w:pPr>
        <w:spacing w:after="0" w:line="15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We issued $50 million of tax-exempt bonds during the six months ended June 30, 2023.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issuance of these bonds were deposited directly into a restricted trust fund and may only be used for the specific purpose for which the money was raised, which is generally to finance expenditures for solid waste disposal facility, material recovery facility and renewable natural gas facility construction and development. In 2023, we also repaid $40 million of our tax-exempt bonds with available cash at their scheduled maturities.</w:t>
      </w:r>
    </w:p>
    <w:p>
      <w:pPr>
        <w:spacing w:after="0" w:line="17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increase in our financing leases and other debt obligations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is due to an increase of $61 million primarily related to non-cash financing leases, partially offset by $58 million of cash repayments of debt at maturity.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second quarter of 2023, we entered into treasury rate locks with a notional value of $200 million to secure an underlying interest rate of a debt issuance that is currently being evaluated for the second half of 2023, subject to market conditions and other considerations. We designated our treasury rate locks as cash flow hedges. As of June 30, 2023, the fair value of these active interest rate derivatives was an asset of $8 million, classified as other current assets in our Condensed Consolidated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Our effective income tax rate was 24.2% and 23.9% for the three and six months ended June 30, 2023, respectively, compared with 24.3% and 23.9% for the three and six months ended June 30, 2022, respectively. We evaluate our effective income tax rate at each interim period and adjust it as facts and circumstances warrant.</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2033 under Section 42 or Section 45D of the Internal Revenue Code.</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six months ended June 30, 2023, we recognized $12 million and $25 million of net losses, respectively, and a reduction in our income tax expense of $26 million and $48 million, respectively, primarily due to federal tax credits realized from these investments as well as the tax benefits from the pre-tax losses realized. In addition, during the three and six months ended June 30, 2023, we recognized interest expense of $3 million and $7 million, respectively, associated with our investments in low-income housing properties.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three and six months ended June 30, 2022, we recognized $17 million and $31 million of net losses, respectively, and a reduction in our income tax expense of $25 million and $48 million, respectively, primarily due to federal tax credits realized from these investments as well as the tax benefits from the pre-tax losses realized. In addition, during the three and six months ended June 30, 2022, we recognized interest expense of $4 million and $6 million, respectively, associated with our investments in low-income housing properties. See Note 13 for additional information related to these unconsolidated variable interest entities.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2023, we recognized a reduction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$3 million and $10 million, respectively, for excess tax benefits related to the vesting or exercise of equity-based compensation awards compared with $2 million and $12 million, respectively, for the comparable prior year periods.</w:t>
      </w:r>
    </w:p>
    <w:p>
      <w:pPr>
        <w:spacing w:after="0" w:line="183"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413.3</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415.0</w:t>
            </w:r>
          </w:p>
        </w:tc>
        <w:tc>
          <w:tcPr>
            <w:tcW w:w="0" w:type="dxa"/>
            <w:vAlign w:val="bottom"/>
          </w:tcPr>
          <w:p>
            <w:pPr>
              <w:spacing w:after="0"/>
              <w:rPr>
                <w:sz w:val="1"/>
                <w:szCs w:val="1"/>
                <w:color w:val="auto"/>
              </w:rPr>
            </w:pPr>
          </w:p>
        </w:tc>
      </w:tr>
      <w:tr>
        <w:trPr>
          <w:trHeight w:val="202"/>
        </w:trPr>
        <w:tc>
          <w:tcPr>
            <w:tcW w:w="5860" w:type="dxa"/>
            <w:vAlign w:val="bottom"/>
          </w:tcPr>
          <w:p>
            <w:pPr>
              <w:ind w:left="120"/>
              <w:spacing w:after="0" w:line="201" w:lineRule="exact"/>
              <w:rPr>
                <w:sz w:val="20"/>
                <w:szCs w:val="20"/>
                <w:color w:val="auto"/>
              </w:rPr>
            </w:pPr>
            <w:r>
              <w:rPr>
                <w:rFonts w:ascii="Arial" w:cs="Arial" w:eastAsia="Arial" w:hAnsi="Arial"/>
                <w:sz w:val="18"/>
                <w:szCs w:val="18"/>
                <w:color w:val="auto"/>
                <w:w w:val="95"/>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issuable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common shares outstanding</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417.0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1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the Condensed Consolidated Statements of Operations for net income attributable to Waste Management, Inc.</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Insurance — </w:t>
      </w:r>
      <w:r>
        <w:rPr>
          <w:rFonts w:ascii="Arial" w:cs="Arial" w:eastAsia="Arial" w:hAnsi="Arial"/>
          <w:sz w:val="18"/>
          <w:szCs w:val="18"/>
          <w:color w:val="auto"/>
        </w:rPr>
        <w:t>We carry insurance coverage for protection of our assets and operations from certain risks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and any amounts that exceed our insured limits. Our exposure could increase if our insurers are unable to meet their commitments on a timely basis.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WMI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June 30, 2023,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19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6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Environmental Matters — </w:t>
      </w:r>
      <w:r>
        <w:rPr>
          <w:rFonts w:ascii="Arial" w:cs="Arial" w:eastAsia="Arial" w:hAnsi="Arial"/>
          <w:sz w:val="16"/>
          <w:szCs w:val="16"/>
          <w:color w:val="auto"/>
        </w:rPr>
        <w:t>A significant portion of our operating costs and capital expenditures could be characterized</w:t>
      </w:r>
      <w:r>
        <w:rPr>
          <w:rFonts w:ascii="Arial" w:cs="Arial" w:eastAsia="Arial" w:hAnsi="Arial"/>
          <w:sz w:val="16"/>
          <w:szCs w:val="16"/>
          <w:i w:val="1"/>
          <w:iCs w:val="1"/>
          <w:color w:val="auto"/>
        </w:rPr>
        <w:t xml:space="preserve"> </w:t>
      </w:r>
      <w:r>
        <w:rPr>
          <w:rFonts w:ascii="Arial" w:cs="Arial" w:eastAsia="Arial" w:hAnsi="Arial"/>
          <w:sz w:val="16"/>
          <w:szCs w:val="16"/>
          <w:color w:val="auto"/>
        </w:rPr>
        <w:t>as costs of environmental protection. The nature of our operations, particularly with respect to the construction, operation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$125 million higher than the $196 million recorded in the Condensed Consolidated Balance Sheet as of June 30, 2023.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June 30, 2023,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June 30, 2023 and December 31, 2022, the recorded liability for MIMC’s estimated potential share of the EPA’s proposed remedy was $69 million and $68 million, respectively. MIMC’s ultimate liability could be materially different from current estimates and MIMC will continue to engage the EPA regarding its proposed remedy.</w:t>
      </w:r>
    </w:p>
    <w:p>
      <w:pPr>
        <w:spacing w:after="0" w:line="16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We are subject to various proceedings, lawsuits, disputes and claims arising in the ordinary course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We will vigorously defend against this pending suit. We believe any potential recovery by the plaintiffs, in excess of applicable deductibles, will be covered by insurance, and we do not believe that the eventual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outcome of this suit will have a material adverse effect on the Company’s business, financial condition, results of operations or cash flows.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Tax Matters — </w:t>
      </w:r>
      <w:r>
        <w:rPr>
          <w:rFonts w:ascii="Arial" w:cs="Arial" w:eastAsia="Arial" w:hAnsi="Arial"/>
          <w:sz w:val="17"/>
          <w:szCs w:val="17"/>
          <w:color w:val="auto"/>
        </w:rPr>
        <w:t>We participate in the IRS’s Compliance Assurance Process, which means we work with the IRS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June 30, 2023 and December 31, 2022, the IRS deposit, net of reserve for uncertain tax positions, is classified as a component of other long-term assets in the Company’s Condensed Consolidated Balance Sheets.</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addition, we are in the examination phase of IRS audits for the 2022 and 2023 tax years and expect the audits to be completed within the next 21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2" w:lineRule="exact"/>
        <w:rPr>
          <w:sz w:val="20"/>
          <w:szCs w:val="20"/>
          <w:color w:val="auto"/>
        </w:rPr>
      </w:pPr>
    </w:p>
    <w:p>
      <w:pPr>
        <w:ind w:left="360" w:hanging="310"/>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520" w:type="dxa"/>
            <w:vAlign w:val="bottom"/>
          </w:tcPr>
          <w:p>
            <w:pPr>
              <w:jc w:val="right"/>
              <w:ind w:right="131"/>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140" w:type="dxa"/>
            <w:vAlign w:val="bottom"/>
          </w:tcPr>
          <w:p>
            <w:pPr>
              <w:spacing w:after="0"/>
              <w:rPr>
                <w:sz w:val="16"/>
                <w:szCs w:val="16"/>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Revenues(d)</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69"/>
        </w:trPr>
        <w:tc>
          <w:tcPr>
            <w:tcW w:w="2340" w:type="dxa"/>
            <w:vAlign w:val="bottom"/>
            <w:tcBorders>
              <w:top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89"/>
              </w:rPr>
              <w:t>Three Months Ended June 30:</w:t>
            </w:r>
          </w:p>
        </w:tc>
        <w:tc>
          <w:tcPr>
            <w:tcW w:w="3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33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2,761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Solid Waste (a)</w:t>
            </w:r>
          </w:p>
        </w:tc>
        <w:tc>
          <w:tcPr>
            <w:tcW w:w="3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4,276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5,119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3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Pr>
          <w:p>
            <w:pPr>
              <w:ind w:left="320"/>
              <w:spacing w:after="0"/>
              <w:rPr>
                <w:sz w:val="20"/>
                <w:szCs w:val="20"/>
                <w:color w:val="auto"/>
              </w:rPr>
            </w:pPr>
            <w:r>
              <w:rPr>
                <w:rFonts w:ascii="Arial" w:cs="Arial" w:eastAsia="Arial" w:hAnsi="Arial"/>
                <w:sz w:val="18"/>
                <w:szCs w:val="18"/>
                <w:color w:val="auto"/>
              </w:rPr>
              <w:t>Total</w:t>
            </w:r>
          </w:p>
        </w:tc>
        <w:tc>
          <w:tcPr>
            <w:tcW w:w="33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5,119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33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2,609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2,113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Solid Waste (a)</w:t>
            </w:r>
          </w:p>
        </w:tc>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5,027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ind w:left="32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5,027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0" w:type="dxa"/>
            <w:vAlign w:val="bottom"/>
            <w:vMerge w:val="restart"/>
          </w:tcPr>
          <w:p>
            <w:pPr>
              <w:jc w:val="right"/>
              <w:ind w:right="89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20" w:type="dxa"/>
            <w:vAlign w:val="bottom"/>
          </w:tcPr>
          <w:p>
            <w:pPr>
              <w:spacing w:after="0"/>
              <w:rPr>
                <w:sz w:val="14"/>
                <w:szCs w:val="14"/>
                <w:color w:val="auto"/>
              </w:rPr>
            </w:pPr>
          </w:p>
        </w:tc>
        <w:tc>
          <w:tcPr>
            <w:tcW w:w="580" w:type="dxa"/>
            <w:vAlign w:val="bottom"/>
          </w:tcPr>
          <w:p>
            <w:pPr>
              <w:jc w:val="center"/>
              <w:ind w:right="31"/>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Income</w:t>
            </w: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Revenues(d)</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r>
      <w:tr>
        <w:trPr>
          <w:trHeight w:val="169"/>
        </w:trPr>
        <w:tc>
          <w:tcPr>
            <w:tcW w:w="546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East Tier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5,403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09"/>
        </w:trPr>
        <w:tc>
          <w:tcPr>
            <w:tcW w:w="20" w:type="dxa"/>
            <w:vAlign w:val="bottom"/>
          </w:tcPr>
          <w:p>
            <w:pPr>
              <w:spacing w:after="0"/>
              <w:rPr>
                <w:sz w:val="18"/>
                <w:szCs w:val="18"/>
                <w:color w:val="auto"/>
              </w:rPr>
            </w:pP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10,606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w:t>
            </w: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12,362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10,011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w:t>
            </w: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50"/>
        </w:trPr>
        <w:tc>
          <w:tcPr>
            <w:tcW w:w="20" w:type="dxa"/>
            <w:vAlign w:val="bottom"/>
            <w:tcBorders>
              <w:bottom w:val="single" w:sz="8" w:color="CCEEFF"/>
            </w:tcBorders>
          </w:tcPr>
          <w:p>
            <w:pPr>
              <w:spacing w:after="0"/>
              <w:rPr>
                <w:sz w:val="21"/>
                <w:szCs w:val="21"/>
                <w:color w:val="auto"/>
              </w:rPr>
            </w:pPr>
          </w:p>
        </w:tc>
        <w:tc>
          <w:tcPr>
            <w:tcW w:w="544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12,362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10,011</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r>
      <w:tr>
        <w:trPr>
          <w:trHeight w:val="196"/>
        </w:trPr>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East Tier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10"/>
        </w:trPr>
        <w:tc>
          <w:tcPr>
            <w:tcW w:w="20" w:type="dxa"/>
            <w:vAlign w:val="bottom"/>
          </w:tcPr>
          <w:p>
            <w:pPr>
              <w:spacing w:after="0"/>
              <w:rPr>
                <w:sz w:val="18"/>
                <w:szCs w:val="18"/>
                <w:color w:val="auto"/>
              </w:rPr>
            </w:pP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10,010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w:t>
            </w: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11,768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w:t>
            </w:r>
          </w:p>
        </w:tc>
      </w:tr>
      <w:tr>
        <w:trPr>
          <w:trHeight w:val="216"/>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0"/>
        </w:trPr>
        <w:tc>
          <w:tcPr>
            <w:tcW w:w="20" w:type="dxa"/>
            <w:vAlign w:val="bottom"/>
          </w:tcPr>
          <w:p>
            <w:pPr>
              <w:spacing w:after="0"/>
              <w:rPr>
                <w:sz w:val="18"/>
                <w:szCs w:val="18"/>
                <w:color w:val="auto"/>
              </w:rPr>
            </w:pPr>
          </w:p>
        </w:tc>
        <w:tc>
          <w:tcPr>
            <w:tcW w:w="544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11,768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0" w:lineRule="exact"/>
        <w:rPr>
          <w:sz w:val="20"/>
          <w:szCs w:val="20"/>
          <w:color w:val="auto"/>
        </w:rPr>
      </w:pPr>
    </w:p>
    <w:p>
      <w:pPr>
        <w:jc w:val="both"/>
        <w:ind w:left="380" w:right="5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86" w:lineRule="auto"/>
        <w:rPr>
          <w:rFonts w:ascii="Arial" w:cs="Arial" w:eastAsia="Arial" w:hAnsi="Arial"/>
          <w:sz w:val="18"/>
          <w:szCs w:val="18"/>
          <w:color w:val="auto"/>
        </w:rPr>
      </w:pPr>
      <w:r>
        <w:rPr>
          <w:rFonts w:ascii="Arial" w:cs="Arial" w:eastAsia="Arial" w:hAnsi="Arial"/>
          <w:sz w:val="16"/>
          <w:szCs w:val="16"/>
          <w:color w:val="auto"/>
        </w:rPr>
        <w:t>Income from operations in our Solid Waste business increased primarily due to (i) revenue growth in our collection and disposal business driven by yield and (ii) fuel tax credits recognized in the current year which were nominal in the prior year period as the majority of our fuel tax credits were not recognized until August 2022 due to the timing of the Inflation Reduction Act of 2022 (“IRA”). These increases were partially offset by (i) inflationary cost pressures;</w:t>
      </w:r>
    </w:p>
    <w:p>
      <w:pPr>
        <w:spacing w:after="0" w:line="1" w:lineRule="exact"/>
        <w:rPr>
          <w:rFonts w:ascii="Arial" w:cs="Arial" w:eastAsia="Arial" w:hAnsi="Arial"/>
          <w:sz w:val="18"/>
          <w:szCs w:val="18"/>
          <w:color w:val="auto"/>
        </w:rPr>
      </w:pPr>
    </w:p>
    <w:p>
      <w:pPr>
        <w:ind w:left="380" w:right="59" w:hanging="6"/>
        <w:spacing w:after="0" w:line="290" w:lineRule="auto"/>
        <w:tabs>
          <w:tab w:leader="none" w:pos="6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labor cost increases from frontline employee wage adjustments and annual merit increases and (iii) reduced profitability in our recycling business from the decline in recycling commodity prices and lower volumes.</w:t>
      </w:r>
    </w:p>
    <w:p>
      <w:pPr>
        <w:spacing w:after="0" w:line="53" w:lineRule="exact"/>
        <w:rPr>
          <w:rFonts w:ascii="Arial" w:cs="Arial" w:eastAsia="Arial" w:hAnsi="Arial"/>
          <w:sz w:val="17"/>
          <w:szCs w:val="17"/>
          <w:color w:val="auto"/>
        </w:rPr>
      </w:pPr>
    </w:p>
    <w:p>
      <w:pPr>
        <w:jc w:val="both"/>
        <w:ind w:left="380" w:right="59" w:hanging="330"/>
        <w:spacing w:after="0" w:line="293"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Sustainability and Environmental Solutions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56" w:lineRule="exact"/>
        <w:rPr>
          <w:rFonts w:ascii="Arial" w:cs="Arial" w:eastAsia="Arial" w:hAnsi="Arial"/>
          <w:sz w:val="16"/>
          <w:szCs w:val="16"/>
          <w:color w:val="auto"/>
        </w:rPr>
      </w:pPr>
    </w:p>
    <w:p>
      <w:pPr>
        <w:jc w:val="both"/>
        <w:ind w:left="380" w:right="59"/>
        <w:spacing w:after="0" w:line="286" w:lineRule="auto"/>
        <w:rPr>
          <w:rFonts w:ascii="Arial" w:cs="Arial" w:eastAsia="Arial" w:hAnsi="Arial"/>
          <w:sz w:val="16"/>
          <w:szCs w:val="16"/>
          <w:color w:val="auto"/>
        </w:rPr>
      </w:pPr>
      <w:r>
        <w:rPr>
          <w:rFonts w:ascii="Arial" w:cs="Arial" w:eastAsia="Arial" w:hAnsi="Arial"/>
          <w:sz w:val="17"/>
          <w:szCs w:val="17"/>
          <w:color w:val="auto"/>
        </w:rPr>
        <w:t>The decrease in income from operations was due to (i) reduced profitability in our WM Renewable Energy business due to lower market values for renewable fuel standard credits and lower electricity and natural gas prices and (ii) the decline in recycling brokerage commodity prices affecting profitability in our recycling business.</w:t>
      </w:r>
    </w:p>
    <w:p>
      <w:pPr>
        <w:spacing w:after="0" w:line="57" w:lineRule="exact"/>
        <w:rPr>
          <w:rFonts w:ascii="Arial" w:cs="Arial" w:eastAsia="Arial" w:hAnsi="Arial"/>
          <w:sz w:val="16"/>
          <w:szCs w:val="16"/>
          <w:color w:val="auto"/>
        </w:rPr>
      </w:pPr>
    </w:p>
    <w:p>
      <w:pPr>
        <w:jc w:val="both"/>
        <w:ind w:left="380" w:right="59" w:hanging="330"/>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improvement in income from operations was primarily driven by (i) lower annual incentive compensation costs;</w:t>
      </w:r>
    </w:p>
    <w:p>
      <w:pPr>
        <w:spacing w:after="0" w:line="46" w:lineRule="exact"/>
        <w:rPr>
          <w:sz w:val="20"/>
          <w:szCs w:val="20"/>
          <w:color w:val="auto"/>
        </w:rPr>
      </w:pPr>
    </w:p>
    <w:p>
      <w:pPr>
        <w:jc w:val="both"/>
        <w:ind w:left="380" w:right="59" w:hanging="6"/>
        <w:spacing w:after="0" w:line="253" w:lineRule="auto"/>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lower professional fees in connection with investments in our digital program, as certain strategic projects have now been implemented and (iii) a charge during the first quarter of 2022 to adjust an indirect wholly-owned subsidiary’s estimated potential share of the liability for a proposed environmental remediation plan at a closed site. These lower costs were partially offset by annual merit increases and market adjustments for deferred compensation plans related to investment performance.</w:t>
      </w:r>
    </w:p>
    <w:p>
      <w:pPr>
        <w:spacing w:after="0" w:line="82" w:lineRule="exact"/>
        <w:rPr>
          <w:rFonts w:ascii="Arial" w:cs="Arial" w:eastAsia="Arial" w:hAnsi="Arial"/>
          <w:sz w:val="18"/>
          <w:szCs w:val="18"/>
          <w:color w:val="auto"/>
        </w:rPr>
      </w:pPr>
    </w:p>
    <w:p>
      <w:pPr>
        <w:jc w:val="both"/>
        <w:ind w:left="380" w:right="5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2022</w:t>
            </w: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2,642</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1,778</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Other collection</w:t>
            </w:r>
          </w:p>
        </w:tc>
        <w:tc>
          <w:tcPr>
            <w:tcW w:w="3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9"/>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6,391</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Landfill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2,245</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1,040</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Recycling</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Intercompany (b)</w:t>
            </w:r>
          </w:p>
        </w:tc>
        <w:tc>
          <w:tcPr>
            <w:tcW w:w="3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(2,080)</w:t>
            </w:r>
          </w:p>
        </w:tc>
      </w:tr>
      <w:tr>
        <w:trPr>
          <w:trHeight w:val="25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9,688</w:t>
            </w:r>
          </w:p>
        </w:tc>
      </w:tr>
      <w:tr>
        <w:trPr>
          <w:trHeight w:val="95"/>
        </w:trPr>
        <w:tc>
          <w:tcPr>
            <w:tcW w:w="2240" w:type="dxa"/>
            <w:vAlign w:val="bottom"/>
            <w:tcBorders>
              <w:top w:val="single" w:sz="8" w:color="CCEEFF"/>
              <w:bottom w:val="single" w:sz="8" w:color="auto"/>
            </w:tcBorders>
          </w:tcPr>
          <w:p>
            <w:pPr>
              <w:spacing w:after="0"/>
              <w:rPr>
                <w:sz w:val="8"/>
                <w:szCs w:val="8"/>
                <w:color w:val="auto"/>
              </w:rPr>
            </w:pPr>
          </w:p>
        </w:tc>
        <w:tc>
          <w:tcPr>
            <w:tcW w:w="35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r>
    </w:tbl>
    <w:p>
      <w:pPr>
        <w:spacing w:after="0" w:line="67" w:lineRule="exact"/>
        <w:rPr>
          <w:sz w:val="20"/>
          <w:szCs w:val="20"/>
          <w:color w:val="auto"/>
        </w:rPr>
      </w:pPr>
    </w:p>
    <w:p>
      <w:pPr>
        <w:jc w:val="both"/>
        <w:ind w:left="380" w:right="59" w:hanging="330"/>
        <w:spacing w:after="0" w:line="293"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“Other” line of business includes (i) certain services provided by our WMSBS business; (ii) certain services within our sustainability business including our landfill gas-to-energy operations managed by our WM Renewable Energy business; (iii) certain other expanded service offerings and solutions and (iv)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56" w:lineRule="exact"/>
        <w:rPr>
          <w:rFonts w:ascii="Arial" w:cs="Arial" w:eastAsia="Arial" w:hAnsi="Arial"/>
          <w:sz w:val="16"/>
          <w:szCs w:val="16"/>
          <w:color w:val="auto"/>
        </w:rPr>
      </w:pPr>
    </w:p>
    <w:p>
      <w:pPr>
        <w:ind w:left="380" w:right="5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and other event-driven special projects can boost revenues through additional work for a limited time, due to significant start-up costs and other factors, such revenue can generate earnings at comparatively lower margins.</w:t>
      </w:r>
    </w:p>
    <w:p>
      <w:pPr>
        <w:spacing w:after="0" w:line="142" w:lineRule="exact"/>
        <w:rPr>
          <w:sz w:val="20"/>
          <w:szCs w:val="20"/>
          <w:color w:val="auto"/>
        </w:rPr>
      </w:pPr>
    </w:p>
    <w:p>
      <w:pPr>
        <w:ind w:left="400" w:hanging="350"/>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six months ended June 30, 2023, we completed solid waste and recycling acquisitions with total consideration of $118 million, which included $111 million in cash paid and $7 million of other consideration, specifically purchase price holdbacks. In addition, we paid $7 million of holdbacks, primarily related to prior year acquisitions.</w:t>
      </w:r>
    </w:p>
    <w:p>
      <w:pPr>
        <w:spacing w:after="0" w:line="14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Total consideration for our 2023 acquisitions was allocated to $17 million of property and equipment, $43 million of other intangible assets, primarily customer relationships, and $67 million of goodwill with the remaining allocated to liabilities assumed from the ordinary course of business. We remain in the measurement period for most of our acquisitions, and adjustments to our preliminary purchase price allocation may occur. The goodwill was primarily a result of expected synergies from combining the acquired businesses with our existing operations and substantially all was tax deductible.</w:t>
      </w:r>
    </w:p>
    <w:p>
      <w:pPr>
        <w:spacing w:after="0" w:line="188" w:lineRule="exact"/>
        <w:rPr>
          <w:sz w:val="20"/>
          <w:szCs w:val="20"/>
          <w:color w:val="auto"/>
        </w:rPr>
      </w:pPr>
    </w:p>
    <w:p>
      <w:pPr>
        <w:ind w:left="420" w:hanging="370"/>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(Gain) loss from divestitures, asset impairments and unusual items, net for the first half of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(loss) income, net of tax, which is included as a component of Waste Management, Inc. stockholders’ equity, are as follows (in millions, with amounts in parentheses representing decreases to accumulated other comprehensive income):</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for-Sale</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(69)</w:t>
            </w:r>
          </w:p>
        </w:tc>
        <w:tc>
          <w:tcPr>
            <w:tcW w:w="0" w:type="dxa"/>
            <w:vAlign w:val="bottom"/>
          </w:tcPr>
          <w:p>
            <w:pPr>
              <w:spacing w:after="0"/>
              <w:rPr>
                <w:sz w:val="1"/>
                <w:szCs w:val="1"/>
                <w:color w:val="auto"/>
              </w:rPr>
            </w:pPr>
          </w:p>
        </w:tc>
      </w:tr>
      <w:tr>
        <w:trPr>
          <w:trHeight w:val="202"/>
        </w:trPr>
        <w:tc>
          <w:tcPr>
            <w:tcW w:w="4660" w:type="dxa"/>
            <w:vAlign w:val="bottom"/>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net of tax expense (benefit) of $4, $1, $0 and $0,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(income) loss, net of tax (expense) benefit of $0, $0, $0 and</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 respectively</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2023, we entered into an accelerated share repurchase (“ASR”) agreement to repurchase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$350 million of our common stock. At the beginning of the repurchase period, we delivered $350 million cash and received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1.9 million shares based on a stock price of $150.34. The ASR agreement completed in May 2023 and we received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0.4 million additional shares based on a final weighted average price of $153.90.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the second quarter of 2023, we entered into an ASR agreement to repurchase $250 million of our common stock and received 1.5 million shares based on a final weighted average stock price of $163.62. Subsequent to the completion of the ASR, we repurchased 0.1 million shares of our common stock in open market transactions in compliance with Rule 10b5-1 and Rule 10b-18 of the Exchange Act for $22 million, inclusive of per-share commissions, at a weighted average price of $164.79, of which $2 million was paid in July 2023.</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IRA, which was enacted into law on August 16, 2022, imposed a nondeductible 1% excise tax on the net value of certain stock repurchases made after December 31, 2022. We reflected the applicable excise tax in treasury stock as part of the cost basis of the stock repurchased. The discussion of the results of our common stock repurchase program in the prior two paragraphs is exclusive of the 1% excise tax.</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June 30, 2023, the Company has authorization for $878 million of future share repurchases, exclusive of the 1% excise tax discussed above.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r>
      <w:tr>
        <w:trPr>
          <w:trHeight w:val="21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Quoted prices in active markets (Level 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Cash equivalents and 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securities (a)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Redeemable preferred stock (b)</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67"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ten years.</w:t>
      </w:r>
    </w:p>
    <w:p>
      <w:pPr>
        <w:spacing w:after="0" w:line="117" w:lineRule="exact"/>
        <w:rPr>
          <w:rFonts w:ascii="Arial" w:cs="Arial" w:eastAsia="Arial" w:hAnsi="Arial"/>
          <w:sz w:val="18"/>
          <w:szCs w:val="18"/>
          <w:color w:val="auto"/>
        </w:rPr>
      </w:pPr>
    </w:p>
    <w:p>
      <w:pPr>
        <w:jc w:val="both"/>
        <w:ind w:left="380" w:right="59" w:hanging="330"/>
        <w:spacing w:after="0" w:line="275"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investment, which is classified as an available-for-sale debt security,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2023 and December 31, 2022, the carrying value of our debt was $15.4 billion and $15.0 billion, respectively. The estimated fair value of our debt was approximately $14.2 billion and $13.8 billion as of June 30, 2023 and December 31, 2022, respectively.</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2023 and December 31, 2022. These amounts have not been revalued since those dates, and current estimates of fair value could differ significantly from the amounts presented.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$296 million and $321 million as of June 30, 2023 and December 31, 2022, respectively. The debt balance related to our investments in low-income housing properties was $260 million and $295 million as of June 30, 2023 and December 31, 2022, respectively. Additional information related to these investments is discussed in Note 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(loss) income. Our investments and receivables related to these trusts had an aggregate carrying value of $97 million and $93 million as of June 30, 2023 and December 31, 2022,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$116 million and $113 million as of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2022.</w:t>
      </w:r>
    </w:p>
    <w:p>
      <w:pPr>
        <w:spacing w:after="0" w:line="187" w:lineRule="exact"/>
        <w:rPr>
          <w:sz w:val="20"/>
          <w:szCs w:val="20"/>
          <w:color w:val="auto"/>
        </w:rPr>
      </w:pPr>
    </w:p>
    <w:p>
      <w:pPr>
        <w:jc w:val="both"/>
        <w:ind w:left="60" w:right="59" w:firstLine="389"/>
        <w:spacing w:after="0" w:line="283"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and other risks discussed in our filings with the SEC, including Part I, Item 1A of our Annual Report on Form 10-K for the year ended December 31, 2022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our Quarterly Report on Form 10-Q for the quarterly period ended March 31, 2023. We assume no obligation to update any forward-looking statement, including financial estimates and forecasts, whether as a result of future events, circumstances or developments or otherwise.</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 Our “Solid Waste”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jc w:val="both"/>
        <w:ind w:left="60" w:right="59"/>
        <w:spacing w:after="0" w:line="277" w:lineRule="auto"/>
        <w:rPr>
          <w:sz w:val="20"/>
          <w:szCs w:val="20"/>
          <w:color w:val="auto"/>
        </w:rPr>
      </w:pPr>
      <w:r>
        <w:rPr>
          <w:rFonts w:ascii="Arial" w:cs="Arial" w:eastAsia="Arial" w:hAnsi="Arial"/>
          <w:sz w:val="18"/>
          <w:szCs w:val="18"/>
          <w:color w:val="auto"/>
        </w:rPr>
        <w:t>business is operated and managed locally by our subsidiaries that focus on distinct geographic areas and provide collection, transfer, disposal, and recycling and resource recovery services.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businesses, while increasing automation and reducing labor dependency. We are also evaluating and pursuing emerging diversion technologies that may generate additional value.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published our 2022 Sustainability Report providing details on our ESG performance and outlining new 2030 ESG goals.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4" w:name="page25"/>
    <w:bookmarkEnd w:id="24"/>
    <w:p>
      <w:pPr>
        <w:jc w:val="both"/>
        <w:ind w:left="60" w:right="59"/>
        <w:spacing w:after="0" w:line="259" w:lineRule="auto"/>
        <w:rPr>
          <w:sz w:val="20"/>
          <w:szCs w:val="20"/>
          <w:color w:val="auto"/>
        </w:rPr>
      </w:pPr>
      <w:r>
        <w:rPr>
          <w:rFonts w:ascii="Arial" w:cs="Arial" w:eastAsia="Arial" w:hAnsi="Arial"/>
          <w:sz w:val="18"/>
          <w:szCs w:val="18"/>
          <w:color w:val="auto"/>
        </w:rPr>
        <w:t>The Sustainability Report conveys the strong linkage between the Company’s ESG goals and our growth strategy, inclusive of the planned expansion of the Company’s recycling and WM Renewable Energy businesses. The information in this report can be found at https://sustainability.wm.com but it does not constitute a part of, and is not incorporated by reference into, this Quarterly Report on Form 10-Q.</w:t>
      </w:r>
    </w:p>
    <w:p>
      <w:pPr>
        <w:spacing w:after="0" w:line="18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6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these initiatives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Our next and ongoing phase is to prioritize reduced labor dependency on certain high-turnover jobs, particularly in customer experience, recycling and residential collection, while further elevating our customer self-service through digitalization and implementing technologies to enhance the safety, reliability and efficiency of our collection operations. Additionally, in 2022, we implemented a new general ledger accounting system, complementary finance enterprise resource planning system and a human capital management system, which will drive operational and service excellence by empowering our people through a modern, simplified and connected employee experience.</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With the significant decline in commodity prices that started in the second half of 2022 and have continued into 2023, we are currently experiencing margin pressures from our commodity-driven businesses, specifically within our recycling and WM Renewable Energy businesses. While there may be short-term fluctuations in our commodity-driven businesses as prices change, we continue to focus on adjusting our business models to protect against the down-side risk by spreading the inherent risk of changes in commodity prices across the vertically integrated value chain. 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 operations diligently and safely. We remain focused on delivering outstanding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5" w:name="page26"/>
    <w:bookmarkEnd w:id="25"/>
    <w:p>
      <w:pPr>
        <w:jc w:val="both"/>
        <w:ind w:left="60" w:right="59"/>
        <w:spacing w:after="0" w:line="277" w:lineRule="auto"/>
        <w:rPr>
          <w:sz w:val="20"/>
          <w:szCs w:val="20"/>
          <w:color w:val="auto"/>
        </w:rPr>
      </w:pPr>
      <w:r>
        <w:rPr>
          <w:rFonts w:ascii="Arial" w:cs="Arial" w:eastAsia="Arial" w:hAnsi="Arial"/>
          <w:sz w:val="18"/>
          <w:szCs w:val="18"/>
          <w:color w:val="auto"/>
        </w:rPr>
        <w:t>customer service, managing our variable costs with changing volumes and investing in technology that will enhance our customers’ experience and provide operating efficiencies intended to reduce our cost to serve.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During the second quarter of 2023, we continued to focus on our priorities to advance our strategy—growing price to offset cost inflation, enhancing employee engagement, permanently reducing our cost to serve through the use of technology and automation, and investing in growth through our recycling and WM Renewable Energy businesses. This strategic focus, combined with strong operational execution resulted in increased revenue, income from operations and income from operations margin during the second quarter of 2023. We were able to achieve these results despite inflationary cost pressures. We remain diligent in offering a competitive and differentiated service that meets the needs of our customers, and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During the second quarter of 2023, we allocated $520 million of available cash to capital expenditures and $553 million to our shareholders through dividends and common stock repurchases.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second quarter include:</w:t>
      </w:r>
    </w:p>
    <w:p>
      <w:pPr>
        <w:spacing w:after="0" w:line="117" w:lineRule="exact"/>
        <w:rPr>
          <w:sz w:val="20"/>
          <w:szCs w:val="20"/>
          <w:color w:val="auto"/>
        </w:rPr>
      </w:pPr>
    </w:p>
    <w:p>
      <w:pPr>
        <w:jc w:val="both"/>
        <w:ind w:left="720" w:right="59" w:hanging="319"/>
        <w:spacing w:after="0" w:line="274"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Revenues of $5,119 million, compared with $5,027 million in the prior year period, an increase of $92 million, or 1.8%. The increase is primarily attributable to (i) higher yield in our collection and disposal business and</w:t>
      </w:r>
    </w:p>
    <w:p>
      <w:pPr>
        <w:jc w:val="both"/>
        <w:ind w:left="720" w:right="59" w:firstLine="5"/>
        <w:spacing w:after="0" w:line="255" w:lineRule="auto"/>
        <w:tabs>
          <w:tab w:leader="none" w:pos="101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acquisitions, net of divestitures. These increases were partially offset by commodity price declines in our recycling and WM Renewable Energy businesses and decreased revenue from our energy surcharge program as a result of a decline in the price of fuel, particularly diesel;</w:t>
      </w:r>
    </w:p>
    <w:p>
      <w:pPr>
        <w:spacing w:after="0" w:line="81" w:lineRule="exact"/>
        <w:rPr>
          <w:rFonts w:ascii="Arial" w:cs="Arial" w:eastAsia="Arial" w:hAnsi="Arial"/>
          <w:sz w:val="18"/>
          <w:szCs w:val="18"/>
          <w:color w:val="auto"/>
        </w:rPr>
      </w:pPr>
    </w:p>
    <w:p>
      <w:pPr>
        <w:jc w:val="both"/>
        <w:ind w:left="720" w:right="59" w:hanging="319"/>
        <w:spacing w:after="0" w:line="296"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of $3,186 million, or 62.2% of revenues, compared with $3,142 million, or 62.5% of revenues, in the prior year period. The $44 million increase is primarily attributable to (i) inflationary cost pressures, particularly for maintenance and repairs and subcontractor costs and (ii) labor cost increases from merit increases and frontline employee market wage adjustments. These increases were offset, in part, by commodity-driven business impacts from lower recycling rebates reflected in costs of goods sold and lower fuel prices;</w:t>
      </w:r>
    </w:p>
    <w:p>
      <w:pPr>
        <w:spacing w:after="0" w:line="53" w:lineRule="exact"/>
        <w:rPr>
          <w:rFonts w:ascii="Arial" w:cs="Arial" w:eastAsia="Arial" w:hAnsi="Arial"/>
          <w:sz w:val="16"/>
          <w:szCs w:val="16"/>
          <w:color w:val="auto"/>
        </w:rPr>
      </w:pPr>
    </w:p>
    <w:p>
      <w:pPr>
        <w:jc w:val="both"/>
        <w:ind w:left="720" w:right="59" w:hanging="319"/>
        <w:spacing w:after="0" w:line="274"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Selling, general and administrative expenses were $467 million, or 9.1% of revenues, compared with $487 million, or 9.7% of revenues, in the prior year period. The $20 million decrease is primarily attributable to</w:t>
      </w:r>
    </w:p>
    <w:p>
      <w:pPr>
        <w:jc w:val="both"/>
        <w:ind w:left="720" w:right="59" w:firstLine="5"/>
        <w:spacing w:after="0" w:line="255" w:lineRule="auto"/>
        <w:tabs>
          <w:tab w:leader="none" w:pos="9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annual incentive compensation costs and (ii) reduced professional fees in connection with investments in our digital platform, as certain strategic digital projects have now been implemented. These decreases were offset, in part, by increased litigation costs and annual merit increases;</w:t>
      </w:r>
    </w:p>
    <w:p>
      <w:pPr>
        <w:spacing w:after="0" w:line="81" w:lineRule="exact"/>
        <w:rPr>
          <w:rFonts w:ascii="Arial" w:cs="Arial" w:eastAsia="Arial" w:hAnsi="Arial"/>
          <w:sz w:val="18"/>
          <w:szCs w:val="18"/>
          <w:color w:val="auto"/>
        </w:rPr>
      </w:pPr>
    </w:p>
    <w:p>
      <w:pPr>
        <w:jc w:val="both"/>
        <w:ind w:left="720" w:right="5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was $944 million, or 18.4% of revenues, compared with $890 million, or 17.7% of revenues, in the prior year period. The improved earnings in the current quarter are driven by growth in our collection and disposal businesses and reduced selling, general and administrative expenses;</w:t>
      </w:r>
    </w:p>
    <w:p>
      <w:pPr>
        <w:spacing w:after="0" w:line="75" w:lineRule="exact"/>
        <w:rPr>
          <w:rFonts w:ascii="Arial" w:cs="Arial" w:eastAsia="Arial" w:hAnsi="Arial"/>
          <w:sz w:val="18"/>
          <w:szCs w:val="18"/>
          <w:color w:val="auto"/>
        </w:rPr>
      </w:pPr>
    </w:p>
    <w:p>
      <w:pPr>
        <w:jc w:val="both"/>
        <w:ind w:left="720" w:right="59" w:hanging="319"/>
        <w:spacing w:after="0" w:line="286"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$615 million, or $1.51 per diluted share, compared with $587 million, or $1.41 per diluted share, in the prior year period. The increase in income from operations discussed above was partially offset by increases in interest expense and income tax expense;</w:t>
      </w:r>
    </w:p>
    <w:p>
      <w:pPr>
        <w:spacing w:after="0" w:line="57" w:lineRule="exact"/>
        <w:rPr>
          <w:rFonts w:ascii="Arial" w:cs="Arial" w:eastAsia="Arial" w:hAnsi="Arial"/>
          <w:sz w:val="17"/>
          <w:szCs w:val="17"/>
          <w:color w:val="auto"/>
        </w:rPr>
      </w:pPr>
    </w:p>
    <w:p>
      <w:pPr>
        <w:jc w:val="both"/>
        <w:ind w:left="720" w:right="59" w:hanging="319"/>
        <w:spacing w:after="0" w:line="29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cash provided by operating activities was $1,030 million compared with $1,047 million in the prior year period, with the decrease driven by higher income tax and interest payments. This decrease was partially offset by</w:t>
      </w:r>
    </w:p>
    <w:p>
      <w:pPr>
        <w:ind w:left="720" w:right="59" w:firstLine="5"/>
        <w:spacing w:after="0" w:line="260" w:lineRule="auto"/>
        <w:tabs>
          <w:tab w:leader="none" w:pos="9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increased earnings attributable to our collection and disposal business and (ii) favorable changes in working capital, net of effects of acquisitions and divestitures; and</w:t>
      </w:r>
    </w:p>
    <w:p>
      <w:pPr>
        <w:spacing w:after="0" w:line="77" w:lineRule="exact"/>
        <w:rPr>
          <w:rFonts w:ascii="Arial" w:cs="Arial" w:eastAsia="Arial" w:hAnsi="Arial"/>
          <w:sz w:val="18"/>
          <w:szCs w:val="18"/>
          <w:color w:val="auto"/>
        </w:rPr>
      </w:pPr>
    </w:p>
    <w:p>
      <w:pPr>
        <w:jc w:val="both"/>
        <w:ind w:left="720" w:right="59" w:hanging="319"/>
        <w:spacing w:after="0" w:line="30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Free cash flow was $545 million compared with $503 million in the prior year period. The increase in free cash flow is primarily attributable to (i) lower capital spending and (ii) higher proceeds from divestitures of businesses and other assets, which were partially offset by lower net cash provided by operating activities described above. Free cash flow is a non-GAAP measure of liquidity. Refer to </w:t>
      </w:r>
      <w:r>
        <w:rPr>
          <w:rFonts w:ascii="Arial" w:cs="Arial" w:eastAsia="Arial" w:hAnsi="Arial"/>
          <w:sz w:val="16"/>
          <w:szCs w:val="16"/>
          <w:i w:val="1"/>
          <w:iCs w:val="1"/>
          <w:color w:val="auto"/>
        </w:rPr>
        <w:t>Free Cash Flow</w:t>
      </w:r>
      <w:r>
        <w:rPr>
          <w:rFonts w:ascii="Arial" w:cs="Arial" w:eastAsia="Arial" w:hAnsi="Arial"/>
          <w:sz w:val="16"/>
          <w:szCs w:val="16"/>
          <w:color w:val="auto"/>
        </w:rPr>
        <w:t xml:space="preserve"> below for our definition of free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6" w:name="page27"/>
    <w:bookmarkEnd w:id="26"/>
    <w:p>
      <w:pPr>
        <w:ind w:left="720" w:right="59"/>
        <w:spacing w:after="0" w:line="277" w:lineRule="auto"/>
        <w:rPr>
          <w:sz w:val="20"/>
          <w:szCs w:val="20"/>
          <w:color w:val="auto"/>
        </w:rPr>
      </w:pPr>
      <w:r>
        <w:rPr>
          <w:rFonts w:ascii="Arial" w:cs="Arial" w:eastAsia="Arial" w:hAnsi="Arial"/>
          <w:sz w:val="18"/>
          <w:szCs w:val="18"/>
          <w:color w:val="auto"/>
        </w:rPr>
        <w:t>cash flow, additional information about our use of this measure, and a reconciliation to net cash provided by operating activities, which is the most comparable GAAP measure.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Sustainability and Environmental Solutions (“SES”) businesses, which include landfill gas-to-energy services, environmental solutions services and recycling brokerage services. We also offer certain other expanded service offerings and solutions. The mix of operating revenues from our major lines of business are as follows (in millions):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2022</w:t>
            </w: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1,778</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Other collection</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9"/>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6,391</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2,245</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1,040</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(2,080)</w:t>
            </w:r>
          </w:p>
        </w:tc>
      </w:tr>
      <w:tr>
        <w:trPr>
          <w:trHeight w:val="20"/>
        </w:trPr>
        <w:tc>
          <w:tcPr>
            <w:tcW w:w="2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4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10,011</w:t>
            </w: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9,688</w:t>
            </w:r>
          </w:p>
        </w:tc>
      </w:tr>
      <w:tr>
        <w:trPr>
          <w:trHeight w:val="96"/>
        </w:trPr>
        <w:tc>
          <w:tcPr>
            <w:tcW w:w="2240" w:type="dxa"/>
            <w:vAlign w:val="bottom"/>
            <w:tcBorders>
              <w:top w:val="single" w:sz="8" w:color="CCEEFF"/>
              <w:bottom w:val="single" w:sz="8" w:color="auto"/>
            </w:tcBorders>
          </w:tcPr>
          <w:p>
            <w:pPr>
              <w:spacing w:after="0"/>
              <w:rPr>
                <w:sz w:val="8"/>
                <w:szCs w:val="8"/>
                <w:color w:val="auto"/>
              </w:rPr>
            </w:pPr>
          </w:p>
        </w:tc>
        <w:tc>
          <w:tcPr>
            <w:tcW w:w="35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r>
    </w:tbl>
    <w:p>
      <w:pPr>
        <w:spacing w:after="0" w:line="67" w:lineRule="exact"/>
        <w:rPr>
          <w:sz w:val="20"/>
          <w:szCs w:val="20"/>
          <w:color w:val="auto"/>
        </w:rPr>
      </w:pPr>
    </w:p>
    <w:p>
      <w:pPr>
        <w:jc w:val="both"/>
        <w:ind w:left="380" w:right="59" w:hanging="330"/>
        <w:spacing w:after="0" w:line="293"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“Other” line of business includes (i) certain services provided by our WMSBS business; (ii) certain services within our sustainability business including our landfill gas-to-energy operations managed by our WM Renewable Energy business; (iii) certain other expanded service offerings and solutions and (iv)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56" w:lineRule="exact"/>
        <w:rPr>
          <w:rFonts w:ascii="Arial" w:cs="Arial" w:eastAsia="Arial" w:hAnsi="Arial"/>
          <w:sz w:val="16"/>
          <w:szCs w:val="16"/>
          <w:color w:val="auto"/>
        </w:rPr>
      </w:pPr>
    </w:p>
    <w:p>
      <w:pPr>
        <w:ind w:left="380" w:right="5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ind w:left="60" w:right="5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7"/>
          </w:tcPr>
          <w:p>
            <w:pPr>
              <w:jc w:val="center"/>
              <w:ind w:right="437"/>
              <w:spacing w:after="0"/>
              <w:rPr>
                <w:sz w:val="20"/>
                <w:szCs w:val="20"/>
                <w:color w:val="auto"/>
              </w:rPr>
            </w:pPr>
            <w:r>
              <w:rPr>
                <w:rFonts w:ascii="Arial" w:cs="Arial" w:eastAsia="Arial" w:hAnsi="Arial"/>
                <w:sz w:val="14"/>
                <w:szCs w:val="14"/>
                <w:b w:val="1"/>
                <w:bCs w:val="1"/>
                <w:color w:val="auto"/>
                <w:w w:val="93"/>
              </w:rPr>
              <w:t>Period-to-Period Change for the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7"/>
          </w:tcPr>
          <w:p>
            <w:pPr>
              <w:jc w:val="center"/>
              <w:ind w:right="357"/>
              <w:spacing w:after="0"/>
              <w:rPr>
                <w:sz w:val="20"/>
                <w:szCs w:val="20"/>
                <w:color w:val="auto"/>
              </w:rPr>
            </w:pPr>
            <w:r>
              <w:rPr>
                <w:rFonts w:ascii="Arial" w:cs="Arial" w:eastAsia="Arial" w:hAnsi="Arial"/>
                <w:sz w:val="14"/>
                <w:szCs w:val="14"/>
                <w:b w:val="1"/>
                <w:bCs w:val="1"/>
                <w:color w:val="auto"/>
                <w:w w:val="94"/>
              </w:rPr>
              <w:t>Period-to-Period Change for the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jc w:val="center"/>
              <w:ind w:left="2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left="126"/>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26"/>
              <w:spacing w:after="0"/>
              <w:rPr>
                <w:sz w:val="20"/>
                <w:szCs w:val="20"/>
                <w:color w:val="auto"/>
              </w:rPr>
            </w:pPr>
            <w:r>
              <w:rPr>
                <w:rFonts w:ascii="Arial" w:cs="Arial" w:eastAsia="Arial" w:hAnsi="Arial"/>
                <w:sz w:val="14"/>
                <w:szCs w:val="14"/>
                <w:b w:val="1"/>
                <w:bCs w:val="1"/>
                <w:color w:val="auto"/>
                <w:w w:val="90"/>
              </w:rPr>
              <w:t>June 30, 2023 vs. 2022</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left="126"/>
              <w:spacing w:after="0"/>
              <w:rPr>
                <w:sz w:val="20"/>
                <w:szCs w:val="20"/>
                <w:color w:val="auto"/>
              </w:rPr>
            </w:pPr>
            <w:r>
              <w:rPr>
                <w:rFonts w:ascii="Arial" w:cs="Arial" w:eastAsia="Arial" w:hAnsi="Arial"/>
                <w:sz w:val="14"/>
                <w:szCs w:val="14"/>
                <w:b w:val="1"/>
                <w:bCs w:val="1"/>
                <w:color w:val="auto"/>
                <w:w w:val="90"/>
              </w:rPr>
              <w:t>June 30, 2023 vs. 2022</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Business(a)   Amount</w:t>
            </w:r>
          </w:p>
        </w:tc>
        <w:tc>
          <w:tcPr>
            <w:tcW w:w="10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Company(b)</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Business(a)   Amount</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Company(b)</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Recycling and WM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Renewable Energy (c)(d)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(291)</w:t>
            </w:r>
          </w:p>
        </w:tc>
        <w:tc>
          <w:tcPr>
            <w:tcW w:w="1080" w:type="dxa"/>
            <w:vAlign w:val="bottom"/>
            <w:gridSpan w:val="3"/>
          </w:tcPr>
          <w:p>
            <w:pPr>
              <w:jc w:val="right"/>
              <w:ind w:right="13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Energy surcharge and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mandated fees (d)(e)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8"/>
                <w:szCs w:val="18"/>
                <w:color w:val="auto"/>
              </w:rPr>
              <w:t>Total average yield (f)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244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323</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5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5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5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in both our recycling and WM Renewable Energy businesses, as well as changes in fees in our recycling business.</w:t>
      </w:r>
    </w:p>
    <w:p>
      <w:pPr>
        <w:spacing w:after="0" w:line="62" w:lineRule="exact"/>
        <w:rPr>
          <w:rFonts w:ascii="Arial" w:cs="Arial" w:eastAsia="Arial" w:hAnsi="Arial"/>
          <w:sz w:val="18"/>
          <w:szCs w:val="18"/>
          <w:color w:val="auto"/>
        </w:rPr>
      </w:pPr>
    </w:p>
    <w:p>
      <w:pPr>
        <w:jc w:val="both"/>
        <w:ind w:left="380" w:right="59" w:hanging="330"/>
        <w:spacing w:after="0" w:line="28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Beginning in 2023, Recycling and WM Renewable Energy includes changes in our revenue attributable to our WM Renewable Energy business. Previously these changes in revenue were included in energy surcharges and mandated fees. We have revised our prior year results to conform with the current year presentation.</w:t>
      </w:r>
    </w:p>
    <w:p>
      <w:pPr>
        <w:spacing w:after="0" w:line="57" w:lineRule="exact"/>
        <w:rPr>
          <w:rFonts w:ascii="Arial" w:cs="Arial" w:eastAsia="Arial" w:hAnsi="Arial"/>
          <w:sz w:val="17"/>
          <w:szCs w:val="17"/>
          <w:color w:val="auto"/>
        </w:rPr>
      </w:pPr>
    </w:p>
    <w:p>
      <w:pPr>
        <w:ind w:left="380" w:right="5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energy surcharge was revised in the second quarter of 2023 to incorporate market prices for both diesel and compressed natural gas (“CNG”).</w:t>
      </w:r>
    </w:p>
    <w:p>
      <w:pPr>
        <w:spacing w:after="0" w:line="62" w:lineRule="exact"/>
        <w:rPr>
          <w:rFonts w:ascii="Arial" w:cs="Arial" w:eastAsia="Arial" w:hAnsi="Arial"/>
          <w:sz w:val="18"/>
          <w:szCs w:val="18"/>
          <w:color w:val="auto"/>
        </w:rPr>
      </w:pPr>
    </w:p>
    <w:p>
      <w:pPr>
        <w:ind w:left="380" w:right="179" w:hanging="330"/>
        <w:spacing w:after="0" w:line="402"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Period-to-Period Change for the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93"/>
              </w:rPr>
              <w:t>Period-to-Period Change for the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2023 vs. 2022</w:t>
            </w: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2023 vs. 2022</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19"/>
        </w:trPr>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8"/>
              </w:rPr>
              <w:t>6.8 %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40" w:type="dxa"/>
            <w:vAlign w:val="bottom"/>
            <w:gridSpan w:val="4"/>
            <w:shd w:val="clear" w:color="auto" w:fill="CCEEFF"/>
          </w:tcPr>
          <w:p>
            <w:pPr>
              <w:ind w:left="1000"/>
              <w:spacing w:after="0"/>
              <w:rPr>
                <w:sz w:val="20"/>
                <w:szCs w:val="20"/>
                <w:color w:val="auto"/>
              </w:rPr>
            </w:pPr>
            <w:r>
              <w:rPr>
                <w:rFonts w:ascii="Arial" w:cs="Arial" w:eastAsia="Arial" w:hAnsi="Arial"/>
                <w:sz w:val="18"/>
                <w:szCs w:val="18"/>
                <w:color w:val="auto"/>
                <w:w w:val="91"/>
              </w:rPr>
              <w:t>7.0 %</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95"/>
              </w:rPr>
              <w:t>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1260" w:type="dxa"/>
            <w:vAlign w:val="bottom"/>
            <w:gridSpan w:val="2"/>
          </w:tcPr>
          <w:p>
            <w:pPr>
              <w:ind w:left="1000"/>
              <w:spacing w:after="0"/>
              <w:rPr>
                <w:sz w:val="20"/>
                <w:szCs w:val="20"/>
                <w:color w:val="auto"/>
              </w:rPr>
            </w:pPr>
            <w:r>
              <w:rPr>
                <w:rFonts w:ascii="Arial" w:cs="Arial" w:eastAsia="Arial" w:hAnsi="Arial"/>
                <w:sz w:val="18"/>
                <w:szCs w:val="18"/>
                <w:color w:val="auto"/>
                <w:w w:val="95"/>
              </w:rPr>
              <w:t>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95"/>
              </w:rPr>
              <w:t>6.6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260" w:type="dxa"/>
            <w:vAlign w:val="bottom"/>
            <w:gridSpan w:val="2"/>
          </w:tcPr>
          <w:p>
            <w:pPr>
              <w:ind w:left="1000"/>
              <w:spacing w:after="0"/>
              <w:rPr>
                <w:sz w:val="20"/>
                <w:szCs w:val="20"/>
                <w:color w:val="auto"/>
              </w:rPr>
            </w:pPr>
            <w:r>
              <w:rPr>
                <w:rFonts w:ascii="Arial" w:cs="Arial" w:eastAsia="Arial" w:hAnsi="Arial"/>
                <w:sz w:val="18"/>
                <w:szCs w:val="18"/>
                <w:color w:val="auto"/>
                <w:w w:val="95"/>
              </w:rPr>
              <w:t>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3.3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w w:val="95"/>
              </w:rPr>
              <w:t>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ind w:left="1000"/>
              <w:spacing w:after="0"/>
              <w:rPr>
                <w:sz w:val="20"/>
                <w:szCs w:val="20"/>
                <w:color w:val="auto"/>
              </w:rPr>
            </w:pPr>
            <w:r>
              <w:rPr>
                <w:rFonts w:ascii="Arial" w:cs="Arial" w:eastAsia="Arial" w:hAnsi="Arial"/>
                <w:sz w:val="18"/>
                <w:szCs w:val="18"/>
                <w:color w:val="auto"/>
                <w:w w:val="95"/>
              </w:rPr>
              <w:t>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5.8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This is a capital and labor intensive business. Our capital investments and operating costs needed to serve our customers are increasing. Our overall pricing efforts are focused on keeping pace with these higher costs. We experienced average yield growth in our collection line of business of 6.6% and 6.9% for the three and six months ended June 30, 2023, respectively. We are also continuing to see growth in our disposal business with our municipal solid waste business experiencing average yield of 6.0% and 5.8% for the three and six months ended June 30, 2023, respectively.</w:t>
      </w:r>
    </w:p>
    <w:p>
      <w:pPr>
        <w:spacing w:after="0" w:line="16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Recycling and WM Renewable Energy </w:t>
      </w:r>
      <w:r>
        <w:rPr>
          <w:rFonts w:ascii="Arial" w:cs="Arial" w:eastAsia="Arial" w:hAnsi="Arial"/>
          <w:sz w:val="17"/>
          <w:szCs w:val="17"/>
          <w:color w:val="auto"/>
        </w:rPr>
        <w:t>— The downturn in market prices for recycling commodities that started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half of 2022 persisted in the first half of 2023. Decreases in the market prices for recycling commodities resulted in a revenue decline of $126 million and $248 million for the three and six months ended June 30, 2023, respectively, as compared with the prior year periods. Average market prices for single-stream recycled commodities were down about 55% in the first half of 2023 when compared to the first half of 2022. The decrease is due to the slowdown in the global economy which reduced retail demand and the corresponding need for cardboard packaging to ship retail goods. Additionally, revenue in our WM Renewable Energy business declined $24 million and $43 million for the three and six months ended June 30, 2023, respectively, as compared to the prior year periods, primarily driven by decreases in the value of renewable fuel standard credits and lower electricity and natural gas prices.</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Energy Surcharge and Mandated Fees — </w:t>
      </w:r>
      <w:r>
        <w:rPr>
          <w:rFonts w:ascii="Arial" w:cs="Arial" w:eastAsia="Arial" w:hAnsi="Arial"/>
          <w:sz w:val="17"/>
          <w:szCs w:val="17"/>
          <w:color w:val="auto"/>
        </w:rPr>
        <w:t>These fees decreased $60 million and $16 million for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2023, respectively, as compared with the prior year periods. Beginning in the second quarter of 2023, our energy surcharge was revised to incorporate market prices for both diesel and CNG. The decrease in energy surcharge revenues is primarily due to a decline of approximately 30% and 15% in market prices for diesel fuel for the three and six months ended June 30, 2023, respectively, as compared with the prior year periods. The mandated fees are primarily related to fees and taxes assessed by various state, county and municipal government agencies at our landfills and transfer stations. These amounts have not significantly impacted the change in revenue for the three and six months ended June 30, 2023, as compared with the prior year periods.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revenues from volume (excluding volumes from acquisitions and divestitures) increased $9 million, or 0.2%, and $64 million, or 0.7%, for the three and six months ended June 30, 2023, respectively. These results reflect increases in municipal solid waste volumes at our landfills and an increase in WMSBS volumes, which were partially offset by lower event-driven volumes and the intentional shedding of low-margin residential collection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17.3 %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$ 1,837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18.4 %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$ 1,683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17.4 %</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Transfer and disposal costs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Subcontractor costs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Landfill operating costs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management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29"/>
        </w:trPr>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3,186</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62.2 %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62.5 %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$ 6,272</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62.7 %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$ 6,045</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62.4 %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operating expenses increased primarily due to (i) inflationary cost pressures, particularly for maintenance and repairs and subcontractor costs and (ii) labor cost pressure from merit increases and frontline employee market wage adjustments. These increases were offset, in part, by commodity-driven business impacts, particularly from lower recycling rebates reflected in costs of goods sold and lower fuel prices. We also continue to focus on operating efficiency and efforts to control costs.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for the reported periods include: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largely driven by (i) merit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proactive market wage adjustments to hire and retain talent; (ii) increased headcount primarily from acquisitions and (iii) increases in health and welfare costs and in medical care activity.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primarily due to inflationary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which includes increased disposal fees at third-party sites and higher rates from our third-party haulers, offset, in part, by decreases in residential and commercial collection volumes.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Maintenance and Repairs </w:t>
      </w:r>
      <w:r>
        <w:rPr>
          <w:rFonts w:ascii="Arial" w:cs="Arial" w:eastAsia="Arial" w:hAnsi="Arial"/>
          <w:sz w:val="17"/>
          <w:szCs w:val="17"/>
          <w:color w:val="auto"/>
        </w:rPr>
        <w:t>— The increase in maintenance and repairs costs was primarily driven by (i) inflationary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cost increases for parts, supplies and third-party services, although the impact of such inflationary cost increases moderated in the current quarter; (ii) labor cost increases for our technicians, including additional headcount, market wage adjustments and merit increases and (iii) supply chain constraints which delayed fleet deliveries.</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increase in subcontractor costs was primarily due to (i) inflationary cost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labor and fuel costs from third-party haulers, although the impact of such inflationary cost increases moderated in the current quarter due to lower diesel prices that reduced fuel surcharges from our third-party transportation providers, and (ii) an increase in volumes in our WMSBS business and SES offerings, which rely more extensively on subcontracted hauling and services than our collection and disposal business.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in cost of goods sold was primarily driven by an approximate 55%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single-stream recycling commodity prices for the three and six months ended June 30, 2023, as compared with the prior year periods.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Fuel </w:t>
      </w:r>
      <w:r>
        <w:rPr>
          <w:rFonts w:ascii="Arial" w:cs="Arial" w:eastAsia="Arial" w:hAnsi="Arial"/>
          <w:sz w:val="16"/>
          <w:szCs w:val="16"/>
          <w:color w:val="auto"/>
        </w:rPr>
        <w:t>— The decrease in fuel costs was primarily due to a decrease of approximately 30% and 15% in market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diesel fuel during three and six months ended June 30, 2023, respectively, as compared to the prior year periods.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jc w:val="both"/>
        <w:ind w:left="60" w:right="59"/>
        <w:spacing w:after="0" w:line="263" w:lineRule="auto"/>
        <w:rPr>
          <w:sz w:val="20"/>
          <w:szCs w:val="20"/>
          <w:color w:val="auto"/>
        </w:rPr>
      </w:pPr>
      <w:r>
        <w:rPr>
          <w:rFonts w:ascii="Arial" w:cs="Arial" w:eastAsia="Arial" w:hAnsi="Arial"/>
          <w:sz w:val="18"/>
          <w:szCs w:val="18"/>
          <w:color w:val="auto"/>
        </w:rPr>
        <w:t>decrease is also due to the timing of benefits from federal natural gas fuel tax credits. These credits have been recognized ratably in 2023. However, the federal natural gas fuel tax credits were not provided for by regulation until the third quarter of 2022 and thus no benefit was recognized during the first half of 2022.</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an increase in landfill volumes and an overall rate increase in fees and taxes paid to municipalities on our disposal volumes.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increase in landfill operating costs was primarily due to higher costs for leachate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and treatment, site maintenance and landfill accretion. Within landfill operating costs, accretion expense was $32 million and $65 million for the three and six months ended June 30, 2023, respectively, compared with $27 million and $55 million, for the comparable prior year periods. Additionally, there was a change in the measurement of our environmental remediation obligations and recovery assets during the first quarter of 2022. Our measurement of these balances includes application of a risk-free discount rate, which is based on the rate for U.S. Treasury bonds. In the first quarter of 2022, there was an increase in the discount rate, which resulted in a reduction in the net liability balance and a credit to expense.</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During the first half of 2022 our claims costs for our risk management program were elevated</w:t>
      </w:r>
      <w:r>
        <w:rPr>
          <w:rFonts w:ascii="Arial" w:cs="Arial" w:eastAsia="Arial" w:hAnsi="Arial"/>
          <w:sz w:val="18"/>
          <w:szCs w:val="18"/>
          <w:i w:val="1"/>
          <w:iCs w:val="1"/>
          <w:color w:val="auto"/>
        </w:rPr>
        <w:t xml:space="preserve"> </w:t>
      </w:r>
      <w:r>
        <w:rPr>
          <w:rFonts w:ascii="Arial" w:cs="Arial" w:eastAsia="Arial" w:hAnsi="Arial"/>
          <w:sz w:val="18"/>
          <w:szCs w:val="18"/>
          <w:color w:val="auto"/>
        </w:rPr>
        <w:t>due to unfavorable cost development on a limited population of severe cases. The absence of these costs is the driver to the favorable variance for the first half of 2023 compared to the prior year. An overall increase in insurance premiums partially offset this cost improvement.</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operating costs increased primarily due to (i) inflationary cost pressures, although the impact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inflationary cost increases moderated in the current quarter; (ii) higher equipment rental costs, due to supply chain constraints which delayed fleet deliveries; (iii) an increase in business travel and (iv) higher utility costs at our facilities. These increases were partially offset by net gains on the sale of certain assets.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benefits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$ 312</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$ 467</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9.1 %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$ 487</w:t>
            </w:r>
          </w:p>
        </w:tc>
        <w:tc>
          <w:tcPr>
            <w:tcW w:w="18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9.7 %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$ 943</w:t>
            </w:r>
          </w:p>
        </w:tc>
        <w:tc>
          <w:tcPr>
            <w:tcW w:w="18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9.4 %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$ 978</w:t>
            </w:r>
          </w:p>
        </w:tc>
        <w:tc>
          <w:tcPr>
            <w:tcW w:w="22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Selling, general and administrative expenses have decreased primarily due to lower annual incentive compensation costs and reduced professional fees in connection with investments in our digital platform, as certain strategic digital projects have now been implemented. Partially offsetting these reductions are increased litigation costs and annual merit increases. The decrease in our costs, along with the increase in revenue resulted in a significant reduction in our selling, general and administrative expenses as a percentage of revenues when compared with the prior year period.</w:t>
      </w:r>
    </w:p>
    <w:p>
      <w:pPr>
        <w:spacing w:after="0" w:line="5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for the reported periods include:</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—The decrease in labor and related benefits costs was primarily related to lower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costs and lower contract labor expenses. These decreases were partially offset by annual merit increases for our employees and market adjustments for deferred compensation plans related to investment performance.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decrease in professional fees was primarily attributable to reduced expenses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our digital platform, as certain strategic projects have now been implemented.</w:t>
      </w:r>
    </w:p>
    <w:p>
      <w:pPr>
        <w:spacing w:after="0" w:line="170"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increase in other expenses was primarily related to litigation costs during the second quarter of 2023 and</w:t>
      </w:r>
      <w:r>
        <w:rPr>
          <w:rFonts w:ascii="Arial" w:cs="Arial" w:eastAsia="Arial" w:hAnsi="Arial"/>
          <w:sz w:val="16"/>
          <w:szCs w:val="16"/>
          <w:i w:val="1"/>
          <w:iCs w:val="1"/>
          <w:color w:val="auto"/>
        </w:rPr>
        <w:t xml:space="preserve"> </w:t>
      </w:r>
      <w:r>
        <w:rPr>
          <w:rFonts w:ascii="Arial" w:cs="Arial" w:eastAsia="Arial" w:hAnsi="Arial"/>
          <w:sz w:val="16"/>
          <w:szCs w:val="16"/>
          <w:color w:val="auto"/>
        </w:rPr>
        <w:t>higher advertising costs, which were partially offset by lower technology spend and telecommunications costs.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Depletion and Amortization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depletion and amortization expenses (in millions of dollars and as a percentage of revenues):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5"/>
        </w:trPr>
        <w:tc>
          <w:tcPr>
            <w:tcW w:w="3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Depreciation of tangible property and</w:t>
            </w:r>
          </w:p>
        </w:tc>
        <w:tc>
          <w:tcPr>
            <w:tcW w:w="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$ 303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$ 572</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Depletion of landfill airspace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$ 521</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$ 508</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1,026</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$ 990</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depreciation of tangible property and equipment, was primarily driven by additional depreciation due to investments in capital assets, including strategic investments in our digital platform and machinery and containers to service our customers. The increase in depletion of landfill airspace during the first half of 2023, as compared with the prior year period, was primarily driven by increased volumes from the reopening of a previously closed landfill in our East Tier.</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(Gain) loss from divestitures, asset impairments and unusual items, net for the first half of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 to the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2"/>
              </w:rPr>
              <w:t>June 30,</w:t>
            </w: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Period-to-Period</w:t>
            </w:r>
          </w:p>
        </w:tc>
        <w:tc>
          <w:tcPr>
            <w:tcW w:w="154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2"/>
              </w:rPr>
              <w:t>June 30,</w:t>
            </w: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4"/>
              </w:rPr>
              <w:t>Period-to-Period</w:t>
            </w:r>
          </w:p>
        </w:tc>
      </w:tr>
      <w:tr>
        <w:trPr>
          <w:trHeight w:val="142"/>
        </w:trPr>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r>
      <w:tr>
        <w:trPr>
          <w:trHeight w:val="21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East Tier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7.6 %</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$ 1,175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$ 1,112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5.7 %</w:t>
            </w:r>
          </w:p>
        </w:tc>
      </w:tr>
      <w:tr>
        <w:trPr>
          <w:trHeight w:val="216"/>
        </w:trPr>
        <w:tc>
          <w:tcPr>
            <w:tcW w:w="2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 Tier</w:t>
            </w: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8"/>
                <w:szCs w:val="18"/>
                <w:color w:val="auto"/>
              </w:rPr>
              <w:t>Solid Waste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Corporate and Other (b)</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49"/>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6.1 %</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$ 1,769</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$ 1,658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197"/>
        </w:trPr>
        <w:tc>
          <w:tcPr>
            <w:tcW w:w="2240" w:type="dxa"/>
            <w:vAlign w:val="bottom"/>
          </w:tcPr>
          <w:p>
            <w:pPr>
              <w:ind w:left="20"/>
              <w:spacing w:after="0" w:line="196" w:lineRule="exact"/>
              <w:rPr>
                <w:sz w:val="20"/>
                <w:szCs w:val="20"/>
                <w:color w:val="auto"/>
              </w:rPr>
            </w:pPr>
            <w:r>
              <w:rPr>
                <w:rFonts w:ascii="Arial" w:cs="Arial" w:eastAsia="Arial" w:hAnsi="Arial"/>
                <w:sz w:val="18"/>
                <w:szCs w:val="18"/>
                <w:color w:val="auto"/>
              </w:rPr>
              <w:t>Percentage of revenues</w:t>
            </w:r>
          </w:p>
        </w:tc>
        <w:tc>
          <w:tcPr>
            <w:tcW w:w="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40" w:type="dxa"/>
            <w:vAlign w:val="bottom"/>
          </w:tcPr>
          <w:p>
            <w:pPr>
              <w:jc w:val="center"/>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w:t>
            </w: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change does not provide a meaningful comparison.</w:t>
      </w:r>
    </w:p>
    <w:p>
      <w:pPr>
        <w:spacing w:after="0" w:line="117" w:lineRule="exact"/>
        <w:rPr>
          <w:sz w:val="20"/>
          <w:szCs w:val="20"/>
          <w:color w:val="auto"/>
        </w:rPr>
      </w:pPr>
    </w:p>
    <w:p>
      <w:pPr>
        <w:jc w:val="both"/>
        <w:ind w:left="380" w:right="59" w:hanging="330"/>
        <w:spacing w:after="0" w:line="286"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includes (i) elements of our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jc w:val="both"/>
        <w:ind w:left="380" w:right="59"/>
        <w:spacing w:after="0" w:line="263" w:lineRule="auto"/>
        <w:rPr>
          <w:sz w:val="20"/>
          <w:szCs w:val="20"/>
          <w:color w:val="auto"/>
        </w:rPr>
      </w:pPr>
      <w:r>
        <w:rPr>
          <w:rFonts w:ascii="Arial" w:cs="Arial" w:eastAsia="Arial" w:hAnsi="Arial"/>
          <w:sz w:val="18"/>
          <w:szCs w:val="18"/>
          <w:color w:val="auto"/>
        </w:rPr>
        <w:t>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76" w:lineRule="exact"/>
        <w:rPr>
          <w:sz w:val="20"/>
          <w:szCs w:val="20"/>
          <w:color w:val="auto"/>
        </w:rPr>
      </w:pPr>
    </w:p>
    <w:p>
      <w:pPr>
        <w:jc w:val="both"/>
        <w:ind w:left="380" w:right="59" w:hanging="330"/>
        <w:spacing w:after="0" w:line="25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as compared with the prior year periods, are summarized below:</w:t>
      </w:r>
    </w:p>
    <w:p>
      <w:pPr>
        <w:spacing w:after="0" w:line="103" w:lineRule="exact"/>
        <w:rPr>
          <w:sz w:val="20"/>
          <w:szCs w:val="20"/>
          <w:color w:val="auto"/>
        </w:rPr>
      </w:pPr>
    </w:p>
    <w:p>
      <w:pPr>
        <w:jc w:val="both"/>
        <w:ind w:left="720" w:right="59" w:hanging="319"/>
        <w:spacing w:after="0" w:line="25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Income from operations in our Solid Waste business increased primarily due to (i)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in our collection and disposal business driven by yield and (ii) fuel tax credits recognized in the current year which were nominal in the prior year period as the majority of our fuel tax credits were not recognized until August 2022 due to the timing of the Inflation Reduction Act of 2022 (“IRA”). These increases were partially offset by (i) inflationary cost pressures; (ii) labor cost increases from frontline employee wage adjustments and annual merit increases and (iii) reduced profitability in our recycling business from the decline in recycling commodity prices and lower volumes.</w:t>
      </w:r>
    </w:p>
    <w:p>
      <w:pPr>
        <w:spacing w:after="0" w:line="86" w:lineRule="exact"/>
        <w:rPr>
          <w:rFonts w:ascii="Arial" w:cs="Arial" w:eastAsia="Arial" w:hAnsi="Arial"/>
          <w:sz w:val="18"/>
          <w:szCs w:val="18"/>
          <w:color w:val="auto"/>
        </w:rPr>
      </w:pPr>
    </w:p>
    <w:p>
      <w:pPr>
        <w:jc w:val="both"/>
        <w:ind w:left="720" w:right="59" w:hanging="319"/>
        <w:spacing w:after="0" w:line="259"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decrease in income from operations was due to (i) reduced profitability in our WM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business due to lower market values for renewable fuel standard credits and lower electricity and natural gas prices and (ii) the decline in recycling brokerage commodity prices affecting profitability in our recycling business.</w:t>
      </w:r>
    </w:p>
    <w:p>
      <w:pPr>
        <w:spacing w:after="0" w:line="78" w:lineRule="exact"/>
        <w:rPr>
          <w:rFonts w:ascii="Arial" w:cs="Arial" w:eastAsia="Arial" w:hAnsi="Arial"/>
          <w:sz w:val="18"/>
          <w:szCs w:val="18"/>
          <w:color w:val="auto"/>
        </w:rPr>
      </w:pPr>
    </w:p>
    <w:p>
      <w:pPr>
        <w:jc w:val="both"/>
        <w:ind w:left="720" w:right="59" w:hanging="319"/>
        <w:spacing w:after="0" w:line="273"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 The improvement in income from operations was primarily driven by (i) lower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compensation costs; (ii) lower professional fees in connection with investments in our digital program, as certain strategic projects have now been implemented and (iii) a charge during the first quarter of 2022 to adjust an indirect wholly-owned subsidiary’s estimated potential share of the liability for a proposed environmental remediation plan at a closed site. These lower costs were partially offset by annual merit increases and market adjustments for deferred compensation plans related to investment performance.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w:t>
      </w:r>
    </w:p>
    <w:p>
      <w:pPr>
        <w:spacing w:after="0" w:line="225" w:lineRule="exact"/>
        <w:rPr>
          <w:sz w:val="20"/>
          <w:szCs w:val="20"/>
          <w:color w:val="auto"/>
        </w:rPr>
      </w:pPr>
    </w:p>
    <w:p>
      <w:pPr>
        <w:jc w:val="both"/>
        <w:ind w:left="60" w:right="59" w:firstLine="259"/>
        <w:spacing w:after="0" w:line="296" w:lineRule="auto"/>
        <w:rPr>
          <w:sz w:val="20"/>
          <w:szCs w:val="20"/>
          <w:color w:val="auto"/>
        </w:rPr>
      </w:pPr>
      <w:r>
        <w:rPr>
          <w:rFonts w:ascii="Arial" w:cs="Arial" w:eastAsia="Arial" w:hAnsi="Arial"/>
          <w:sz w:val="16"/>
          <w:szCs w:val="16"/>
          <w:color w:val="auto"/>
        </w:rPr>
        <w:t>Our interest expense, net was $125 million and $245 million for the three and six months ended June 30, 2023, respectively, compared to $93 million and $178 million for the three and six months ended June 30, 2022, respectively. The increase is primarily related to an increase in average debt balances to fund growth as well as an increase in our weighted average borrowing rates for the three and six months ended June 30, 2023, as compared to the prior year periods, of approximately 90 and 100 basis points, respectively, due to increased rates on floating-rate debt.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recognized equity in net losses of unconsolidated entities of $12 million and $23 million during the three and six months ended June 30, 2023, respectively, compared to $17 million and $32 million for the three months and six months ended June 30, 2022,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 4 to the Condensed Consolidated Financial Statements.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income tax expense was $196 million and $360 million for the three and six months ended June 30, 2023, respectively, compared to $189 million and $346 million for the three and six months ended June 30, 2022,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jc w:val="both"/>
        <w:ind w:left="60" w:right="59"/>
        <w:spacing w:after="0" w:line="277" w:lineRule="auto"/>
        <w:rPr>
          <w:sz w:val="20"/>
          <w:szCs w:val="20"/>
          <w:color w:val="auto"/>
        </w:rPr>
      </w:pPr>
      <w:r>
        <w:rPr>
          <w:rFonts w:ascii="Arial" w:cs="Arial" w:eastAsia="Arial" w:hAnsi="Arial"/>
          <w:sz w:val="18"/>
          <w:szCs w:val="18"/>
          <w:color w:val="auto"/>
        </w:rPr>
        <w:t>Our effective income tax rate was 24.2% and 23.9% for the three and six months ended June 30, 2023, respectively, compared to 24.3% and 23.9% for the three and six months ended June 30, 2022, respectively.</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Tax Legislation </w:t>
      </w:r>
      <w:r>
        <w:rPr>
          <w:rFonts w:ascii="Arial" w:cs="Arial" w:eastAsia="Arial" w:hAnsi="Arial"/>
          <w:sz w:val="17"/>
          <w:szCs w:val="17"/>
          <w:color w:val="auto"/>
        </w:rPr>
        <w:t>— The IRA was signed into law by President Biden on August 16, 2022, and contains a number of tax-related provisions. The provisions of the IRA related to alternative fuel tax credits secure approximately $55 million of annual pre-tax benefit (recorded as a reduction in our operating expense) for tax credits in each of 2022, 2023 and 2024.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With respect to only the investment tax credit aspect of the IRA, we expect the cumulative benefit to be between $250 million and $350 million, a large portion of which is anticipated to be realized in 2024, 2025 and 2026. Additionally, the production tax credit incentives for investments in renewable energy and the carbon capture provisions of the IRA will likely result in incremental benefit, although at this time the amount of those benefits has not been quantified. Additionally, we incur an excise tax of 1% for common stock repurchases, which is reflected in the cost of purchasing the underlying shares as a component of treasury stock in our Condensed Consolidated Balance Sheet. See Note 11 to the Condensed Consolidated Financial Statements for additional information. The current expectation is the minimum corporate tax will not have an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additional ability to manage liquidity during periods of significant financial market disruption through temporary modification of our capital expenditure and share repurchase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Funds and Debt Obligations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cash and cash equivalents, restricted funds and debt balances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25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196"/>
        </w:trPr>
        <w:tc>
          <w:tcPr>
            <w:tcW w:w="6960" w:type="dxa"/>
            <w:vAlign w:val="bottom"/>
            <w:tcBorders>
              <w:top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Restricted funds: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reserves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6960" w:type="dxa"/>
            <w:vAlign w:val="bottom"/>
            <w:gridSpan w:val="2"/>
          </w:tcPr>
          <w:p>
            <w:pPr>
              <w:ind w:left="1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Total restricted funds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960" w:type="dxa"/>
            <w:vAlign w:val="bottom"/>
            <w:gridSpan w:val="2"/>
          </w:tcPr>
          <w:p>
            <w:pPr>
              <w:ind w:left="120"/>
              <w:spacing w:after="0"/>
              <w:rPr>
                <w:sz w:val="20"/>
                <w:szCs w:val="20"/>
                <w:color w:val="auto"/>
              </w:rPr>
            </w:pPr>
            <w:r>
              <w:rPr>
                <w:rFonts w:ascii="Arial" w:cs="Arial" w:eastAsia="Arial" w:hAnsi="Arial"/>
                <w:sz w:val="18"/>
                <w:szCs w:val="18"/>
                <w:color w:val="auto"/>
              </w:rPr>
              <w:t>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r>
      <w:tr>
        <w:trPr>
          <w:trHeight w:val="209"/>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Total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15,368</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14,984</w:t>
            </w:r>
          </w:p>
        </w:tc>
      </w:tr>
      <w:tr>
        <w:trPr>
          <w:trHeight w:val="20"/>
        </w:trPr>
        <w:tc>
          <w:tcPr>
            <w:tcW w:w="2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ind w:left="380" w:right="59" w:hanging="330"/>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June 30, 2023 and December 31, 2022, $80 million and $83 million, respectively, of these account balances were included in other current assets in our Condensed Consolidated Balance Sheets.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As of June 30, 2023, we had approximately $3.6 billion of debt maturing within the next 12 months, including</w:t>
      </w:r>
    </w:p>
    <w:p>
      <w:pPr>
        <w:spacing w:after="0" w:line="46" w:lineRule="exact"/>
        <w:rPr>
          <w:sz w:val="20"/>
          <w:szCs w:val="20"/>
          <w:color w:val="auto"/>
        </w:rPr>
      </w:pPr>
    </w:p>
    <w:p>
      <w:pPr>
        <w:ind w:left="260" w:hanging="210"/>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$1.3 billion of short-term borrowings under our commercial paper program (net of related discount on issuance); (ii) our</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60" w:right="59"/>
        <w:spacing w:after="0" w:line="254" w:lineRule="auto"/>
        <w:rPr>
          <w:sz w:val="20"/>
          <w:szCs w:val="20"/>
          <w:color w:val="auto"/>
        </w:rPr>
      </w:pPr>
      <w:r>
        <w:rPr>
          <w:rFonts w:ascii="Arial" w:cs="Arial" w:eastAsia="Arial" w:hAnsi="Arial"/>
          <w:sz w:val="18"/>
          <w:szCs w:val="18"/>
          <w:color w:val="auto"/>
        </w:rPr>
        <w:t>$1.0 billion Term Loan maturing May 2024; (iii) $983 million of tax-exempt bonds with term interest rate periods that expire within the next 12 months, which is prior to their scheduled maturities; (iv) $156 million of 3.5% senior notes that mature in May 2024 and (v) $172 million of other debt with scheduled maturities within the next 12 months, including $55 million of tax-exempt bonds. As of June 30, 2023, we have classified $3.1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$513 million of debt maturing in the next 12 months is classified as current obligations.</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February 2023, WMI issued $750 million and $500 million of 4.625% senior notes due 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sustainability capital investment program.</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19,740</w:t>
            </w: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r>
      <w:tr>
        <w:trPr>
          <w:trHeight w:val="369"/>
        </w:trPr>
        <w:tc>
          <w:tcPr>
            <w:tcW w:w="4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6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w w:val="96"/>
              </w:rPr>
              <w:t>June 30, 2023</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Revenue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196"/>
        </w:trPr>
        <w:tc>
          <w:tcPr>
            <w:tcW w:w="49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20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(1,339)</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(1,100)</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financing activities</w:t>
            </w:r>
          </w:p>
        </w:tc>
        <w:tc>
          <w:tcPr>
            <w:tcW w:w="2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r>
    </w:tbl>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decreased by $231 million as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period, driven by (i) unfavorable changes in working capital, net of effects of acquisitions and divestitures;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ind w:left="60" w:right="59" w:hanging="10"/>
        <w:spacing w:after="0" w:line="308" w:lineRule="auto"/>
        <w:tabs>
          <w:tab w:leader="none" w:pos="353"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higher interest payments; (iii) higher incentive compensation payments and (iv) higher income tax payments. This decrease was partially offset by increased earnings attributable to our collection and disposal business.</w:t>
      </w:r>
    </w:p>
    <w:p>
      <w:pPr>
        <w:spacing w:after="0" w:line="14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2023 and 2022 are summarized below:</w:t>
      </w:r>
    </w:p>
    <w:p>
      <w:pPr>
        <w:spacing w:after="0" w:line="62" w:lineRule="exact"/>
        <w:rPr>
          <w:sz w:val="20"/>
          <w:szCs w:val="20"/>
          <w:color w:val="auto"/>
        </w:rPr>
      </w:pPr>
    </w:p>
    <w:p>
      <w:pPr>
        <w:jc w:val="both"/>
        <w:ind w:left="720" w:right="59" w:hanging="319"/>
        <w:spacing w:after="0" w:line="25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$1,180 million and $968 million for capital expenditures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and 2022, respectively. The increase in capital spending is primarily driven by our intentional investment in sustainability growth capital spending on recycling and renewable energy projects, as well as inflationary increases in many fixed asset purchases made to support ongoing operations and intentional investments in the Company’s landfills to reduce greenhouse gas emissions. The Company continues to maintain a disciplined focus on capital management to prioritize investments for expansion, the replacement of aging assets and assets that support our strategy of differentiation and continuous improvement through efficiency and innovation.</w:t>
      </w:r>
    </w:p>
    <w:p>
      <w:pPr>
        <w:spacing w:after="0" w:line="83" w:lineRule="exact"/>
        <w:rPr>
          <w:rFonts w:ascii="Arial" w:cs="Arial" w:eastAsia="Arial" w:hAnsi="Arial"/>
          <w:sz w:val="18"/>
          <w:szCs w:val="18"/>
          <w:color w:val="auto"/>
        </w:rPr>
      </w:pPr>
    </w:p>
    <w:p>
      <w:pPr>
        <w:jc w:val="both"/>
        <w:ind w:left="720" w:right="59" w:hanging="319"/>
        <w:spacing w:after="0" w:line="25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six months ended June 30, 2023 and 2022, we used $76 million and $60 million, respectively, of cash from restricted cash and cash equivalents to invest in available-for-sale securities within our investment portfolio associated with a wholly-owned insurance captive. Additionally, we used $28 million in 2022 to make an initial cash payment associated with a low-income housing investment.</w:t>
      </w:r>
    </w:p>
    <w:p>
      <w:pPr>
        <w:spacing w:after="0" w:line="84"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2023 and 2022 are summarized below:</w:t>
      </w:r>
    </w:p>
    <w:p>
      <w:pPr>
        <w:spacing w:after="0" w:line="62" w:lineRule="exact"/>
        <w:rPr>
          <w:sz w:val="20"/>
          <w:szCs w:val="20"/>
          <w:color w:val="auto"/>
        </w:rPr>
      </w:pPr>
    </w:p>
    <w:p>
      <w:pPr>
        <w:ind w:left="720" w:right="5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and Repayments — </w:t>
      </w:r>
      <w:r>
        <w:rPr>
          <w:rFonts w:ascii="Arial" w:cs="Arial" w:eastAsia="Arial" w:hAnsi="Arial"/>
          <w:sz w:val="18"/>
          <w:szCs w:val="18"/>
          <w:color w:val="auto"/>
        </w:rPr>
        <w:t>The following summarizes our cash borrowings (net of related discount)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debt for the six months ended June 30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10,064</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3,368</w:t>
            </w: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Senior notes (a)</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22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432"/>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(10,476)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22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0"/>
        </w:trPr>
        <w:tc>
          <w:tcPr>
            <w:tcW w:w="2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(11,074)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(4,683)</w:t>
            </w:r>
          </w:p>
        </w:tc>
      </w:tr>
      <w:tr>
        <w:trPr>
          <w:trHeight w:val="20"/>
        </w:trPr>
        <w:tc>
          <w:tcPr>
            <w:tcW w:w="2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95"/>
        </w:trPr>
        <w:tc>
          <w:tcPr>
            <w:tcW w:w="2220" w:type="dxa"/>
            <w:vAlign w:val="bottom"/>
            <w:tcBorders>
              <w:top w:val="single" w:sz="8" w:color="CCEEFF"/>
              <w:bottom w:val="single" w:sz="8" w:color="auto"/>
            </w:tcBorders>
          </w:tcPr>
          <w:p>
            <w:pPr>
              <w:spacing w:after="0"/>
              <w:rPr>
                <w:sz w:val="8"/>
                <w:szCs w:val="8"/>
                <w:color w:val="auto"/>
              </w:rPr>
            </w:pPr>
          </w:p>
        </w:tc>
        <w:tc>
          <w:tcPr>
            <w:tcW w:w="37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r>
    </w:tbl>
    <w:p>
      <w:pPr>
        <w:spacing w:after="0" w:line="67" w:lineRule="exact"/>
        <w:rPr>
          <w:sz w:val="20"/>
          <w:szCs w:val="20"/>
          <w:color w:val="auto"/>
        </w:rPr>
      </w:pPr>
    </w:p>
    <w:p>
      <w:pPr>
        <w:jc w:val="both"/>
        <w:ind w:left="1040" w:right="479" w:hanging="315"/>
        <w:spacing w:after="0" w:line="259"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used the net proceeds of our senior notes issued in February 2023 of $1.24 billion to reduce outstanding borrowings under our commercial paper program, repay $500 million of WMI’s 2.4% senior notes upon maturity in May 2023, and for general corporate purposes, including our sustainability capital investment program.</w:t>
      </w:r>
    </w:p>
    <w:p>
      <w:pPr>
        <w:spacing w:after="0" w:line="79"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59" w:hanging="319"/>
        <w:spacing w:after="0" w:line="279"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During the six months ended June 30, 2023, we repurchased $600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pursuant to two accelerated share repurchase (“ASR”) agreements and repurchased $22 million of our common stock in open market transactions, of which $2 million was paid in July 2023. See Note 11 to the Condensed Consolidated Financial Statements for additional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jc w:val="both"/>
        <w:ind w:left="700" w:right="59"/>
        <w:spacing w:after="0" w:line="263" w:lineRule="auto"/>
        <w:rPr>
          <w:sz w:val="20"/>
          <w:szCs w:val="20"/>
          <w:color w:val="auto"/>
        </w:rPr>
      </w:pPr>
      <w:r>
        <w:rPr>
          <w:rFonts w:ascii="Arial" w:cs="Arial" w:eastAsia="Arial" w:hAnsi="Arial"/>
          <w:sz w:val="18"/>
          <w:szCs w:val="18"/>
          <w:color w:val="auto"/>
        </w:rPr>
        <w:t>During the six months ended June 30, 2022, we repurchased $500 million of our common stock pursuant to two ASR agreements and repurchased $24 million of our common stock in open market transactions, of which $4 million was paid in July 2022.</w:t>
      </w:r>
    </w:p>
    <w:p>
      <w:pPr>
        <w:spacing w:after="0" w:line="76" w:lineRule="exact"/>
        <w:rPr>
          <w:sz w:val="20"/>
          <w:szCs w:val="20"/>
          <w:color w:val="auto"/>
        </w:rPr>
      </w:pPr>
    </w:p>
    <w:p>
      <w:pPr>
        <w:jc w:val="both"/>
        <w:ind w:left="720" w:right="59" w:hanging="319"/>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 We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dividends of $572 million and $544 million during the six months ended June 30, 2023 and 2022, respectively. The increase in dividend payments is due to our quarterly per share dividend increasing from $0.65 in 2022 to $0.70 in 2023.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Capital expenditures to support the business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expenditures - sustainability growth investments (a)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capital expenditures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2"/>
        </w:trPr>
        <w:tc>
          <w:tcPr>
            <w:tcW w:w="52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Proceeds from divestitures of businesses and other assets, net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divested</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Free cash flow</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59" w:hanging="330"/>
        <w:spacing w:after="0" w:line="263"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2022.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7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 xml:space="preserve">Except for the general financial institution instability that was publicly reported during the first quarter of 2023, as described further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our Quarterly Report on Form 10-Q for the quarterly period ended March 31, 2023, the information about market risks as of June 30, 2023 does not materially differ from that discussed under Item 7A in our Annual Report on Form 10-K for the year ended December 31, 2022.</w:t>
      </w:r>
    </w:p>
    <w:p>
      <w:pPr>
        <w:spacing w:after="0" w:line="16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2023 (the end of the period covered by this Quarterly Report on Form 10-Q) at a reasonable assurance level.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2023. We determined that there were no changes in our internal control over financial reporting during the quarter ended June 30, 2023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2022, as updated by Part II, Item 1A of our Quarterly Report on Form 10-Q for the quarter ended March 31,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5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second quarter of 2023 (shares in millions):</w:t>
      </w:r>
    </w:p>
    <w:p>
      <w:pPr>
        <w:spacing w:after="0" w:line="5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8"/>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460" w:type="dxa"/>
            <w:vAlign w:val="bottom"/>
          </w:tcPr>
          <w:p>
            <w:pPr>
              <w:spacing w:after="0"/>
              <w:rPr>
                <w:sz w:val="12"/>
                <w:szCs w:val="12"/>
                <w:color w:val="auto"/>
              </w:rPr>
            </w:pPr>
          </w:p>
        </w:tc>
        <w:tc>
          <w:tcPr>
            <w:tcW w:w="2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per Share(a)</w:t>
            </w:r>
          </w:p>
        </w:tc>
        <w:tc>
          <w:tcPr>
            <w:tcW w:w="4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the Plans or Programs(a)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1.15 billion</w:t>
            </w: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8"/>
                <w:szCs w:val="18"/>
                <w:color w:val="auto"/>
                <w:w w:val="92"/>
              </w:rPr>
              <w:t>May 1 — 31</w:t>
            </w:r>
          </w:p>
        </w:tc>
        <w:tc>
          <w:tcPr>
            <w:tcW w:w="1100" w:type="dxa"/>
            <w:vAlign w:val="bottom"/>
          </w:tcPr>
          <w:p>
            <w:pPr>
              <w:ind w:left="40"/>
              <w:spacing w:after="0"/>
              <w:rPr>
                <w:sz w:val="20"/>
                <w:szCs w:val="20"/>
                <w:color w:val="auto"/>
              </w:rPr>
            </w:pPr>
            <w:r>
              <w:rPr>
                <w:rFonts w:ascii="Arial" w:cs="Arial" w:eastAsia="Arial" w:hAnsi="Arial"/>
                <w:sz w:val="18"/>
                <w:szCs w:val="18"/>
                <w:color w:val="auto"/>
              </w:rPr>
              <w:t>(b)(c)</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164.96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rPr>
              <w:t>899 million</w:t>
            </w:r>
          </w:p>
        </w:tc>
        <w:tc>
          <w:tcPr>
            <w:tcW w:w="0" w:type="dxa"/>
            <w:vAlign w:val="bottom"/>
          </w:tcPr>
          <w:p>
            <w:pPr>
              <w:spacing w:after="0"/>
              <w:rPr>
                <w:sz w:val="1"/>
                <w:szCs w:val="1"/>
                <w:color w:val="auto"/>
              </w:rPr>
            </w:pPr>
          </w:p>
        </w:tc>
      </w:tr>
      <w:tr>
        <w:trPr>
          <w:trHeight w:val="216"/>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June 1 — 30</w:t>
            </w:r>
          </w:p>
        </w:tc>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4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9"/>
              </w:rPr>
              <w:t>878 million (d)</w:t>
            </w:r>
          </w:p>
        </w:tc>
        <w:tc>
          <w:tcPr>
            <w:tcW w:w="0" w:type="dxa"/>
            <w:vAlign w:val="bottom"/>
          </w:tcPr>
          <w:p>
            <w:pPr>
              <w:spacing w:after="0"/>
              <w:rPr>
                <w:sz w:val="1"/>
                <w:szCs w:val="1"/>
                <w:color w:val="auto"/>
              </w:rPr>
            </w:pPr>
          </w:p>
        </w:tc>
      </w:tr>
      <w:tr>
        <w:trPr>
          <w:trHeight w:val="210"/>
        </w:trPr>
        <w:tc>
          <w:tcPr>
            <w:tcW w:w="940" w:type="dxa"/>
            <w:vAlign w:val="bottom"/>
          </w:tcPr>
          <w:p>
            <w:pPr>
              <w:ind w:left="12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164.96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59" w:hanging="330"/>
        <w:spacing w:after="0" w:line="275"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Inflation Reduction Act of 2022, which was enacted into law on August 16, 2022, imposed a nondeductible 1% excise tax on the net value of certain stock repurchases made after December 31, 2022. We reflected the applicable excise tax in treasury stock as part of the cost basis of the stock repurchased. In the table above and footnotes below, the average price paid per share, total repurchase costs and approximate maximum dollar value of shares that may yet be purchased under the plans or programs exclude the 1% excise tax.</w:t>
      </w:r>
    </w:p>
    <w:p>
      <w:pPr>
        <w:spacing w:after="0" w:line="68" w:lineRule="exact"/>
        <w:rPr>
          <w:rFonts w:ascii="Arial" w:cs="Arial" w:eastAsia="Arial" w:hAnsi="Arial"/>
          <w:sz w:val="17"/>
          <w:szCs w:val="17"/>
          <w:color w:val="auto"/>
        </w:rPr>
      </w:pPr>
    </w:p>
    <w:p>
      <w:pPr>
        <w:jc w:val="both"/>
        <w:ind w:left="380" w:right="59" w:hanging="330"/>
        <w:spacing w:after="0" w:line="255"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first quarter of 2023, we entered into an accelerated share repurchase (“ASR”) agreement to repurchase $350 million of our common stock. At the beginning of the repurchase period, we delivered $350 million cash and received 1.9 million shares based on a stock price of $150.34. The ASR agreement completed and in May 2023 we received 0.4 million additional shares based on a final weighted average price of $153.90. In May 2023, under a new ASR agreement, we repurchased $250 million of our common stock and received 1.5 million shares based on a final weighted average price of $163.62.</w:t>
      </w:r>
    </w:p>
    <w:p>
      <w:pPr>
        <w:spacing w:after="0" w:line="84" w:lineRule="exact"/>
        <w:rPr>
          <w:rFonts w:ascii="Arial" w:cs="Arial" w:eastAsia="Arial" w:hAnsi="Arial"/>
          <w:sz w:val="18"/>
          <w:szCs w:val="18"/>
          <w:color w:val="auto"/>
        </w:rPr>
      </w:pPr>
    </w:p>
    <w:p>
      <w:pPr>
        <w:jc w:val="both"/>
        <w:ind w:left="380" w:right="59" w:hanging="330"/>
        <w:spacing w:after="0" w:line="311"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the completion of the ASR agreement, we repurchased 133,501 shares of our common stock in open market transactions in compliance with Rule 10b5-1 and Rule 10b-18 of the Exchange Act for $22 million, inclusive of per-share commissions, at a weighted average price of $164.79, of which $2 million was paid in July 2023.</w:t>
      </w:r>
    </w:p>
    <w:p>
      <w:pPr>
        <w:spacing w:after="0" w:line="40" w:lineRule="exact"/>
        <w:rPr>
          <w:rFonts w:ascii="Arial" w:cs="Arial" w:eastAsia="Arial" w:hAnsi="Arial"/>
          <w:sz w:val="16"/>
          <w:szCs w:val="16"/>
          <w:color w:val="auto"/>
        </w:rPr>
      </w:pPr>
    </w:p>
    <w:p>
      <w:pPr>
        <w:jc w:val="both"/>
        <w:ind w:left="380" w:right="59" w:hanging="330"/>
        <w:spacing w:after="0" w:line="257"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June 30, 2023, the Company has authorization for $878 million of future share repurchases, exclusive of the 1% excise tax discussed above.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May 22, 2023, James C. Fish, Jr., President, Chief Executive Officer and member of our Board of Directors, adopted a stock trading plan (the “First Fish Trading Plan”). The First Fish Trading Plan went into effect on the date of adoption and was not intended to satisfy the affirmative defense of Rule 10b5-1(c) under the Exchange Act. The First Fish Trading Plan provided for the potential exercise of 83,419 vested stock options and instructed that, upon our common stock reaching a specified market price, the options would automatically be exercised and the Company would withhold shares of common stock necessary to cover tax requirements and the exercise price of such options. The First Fish Trading Plan provided that Mr. Fish would continue to hold all remaining shares of common stock resulting from the option exercise after the net share settlement process. The option exercise did not occur, and the First Fish Trading Plan expired pursuant to its terms on June 7, 2023.</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May 30, 2023, Mr. Fish adopted a stock trading plan (the “Second Fish Trading Plan”) intended to satisfy the affirmative defense of Rule 10b5-1(c) under the Exchange Act. The Second Fish Trading Plan will commence on September 1, 2023 and will automatically terminate on the earlier of January 31, 2024 and the completion of all of the contemplated stock sales set forth therein. The Second Fish Trading Plan provides for the sale of 9,550 shares of our common stock upon our common stock reaching each of three specified market prices, for an aggregate total sale of up to 28,650 shares of our common stock pursuant to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7"/>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bottom w:val="single" w:sz="8" w:color="0000EE"/>
            </w:tcBorders>
            <w:gridSpan w:val="11"/>
          </w:tcPr>
          <w:p>
            <w:pPr>
              <w:spacing w:after="0" w:line="169"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Waste Management, Inc. 2023 Stock Incentive Plan [Incorporated by reference to Exhibit 10.1 to Form 8-K</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60" w:type="dxa"/>
            <w:vAlign w:val="bottom"/>
            <w:gridSpan w:val="1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filed May 10, 2023]</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0000EE"/>
              </w:rPr>
              <w:t>Guarantor Subsidiary.</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0000EE"/>
                <w:w w:val="91"/>
              </w:rPr>
              <w:t>Certification Pursuant to Rules 13a-14(a) and 15d-14(a) under the Securities Exchange Act of 1934 James</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 Fish, Jr., President and Chief Executive Officer.</w:t>
            </w:r>
          </w:p>
        </w:tc>
        <w:tc>
          <w:tcPr>
            <w:tcW w:w="3980" w:type="dxa"/>
            <w:vAlign w:val="bottom"/>
            <w:tcBorders>
              <w:top w:val="single" w:sz="8" w:color="0000EE"/>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0000EE"/>
                <w:w w:val="90"/>
              </w:rPr>
              <w:t>Certification Pursuant to Rules 13a-14(a) and 15d-14(a) under the Securities Exchange Act of 1934 Devina</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 Rankin, Executive Vice President and Chief Financial Officer.</w:t>
            </w: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4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Certification Pursuant to 18 U.S.C. §1350 of James C. Fish, Jr., President and Chief Executive Officer.</w:t>
            </w:r>
          </w:p>
        </w:tc>
        <w:tc>
          <w:tcPr>
            <w:tcW w:w="360" w:type="dxa"/>
            <w:vAlign w:val="bottom"/>
            <w:gridSpan w:val="3"/>
          </w:tcPr>
          <w:p>
            <w:pPr>
              <w:spacing w:after="0"/>
              <w:rPr>
                <w:sz w:val="24"/>
                <w:szCs w:val="24"/>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0000EE"/>
                <w:w w:val="98"/>
              </w:rPr>
              <w:t>Certification Pursuant to 18 U.S.C. §1350 of Devina A. Rankin, Executive Vice President and Chief</w:t>
            </w: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Financial Officer.</w:t>
            </w:r>
          </w:p>
        </w:tc>
        <w:tc>
          <w:tcPr>
            <w:tcW w:w="5920" w:type="dxa"/>
            <w:vAlign w:val="bottom"/>
            <w:tcBorders>
              <w:top w:val="single" w:sz="8" w:color="0000EE"/>
            </w:tcBorders>
            <w:gridSpan w:val="6"/>
          </w:tcPr>
          <w:p>
            <w:pPr>
              <w:spacing w:after="0"/>
              <w:rPr>
                <w:sz w:val="17"/>
                <w:szCs w:val="17"/>
                <w:color w:val="auto"/>
              </w:rPr>
            </w:pPr>
          </w:p>
        </w:tc>
        <w:tc>
          <w:tcPr>
            <w:tcW w:w="560" w:type="dxa"/>
            <w:vAlign w:val="bottom"/>
            <w:gridSpan w:val="4"/>
          </w:tcPr>
          <w:p>
            <w:pPr>
              <w:spacing w:after="0"/>
              <w:rPr>
                <w:sz w:val="17"/>
                <w:szCs w:val="17"/>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1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Mine Safety Disclosures.</w:t>
            </w:r>
          </w:p>
        </w:tc>
        <w:tc>
          <w:tcPr>
            <w:tcW w:w="5940" w:type="dxa"/>
            <w:vAlign w:val="bottom"/>
            <w:gridSpan w:val="7"/>
          </w:tcPr>
          <w:p>
            <w:pPr>
              <w:spacing w:after="0"/>
              <w:rPr>
                <w:sz w:val="24"/>
                <w:szCs w:val="24"/>
                <w:color w:val="auto"/>
              </w:rPr>
            </w:pPr>
          </w:p>
        </w:tc>
      </w:tr>
      <w:tr>
        <w:trPr>
          <w:trHeight w:val="358"/>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90" w:lineRule="exact"/>
        <w:rPr>
          <w:sz w:val="20"/>
          <w:szCs w:val="20"/>
          <w:color w:val="auto"/>
        </w:rPr>
      </w:pPr>
    </w:p>
    <w:p>
      <w:pPr>
        <w:ind w:left="300" w:hanging="250"/>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Filed herewith.</w:t>
      </w:r>
    </w:p>
    <w:p>
      <w:pPr>
        <w:ind w:left="6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2"/>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CARROLL</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0"/>
              </w:rPr>
              <w:t>John Carroll</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Vice President and</w:t>
            </w:r>
          </w:p>
        </w:tc>
      </w:tr>
    </w:tbl>
    <w:p>
      <w:pPr>
        <w:jc w:val="center"/>
        <w:ind w:left="486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June 30, 2023,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7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700" w:type="dxa"/>
            <w:vAlign w:val="bottom"/>
            <w:gridSpan w:val="2"/>
            <w:vMerge w:val="continue"/>
          </w:tcPr>
          <w:p>
            <w:pPr>
              <w:spacing w:after="0"/>
              <w:rPr>
                <w:sz w:val="12"/>
                <w:szCs w:val="12"/>
                <w:color w:val="auto"/>
              </w:rPr>
            </w:pPr>
          </w:p>
        </w:tc>
        <w:tc>
          <w:tcPr>
            <w:tcW w:w="17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Issue Date</w:t>
            </w:r>
          </w:p>
        </w:tc>
        <w:tc>
          <w:tcPr>
            <w:tcW w:w="880" w:type="dxa"/>
            <w:vAlign w:val="bottom"/>
          </w:tcPr>
          <w:p>
            <w:pPr>
              <w:spacing w:after="0"/>
              <w:rPr>
                <w:sz w:val="12"/>
                <w:szCs w:val="12"/>
                <w:color w:val="auto"/>
              </w:rPr>
            </w:pPr>
          </w:p>
        </w:tc>
        <w:tc>
          <w:tcPr>
            <w:tcW w:w="18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9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600 million</w:t>
            </w:r>
          </w:p>
        </w:tc>
        <w:tc>
          <w:tcPr>
            <w:tcW w:w="8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7/17/1998</w:t>
            </w: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1/21/2000</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8"/>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3.125%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2/26/2015</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4.10%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8"/>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8"/>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8"/>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5/12/2021</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5/12/2021</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5/12/2022</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4.625%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2/15/2023</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4.625%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2/15/2023</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2/15/2033</w:t>
            </w:r>
          </w:p>
        </w:tc>
        <w:tc>
          <w:tcPr>
            <w:tcW w:w="0" w:type="dxa"/>
            <w:vAlign w:val="bottom"/>
          </w:tcPr>
          <w:p>
            <w:pPr>
              <w:spacing w:after="0"/>
              <w:rPr>
                <w:sz w:val="1"/>
                <w:szCs w:val="1"/>
                <w:color w:val="auto"/>
              </w:rPr>
            </w:pPr>
          </w:p>
        </w:tc>
      </w:tr>
      <w:tr>
        <w:trPr>
          <w:trHeight w:val="777"/>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5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59" w:firstLine="314"/>
        <w:spacing w:after="0" w:line="286" w:lineRule="auto"/>
        <w:tabs>
          <w:tab w:leader="none" w:pos="56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299" w:firstLine="318"/>
        <w:spacing w:after="0" w:line="259" w:lineRule="auto"/>
        <w:tabs>
          <w:tab w:leader="none" w:pos="10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19" w:firstLine="318"/>
        <w:spacing w:after="0" w:line="263" w:lineRule="auto"/>
        <w:tabs>
          <w:tab w:leader="none" w:pos="9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10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6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19" w:firstLine="318"/>
        <w:spacing w:after="0" w:line="277" w:lineRule="auto"/>
        <w:tabs>
          <w:tab w:leader="none" w:pos="10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5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59" w:firstLine="314"/>
        <w:spacing w:after="0" w:line="286" w:lineRule="auto"/>
        <w:tabs>
          <w:tab w:leader="none" w:pos="5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299" w:firstLine="318"/>
        <w:spacing w:after="0" w:line="259" w:lineRule="auto"/>
        <w:tabs>
          <w:tab w:leader="none" w:pos="10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19" w:firstLine="318"/>
        <w:spacing w:after="0" w:line="263" w:lineRule="auto"/>
        <w:tabs>
          <w:tab w:leader="none" w:pos="9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10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6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19" w:firstLine="318"/>
        <w:spacing w:after="0" w:line="277" w:lineRule="auto"/>
        <w:tabs>
          <w:tab w:leader="none" w:pos="10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DEVINA A. RANKIN</w:t>
            </w:r>
          </w:p>
        </w:tc>
      </w:tr>
      <w:tr>
        <w:trPr>
          <w:trHeight w:val="195"/>
        </w:trPr>
        <w:tc>
          <w:tcPr>
            <w:tcW w:w="30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2"/>
              </w:rPr>
              <w:t>Devina A. Rankin</w:t>
            </w:r>
          </w:p>
        </w:tc>
      </w:tr>
      <w:tr>
        <w:trPr>
          <w:trHeight w:val="230"/>
        </w:trPr>
        <w:tc>
          <w:tcPr>
            <w:tcW w:w="30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6" w:name="page47"/>
    <w:bookmarkEnd w:id="46"/>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2023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80" w:right="259" w:firstLine="318"/>
        <w:spacing w:after="0" w:line="277" w:lineRule="auto"/>
        <w:tabs>
          <w:tab w:leader="none" w:pos="10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319" w:firstLine="318"/>
        <w:spacing w:after="0" w:line="277" w:lineRule="auto"/>
        <w:tabs>
          <w:tab w:leader="none" w:pos="10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7" w:name="page48"/>
    <w:bookmarkEnd w:id="47"/>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2023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80" w:right="259" w:firstLine="318"/>
        <w:spacing w:after="0" w:line="277" w:lineRule="auto"/>
        <w:tabs>
          <w:tab w:leader="none" w:pos="10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59" w:firstLine="318"/>
        <w:spacing w:after="0" w:line="277" w:lineRule="auto"/>
        <w:tabs>
          <w:tab w:leader="none" w:pos="10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20" w:type="dxa"/>
            <w:vAlign w:val="bottom"/>
          </w:tcPr>
          <w:p>
            <w:pPr>
              <w:spacing w:after="0"/>
              <w:rPr>
                <w:sz w:val="16"/>
                <w:szCs w:val="16"/>
                <w:color w:val="auto"/>
              </w:rPr>
            </w:pPr>
          </w:p>
        </w:tc>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8" w:name="page49"/>
    <w:bookmarkEnd w:id="48"/>
    <w:p>
      <w:pPr>
        <w:ind w:left="8160"/>
        <w:spacing w:after="0"/>
        <w:rPr>
          <w:sz w:val="20"/>
          <w:szCs w:val="20"/>
          <w:color w:val="auto"/>
        </w:rPr>
      </w:pPr>
      <w:r>
        <w:rPr>
          <w:rFonts w:ascii="Arial" w:cs="Arial" w:eastAsia="Arial" w:hAnsi="Arial"/>
          <w:sz w:val="16"/>
          <w:szCs w:val="16"/>
          <w:b w:val="1"/>
          <w:bCs w:val="1"/>
          <w:color w:val="auto"/>
        </w:rPr>
        <w:t>Exhibit 95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During the quarter ended June 30, 2023,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addition, during the quarter ended June 30, 2023,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lowerRoman"/>
      <w:start w:val="4"/>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lowerLetter"/>
      <w:start w:val="1"/>
    </w:lvl>
    <w:lvl w:ilvl="1">
      <w:lvlJc w:val="left"/>
      <w:lvlText w:val="(%2)"/>
      <w:numFmt w:val="lowerLetter"/>
      <w:start w:val="35"/>
    </w:lvl>
  </w:abstractNum>
  <w:abstractNum w:abstractNumId="13">
    <w:nsid w:val="71F32454"/>
    <w:multiLevelType w:val="hybridMultilevel"/>
    <w:lvl w:ilvl="0">
      <w:lvlJc w:val="left"/>
      <w:lvlText w:val="%1"/>
      <w:numFmt w:val="lowerLetter"/>
      <w:start w:val="1"/>
    </w:lvl>
    <w:lvl w:ilvl="1">
      <w:lvlJc w:val="left"/>
      <w:lvlText w:val="(%2)"/>
      <w:numFmt w:val="lowerLetter"/>
      <w:start w:val="35"/>
    </w:lvl>
  </w:abstractNum>
  <w:abstractNum w:abstractNumId="14">
    <w:nsid w:val="2CA88611"/>
    <w:multiLevelType w:val="hybridMultilevel"/>
    <w:lvl w:ilvl="0">
      <w:lvlJc w:val="left"/>
      <w:lvlText w:val="(%1)"/>
      <w:numFmt w:val="lowerLetter"/>
      <w:start w:val="4"/>
    </w:lvl>
    <w:lvl w:ilvl="1">
      <w:lvlJc w:val="left"/>
      <w:lvlText w:val="%2"/>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8"/>
    </w:lvl>
  </w:abstractNum>
  <w:abstractNum w:abstractNumId="17">
    <w:nsid w:val="3A95F874"/>
    <w:multiLevelType w:val="hybridMultilevel"/>
    <w:lvl w:ilvl="0">
      <w:lvlJc w:val="left"/>
      <w:lvlText w:val="%1."/>
      <w:numFmt w:val="decimal"/>
      <w:start w:val="9"/>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lvl w:ilvl="1">
      <w:lvlJc w:val="left"/>
      <w:lvlText w:val="(%2)"/>
      <w:numFmt w:val="lowerRoman"/>
      <w:start w:val="2"/>
    </w:lvl>
  </w:abstractNum>
  <w:abstractNum w:abstractNumId="20">
    <w:nsid w:val="7C3DBD3D"/>
    <w:multiLevelType w:val="hybridMultilevel"/>
    <w:lvl w:ilvl="0">
      <w:lvlJc w:val="left"/>
      <w:lvlText w:val="●"/>
      <w:numFmt w:val="bullet"/>
      <w:start w:val="1"/>
    </w:lvl>
    <w:lvl w:ilvl="1">
      <w:lvlJc w:val="left"/>
      <w:lvlText w:val="(%2)"/>
      <w:numFmt w:val="lowerRoman"/>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2" Type="http://schemas.openxmlformats.org/officeDocument/2006/relationships/hyperlink" Target="https://www.sec.gov/Archives/edgar/data/823768/000110465923058503/tm231523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2023-07-26T12:38:51Z</dcterms:created>
  <dcterms:modified xsi:type="dcterms:W3CDTF">2023-07-26T12:38:51Z</dcterms:modified>
</cp:coreProperties>
</file>