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third quarter of 2016,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90149575. To access a replay telephonically, please dial (855) 859-2056 and use the replay conference ID number 90149575.</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footnote (b) and the tables to the press release issued this morning.</w:t>
      </w:r>
    </w:p>
    <w:p>
      <w:pPr>
        <w:spacing w:after="0" w:line="28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 Form 8-K filed May 16, 2016, the Company announced that Mr. Don P. Carpenter gave notice of his decision to retire from his position as Vice President and Chief Accounting Officer following the filing of the Company’s Form 10-Q for the quarter ended September 30, 2016 (the “Third Quarter Form 10-Q”). The Company’s Board of Directors has elected Mr. Darren K. Shade to succeed Mr. Carpenter as Vice President and Chief Accounting Officer, effective as of the first day following the filing of the Third Quarter Form 10-Q, anticipated to be on or about October 27, 2016. Mr. Carpenter is expected to remain with the Company into its fourth quarter in order to facilitate an orderly transition to Mr. Shade.</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Mr. Shade, age 41, joined the Company in July 2016 as Vice President – Accounting. Prior to joining the Company, Mr. Shade was employed by Phillips 66 Company, a diversified energy manufacturing and logistics company, as Director, Midstream Planning &amp; Budgeting from December 2015 to June 2016 and as Senior Consultant, Accounting Policy from July 2013 to November 2015. Mr. Shade began his career at Ernst &amp; Young LLP, a public accounting firm, in July 1997, having last served in the position of Senior Manager in the Assurance practice from October 2004 to June 2013. Mr. Shade earned a Bachelor of Science degree in Accountancy from Miami University. Mr. Shade is a certified public accountant licensed in Texas.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26,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 w:leader="none" w:pos="636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26, 2016</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25"/>
          <w:szCs w:val="25"/>
          <w:b w:val="1"/>
          <w:bCs w:val="1"/>
          <w:color w:val="auto"/>
        </w:rPr>
        <w:t>Waste Management Announces Third Quarter Earnings</w:t>
      </w:r>
    </w:p>
    <w:p>
      <w:pPr>
        <w:spacing w:after="0" w:line="23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Revenue Grows 5.6% With Both Strong Price and Volume</w:t>
      </w:r>
    </w:p>
    <w:p>
      <w:pPr>
        <w:spacing w:after="0" w:line="252"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Company Again Increases Full-Year 2016 EPS Guidance</w:t>
      </w:r>
    </w:p>
    <w:p>
      <w:pPr>
        <w:spacing w:after="0" w:line="38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color w:val="auto"/>
        </w:rPr>
        <w:t>HOUSTON — October 26, 2016</w:t>
      </w:r>
      <w:r>
        <w:rPr>
          <w:rFonts w:ascii="Arial" w:cs="Arial" w:eastAsia="Arial" w:hAnsi="Arial"/>
          <w:sz w:val="17"/>
          <w:szCs w:val="17"/>
          <w:color w:val="auto"/>
        </w:rPr>
        <w:t>— Waste Management, Inc. (NYSE: WM) today announced financial results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September 30, 2016. Revenues for the third quarter of 2016 were $3.55 billion compared with $3.36 billion for the same 2015 period. Net income for the quarter was $302 million, or $0.68 per diluted share, compared with net income of $335 million, or $0.74 per diluted share, for the third quarter of 2015.</w:t>
      </w:r>
      <w:r>
        <w:rPr>
          <w:rFonts w:ascii="Arial" w:cs="Arial" w:eastAsia="Arial" w:hAnsi="Arial"/>
          <w:sz w:val="14"/>
          <w:szCs w:val="14"/>
          <w:color w:val="auto"/>
        </w:rPr>
        <w:t>(a)</w:t>
      </w:r>
      <w:r>
        <w:rPr>
          <w:rFonts w:ascii="Arial" w:cs="Arial" w:eastAsia="Arial" w:hAnsi="Arial"/>
          <w:sz w:val="17"/>
          <w:szCs w:val="17"/>
          <w:color w:val="auto"/>
        </w:rPr>
        <w:t xml:space="preserve"> On an as-adjusted basis, excluding certain items, net income was $374 million, or $0.84 per diluted share, in the third quarter of 2016.</w:t>
      </w:r>
      <w:r>
        <w:rPr>
          <w:rFonts w:ascii="Arial" w:cs="Arial" w:eastAsia="Arial" w:hAnsi="Arial"/>
          <w:sz w:val="14"/>
          <w:szCs w:val="14"/>
          <w:color w:val="auto"/>
        </w:rPr>
        <w:t>(b)</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Company’s as-adjusted third quarter 2016 results exclude $0.16 per diluted share of non-cash charges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impairment of certain assets and an increase to estimated remediation reserves. The Company incurred pre-tax charges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 million related to the impairment of a rural landfill, and $42 million related to estimated environmental remediation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third-party closed site that was operated by a company in the mid-1960s, prior to our acquisition of that company’s parent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1998.</w:t>
      </w:r>
      <w:r>
        <w:rPr>
          <w:rFonts w:ascii="Arial" w:cs="Arial" w:eastAsia="Arial" w:hAnsi="Arial"/>
          <w:sz w:val="15"/>
          <w:szCs w:val="15"/>
          <w:color w:val="auto"/>
        </w:rPr>
        <w:t>(b)</w:t>
      </w:r>
    </w:p>
    <w:p>
      <w:pPr>
        <w:spacing w:after="0" w:line="22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David P. Steiner, Chief Executive Officer of Waste Management, commented, “Our focus on improving core price, growing high margin volumes, and containing costs continued our strong performance from the first half of 2016, as we again exceeded our revenue, earnings, and margin targets. In the third quarter, core price was 4.7% and volumes were positive</w:t>
      </w:r>
    </w:p>
    <w:p>
      <w:pPr>
        <w:ind w:right="100"/>
        <w:spacing w:after="0" w:line="255" w:lineRule="auto"/>
        <w:rPr>
          <w:sz w:val="20"/>
          <w:szCs w:val="20"/>
          <w:color w:val="auto"/>
        </w:rPr>
      </w:pPr>
      <w:r>
        <w:rPr>
          <w:rFonts w:ascii="Arial" w:cs="Arial" w:eastAsia="Arial" w:hAnsi="Arial"/>
          <w:sz w:val="18"/>
          <w:szCs w:val="18"/>
          <w:color w:val="auto"/>
        </w:rPr>
        <w:t>1.6%, leading to a 5.6% increase in revenue. Overall, the combined positive price, volume growth, and cost management drove increases in adjusted operating income, adjusted operating EBITDA, and margins when compared to the third quarter of 2015.”</w:t>
      </w:r>
      <w:r>
        <w:rPr>
          <w:rFonts w:ascii="Arial" w:cs="Arial" w:eastAsia="Arial" w:hAnsi="Arial"/>
          <w:sz w:val="15"/>
          <w:szCs w:val="15"/>
          <w:color w:val="auto"/>
        </w:rPr>
        <w:t>(b)(c)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2016</w:t>
      </w:r>
    </w:p>
    <w:p>
      <w:pPr>
        <w:spacing w:after="0" w:line="135" w:lineRule="exact"/>
        <w:rPr>
          <w:sz w:val="20"/>
          <w:szCs w:val="20"/>
          <w:color w:val="auto"/>
        </w:rPr>
      </w:pPr>
    </w:p>
    <w:p>
      <w:pPr>
        <w:ind w:left="900" w:right="20" w:hanging="325"/>
        <w:spacing w:after="0" w:line="253"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revenue increased by 5.6%, or $188 million. The revenue increase was driven by positive yield and volume in the Company’s collection and disposal business of $110 million. Acquisitions, net of divestitures, contributed $60 million of revenue growth to the current quarter. Recycling yield and volume also increased $27 million. These increases were partially offset by $11 million in lower fuel surcharge revenue. The impact of foreign currency was immaterial in the third quarter.</w:t>
      </w:r>
    </w:p>
    <w:p>
      <w:pPr>
        <w:spacing w:after="0" w:line="3" w:lineRule="exact"/>
        <w:rPr>
          <w:rFonts w:ascii="Arial" w:cs="Arial" w:eastAsia="Arial" w:hAnsi="Arial"/>
          <w:sz w:val="18"/>
          <w:szCs w:val="18"/>
          <w:color w:val="auto"/>
        </w:rPr>
      </w:pPr>
    </w:p>
    <w:p>
      <w:pPr>
        <w:ind w:left="900" w:right="60" w:hanging="325"/>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which consists of price increases net of rollbacks and fees, other than the Company’s fuel surcharge, was 4.7%, up from 4.0% in the third quarter of 2015.</w:t>
      </w:r>
      <w:r>
        <w:rPr>
          <w:rFonts w:ascii="Arial" w:cs="Arial" w:eastAsia="Arial" w:hAnsi="Arial"/>
          <w:sz w:val="15"/>
          <w:szCs w:val="15"/>
          <w:color w:val="auto"/>
        </w:rPr>
        <w:t>(c)</w:t>
      </w: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2.1%.</w:t>
      </w:r>
    </w:p>
    <w:p>
      <w:pPr>
        <w:spacing w:after="0" w:line="9" w:lineRule="exact"/>
        <w:rPr>
          <w:rFonts w:ascii="Arial" w:cs="Arial" w:eastAsia="Arial" w:hAnsi="Arial"/>
          <w:sz w:val="18"/>
          <w:szCs w:val="18"/>
          <w:color w:val="auto"/>
        </w:rPr>
      </w:pPr>
    </w:p>
    <w:p>
      <w:pPr>
        <w:ind w:left="900" w:hanging="325"/>
        <w:spacing w:after="0" w:line="253"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Traditional solid waste business internal revenue growth from volume was a positive 1.6% in the third quarter of 2016, an increase of 80 basis points from the second quarter of 2016, and 170 basis points from the third quarter of 2015. Total company internal revenue growth from volume was also a positive 1.6% in the third quarter of 2016, an increase of 120 basis points from the second quarter of 2016, and 300 basis points from the third quarter of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MORE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Waste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 site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32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213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Analysts</w:t>
      </w:r>
    </w:p>
    <w:p>
      <w:pPr>
        <w:spacing w:after="0" w:line="226" w:lineRule="auto"/>
        <w:rPr>
          <w:sz w:val="20"/>
          <w:szCs w:val="20"/>
          <w:color w:val="auto"/>
        </w:rPr>
      </w:pPr>
      <w:r>
        <w:rPr>
          <w:rFonts w:ascii="Arial" w:cs="Arial" w:eastAsia="Arial" w:hAnsi="Arial"/>
          <w:sz w:val="14"/>
          <w:szCs w:val="14"/>
          <w:color w:val="auto"/>
        </w:rPr>
        <w:t>Ed Egl</w:t>
      </w:r>
    </w:p>
    <w:p>
      <w:pPr>
        <w:spacing w:after="0" w:line="222" w:lineRule="auto"/>
        <w:rPr>
          <w:sz w:val="20"/>
          <w:szCs w:val="20"/>
          <w:color w:val="auto"/>
        </w:rPr>
      </w:pPr>
      <w:r>
        <w:rPr>
          <w:rFonts w:ascii="Arial" w:cs="Arial" w:eastAsia="Arial" w:hAnsi="Arial"/>
          <w:sz w:val="14"/>
          <w:szCs w:val="14"/>
          <w:color w:val="auto"/>
        </w:rPr>
        <w:t>713.265.1656</w:t>
      </w:r>
    </w:p>
    <w:p>
      <w:pPr>
        <w:spacing w:after="0"/>
        <w:rPr>
          <w:sz w:val="20"/>
          <w:szCs w:val="20"/>
          <w:color w:val="auto"/>
        </w:rPr>
      </w:pPr>
      <w:r>
        <w:rPr>
          <w:rFonts w:ascii="Arial" w:cs="Arial" w:eastAsia="Arial" w:hAnsi="Arial"/>
          <w:sz w:val="14"/>
          <w:szCs w:val="14"/>
          <w:u w:val="single" w:color="auto"/>
          <w:color w:val="auto"/>
        </w:rPr>
        <w:t>eegl@wm.com</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226" w:lineRule="auto"/>
        <w:rPr>
          <w:sz w:val="20"/>
          <w:szCs w:val="20"/>
          <w:color w:val="auto"/>
        </w:rPr>
      </w:pPr>
      <w:r>
        <w:rPr>
          <w:rFonts w:ascii="Arial" w:cs="Arial" w:eastAsia="Arial" w:hAnsi="Arial"/>
          <w:sz w:val="14"/>
          <w:szCs w:val="14"/>
          <w:color w:val="auto"/>
        </w:rPr>
        <w:t>Toni Beck</w:t>
      </w:r>
    </w:p>
    <w:p>
      <w:pPr>
        <w:spacing w:after="0" w:line="222" w:lineRule="auto"/>
        <w:rPr>
          <w:sz w:val="20"/>
          <w:szCs w:val="20"/>
          <w:color w:val="auto"/>
        </w:rPr>
      </w:pPr>
      <w:r>
        <w:rPr>
          <w:rFonts w:ascii="Arial" w:cs="Arial" w:eastAsia="Arial" w:hAnsi="Arial"/>
          <w:sz w:val="14"/>
          <w:szCs w:val="14"/>
          <w:color w:val="auto"/>
        </w:rPr>
        <w:t>713.394.5093</w:t>
      </w:r>
    </w:p>
    <w:p>
      <w:pPr>
        <w:spacing w:after="0"/>
        <w:rPr>
          <w:sz w:val="20"/>
          <w:szCs w:val="20"/>
          <w:color w:val="auto"/>
        </w:rPr>
      </w:pPr>
      <w:r>
        <w:rPr>
          <w:rFonts w:ascii="Arial" w:cs="Arial" w:eastAsia="Arial" w:hAnsi="Arial"/>
          <w:sz w:val="14"/>
          <w:szCs w:val="14"/>
          <w:u w:val="single" w:color="auto"/>
          <w:color w:val="auto"/>
        </w:rPr>
        <w:t>tbeck3@wm.com</w:t>
      </w:r>
    </w:p>
    <w:p>
      <w:pPr>
        <w:sectPr>
          <w:pgSz w:w="11900" w:h="16838" w:orient="portrait"/>
          <w:cols w:equalWidth="0" w:num="2">
            <w:col w:w="9020" w:space="220"/>
            <w:col w:w="2180"/>
          </w:cols>
          <w:pgMar w:left="240" w:top="125" w:right="239" w:bottom="1440" w:gutter="0" w:footer="0" w:header="0"/>
          <w:type w:val="continuous"/>
        </w:sectPr>
      </w:pPr>
    </w:p>
    <w:bookmarkStart w:id="5" w:name="page6"/>
    <w:bookmarkEnd w:id="5"/>
    <w:p>
      <w:pPr>
        <w:jc w:val="both"/>
        <w:ind w:left="9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recycling commodity prices at the Company’s recycling facilities increased 13.6% in the third quarter of 2016 from the prior year period. Recycling volumes improved 0.9% in the third quarter. Results in the Company’s recycling line of business improved by almost $0.03 per diluted share when compared to the prior year period.</w:t>
      </w:r>
    </w:p>
    <w:p>
      <w:pPr>
        <w:ind w:left="900" w:right="22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operating expenses were 62.5% in the third quarter of 2016, as compared to 62.4% in the third quarter of 2015, driven primarily by increased leachate disposal costs, which were about $0.03 per diluted share in the quarter.</w:t>
      </w:r>
    </w:p>
    <w:p>
      <w:pPr>
        <w:ind w:left="900" w:right="6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SG&amp;A expenses were 9.3% in the third quarter of 2016, compared to 9.8% in the third quarter of 2015, an improvement of 50 basis points.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$753 million, compared to $657 million in the third quarter of 2015.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for the quarter were $333 million, compared to $335 million in the third quarter of 2015.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had $8 million of proceeds from the sale of assets and businesses in the quarter, $28 million less than in the third quarter of 2015.</w:t>
      </w:r>
    </w:p>
    <w:p>
      <w:pPr>
        <w:spacing w:after="0" w:line="32"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$428 million in the third quarter of 2016 as compared to $358 million in the third quarter of 2015.</w:t>
      </w:r>
      <w:r>
        <w:rPr>
          <w:rFonts w:ascii="Arial" w:cs="Arial" w:eastAsia="Arial" w:hAnsi="Arial"/>
          <w:sz w:val="15"/>
          <w:szCs w:val="15"/>
          <w:color w:val="auto"/>
        </w:rPr>
        <w:t>(b)</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$182 million to shareholders through dividends during the third quarter.</w:t>
      </w:r>
    </w:p>
    <w:p>
      <w:pPr>
        <w:spacing w:after="0" w:line="9" w:lineRule="exact"/>
        <w:rPr>
          <w:rFonts w:ascii="Arial" w:cs="Arial" w:eastAsia="Arial" w:hAnsi="Arial"/>
          <w:sz w:val="18"/>
          <w:szCs w:val="18"/>
          <w:color w:val="auto"/>
        </w:rPr>
      </w:pPr>
    </w:p>
    <w:p>
      <w:pPr>
        <w:ind w:left="900" w:right="720" w:hanging="325"/>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33.7%. Adjusting for the items excluded from the Company’s as-reported results, the tax rate was 33.5%. The Company still expects its full year as-adjusted tax rate to be approximately 35%.</w:t>
      </w:r>
      <w:r>
        <w:rPr>
          <w:rFonts w:ascii="Arial" w:cs="Arial" w:eastAsia="Arial" w:hAnsi="Arial"/>
          <w:sz w:val="15"/>
          <w:szCs w:val="15"/>
          <w:color w:val="auto"/>
        </w:rPr>
        <w:t>(b)</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Steiner concluded, “In 2016, we have seen three consecutive quarters of strong price, positive volume, and better than expected earnings performance. As a result, we are again raising our adjusted diluted earnings per share guidance for 2016. Our previous guidance for adjusted earnings per diluted share was between $2.83 and $2.86 for the full year. For the fourth quarter of 2016, we are confident that we can meet or exceed the current Wall Street consensus. Doing so will lead to full year adjusted earnings per diluted share of at least $2.91, which is a more than 5% increase from the mid-point of our initial 2016 guidance, and a more than 11% increase from 2015. We are also confident that we can achieve our free cash flow guidance for 2016 of between $1.6 and $1.7 billion.</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157480</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157480</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157480</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157480</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157480</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157480</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157480</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157480</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157480</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157480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157480</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157480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157480</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157480</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157480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157480</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157480</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157480</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157480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157480</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157480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157480</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157480</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157480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157480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157480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157480</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157480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157480</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157480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157480</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157480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157480</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157480</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157480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157480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157480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157480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157480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157480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157480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157480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157480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157480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157480</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157480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157480</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157480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157480</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157480</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157480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157480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157480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157480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157480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157480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157480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157480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157480</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157480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157480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157480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157480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157480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157480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157480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157480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157480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157480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157480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157480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157480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157480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157480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157480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157480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157480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157480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157480</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157480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157480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157480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157480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157480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157480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157480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157480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157480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157480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157480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157480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157480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157480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157480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157480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157480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157480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157480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157480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157480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157480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157480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157480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157480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157480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157480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157480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157480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157480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157480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157480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157480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157480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157480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157480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157480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157480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157480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157480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157480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157480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157480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157480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157480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157480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157480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157480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157480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157480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157480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157480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157480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157480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157480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157480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157480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157480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157480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157480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157480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157480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157480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157480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157480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157480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157480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157480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157480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157480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157480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157480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157480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157480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157480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157480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157480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157480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157480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157480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157480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157480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157480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157480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157480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157480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157480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157480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157480</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157480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157480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157480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157480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157480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157480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157480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157480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157480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157480</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157480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157480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157480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157480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157480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157480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157480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157480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157480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157480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157480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157480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157480</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157480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157480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157480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157480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157480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157480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157480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157480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157480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157480</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157480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157480</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157480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157480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157480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157480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157480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157480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157480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157480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157480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157480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157480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157480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157480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157480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157480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157480</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157480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157480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157480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157480</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157480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157480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157480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157480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157480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157480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157480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157480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157480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157480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157480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157480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157480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157480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157480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157480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157480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157480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157480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157480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157480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157480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157480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157480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157480</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157480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157480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157480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157480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157480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157480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157480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157480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157480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157480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157480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157480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157480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157480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157480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157480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157480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157480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157480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157480</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157480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157480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157480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157480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157480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157480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157480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157480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157480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157480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157480</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157480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157480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157480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157480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157480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157480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157480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157480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157480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157480</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157480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157480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157480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157480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157480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157480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157480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157480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157480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157480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157480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157480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157480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157480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157480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157480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157480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157480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157480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157480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157480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157480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157480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157480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157480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157480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157480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157480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157480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157480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157480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157480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157480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157480</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157480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157480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157480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157480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157480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157480</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157480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157480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157480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157480</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157480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157480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157480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157480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157480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157480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157480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157480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157480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157480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157480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157480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157480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157480</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157480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157480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157480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157480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157480</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157480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157480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157480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157480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157480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157480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157480</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157480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157480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157480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157480</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157480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157480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157480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157480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157480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157480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157480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157480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157480</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157480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157480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157480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157480</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157480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157480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157480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157480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157480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157480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157480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157480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157480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157480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157480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157480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157480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157480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157480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157480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157480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157480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157480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157480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157480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157480</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157480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157480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157480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157480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157480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157480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157480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157480</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157480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157480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157480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157480</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157480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157480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157480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157480</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157480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157480</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157480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157480</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157480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157480</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157480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157480</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3"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items “Net income attributable to Waste Management, Inc.”.</w:t>
      </w:r>
    </w:p>
    <w:p>
      <w:pPr>
        <w:ind w:left="800" w:right="40" w:hanging="454"/>
        <w:spacing w:after="0" w:line="246" w:lineRule="auto"/>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operating income and margin, operating EBITDA and margin, and tax rate have been referred to as “adjusted” in certain instances, excluding items identified in the reconciliations provided.</w:t>
      </w:r>
    </w:p>
    <w:p>
      <w:pPr>
        <w:spacing w:after="0" w:line="180" w:lineRule="exact"/>
        <w:rPr>
          <w:rFonts w:ascii="Arial" w:cs="Arial" w:eastAsia="Arial" w:hAnsi="Arial"/>
          <w:sz w:val="13"/>
          <w:szCs w:val="13"/>
          <w:color w:val="auto"/>
        </w:rPr>
      </w:pPr>
    </w:p>
    <w:p>
      <w:pPr>
        <w:ind w:left="800" w:right="160"/>
        <w:spacing w:after="0" w:line="249" w:lineRule="auto"/>
        <w:rPr>
          <w:rFonts w:ascii="Arial" w:cs="Arial" w:eastAsia="Arial" w:hAnsi="Arial"/>
          <w:sz w:val="13"/>
          <w:szCs w:val="13"/>
          <w:color w:val="auto"/>
        </w:rPr>
      </w:pPr>
      <w:r>
        <w:rPr>
          <w:rFonts w:ascii="Arial" w:cs="Arial" w:eastAsia="Arial" w:hAnsi="Arial"/>
          <w:sz w:val="13"/>
          <w:szCs w:val="13"/>
          <w:color w:val="auto"/>
        </w:rPr>
        <w:t>The Company’s projected full year 2016 earnings per diluted share and full year expected adjusted tax rate are not based on GAAP calculations and are anticipated to be adjusted to exclude the effects of events or circumstances in 2016 that are not representative or indicative of the Company’s results of operations, including the items excluded from our as-adjusted second and third quarter 2016 results. Projected GAAP earnings per diluted share and effective tax rate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expected tax rate to a GAAP projection.</w:t>
      </w:r>
    </w:p>
    <w:p>
      <w:pPr>
        <w:sectPr>
          <w:pgSz w:w="11900" w:h="16838" w:orient="portrait"/>
          <w:cols w:equalWidth="0" w:num="1">
            <w:col w:w="11420"/>
          </w:cols>
          <w:pgMar w:left="240" w:top="274" w:right="239" w:bottom="1440" w:gutter="0" w:footer="0" w:header="0"/>
        </w:sectPr>
      </w:pPr>
    </w:p>
    <w:bookmarkStart w:id="6" w:name="page7"/>
    <w:bookmarkEnd w:id="6"/>
    <w:p>
      <w:pPr>
        <w:ind w:left="800" w:right="4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179" w:lineRule="exact"/>
        <w:rPr>
          <w:sz w:val="20"/>
          <w:szCs w:val="20"/>
          <w:color w:val="auto"/>
        </w:rPr>
      </w:pPr>
    </w:p>
    <w:p>
      <w:pPr>
        <w:ind w:left="800" w:right="60"/>
        <w:spacing w:after="0" w:line="234" w:lineRule="auto"/>
        <w:rPr>
          <w:sz w:val="20"/>
          <w:szCs w:val="20"/>
          <w:color w:val="auto"/>
        </w:rPr>
      </w:pPr>
      <w:r>
        <w:rPr>
          <w:rFonts w:ascii="Arial" w:cs="Arial" w:eastAsia="Arial" w:hAnsi="Arial"/>
          <w:sz w:val="14"/>
          <w:szCs w:val="14"/>
          <w:color w:val="auto"/>
        </w:rPr>
        <w:t>The Company defines operating EBITDA as income from operations before depreciation and amortization; this measure may not be comparable to similarly titled measures reported by other companies. Management uses this measure as an indicator of the Company’s operating performance and ability to pay dividends, fund acquisitions, capital expenditures and other investments and, in the absence of refinancing, to repay debt obligations. Adjusted operating EBITDA is a non-GAAP measure and is not intended to replace net income, income from operations or net cash provided by operating activities.</w:t>
      </w:r>
    </w:p>
    <w:p>
      <w:pPr>
        <w:spacing w:after="0" w:line="182" w:lineRule="exact"/>
        <w:rPr>
          <w:sz w:val="20"/>
          <w:szCs w:val="20"/>
          <w:color w:val="auto"/>
        </w:rPr>
      </w:pPr>
    </w:p>
    <w:p>
      <w:pPr>
        <w:ind w:left="800" w:right="100"/>
        <w:spacing w:after="0" w:line="238" w:lineRule="auto"/>
        <w:rPr>
          <w:sz w:val="20"/>
          <w:szCs w:val="20"/>
          <w:color w:val="auto"/>
        </w:rPr>
      </w:pPr>
      <w:r>
        <w:rPr>
          <w:rFonts w:ascii="Arial" w:cs="Arial" w:eastAsia="Arial" w:hAnsi="Arial"/>
          <w:sz w:val="14"/>
          <w:szCs w:val="14"/>
          <w:color w:val="auto"/>
        </w:rPr>
        <w:t>The quantitative reconciliations of non-GAAP measures used herein to the most comparable GAAP measures are included in the accompanying schedules, with the exception of projected earnings per diluted share and expected tax rate. Non-GAAP measures should not be considered a substitute for financial measures presented in accordance with GAAP, and investors are urged to take into account GAAP measures as well as non-GAAP measures in evaluating the Company.</w:t>
      </w:r>
    </w:p>
    <w:p>
      <w:pPr>
        <w:spacing w:after="0" w:line="210" w:lineRule="exact"/>
        <w:rPr>
          <w:sz w:val="20"/>
          <w:szCs w:val="20"/>
          <w:color w:val="auto"/>
        </w:rPr>
      </w:pPr>
    </w:p>
    <w:p>
      <w:pPr>
        <w:ind w:left="800" w:right="120" w:hanging="454"/>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host a conference call at 10:00 AM (Eastern) today to discuss the third quarter 2016 results. Information contained within this press release will be referenced and should be considered in conjunction with the call.</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90149575 when prompted by the conference call operator.</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 replay of the conference call will be available on the Company’s website www.wm.com and by telephone from approximately 1:00 PM (Eastern) Wednesday, October 26, 2016 through 5:00 PM (Eastern) on Wednesday, November 9, 2016. To access the replay telephonically, please dial (855) 859-2056, or from outside of the United States or Canada dial (404) 537-3406, and use the replay conference ID number 90149575.</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2016 earnings per diluted share; 2016 free cash flow; 2016 adjusted tax rate; and future Company performance, including earnings improvement, cash flow and volume trends.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ectPr>
          <w:pgSz w:w="11900" w:h="16838" w:orient="portrait"/>
          <w:cols w:equalWidth="0" w:num="1">
            <w:col w:w="11420"/>
          </w:cols>
          <w:pgMar w:left="240" w:top="26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WASTE MANAGEMENT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Expense from divestitures, asset impairments and unusual items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760" w:type="dxa"/>
            <w:vAlign w:val="bottom"/>
            <w:vMerge w:val="restart"/>
          </w:tcPr>
          <w:p>
            <w:pPr>
              <w:jc w:val="right"/>
              <w:ind w:right="31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jc w:val="right"/>
              <w:ind w:right="303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Expense from divestitures, asset impairments and unusual items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40" w:type="dxa"/>
            <w:vAlign w:val="bottom"/>
            <w:vMerge w:val="restart"/>
          </w:tcPr>
          <w:p>
            <w:pPr>
              <w:jc w:val="right"/>
              <w:ind w:right="2830"/>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847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442.0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444.3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9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jc w:val="right"/>
              <w:ind w:right="263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6,227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20,756</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2016 presentation.</w:t>
      </w:r>
    </w:p>
    <w:p>
      <w:pPr>
        <w:spacing w:after="0" w:line="15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846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988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 program</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jc w:val="right"/>
              <w:ind w:right="2670"/>
              <w:spacing w:after="0"/>
              <w:rPr>
                <w:sz w:val="20"/>
                <w:szCs w:val="20"/>
                <w:color w:val="auto"/>
              </w:rPr>
            </w:pPr>
            <w:r>
              <w:rPr>
                <w:rFonts w:ascii="Arial" w:cs="Arial" w:eastAsia="Arial" w:hAnsi="Arial"/>
                <w:sz w:val="18"/>
                <w:szCs w:val="18"/>
                <w:b w:val="1"/>
                <w:bCs w:val="1"/>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8"/>
          </w:tcPr>
          <w:p>
            <w:pPr>
              <w:jc w:val="center"/>
              <w:ind w:right="284"/>
              <w:spacing w:after="0"/>
              <w:rPr>
                <w:sz w:val="20"/>
                <w:szCs w:val="20"/>
                <w:color w:val="auto"/>
              </w:rPr>
            </w:pPr>
            <w:r>
              <w:rPr>
                <w:rFonts w:ascii="Arial" w:cs="Arial" w:eastAsia="Arial" w:hAnsi="Arial"/>
                <w:sz w:val="14"/>
                <w:szCs w:val="14"/>
                <w:b w:val="1"/>
                <w:bCs w:val="1"/>
                <w:color w:val="auto"/>
                <w:w w:val="95"/>
              </w:rPr>
              <w:t>Quarters Ended</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7"/>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6"/>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7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Collection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Commercial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720"/>
              <w:spacing w:after="0"/>
              <w:rPr>
                <w:sz w:val="20"/>
                <w:szCs w:val="20"/>
                <w:color w:val="auto"/>
              </w:rPr>
            </w:pPr>
            <w:r>
              <w:rPr>
                <w:rFonts w:ascii="Arial" w:cs="Arial" w:eastAsia="Arial" w:hAnsi="Arial"/>
                <w:sz w:val="18"/>
                <w:szCs w:val="18"/>
                <w:color w:val="auto"/>
              </w:rPr>
              <w:t>Residential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Industrial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80" w:type="dxa"/>
            <w:vAlign w:val="bottom"/>
            <w:gridSpan w:val="4"/>
          </w:tcPr>
          <w:p>
            <w:pPr>
              <w:ind w:left="7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Landfill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Transfer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Recycling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36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w w:val="95"/>
              </w:rPr>
              <w:t>Quarters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9"/>
          </w:tcPr>
          <w:p>
            <w:pPr>
              <w:jc w:val="right"/>
              <w:ind w:right="908"/>
              <w:spacing w:after="0" w:line="142" w:lineRule="exact"/>
              <w:rPr>
                <w:sz w:val="20"/>
                <w:szCs w:val="20"/>
                <w:color w:val="auto"/>
              </w:rPr>
            </w:pPr>
            <w:r>
              <w:rPr>
                <w:rFonts w:ascii="Arial" w:cs="Arial" w:eastAsia="Arial" w:hAnsi="Arial"/>
                <w:sz w:val="14"/>
                <w:szCs w:val="14"/>
                <w:b w:val="1"/>
                <w:bCs w:val="1"/>
                <w:color w:val="auto"/>
                <w:w w:val="90"/>
              </w:rPr>
              <w:t>September 30, 2016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9"/>
          </w:tcPr>
          <w:p>
            <w:pPr>
              <w:jc w:val="right"/>
              <w:ind w:right="480"/>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81"/>
              <w:spacing w:after="0" w:line="123" w:lineRule="exact"/>
              <w:rPr>
                <w:sz w:val="20"/>
                <w:szCs w:val="20"/>
                <w:color w:val="auto"/>
              </w:rPr>
            </w:pPr>
            <w:r>
              <w:rPr>
                <w:rFonts w:ascii="Arial" w:cs="Arial" w:eastAsia="Arial" w:hAnsi="Arial"/>
                <w:sz w:val="14"/>
                <w:szCs w:val="14"/>
                <w:color w:val="auto"/>
              </w:rPr>
              <w:t>As a % of</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right"/>
              <w:ind w:right="160"/>
              <w:spacing w:after="0" w:line="123" w:lineRule="exact"/>
              <w:rPr>
                <w:sz w:val="20"/>
                <w:szCs w:val="20"/>
                <w:color w:val="auto"/>
              </w:rPr>
            </w:pPr>
            <w:r>
              <w:rPr>
                <w:rFonts w:ascii="Arial" w:cs="Arial" w:eastAsia="Arial" w:hAnsi="Arial"/>
                <w:sz w:val="14"/>
                <w:szCs w:val="14"/>
                <w:color w:val="auto"/>
              </w:rPr>
              <w:t>As a %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right"/>
              <w:ind w:right="408"/>
              <w:spacing w:after="0"/>
              <w:rPr>
                <w:sz w:val="20"/>
                <w:szCs w:val="20"/>
                <w:color w:val="auto"/>
              </w:rPr>
            </w:pPr>
            <w:r>
              <w:rPr>
                <w:rFonts w:ascii="Arial" w:cs="Arial" w:eastAsia="Arial" w:hAnsi="Arial"/>
                <w:sz w:val="14"/>
                <w:szCs w:val="14"/>
                <w:color w:val="auto"/>
                <w:w w:val="92"/>
              </w:rPr>
              <w:t>Total Company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5"/>
          </w:tcPr>
          <w:p>
            <w:pPr>
              <w:jc w:val="right"/>
              <w:ind w:right="204"/>
              <w:spacing w:after="0"/>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6"/>
          </w:tcPr>
          <w:p>
            <w:pPr>
              <w:jc w:val="right"/>
              <w:ind w:right="20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6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3"/>
          </w:tcPr>
          <w:p>
            <w:pPr>
              <w:ind w:left="72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5"/>
          </w:tcPr>
          <w:p>
            <w:pPr>
              <w:ind w:left="800"/>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4"/>
          </w:tcPr>
          <w:p>
            <w:pPr>
              <w:jc w:val="right"/>
              <w:ind w:right="144"/>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5"/>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4"/>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5"/>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5"/>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gridSpan w:val="4"/>
          </w:tcPr>
          <w:p>
            <w:pPr>
              <w:ind w:left="66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ind w:left="8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4"/>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tcPr>
          <w:p>
            <w:pPr>
              <w:ind w:left="340"/>
              <w:spacing w:after="0"/>
              <w:rPr>
                <w:sz w:val="20"/>
                <w:szCs w:val="20"/>
                <w:color w:val="auto"/>
              </w:rPr>
            </w:pPr>
            <w:r>
              <w:rPr>
                <w:rFonts w:ascii="Arial" w:cs="Arial" w:eastAsia="Arial" w:hAnsi="Arial"/>
                <w:sz w:val="18"/>
                <w:szCs w:val="18"/>
                <w:color w:val="auto"/>
              </w:rPr>
              <w:t>Divestitures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ind w:right="144"/>
              <w:spacing w:after="0"/>
              <w:rPr>
                <w:sz w:val="20"/>
                <w:szCs w:val="20"/>
                <w:color w:val="auto"/>
              </w:rPr>
            </w:pPr>
            <w:r>
              <w:rPr>
                <w:rFonts w:ascii="Arial" w:cs="Arial" w:eastAsia="Arial" w:hAnsi="Arial"/>
                <w:sz w:val="18"/>
                <w:szCs w:val="18"/>
                <w:color w:val="auto"/>
                <w:w w:val="95"/>
              </w:rPr>
              <w:t>(186)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4"/>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4"/>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gridSpan w:val="4"/>
          </w:tcPr>
          <w:p>
            <w:pPr>
              <w:ind w:left="66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0"/>
              </w:rPr>
              <w:t>$ (242</w:t>
            </w:r>
          </w:p>
        </w:tc>
        <w:tc>
          <w:tcPr>
            <w:tcW w:w="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ind w:right="648"/>
              <w:spacing w:after="0"/>
              <w:rPr>
                <w:sz w:val="20"/>
                <w:szCs w:val="20"/>
                <w:color w:val="auto"/>
              </w:rPr>
            </w:pPr>
            <w:r>
              <w:rPr>
                <w:rFonts w:ascii="Arial" w:cs="Arial" w:eastAsia="Arial" w:hAnsi="Arial"/>
                <w:sz w:val="14"/>
                <w:szCs w:val="14"/>
                <w:color w:val="auto"/>
              </w:rPr>
              <w:t>As a % of</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jc w:val="right"/>
              <w:ind w:right="42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6"/>
          </w:tcPr>
          <w:p>
            <w:pPr>
              <w:jc w:val="right"/>
              <w:ind w:right="448"/>
              <w:spacing w:after="0"/>
              <w:rPr>
                <w:sz w:val="20"/>
                <w:szCs w:val="20"/>
                <w:color w:val="auto"/>
              </w:rPr>
            </w:pPr>
            <w:r>
              <w:rPr>
                <w:rFonts w:ascii="Arial" w:cs="Arial" w:eastAsia="Arial" w:hAnsi="Arial"/>
                <w:sz w:val="14"/>
                <w:szCs w:val="14"/>
                <w:color w:val="auto"/>
                <w:w w:val="89"/>
              </w:rPr>
              <w:t>Related Business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8"/>
          </w:tcPr>
          <w:p>
            <w:pPr>
              <w:jc w:val="right"/>
              <w:ind w:right="200"/>
              <w:spacing w:after="0"/>
              <w:rPr>
                <w:sz w:val="20"/>
                <w:szCs w:val="20"/>
                <w:color w:val="auto"/>
              </w:rPr>
            </w:pPr>
            <w:r>
              <w:rPr>
                <w:rFonts w:ascii="Arial" w:cs="Arial" w:eastAsia="Arial" w:hAnsi="Arial"/>
                <w:sz w:val="14"/>
                <w:szCs w:val="14"/>
                <w:color w:val="auto"/>
                <w:w w:val="89"/>
              </w:rPr>
              <w:t>Related 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5"/>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260"/>
              <w:spacing w:after="0"/>
              <w:rPr>
                <w:sz w:val="20"/>
                <w:szCs w:val="20"/>
                <w:color w:val="auto"/>
              </w:rPr>
            </w:pPr>
            <w:r>
              <w:rPr>
                <w:rFonts w:ascii="Arial" w:cs="Arial" w:eastAsia="Arial" w:hAnsi="Arial"/>
                <w:sz w:val="18"/>
                <w:szCs w:val="18"/>
                <w:color w:val="auto"/>
              </w:rPr>
              <w:t>Collection and disposal</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5"/>
          </w:tcPr>
          <w:p>
            <w:pPr>
              <w:jc w:val="right"/>
              <w:ind w:right="8"/>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Recycling commodities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4"/>
          </w:tcPr>
          <w:p>
            <w:pPr>
              <w:ind w:left="260"/>
              <w:spacing w:after="0"/>
              <w:rPr>
                <w:sz w:val="20"/>
                <w:szCs w:val="20"/>
                <w:color w:val="auto"/>
              </w:rPr>
            </w:pPr>
            <w:r>
              <w:rPr>
                <w:rFonts w:ascii="Arial" w:cs="Arial" w:eastAsia="Arial" w:hAnsi="Arial"/>
                <w:sz w:val="18"/>
                <w:szCs w:val="18"/>
                <w:color w:val="auto"/>
              </w:rPr>
              <w:t>Fuel surcharges and mandated fees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5"/>
          </w:tcPr>
          <w:p>
            <w:pPr>
              <w:jc w:val="right"/>
              <w:ind w:right="8"/>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6"/>
          </w:tcPr>
          <w:p>
            <w:pPr>
              <w:jc w:val="center"/>
              <w:ind w:left="41"/>
              <w:spacing w:after="0"/>
              <w:rPr>
                <w:sz w:val="20"/>
                <w:szCs w:val="20"/>
                <w:color w:val="auto"/>
              </w:rPr>
            </w:pPr>
            <w:r>
              <w:rPr>
                <w:rFonts w:ascii="Arial" w:cs="Arial" w:eastAsia="Arial" w:hAnsi="Arial"/>
                <w:sz w:val="14"/>
                <w:szCs w:val="14"/>
                <w:b w:val="1"/>
                <w:bCs w:val="1"/>
                <w:color w:val="auto"/>
                <w:w w:val="95"/>
              </w:rPr>
              <w:t>Quarters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5"/>
          </w:tcPr>
          <w:p>
            <w:pPr>
              <w:jc w:val="center"/>
              <w:ind w:right="42"/>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44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21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ind w:left="800"/>
              <w:spacing w:after="0"/>
              <w:rPr>
                <w:sz w:val="20"/>
                <w:szCs w:val="20"/>
                <w:color w:val="auto"/>
              </w:rPr>
            </w:pPr>
            <w:r>
              <w:rPr>
                <w:rFonts w:ascii="Arial" w:cs="Arial" w:eastAsia="Arial" w:hAnsi="Arial"/>
                <w:sz w:val="18"/>
                <w:szCs w:val="18"/>
                <w:color w:val="auto"/>
              </w:rPr>
              <w:t>$ 753</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$ 657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$2,207</w:t>
            </w:r>
          </w:p>
        </w:tc>
        <w:tc>
          <w:tcPr>
            <w:tcW w:w="8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48"/>
              <w:spacing w:after="0"/>
              <w:rPr>
                <w:sz w:val="20"/>
                <w:szCs w:val="20"/>
                <w:color w:val="auto"/>
              </w:rPr>
            </w:pPr>
            <w:r>
              <w:rPr>
                <w:rFonts w:ascii="Arial" w:cs="Arial" w:eastAsia="Arial" w:hAnsi="Arial"/>
                <w:sz w:val="18"/>
                <w:szCs w:val="18"/>
                <w:color w:val="auto"/>
              </w:rPr>
              <w:t>(333)</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11"/>
          </w:tcPr>
          <w:p>
            <w:pPr>
              <w:spacing w:after="0"/>
              <w:rPr>
                <w:sz w:val="20"/>
                <w:szCs w:val="20"/>
                <w:color w:val="auto"/>
              </w:rPr>
            </w:pPr>
            <w:r>
              <w:rPr>
                <w:rFonts w:ascii="Arial" w:cs="Arial" w:eastAsia="Arial" w:hAnsi="Arial"/>
                <w:sz w:val="18"/>
                <w:szCs w:val="18"/>
                <w:color w:val="auto"/>
                <w:w w:val="90"/>
              </w:rPr>
              <w:t>Proceeds from divestitures of businesses and other assets (net of cash divested)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$ 428</w:t>
            </w:r>
          </w:p>
        </w:tc>
        <w:tc>
          <w:tcPr>
            <w:tcW w:w="2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1,277</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23"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52" w:hanging="452"/>
        <w:spacing w:after="0" w:line="255"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332"/>
          </w:cols>
          <w:pgMar w:left="248" w:top="270"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0"/>
                <w:szCs w:val="10"/>
                <w:color w:val="auto"/>
              </w:rPr>
            </w:pPr>
          </w:p>
        </w:tc>
        <w:tc>
          <w:tcPr>
            <w:tcW w:w="138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5800" w:type="dxa"/>
            <w:vAlign w:val="bottom"/>
            <w:tcBorders>
              <w:bottom w:val="single" w:sz="8" w:color="CCEEFF"/>
            </w:tcBorders>
            <w:gridSpan w:val="4"/>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9,261</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9,530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5,383</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5,228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gridSpan w:val="6"/>
          </w:tcPr>
          <w:p>
            <w:pPr>
              <w:ind w:left="540"/>
              <w:spacing w:after="0"/>
              <w:rPr>
                <w:sz w:val="20"/>
                <w:szCs w:val="20"/>
                <w:color w:val="auto"/>
              </w:rPr>
            </w:pPr>
            <w:r>
              <w:rPr>
                <w:rFonts w:ascii="Arial" w:cs="Arial" w:eastAsia="Arial" w:hAnsi="Arial"/>
                <w:sz w:val="18"/>
                <w:szCs w:val="18"/>
                <w:color w:val="auto"/>
              </w:rPr>
              <w:t>Total capital</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14,758</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730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8"/>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6"/>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44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65.8%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8"/>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Sites accepting waste at the end of each period presented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73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auto"/>
            </w:tcBorders>
            <w:gridSpan w:val="6"/>
          </w:tcPr>
          <w:p>
            <w:pPr>
              <w:ind w:left="160"/>
              <w:spacing w:after="0" w:line="196" w:lineRule="exact"/>
              <w:rPr>
                <w:sz w:val="20"/>
                <w:szCs w:val="20"/>
                <w:color w:val="auto"/>
              </w:rPr>
            </w:pPr>
            <w:r>
              <w:rPr>
                <w:rFonts w:ascii="Arial" w:cs="Arial" w:eastAsia="Arial" w:hAnsi="Arial"/>
                <w:sz w:val="18"/>
                <w:szCs w:val="18"/>
                <w:b w:val="1"/>
                <w:bCs w:val="1"/>
                <w:color w:val="auto"/>
              </w:rPr>
              <w:t>Groups:</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gridSpan w:val="6"/>
          </w:tcPr>
          <w:p>
            <w:pPr>
              <w:ind w:left="540"/>
              <w:spacing w:after="0"/>
              <w:rPr>
                <w:sz w:val="20"/>
                <w:szCs w:val="20"/>
                <w:color w:val="auto"/>
              </w:rPr>
            </w:pPr>
            <w:r>
              <w:rPr>
                <w:rFonts w:ascii="Arial" w:cs="Arial" w:eastAsia="Arial" w:hAnsi="Arial"/>
                <w:sz w:val="18"/>
                <w:szCs w:val="18"/>
                <w:color w:val="auto"/>
              </w:rPr>
              <w:t>Total landfill amortization expense (b)</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640" w:hanging="452"/>
        <w:spacing w:after="0" w:line="32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quarter ended September 30, 2016 as compared to the quarter ended September 30, 2015 reflects a decrease in amortization expense of of approximately $1.8 million primarily due to changes in landfill estimates identified in both quarters, offset in part due to an increase in volume.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92"/>
          </w:cols>
          <w:pgMar w:left="248"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12" w:right="960"/>
        <w:spacing w:after="0" w:line="308" w:lineRule="auto"/>
        <w:rPr>
          <w:sz w:val="20"/>
          <w:szCs w:val="20"/>
          <w:color w:val="auto"/>
        </w:rPr>
      </w:pPr>
      <w:r>
        <w:rPr>
          <w:rFonts w:ascii="Arial" w:cs="Arial" w:eastAsia="Arial" w:hAnsi="Arial"/>
          <w:sz w:val="17"/>
          <w:szCs w:val="17"/>
          <w:b w:val="1"/>
          <w:bCs w:val="1"/>
          <w:i w:val="1"/>
          <w:iCs w:val="1"/>
          <w:color w:val="auto"/>
        </w:rPr>
        <w:t xml:space="preserve">Adjusted Net Income and Earnings Per Diluted Share </w:t>
      </w:r>
      <w:r>
        <w:rPr>
          <w:rFonts w:ascii="Arial" w:cs="Arial" w:eastAsia="Arial" w:hAnsi="Arial"/>
          <w:sz w:val="17"/>
          <w:szCs w:val="17"/>
          <w:b w:val="1"/>
          <w:bCs w:val="1"/>
          <w:color w:val="auto"/>
        </w:rPr>
        <w:t>Net income and diluted EPS, as-reported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-171450</wp:posOffset>
            </wp:positionV>
            <wp:extent cx="6080125"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2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Adjustment to net income and diluted EPS:</w:t>
      </w:r>
    </w:p>
    <w:p>
      <w:pPr>
        <w:spacing w:after="0" w:line="27" w:lineRule="exact"/>
        <w:rPr>
          <w:sz w:val="20"/>
          <w:szCs w:val="20"/>
          <w:color w:val="auto"/>
        </w:rPr>
      </w:pPr>
    </w:p>
    <w:p>
      <w:pPr>
        <w:ind w:left="912" w:firstLine="360"/>
        <w:spacing w:after="0" w:line="292" w:lineRule="auto"/>
        <w:rPr>
          <w:sz w:val="20"/>
          <w:szCs w:val="20"/>
          <w:color w:val="auto"/>
        </w:rPr>
      </w:pPr>
      <w:r>
        <w:rPr>
          <w:rFonts w:ascii="Arial" w:cs="Arial" w:eastAsia="Arial" w:hAnsi="Arial"/>
          <w:sz w:val="18"/>
          <w:szCs w:val="18"/>
          <w:color w:val="auto"/>
        </w:rPr>
        <w:t xml:space="preserve">Expense from divestitures, asset impairments and unusual items </w:t>
      </w:r>
      <w:r>
        <w:rPr>
          <w:rFonts w:ascii="Arial" w:cs="Arial" w:eastAsia="Arial" w:hAnsi="Arial"/>
          <w:sz w:val="18"/>
          <w:szCs w:val="18"/>
          <w:b w:val="1"/>
          <w:bCs w:val="1"/>
          <w:color w:val="auto"/>
        </w:rPr>
        <w:t>Adjusted net income and diluted EPS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-319405</wp:posOffset>
            </wp:positionV>
            <wp:extent cx="6080125"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67"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color w:val="auto"/>
        </w:rPr>
        <w:t>Adjusted Tax Expense Reconciliation and</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As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-130810</wp:posOffset>
            </wp:positionV>
            <wp:extent cx="6080125"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92"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Adjustment:</w:t>
      </w:r>
    </w:p>
    <w:p>
      <w:pPr>
        <w:spacing w:after="0" w:line="27" w:lineRule="exact"/>
        <w:rPr>
          <w:sz w:val="20"/>
          <w:szCs w:val="20"/>
          <w:color w:val="auto"/>
        </w:rPr>
      </w:pPr>
    </w:p>
    <w:p>
      <w:pPr>
        <w:ind w:left="1452" w:right="440" w:hanging="179"/>
        <w:spacing w:after="0" w:line="255" w:lineRule="auto"/>
        <w:rPr>
          <w:sz w:val="20"/>
          <w:szCs w:val="20"/>
          <w:color w:val="auto"/>
        </w:rPr>
      </w:pPr>
      <w:r>
        <w:rPr>
          <w:rFonts w:ascii="Arial" w:cs="Arial" w:eastAsia="Arial" w:hAnsi="Arial"/>
          <w:sz w:val="18"/>
          <w:szCs w:val="18"/>
          <w:color w:val="auto"/>
        </w:rPr>
        <w:t xml:space="preserve">Expense from divestitures, asset impairments and unusual items </w:t>
      </w: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-278765</wp:posOffset>
            </wp:positionV>
            <wp:extent cx="6080125" cy="274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80125" cy="27432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b w:val="1"/>
          <w:bCs w:val="1"/>
          <w:color w:val="auto"/>
        </w:rPr>
        <w:t>As adjusted amounts</w:t>
      </w:r>
    </w:p>
    <w:p>
      <w:pPr>
        <w:spacing w:after="0" w:line="279"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color w:val="auto"/>
        </w:rPr>
        <w:t xml:space="preserve">2016 Projected Free Cash Flow Reconciliation </w:t>
      </w:r>
      <w:r>
        <w:rPr>
          <w:rFonts w:ascii="Arial" w:cs="Arial" w:eastAsia="Arial" w:hAnsi="Arial"/>
          <w:sz w:val="18"/>
          <w:szCs w:val="18"/>
          <w:b w:val="1"/>
          <w:bCs w:val="1"/>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-119380</wp:posOffset>
            </wp:positionV>
            <wp:extent cx="6080125"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42"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-121920</wp:posOffset>
            </wp:positionV>
            <wp:extent cx="6080125" cy="146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Capital expenditures</w:t>
      </w:r>
    </w:p>
    <w:p>
      <w:pPr>
        <w:spacing w:after="0" w:line="23" w:lineRule="exact"/>
        <w:rPr>
          <w:sz w:val="20"/>
          <w:szCs w:val="20"/>
          <w:color w:val="auto"/>
        </w:rPr>
      </w:pPr>
    </w:p>
    <w:p>
      <w:pPr>
        <w:ind w:left="1452" w:right="180" w:hanging="179"/>
        <w:spacing w:after="0" w:line="255" w:lineRule="auto"/>
        <w:rPr>
          <w:sz w:val="20"/>
          <w:szCs w:val="20"/>
          <w:color w:val="auto"/>
        </w:rPr>
      </w:pPr>
      <w:r>
        <w:rPr>
          <w:rFonts w:ascii="Arial" w:cs="Arial" w:eastAsia="Arial" w:hAnsi="Arial"/>
          <w:sz w:val="18"/>
          <w:szCs w:val="18"/>
          <w:color w:val="auto"/>
        </w:rPr>
        <w:t>Proceeds from divestitures of businesses and other assets (net of cash divested)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-278765</wp:posOffset>
            </wp:positionV>
            <wp:extent cx="6080125" cy="274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80125" cy="27432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b w:val="1"/>
          <w:bCs w:val="1"/>
          <w:color w:val="auto"/>
        </w:rPr>
        <w:t>Free Cash Flow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Quarter Ended</w:t>
      </w:r>
    </w:p>
    <w:p>
      <w:pPr>
        <w:ind w:left="2220"/>
        <w:spacing w:after="0" w:line="236" w:lineRule="auto"/>
        <w:rPr>
          <w:sz w:val="20"/>
          <w:szCs w:val="20"/>
          <w:color w:val="auto"/>
        </w:rPr>
      </w:pPr>
      <w:r>
        <w:rPr>
          <w:rFonts w:ascii="Arial" w:cs="Arial" w:eastAsia="Arial" w:hAnsi="Arial"/>
          <w:sz w:val="14"/>
          <w:szCs w:val="14"/>
          <w:b w:val="1"/>
          <w:bCs w:val="1"/>
          <w:color w:val="auto"/>
        </w:rPr>
        <w:t>September 30, 2016</w:t>
      </w:r>
    </w:p>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6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8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Per Share</w:t>
            </w:r>
          </w:p>
        </w:tc>
        <w:tc>
          <w:tcPr>
            <w:tcW w:w="20" w:type="dxa"/>
            <w:vAlign w:val="bottom"/>
          </w:tcPr>
          <w:p>
            <w:pPr>
              <w:spacing w:after="0"/>
              <w:rPr>
                <w:sz w:val="10"/>
                <w:szCs w:val="10"/>
                <w:color w:val="auto"/>
              </w:rPr>
            </w:pPr>
          </w:p>
        </w:tc>
      </w:tr>
      <w:tr>
        <w:trPr>
          <w:trHeight w:val="171"/>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r>
      <w:tr>
        <w:trPr>
          <w:trHeight w:val="228"/>
        </w:trPr>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0.68</w:t>
            </w:r>
          </w:p>
        </w:tc>
        <w:tc>
          <w:tcPr>
            <w:tcW w:w="20" w:type="dxa"/>
            <w:vAlign w:val="bottom"/>
          </w:tcPr>
          <w:p>
            <w:pPr>
              <w:spacing w:after="0"/>
              <w:rPr>
                <w:sz w:val="19"/>
                <w:szCs w:val="19"/>
                <w:color w:val="auto"/>
              </w:rPr>
            </w:pPr>
          </w:p>
        </w:tc>
      </w:tr>
      <w:tr>
        <w:trPr>
          <w:trHeight w:val="522"/>
        </w:trPr>
        <w:tc>
          <w:tcPr>
            <w:tcW w:w="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374</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0.84</w:t>
            </w:r>
          </w:p>
        </w:tc>
        <w:tc>
          <w:tcPr>
            <w:tcW w:w="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Quarter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3666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3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2"/>
              </w:rPr>
              <w:t>Pre-tax</w:t>
            </w:r>
          </w:p>
        </w:tc>
        <w:tc>
          <w:tcPr>
            <w:tcW w:w="140" w:type="dxa"/>
            <w:vAlign w:val="bottom"/>
          </w:tcPr>
          <w:p>
            <w:pPr>
              <w:spacing w:after="0"/>
              <w:rPr>
                <w:sz w:val="14"/>
                <w:szCs w:val="14"/>
                <w:color w:val="auto"/>
              </w:rPr>
            </w:pPr>
          </w:p>
        </w:tc>
        <w:tc>
          <w:tcPr>
            <w:tcW w:w="13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Tax</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Effective Tax</w:t>
            </w:r>
          </w:p>
        </w:tc>
      </w:tr>
      <w:tr>
        <w:trPr>
          <w:trHeight w:val="171"/>
        </w:trPr>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Expense</w:t>
            </w:r>
          </w:p>
        </w:tc>
        <w:tc>
          <w:tcPr>
            <w:tcW w:w="8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Rate (b)</w:t>
            </w:r>
          </w:p>
        </w:tc>
        <w:tc>
          <w:tcPr>
            <w:tcW w:w="180" w:type="dxa"/>
            <w:vAlign w:val="bottom"/>
          </w:tcPr>
          <w:p>
            <w:pPr>
              <w:spacing w:after="0"/>
              <w:rPr>
                <w:sz w:val="14"/>
                <w:szCs w:val="14"/>
                <w:color w:val="auto"/>
              </w:rPr>
            </w:pPr>
          </w:p>
        </w:tc>
      </w:tr>
      <w:tr>
        <w:trPr>
          <w:trHeight w:val="228"/>
        </w:trPr>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33.7%</w:t>
            </w:r>
          </w:p>
        </w:tc>
      </w:tr>
      <w:tr>
        <w:trPr>
          <w:trHeight w:val="738"/>
        </w:trPr>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w:t>
            </w:r>
          </w:p>
        </w:tc>
        <w:tc>
          <w:tcPr>
            <w:tcW w:w="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33.5%</w:t>
            </w:r>
          </w:p>
        </w:tc>
      </w:tr>
      <w:tr>
        <w:trPr>
          <w:trHeight w:val="20"/>
        </w:trPr>
        <w:tc>
          <w:tcPr>
            <w:tcW w:w="660" w:type="dxa"/>
            <w:vAlign w:val="bottom"/>
            <w:tcBorders>
              <w:bottom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5"/>
        </w:trPr>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Scenario 2</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2,950</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3,100</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100" w:type="dxa"/>
            <w:vAlign w:val="bottom"/>
          </w:tcPr>
          <w:p>
            <w:pPr>
              <w:spacing w:after="0"/>
              <w:rPr>
                <w:sz w:val="20"/>
                <w:szCs w:val="20"/>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(1,450)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50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92" w:space="640"/>
            <w:col w:w="4760"/>
          </w:cols>
          <w:pgMar w:left="248" w:top="270" w:right="359" w:bottom="1440" w:gutter="0" w:footer="0" w:header="0"/>
          <w:type w:val="continuous"/>
        </w:sectPr>
      </w:pPr>
    </w:p>
    <w:p>
      <w:pPr>
        <w:spacing w:after="0" w:line="42" w:lineRule="exact"/>
        <w:rPr>
          <w:sz w:val="20"/>
          <w:szCs w:val="20"/>
          <w:color w:val="auto"/>
        </w:rPr>
      </w:pPr>
    </w:p>
    <w:p>
      <w:pPr>
        <w:ind w:left="452" w:right="80" w:hanging="452"/>
        <w:spacing w:after="0" w:line="258"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quarter 2016 adjusted earnings per diluted share increased $0.10, or 13.5%, as compared with $0.74 per diluted share as-reported results for the same period prior year.</w:t>
      </w:r>
    </w:p>
    <w:p>
      <w:pPr>
        <w:spacing w:after="0" w:line="1" w:lineRule="exact"/>
        <w:rPr>
          <w:rFonts w:ascii="Arial" w:cs="Arial" w:eastAsia="Arial" w:hAnsi="Arial"/>
          <w:sz w:val="18"/>
          <w:szCs w:val="18"/>
          <w:color w:val="auto"/>
        </w:rPr>
      </w:pPr>
    </w:p>
    <w:p>
      <w:pPr>
        <w:ind w:left="452" w:right="280" w:hanging="452"/>
        <w:spacing w:after="0" w:line="265" w:lineRule="auto"/>
        <w:tabs>
          <w:tab w:leader="none" w:pos="4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ind w:left="452" w:right="8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pre-tax charges of i) $43 million related to the impairment of a rural landfill and ii) $42 million related to estimated environmental remediation at a closed site.</w:t>
      </w:r>
    </w:p>
    <w:p>
      <w:pPr>
        <w:ind w:left="452" w:hanging="452"/>
        <w:spacing w:after="0" w:line="290" w:lineRule="auto"/>
        <w:tabs>
          <w:tab w:leader="none" w:pos="4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reconciliation includes two scenarios that illustrate our projected free cash flow range for 2016. The amounts used in the reconciliation are subject to many variables, some of which are not under our control and, therefore, are not necessarily indicative of actual results.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292"/>
          </w:cols>
          <w:pgMar w:left="248" w:top="270" w:right="359" w:bottom="1440" w:gutter="0" w:footer="0" w:header="0"/>
          <w:type w:val="continuous"/>
        </w:sectPr>
      </w:pPr>
    </w:p>
    <w:bookmarkStart w:id="17" w:name="page18"/>
    <w:bookmarkEnd w:id="17"/>
    <w:p>
      <w:pPr>
        <w:jc w:val="center"/>
        <w:ind w:right="-1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52"/>
          </w:cols>
          <w:pgMar w:left="248" w:top="270" w:right="39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372" w:right="1472"/>
        <w:spacing w:after="0" w:line="310" w:lineRule="auto"/>
        <w:rPr>
          <w:sz w:val="20"/>
          <w:szCs w:val="20"/>
          <w:color w:val="auto"/>
        </w:rPr>
      </w:pPr>
      <w:r>
        <w:rPr>
          <w:rFonts w:ascii="Arial" w:cs="Arial" w:eastAsia="Arial" w:hAnsi="Arial"/>
          <w:sz w:val="15"/>
          <w:szCs w:val="15"/>
          <w:b w:val="1"/>
          <w:bCs w:val="1"/>
          <w:i w:val="1"/>
          <w:iCs w:val="1"/>
          <w:color w:val="auto"/>
        </w:rPr>
        <w:t>Adjusted Income from Operations, Adjusted Operating EBITDA and both as a Percent of Revenues</w:t>
      </w:r>
    </w:p>
    <w:p>
      <w:pPr>
        <w:spacing w:after="0" w:line="1"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Operating revenues, as-reported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92"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Income from operations, as-reported</w:t>
      </w:r>
    </w:p>
    <w:p>
      <w:pPr>
        <w:spacing w:after="0" w:line="27"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Adjustment to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732"/>
        <w:spacing w:after="0"/>
        <w:rPr>
          <w:sz w:val="20"/>
          <w:szCs w:val="20"/>
          <w:color w:val="auto"/>
        </w:rPr>
      </w:pPr>
      <w:r>
        <w:rPr>
          <w:rFonts w:ascii="Arial" w:cs="Arial" w:eastAsia="Arial" w:hAnsi="Arial"/>
          <w:sz w:val="16"/>
          <w:szCs w:val="16"/>
          <w:color w:val="auto"/>
        </w:rPr>
        <w:t>Expenses from divestitures, asset impairments and unusual items</w:t>
      </w:r>
    </w:p>
    <w:p>
      <w:pPr>
        <w:spacing w:after="0" w:line="41"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Adjusted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-119380</wp:posOffset>
            </wp:positionV>
            <wp:extent cx="550545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Depreciation and amortization</w:t>
      </w:r>
    </w:p>
    <w:p>
      <w:pPr>
        <w:spacing w:after="0" w:line="18"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Adjusted operating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-119380</wp:posOffset>
            </wp:positionV>
            <wp:extent cx="550545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372" w:right="1252"/>
        <w:spacing w:after="0" w:line="258" w:lineRule="auto"/>
        <w:rPr>
          <w:sz w:val="20"/>
          <w:szCs w:val="20"/>
          <w:color w:val="auto"/>
        </w:rPr>
      </w:pPr>
      <w:r>
        <w:rPr>
          <w:rFonts w:ascii="Arial" w:cs="Arial" w:eastAsia="Arial" w:hAnsi="Arial"/>
          <w:sz w:val="18"/>
          <w:szCs w:val="18"/>
          <w:b w:val="1"/>
          <w:bCs w:val="1"/>
          <w:i w:val="1"/>
          <w:iCs w:val="1"/>
          <w:color w:val="auto"/>
        </w:rPr>
        <w:t>Income from Operations, Operating EBITDA and both as a Percent of Revenues</w:t>
      </w:r>
    </w:p>
    <w:p>
      <w:pPr>
        <w:spacing w:after="0" w:line="1"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Operating revenues, as-reported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92"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Income from operations, as-reported</w:t>
      </w:r>
    </w:p>
    <w:p>
      <w:pPr>
        <w:spacing w:after="0" w:line="27"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Operating EBITDA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08"/>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388"/>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522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87" w:lineRule="exact"/>
        <w:rPr>
          <w:sz w:val="20"/>
          <w:szCs w:val="20"/>
          <w:color w:val="auto"/>
        </w:rPr>
      </w:pPr>
    </w:p>
    <w:p>
      <w:pPr>
        <w:ind w:left="1368"/>
        <w:spacing w:after="0"/>
        <w:rPr>
          <w:sz w:val="20"/>
          <w:szCs w:val="20"/>
          <w:color w:val="auto"/>
        </w:rPr>
      </w:pPr>
      <w:r>
        <w:rPr>
          <w:rFonts w:ascii="Arial" w:cs="Arial" w:eastAsia="Arial" w:hAnsi="Arial"/>
          <w:sz w:val="14"/>
          <w:szCs w:val="14"/>
          <w:b w:val="1"/>
          <w:bCs w:val="1"/>
          <w:color w:val="auto"/>
        </w:rPr>
        <w:t>As a % of</w:t>
      </w:r>
    </w:p>
    <w:p>
      <w:pPr>
        <w:spacing w:after="0" w:line="4" w:lineRule="exact"/>
        <w:rPr>
          <w:sz w:val="20"/>
          <w:szCs w:val="20"/>
          <w:color w:val="auto"/>
        </w:rPr>
      </w:pPr>
    </w:p>
    <w:p>
      <w:pPr>
        <w:ind w:left="8"/>
        <w:spacing w:after="0"/>
        <w:tabs>
          <w:tab w:leader="none" w:pos="1348" w:val="left"/>
        </w:tabs>
        <w:rPr>
          <w:sz w:val="20"/>
          <w:szCs w:val="20"/>
          <w:color w:val="auto"/>
        </w:rPr>
      </w:pPr>
      <w:r>
        <w:rPr>
          <w:rFonts w:ascii="Arial" w:cs="Arial" w:eastAsia="Arial" w:hAnsi="Arial"/>
          <w:sz w:val="14"/>
          <w:szCs w:val="14"/>
          <w:b w:val="1"/>
          <w:bCs w:val="1"/>
          <w:u w:val="single" w:color="auto"/>
          <w:color w:val="auto"/>
        </w:rPr>
        <w:t>Amount</w:t>
      </w:r>
      <w:r>
        <w:rPr>
          <w:sz w:val="20"/>
          <w:szCs w:val="20"/>
          <w:color w:val="auto"/>
        </w:rPr>
        <w:tab/>
      </w:r>
      <w:r>
        <w:rPr>
          <w:rFonts w:ascii="Arial" w:cs="Arial" w:eastAsia="Arial" w:hAnsi="Arial"/>
          <w:sz w:val="14"/>
          <w:szCs w:val="14"/>
          <w:b w:val="1"/>
          <w:bCs w:val="1"/>
          <w:u w:val="single" w:color="auto"/>
          <w:color w:val="auto"/>
        </w:rPr>
        <w:t>Revenues</w:t>
      </w:r>
    </w:p>
    <w:p>
      <w:pPr>
        <w:spacing w:after="0" w:line="9" w:lineRule="exact"/>
        <w:rPr>
          <w:sz w:val="20"/>
          <w:szCs w:val="20"/>
          <w:color w:val="auto"/>
        </w:rPr>
      </w:pPr>
    </w:p>
    <w:p>
      <w:pPr>
        <w:ind w:left="108" w:hanging="108"/>
        <w:spacing w:after="0"/>
        <w:tabs>
          <w:tab w:leader="none" w:pos="10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3,548</w:t>
      </w:r>
    </w:p>
    <w:p>
      <w:pPr>
        <w:spacing w:after="0" w:line="97" w:lineRule="exact"/>
        <w:rPr>
          <w:rFonts w:ascii="Arial" w:cs="Arial" w:eastAsia="Arial" w:hAnsi="Arial"/>
          <w:sz w:val="18"/>
          <w:szCs w:val="18"/>
          <w:b w:val="1"/>
          <w:bCs w:val="1"/>
          <w:color w:val="auto"/>
        </w:rPr>
      </w:pPr>
    </w:p>
    <w:p>
      <w:pPr>
        <w:ind w:left="24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560</w:t>
      </w:r>
    </w:p>
    <w:p>
      <w:pPr>
        <w:spacing w:after="0" w:line="229" w:lineRule="exact"/>
        <w:rPr>
          <w:sz w:val="20"/>
          <w:szCs w:val="20"/>
          <w:color w:val="auto"/>
        </w:rPr>
      </w:pPr>
    </w:p>
    <w:p>
      <w:pPr>
        <w:ind w:left="248"/>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2575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2" w:lineRule="exact"/>
        <w:rPr>
          <w:sz w:val="20"/>
          <w:szCs w:val="20"/>
          <w:color w:val="auto"/>
        </w:rPr>
      </w:pPr>
    </w:p>
    <w:p>
      <w:pPr>
        <w:ind w:left="248"/>
        <w:spacing w:after="0"/>
        <w:tabs>
          <w:tab w:leader="none" w:pos="1628" w:val="left"/>
        </w:tabs>
        <w:rPr>
          <w:sz w:val="20"/>
          <w:szCs w:val="20"/>
          <w:color w:val="auto"/>
        </w:rPr>
      </w:pPr>
      <w:r>
        <w:rPr>
          <w:rFonts w:ascii="Arial" w:cs="Arial" w:eastAsia="Arial" w:hAnsi="Arial"/>
          <w:sz w:val="17"/>
          <w:szCs w:val="17"/>
          <w:b w:val="1"/>
          <w:bCs w:val="1"/>
          <w:color w:val="auto"/>
        </w:rPr>
        <w:t>666(a)</w:t>
      </w:r>
      <w:r>
        <w:rPr>
          <w:sz w:val="20"/>
          <w:szCs w:val="20"/>
          <w:color w:val="auto"/>
        </w:rPr>
        <w:tab/>
      </w:r>
      <w:r>
        <w:rPr>
          <w:rFonts w:ascii="Arial" w:cs="Arial" w:eastAsia="Arial" w:hAnsi="Arial"/>
          <w:sz w:val="17"/>
          <w:szCs w:val="17"/>
          <w:b w:val="1"/>
          <w:bCs w:val="1"/>
          <w:color w:val="auto"/>
        </w:rPr>
        <w:t>18.8%(a)</w:t>
      </w:r>
    </w:p>
    <w:p>
      <w:pPr>
        <w:spacing w:after="0" w:line="39" w:lineRule="exact"/>
        <w:rPr>
          <w:sz w:val="20"/>
          <w:szCs w:val="20"/>
          <w:color w:val="auto"/>
        </w:rPr>
      </w:pPr>
    </w:p>
    <w:p>
      <w:pPr>
        <w:ind w:left="248"/>
        <w:spacing w:after="0"/>
        <w:rPr>
          <w:sz w:val="20"/>
          <w:szCs w:val="20"/>
          <w:color w:val="auto"/>
        </w:rPr>
      </w:pPr>
      <w:r>
        <w:rPr>
          <w:rFonts w:ascii="Arial" w:cs="Arial" w:eastAsia="Arial" w:hAnsi="Arial"/>
          <w:sz w:val="18"/>
          <w:szCs w:val="18"/>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257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ind w:left="8"/>
        <w:spacing w:after="0"/>
        <w:tabs>
          <w:tab w:leader="none" w:pos="1628" w:val="left"/>
        </w:tabs>
        <w:rPr>
          <w:sz w:val="20"/>
          <w:szCs w:val="20"/>
          <w:color w:val="auto"/>
        </w:rPr>
      </w:pPr>
      <w:r>
        <w:rPr>
          <w:rFonts w:ascii="Arial" w:cs="Arial" w:eastAsia="Arial" w:hAnsi="Arial"/>
          <w:sz w:val="18"/>
          <w:szCs w:val="18"/>
          <w:b w:val="1"/>
          <w:bCs w:val="1"/>
          <w:u w:val="single" w:color="auto"/>
          <w:color w:val="auto"/>
        </w:rPr>
        <w:t>$1,002</w:t>
      </w: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28.2%(b)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3257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55" w:lineRule="exact"/>
        <w:rPr>
          <w:sz w:val="20"/>
          <w:szCs w:val="20"/>
          <w:color w:val="auto"/>
        </w:rPr>
      </w:pPr>
    </w:p>
    <w:p>
      <w:pPr>
        <w:ind w:left="508"/>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388"/>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522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0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$3,360</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601(a)</w:t>
            </w:r>
          </w:p>
        </w:tc>
        <w:tc>
          <w:tcPr>
            <w:tcW w:w="32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b w:val="1"/>
                <w:bCs w:val="1"/>
                <w:color w:val="auto"/>
                <w:w w:val="95"/>
              </w:rPr>
              <w:t>17.9%(a)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931(b)</w:t>
            </w:r>
          </w:p>
        </w:tc>
        <w:tc>
          <w:tcPr>
            <w:tcW w:w="32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b w:val="1"/>
                <w:bCs w:val="1"/>
                <w:color w:val="auto"/>
                <w:w w:val="94"/>
              </w:rPr>
              <w:t>27.7%(b)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04" w:space="720"/>
            <w:col w:w="3628"/>
          </w:cols>
          <w:pgMar w:left="248" w:top="270" w:right="399" w:bottom="1440" w:gutter="0" w:footer="0" w:header="0"/>
          <w:type w:val="continuous"/>
        </w:sectPr>
      </w:pPr>
    </w:p>
    <w:p>
      <w:pPr>
        <w:spacing w:after="0" w:line="42" w:lineRule="exact"/>
        <w:rPr>
          <w:sz w:val="20"/>
          <w:szCs w:val="20"/>
          <w:color w:val="auto"/>
        </w:rPr>
      </w:pPr>
    </w:p>
    <w:p>
      <w:pPr>
        <w:ind w:left="452" w:hanging="452"/>
        <w:spacing w:after="0" w:line="258"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Adjusted income from operations increased $65 million, or 90 basis points as a percent of revenues, as compared with as-reported results for the same period prior year.</w:t>
      </w:r>
    </w:p>
    <w:p>
      <w:pPr>
        <w:spacing w:after="0" w:line="1" w:lineRule="exact"/>
        <w:rPr>
          <w:rFonts w:ascii="Arial" w:cs="Arial" w:eastAsia="Arial" w:hAnsi="Arial"/>
          <w:sz w:val="18"/>
          <w:szCs w:val="18"/>
          <w:b w:val="1"/>
          <w:bCs w:val="1"/>
          <w:color w:val="auto"/>
        </w:rPr>
      </w:pPr>
    </w:p>
    <w:p>
      <w:pPr>
        <w:ind w:left="452" w:right="320" w:hanging="452"/>
        <w:spacing w:after="0" w:line="261"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$71 million, or 50 basis points as a percent of revenues, as compared with as-reported results for the same period prior year.</w:t>
      </w:r>
    </w:p>
    <w:p>
      <w:pPr>
        <w:spacing w:after="0" w:line="112"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(10)</w:t>
      </w:r>
    </w:p>
    <w:sectPr>
      <w:pgSz w:w="11900" w:h="16838" w:orient="portrait"/>
      <w:cols w:equalWidth="0" w:num="1">
        <w:col w:w="11252"/>
      </w:cols>
      <w:pgMar w:left="248" w:top="27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2019-12-05T20:26:22Z</dcterms:created>
  <dcterms:modified xsi:type="dcterms:W3CDTF">2019-12-05T20:26:22Z</dcterms:modified>
</cp:coreProperties>
</file>