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8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ind w:left="4680"/>
        <w:spacing w:after="0"/>
        <w:rPr>
          <w:sz w:val="20"/>
          <w:szCs w:val="20"/>
          <w:color w:val="auto"/>
        </w:rPr>
      </w:pPr>
      <w:r>
        <w:rPr>
          <w:rFonts w:ascii="Arial" w:cs="Arial" w:eastAsia="Arial" w:hAnsi="Arial"/>
          <w:sz w:val="32"/>
          <w:szCs w:val="32"/>
          <w:b w:val="1"/>
          <w:bCs w:val="1"/>
          <w:color w:val="auto"/>
        </w:rPr>
        <w:t>FORM 11-K/A</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200" w:lineRule="exact"/>
        <w:rPr>
          <w:sz w:val="20"/>
          <w:szCs w:val="20"/>
          <w:color w:val="auto"/>
        </w:rPr>
      </w:pPr>
    </w:p>
    <w:p>
      <w:pPr>
        <w:spacing w:after="0" w:line="228" w:lineRule="exact"/>
        <w:rPr>
          <w:sz w:val="20"/>
          <w:szCs w:val="20"/>
          <w:color w:val="auto"/>
        </w:rPr>
      </w:pPr>
    </w:p>
    <w:p>
      <w:pPr>
        <w:ind w:left="1100" w:right="80" w:hanging="518"/>
        <w:spacing w:after="0" w:line="256" w:lineRule="auto"/>
        <w:tabs>
          <w:tab w:leader="none" w:pos="11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31"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18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32" w:lineRule="exact"/>
        <w:rPr>
          <w:sz w:val="20"/>
          <w:szCs w:val="20"/>
          <w:color w:val="auto"/>
        </w:rPr>
      </w:pPr>
    </w:p>
    <w:p>
      <w:pPr>
        <w:ind w:left="1100" w:hanging="518"/>
        <w:spacing w:after="0" w:line="256" w:lineRule="auto"/>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31" w:lineRule="exact"/>
        <w:rPr>
          <w:sz w:val="20"/>
          <w:szCs w:val="20"/>
          <w:color w:val="auto"/>
        </w:rPr>
      </w:pPr>
    </w:p>
    <w:p>
      <w:pPr>
        <w:ind w:left="39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Commission file number 1-12154</w:t>
      </w:r>
    </w:p>
    <w:p>
      <w:pPr>
        <w:spacing w:after="0" w:line="19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WASTE MANAGEMENT RETIREMENT SAVINGS PLAN</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859" w:right="10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 AND SUPPLEMENTAL SCHEDULES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80" w:type="dxa"/>
            <w:vAlign w:val="bottom"/>
            <w:gridSpan w:val="8"/>
            <w:shd w:val="clear" w:color="auto" w:fill="EEEEEE"/>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2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42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Audited Financial Statements</w:t>
            </w:r>
          </w:p>
        </w:tc>
        <w:tc>
          <w:tcPr>
            <w:tcW w:w="4960" w:type="dxa"/>
            <w:vAlign w:val="bottom"/>
            <w:tcBorders>
              <w:top w:val="single" w:sz="8" w:color="EEEEEE"/>
            </w:tcBorders>
            <w:gridSpan w:val="5"/>
          </w:tcPr>
          <w:p>
            <w:pPr>
              <w:spacing w:after="0"/>
              <w:rPr>
                <w:sz w:val="24"/>
                <w:szCs w:val="24"/>
                <w:color w:val="auto"/>
              </w:rPr>
            </w:pPr>
          </w:p>
        </w:tc>
        <w:tc>
          <w:tcPr>
            <w:tcW w:w="2240" w:type="dxa"/>
            <w:vAlign w:val="bottom"/>
            <w:tcBorders>
              <w:top w:val="single" w:sz="8" w:color="EEEEEE"/>
            </w:tcBorders>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6"/>
        </w:trPr>
        <w:tc>
          <w:tcPr>
            <w:tcW w:w="140" w:type="dxa"/>
            <w:vAlign w:val="bottom"/>
            <w:tcBorders>
              <w:bottom w:val="single" w:sz="8" w:color="EEEEEE"/>
            </w:tcBorders>
            <w:shd w:val="clear" w:color="auto" w:fill="EEEEEE"/>
          </w:tcPr>
          <w:p>
            <w:pPr>
              <w:spacing w:after="0"/>
              <w:rPr>
                <w:sz w:val="17"/>
                <w:szCs w:val="17"/>
                <w:color w:val="auto"/>
              </w:rPr>
            </w:pPr>
          </w:p>
        </w:tc>
        <w:tc>
          <w:tcPr>
            <w:tcW w:w="6000" w:type="dxa"/>
            <w:vAlign w:val="bottom"/>
            <w:tcBorders>
              <w:bottom w:val="single" w:sz="8" w:color="0000EE"/>
            </w:tcBorders>
            <w:gridSpan w:val="5"/>
            <w:shd w:val="clear" w:color="auto" w:fill="EEEEEE"/>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Net Assets Available for Benefits as of December 31, 2003 and 2002</w:t>
              </w:r>
            </w:hyperlink>
          </w:p>
        </w:tc>
        <w:tc>
          <w:tcPr>
            <w:tcW w:w="3040" w:type="dxa"/>
            <w:vAlign w:val="bottom"/>
            <w:tcBorders>
              <w:bottom w:val="single" w:sz="8" w:color="EEEEEE"/>
            </w:tcBorders>
            <w:gridSpan w:val="2"/>
            <w:shd w:val="clear" w:color="auto" w:fill="EEEEEE"/>
          </w:tcPr>
          <w:p>
            <w:pPr>
              <w:spacing w:after="0"/>
              <w:rPr>
                <w:sz w:val="17"/>
                <w:szCs w:val="17"/>
                <w:color w:val="auto"/>
              </w:rPr>
            </w:pPr>
          </w:p>
        </w:tc>
        <w:tc>
          <w:tcPr>
            <w:tcW w:w="2240" w:type="dxa"/>
            <w:vAlign w:val="bottom"/>
            <w:tcBorders>
              <w:bottom w:val="single" w:sz="8" w:color="EEEEEE"/>
            </w:tcBorders>
            <w:shd w:val="clear" w:color="auto" w:fill="EEEEEE"/>
          </w:tcPr>
          <w:p>
            <w:pPr>
              <w:jc w:val="right"/>
              <w:ind w:right="10"/>
              <w:spacing w:after="0" w:line="176" w:lineRule="exact"/>
              <w:rPr>
                <w:sz w:val="20"/>
                <w:szCs w:val="20"/>
                <w:color w:val="auto"/>
              </w:rPr>
            </w:pPr>
            <w:r>
              <w:rPr>
                <w:rFonts w:ascii="Arial" w:cs="Arial" w:eastAsia="Arial" w:hAnsi="Arial"/>
                <w:sz w:val="18"/>
                <w:szCs w:val="18"/>
                <w:color w:val="auto"/>
              </w:rPr>
              <w:t>2</w:t>
            </w:r>
          </w:p>
        </w:tc>
      </w:tr>
      <w:tr>
        <w:trPr>
          <w:trHeight w:val="176"/>
        </w:trPr>
        <w:tc>
          <w:tcPr>
            <w:tcW w:w="9180" w:type="dxa"/>
            <w:vAlign w:val="bottom"/>
            <w:gridSpan w:val="8"/>
          </w:tcPr>
          <w:p>
            <w:pPr>
              <w:ind w:left="1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2003</w:t>
              </w:r>
            </w:hyperlink>
          </w:p>
        </w:tc>
        <w:tc>
          <w:tcPr>
            <w:tcW w:w="22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3</w:t>
            </w:r>
          </w:p>
        </w:tc>
      </w:tr>
      <w:tr>
        <w:trPr>
          <w:trHeight w:val="21"/>
        </w:trPr>
        <w:tc>
          <w:tcPr>
            <w:tcW w:w="1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140" w:type="dxa"/>
            <w:vAlign w:val="bottom"/>
            <w:tcBorders>
              <w:bottom w:val="single" w:sz="8" w:color="EEEEEE"/>
            </w:tcBorders>
            <w:shd w:val="clear" w:color="auto" w:fill="EEEEEE"/>
          </w:tcPr>
          <w:p>
            <w:pPr>
              <w:spacing w:after="0"/>
              <w:rPr>
                <w:sz w:val="17"/>
                <w:szCs w:val="17"/>
                <w:color w:val="auto"/>
              </w:rPr>
            </w:pPr>
          </w:p>
        </w:tc>
        <w:tc>
          <w:tcPr>
            <w:tcW w:w="216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Financial Statements</w:t>
              </w:r>
            </w:hyperlink>
          </w:p>
        </w:tc>
        <w:tc>
          <w:tcPr>
            <w:tcW w:w="6880" w:type="dxa"/>
            <w:vAlign w:val="bottom"/>
            <w:tcBorders>
              <w:bottom w:val="single" w:sz="8" w:color="EEEEEE"/>
            </w:tcBorders>
            <w:gridSpan w:val="6"/>
            <w:shd w:val="clear" w:color="auto" w:fill="EEEEEE"/>
          </w:tcPr>
          <w:p>
            <w:pPr>
              <w:spacing w:after="0"/>
              <w:rPr>
                <w:sz w:val="17"/>
                <w:szCs w:val="17"/>
                <w:color w:val="auto"/>
              </w:rPr>
            </w:pPr>
          </w:p>
        </w:tc>
        <w:tc>
          <w:tcPr>
            <w:tcW w:w="2240" w:type="dxa"/>
            <w:vAlign w:val="bottom"/>
            <w:tcBorders>
              <w:bottom w:val="single" w:sz="8" w:color="EEEEEE"/>
            </w:tcBorders>
            <w:shd w:val="clear" w:color="auto" w:fill="EEEEEE"/>
          </w:tcPr>
          <w:p>
            <w:pPr>
              <w:jc w:val="right"/>
              <w:ind w:right="10"/>
              <w:spacing w:after="0" w:line="176" w:lineRule="exact"/>
              <w:rPr>
                <w:sz w:val="20"/>
                <w:szCs w:val="20"/>
                <w:color w:val="auto"/>
              </w:rPr>
            </w:pPr>
            <w:r>
              <w:rPr>
                <w:rFonts w:ascii="Arial" w:cs="Arial" w:eastAsia="Arial" w:hAnsi="Arial"/>
                <w:sz w:val="18"/>
                <w:szCs w:val="18"/>
                <w:color w:val="auto"/>
              </w:rPr>
              <w:t>4</w:t>
            </w:r>
          </w:p>
        </w:tc>
      </w:tr>
      <w:tr>
        <w:trPr>
          <w:trHeight w:val="432"/>
        </w:trPr>
        <w:tc>
          <w:tcPr>
            <w:tcW w:w="9180" w:type="dxa"/>
            <w:vAlign w:val="bottom"/>
            <w:gridSpan w:val="8"/>
          </w:tcPr>
          <w:p>
            <w:pPr>
              <w:spacing w:after="0"/>
              <w:rPr>
                <w:sz w:val="20"/>
                <w:szCs w:val="20"/>
                <w:color w:val="auto"/>
              </w:rPr>
            </w:pPr>
            <w:r>
              <w:rPr>
                <w:rFonts w:ascii="Arial" w:cs="Arial" w:eastAsia="Arial" w:hAnsi="Arial"/>
                <w:sz w:val="18"/>
                <w:szCs w:val="18"/>
                <w:color w:val="auto"/>
              </w:rPr>
              <w:t>Supplemental Schedules</w:t>
            </w:r>
          </w:p>
        </w:tc>
        <w:tc>
          <w:tcPr>
            <w:tcW w:w="224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6"/>
        </w:trPr>
        <w:tc>
          <w:tcPr>
            <w:tcW w:w="140" w:type="dxa"/>
            <w:vAlign w:val="bottom"/>
            <w:tcBorders>
              <w:bottom w:val="single" w:sz="8" w:color="EEEEEE"/>
            </w:tcBorders>
            <w:shd w:val="clear" w:color="auto" w:fill="EEEEEE"/>
          </w:tcPr>
          <w:p>
            <w:pPr>
              <w:spacing w:after="0"/>
              <w:rPr>
                <w:sz w:val="17"/>
                <w:szCs w:val="17"/>
                <w:color w:val="auto"/>
              </w:rPr>
            </w:pPr>
          </w:p>
        </w:tc>
        <w:tc>
          <w:tcPr>
            <w:tcW w:w="5340" w:type="dxa"/>
            <w:vAlign w:val="bottom"/>
            <w:tcBorders>
              <w:bottom w:val="single" w:sz="8" w:color="0000EE"/>
            </w:tcBorders>
            <w:gridSpan w:val="4"/>
            <w:shd w:val="clear" w:color="auto" w:fill="EEEEEE"/>
          </w:tcPr>
          <w:p>
            <w:pPr>
              <w:spacing w:after="0" w:line="17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Schedule H, Line 4(a) – Schedule of Delinquent Participant Contributions</w:t>
              </w:r>
            </w:hyperlink>
          </w:p>
        </w:tc>
        <w:tc>
          <w:tcPr>
            <w:tcW w:w="3700" w:type="dxa"/>
            <w:vAlign w:val="bottom"/>
            <w:tcBorders>
              <w:bottom w:val="single" w:sz="8" w:color="EEEEEE"/>
            </w:tcBorders>
            <w:gridSpan w:val="3"/>
            <w:shd w:val="clear" w:color="auto" w:fill="EEEEEE"/>
          </w:tcPr>
          <w:p>
            <w:pPr>
              <w:spacing w:after="0"/>
              <w:rPr>
                <w:sz w:val="17"/>
                <w:szCs w:val="17"/>
                <w:color w:val="auto"/>
              </w:rPr>
            </w:pPr>
          </w:p>
        </w:tc>
        <w:tc>
          <w:tcPr>
            <w:tcW w:w="2240" w:type="dxa"/>
            <w:vAlign w:val="bottom"/>
            <w:tcBorders>
              <w:bottom w:val="single" w:sz="8" w:color="EEEEEE"/>
            </w:tcBorders>
            <w:shd w:val="clear" w:color="auto" w:fill="EEEEEE"/>
          </w:tcPr>
          <w:p>
            <w:pPr>
              <w:jc w:val="right"/>
              <w:ind w:right="10"/>
              <w:spacing w:after="0" w:line="176" w:lineRule="exact"/>
              <w:rPr>
                <w:sz w:val="20"/>
                <w:szCs w:val="20"/>
                <w:color w:val="auto"/>
              </w:rPr>
            </w:pPr>
            <w:r>
              <w:rPr>
                <w:rFonts w:ascii="Arial" w:cs="Arial" w:eastAsia="Arial" w:hAnsi="Arial"/>
                <w:sz w:val="18"/>
                <w:szCs w:val="18"/>
                <w:color w:val="auto"/>
              </w:rPr>
              <w:t>11</w:t>
            </w:r>
          </w:p>
        </w:tc>
      </w:tr>
      <w:tr>
        <w:trPr>
          <w:trHeight w:val="176"/>
        </w:trPr>
        <w:tc>
          <w:tcPr>
            <w:tcW w:w="9180" w:type="dxa"/>
            <w:vAlign w:val="bottom"/>
            <w:gridSpan w:val="8"/>
          </w:tcPr>
          <w:p>
            <w:pPr>
              <w:ind w:left="14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Schedule H, Line 4(i) – Schedule of Assets (Held At End of Year)</w:t>
              </w:r>
            </w:hyperlink>
          </w:p>
        </w:tc>
        <w:tc>
          <w:tcPr>
            <w:tcW w:w="22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12</w:t>
            </w:r>
          </w:p>
        </w:tc>
      </w:tr>
      <w:tr>
        <w:trPr>
          <w:trHeight w:val="639"/>
        </w:trPr>
        <w:tc>
          <w:tcPr>
            <w:tcW w:w="140" w:type="dxa"/>
            <w:vAlign w:val="bottom"/>
            <w:tcBorders>
              <w:bottom w:val="single" w:sz="8" w:color="808080"/>
            </w:tcBorders>
          </w:tcPr>
          <w:p>
            <w:pPr>
              <w:spacing w:after="0"/>
              <w:rPr>
                <w:sz w:val="24"/>
                <w:szCs w:val="24"/>
                <w:color w:val="auto"/>
              </w:rPr>
            </w:pPr>
          </w:p>
        </w:tc>
        <w:tc>
          <w:tcPr>
            <w:tcW w:w="2160" w:type="dxa"/>
            <w:vAlign w:val="bottom"/>
            <w:tcBorders>
              <w:top w:val="single" w:sz="8" w:color="0000EE"/>
              <w:bottom w:val="single" w:sz="8" w:color="808080"/>
            </w:tcBorders>
          </w:tcPr>
          <w:p>
            <w:pPr>
              <w:spacing w:after="0"/>
              <w:rPr>
                <w:sz w:val="24"/>
                <w:szCs w:val="24"/>
                <w:color w:val="auto"/>
              </w:rPr>
            </w:pPr>
          </w:p>
        </w:tc>
        <w:tc>
          <w:tcPr>
            <w:tcW w:w="1920" w:type="dxa"/>
            <w:vAlign w:val="bottom"/>
            <w:tcBorders>
              <w:top w:val="single" w:sz="8" w:color="0000EE"/>
              <w:bottom w:val="single" w:sz="8" w:color="808080"/>
            </w:tcBorders>
          </w:tcPr>
          <w:p>
            <w:pPr>
              <w:spacing w:after="0"/>
              <w:rPr>
                <w:sz w:val="24"/>
                <w:szCs w:val="24"/>
                <w:color w:val="auto"/>
              </w:rPr>
            </w:pPr>
          </w:p>
        </w:tc>
        <w:tc>
          <w:tcPr>
            <w:tcW w:w="680" w:type="dxa"/>
            <w:vAlign w:val="bottom"/>
            <w:tcBorders>
              <w:top w:val="single" w:sz="8" w:color="0000EE"/>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as of December 31, 2003 and 2002, and the related statement of changes in net assets available for benefits for the year ended December 31, 2003. These financial statements are the responsibility of the Plan’s management. Our responsibility is to express an opinion on these financial statements based on our audits.</w:t>
      </w:r>
    </w:p>
    <w:p>
      <w:pPr>
        <w:spacing w:after="0" w:line="1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December 31, 2003 and 2002, and the changes in its net assets available for benefits for the year ended December 31, 2003, in conformity with U.S. generally accepted accounting principles.</w:t>
      </w:r>
    </w:p>
    <w:p>
      <w:pPr>
        <w:spacing w:after="0" w:line="14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audits were performed for the purpose of forming an opinion on the financial statements taken as a whole. The accompanying supplemental schedules of assets (held at end of year) as of December 31, 2003, and schedule of delinquent participant contributions for the year then ended, are presented for purposes of additional analysis and are not a required part of the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our audits of the financial statements and, in our opinion, are fairly stated in all material respects in relation to the financial statements taken as a whole.</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2003 and 2002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rPr>
              <w:t>2003</w:t>
            </w:r>
          </w:p>
        </w:tc>
        <w:tc>
          <w:tcPr>
            <w:tcW w:w="860" w:type="dxa"/>
            <w:vAlign w:val="bottom"/>
          </w:tcPr>
          <w:p>
            <w:pPr>
              <w:spacing w:after="0"/>
              <w:rPr>
                <w:sz w:val="16"/>
                <w:szCs w:val="16"/>
                <w:color w:val="auto"/>
              </w:rPr>
            </w:pPr>
          </w:p>
        </w:tc>
        <w:tc>
          <w:tcPr>
            <w:tcW w:w="20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INVESTMENTS, at fair value:</w:t>
            </w:r>
          </w:p>
        </w:tc>
        <w:tc>
          <w:tcPr>
            <w:tcW w:w="76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60" w:type="dxa"/>
            <w:vAlign w:val="bottom"/>
            <w:tcBorders>
              <w:lef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Plan interest in the Master Trust (Note 3)</w:t>
            </w:r>
          </w:p>
        </w:tc>
        <w:tc>
          <w:tcPr>
            <w:tcW w:w="760" w:type="dxa"/>
            <w:vAlign w:val="bottom"/>
          </w:tcPr>
          <w:p>
            <w:pPr>
              <w:ind w:left="6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953,933,282</w:t>
            </w:r>
          </w:p>
        </w:tc>
        <w:tc>
          <w:tcPr>
            <w:tcW w:w="8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$785,743,863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Participant loans</w:t>
            </w:r>
          </w:p>
        </w:tc>
        <w:tc>
          <w:tcPr>
            <w:tcW w:w="76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49,381,642</w:t>
            </w:r>
          </w:p>
        </w:tc>
        <w:tc>
          <w:tcPr>
            <w:tcW w:w="860" w:type="dxa"/>
            <w:vAlign w:val="bottom"/>
            <w:tcBorders>
              <w:left w:val="single" w:sz="8" w:color="EEEEEE"/>
            </w:tcBorders>
            <w:shd w:val="clear" w:color="auto" w:fill="EEEEEE"/>
          </w:tcPr>
          <w:p>
            <w:pPr>
              <w:spacing w:after="0"/>
              <w:rPr>
                <w:sz w:val="18"/>
                <w:szCs w:val="18"/>
                <w:color w:val="auto"/>
              </w:rPr>
            </w:pPr>
          </w:p>
        </w:tc>
        <w:tc>
          <w:tcPr>
            <w:tcW w:w="2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49,205,537</w:t>
            </w: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260"/>
              <w:spacing w:after="0"/>
              <w:rPr>
                <w:sz w:val="20"/>
                <w:szCs w:val="20"/>
                <w:color w:val="auto"/>
              </w:rPr>
            </w:pPr>
            <w:r>
              <w:rPr>
                <w:rFonts w:ascii="Arial" w:cs="Arial" w:eastAsia="Arial" w:hAnsi="Arial"/>
                <w:sz w:val="18"/>
                <w:szCs w:val="18"/>
                <w:color w:val="auto"/>
              </w:rPr>
              <w:t>Total investments</w:t>
            </w:r>
          </w:p>
        </w:tc>
        <w:tc>
          <w:tcPr>
            <w:tcW w:w="760" w:type="dxa"/>
            <w:vAlign w:val="bottom"/>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1,003,314,924</w:t>
            </w:r>
          </w:p>
        </w:tc>
        <w:tc>
          <w:tcPr>
            <w:tcW w:w="8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834,949,400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76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60" w:type="dxa"/>
            <w:vAlign w:val="bottom"/>
            <w:tcBorders>
              <w:lef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Employee contributions</w:t>
            </w:r>
          </w:p>
        </w:tc>
        <w:tc>
          <w:tcPr>
            <w:tcW w:w="76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762,540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Employer contributions</w:t>
            </w:r>
          </w:p>
        </w:tc>
        <w:tc>
          <w:tcPr>
            <w:tcW w:w="76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830,430</w:t>
            </w:r>
          </w:p>
        </w:tc>
        <w:tc>
          <w:tcPr>
            <w:tcW w:w="860" w:type="dxa"/>
            <w:vAlign w:val="bottom"/>
            <w:tcBorders>
              <w:left w:val="single" w:sz="8" w:color="EEEEEE"/>
            </w:tcBorders>
            <w:shd w:val="clear" w:color="auto" w:fill="EEEEEE"/>
          </w:tcPr>
          <w:p>
            <w:pPr>
              <w:spacing w:after="0"/>
              <w:rPr>
                <w:sz w:val="18"/>
                <w:szCs w:val="18"/>
                <w:color w:val="auto"/>
              </w:rPr>
            </w:pPr>
          </w:p>
        </w:tc>
        <w:tc>
          <w:tcPr>
            <w:tcW w:w="2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1,110,988</w:t>
            </w: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Litigation settlement (Note 7)</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4,301,095</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shd w:val="clear" w:color="auto" w:fill="808080"/>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80808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receivables</w:t>
            </w:r>
          </w:p>
        </w:tc>
        <w:tc>
          <w:tcPr>
            <w:tcW w:w="76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5,131,525</w:t>
            </w:r>
          </w:p>
        </w:tc>
        <w:tc>
          <w:tcPr>
            <w:tcW w:w="860" w:type="dxa"/>
            <w:vAlign w:val="bottom"/>
            <w:tcBorders>
              <w:left w:val="single" w:sz="8" w:color="EEEEEE"/>
            </w:tcBorders>
            <w:shd w:val="clear" w:color="auto" w:fill="EEEEEE"/>
          </w:tcPr>
          <w:p>
            <w:pPr>
              <w:spacing w:after="0"/>
              <w:rPr>
                <w:sz w:val="18"/>
                <w:szCs w:val="18"/>
                <w:color w:val="auto"/>
              </w:rPr>
            </w:pPr>
          </w:p>
        </w:tc>
        <w:tc>
          <w:tcPr>
            <w:tcW w:w="2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1,873,528</w:t>
            </w: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760" w:type="dxa"/>
            <w:vAlign w:val="bottom"/>
          </w:tcPr>
          <w:p>
            <w:pPr>
              <w:ind w:left="6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1,008,446,449</w:t>
            </w:r>
          </w:p>
        </w:tc>
        <w:tc>
          <w:tcPr>
            <w:tcW w:w="8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836,822,928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60" w:type="dxa"/>
            <w:vAlign w:val="bottom"/>
            <w:tcBorders>
              <w:left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color w:val="auto"/>
                <w:w w:val="88"/>
              </w:rPr>
              <w:t>Waste Management Retirement Savings Plan</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color w:val="auto"/>
                <w:w w:val="89"/>
              </w:rPr>
              <w:t>Year Ended December 31, 2003</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8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EEEEEE"/>
          </w:tcPr>
          <w:p>
            <w:pPr>
              <w:spacing w:after="0"/>
              <w:rPr>
                <w:sz w:val="20"/>
                <w:szCs w:val="20"/>
                <w:color w:val="auto"/>
              </w:rPr>
            </w:pPr>
            <w:r>
              <w:rPr>
                <w:rFonts w:ascii="Arial" w:cs="Arial" w:eastAsia="Arial" w:hAnsi="Arial"/>
                <w:sz w:val="18"/>
                <w:szCs w:val="18"/>
                <w:color w:val="auto"/>
              </w:rPr>
              <w:t>ADDITIONS TO NET ASSETS AVAILABLE FOR BENEFITS:</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20"/>
              <w:spacing w:after="0"/>
              <w:rPr>
                <w:sz w:val="20"/>
                <w:szCs w:val="20"/>
                <w:color w:val="auto"/>
              </w:rPr>
            </w:pPr>
            <w:r>
              <w:rPr>
                <w:rFonts w:ascii="Arial" w:cs="Arial" w:eastAsia="Arial" w:hAnsi="Arial"/>
                <w:sz w:val="18"/>
                <w:szCs w:val="18"/>
                <w:color w:val="auto"/>
              </w:rPr>
              <w:t>Contributions-</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Employee</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65,400,807</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60"/>
              <w:spacing w:after="0"/>
              <w:rPr>
                <w:sz w:val="20"/>
                <w:szCs w:val="20"/>
                <w:color w:val="auto"/>
              </w:rPr>
            </w:pPr>
            <w:r>
              <w:rPr>
                <w:rFonts w:ascii="Arial" w:cs="Arial" w:eastAsia="Arial" w:hAnsi="Arial"/>
                <w:sz w:val="18"/>
                <w:szCs w:val="18"/>
                <w:color w:val="auto"/>
              </w:rPr>
              <w:t>Rollover</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2,559,246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Employer</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39,768,043</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107,728,096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Litigation settlement (Note 7)</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4,301,095</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20"/>
              <w:spacing w:after="0"/>
              <w:rPr>
                <w:sz w:val="20"/>
                <w:szCs w:val="20"/>
                <w:color w:val="auto"/>
              </w:rPr>
            </w:pPr>
            <w:r>
              <w:rPr>
                <w:rFonts w:ascii="Arial" w:cs="Arial" w:eastAsia="Arial" w:hAnsi="Arial"/>
                <w:sz w:val="18"/>
                <w:szCs w:val="18"/>
                <w:color w:val="auto"/>
              </w:rPr>
              <w:t>Net investment gain from the Master Trust (Note 3)</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146,653,851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Participant loan interest</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3,232,738</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00"/>
              <w:spacing w:after="0"/>
              <w:rPr>
                <w:sz w:val="20"/>
                <w:szCs w:val="20"/>
                <w:color w:val="auto"/>
              </w:rPr>
            </w:pPr>
            <w:r>
              <w:rPr>
                <w:rFonts w:ascii="Arial" w:cs="Arial" w:eastAsia="Arial" w:hAnsi="Arial"/>
                <w:sz w:val="18"/>
                <w:szCs w:val="18"/>
                <w:color w:val="auto"/>
              </w:rPr>
              <w:t>Total additions</w:t>
            </w: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261,915,780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EEEEE"/>
          </w:tcPr>
          <w:p>
            <w:pPr>
              <w:spacing w:after="0"/>
              <w:rPr>
                <w:sz w:val="20"/>
                <w:szCs w:val="20"/>
                <w:color w:val="auto"/>
              </w:rPr>
            </w:pPr>
            <w:r>
              <w:rPr>
                <w:rFonts w:ascii="Arial" w:cs="Arial" w:eastAsia="Arial" w:hAnsi="Arial"/>
                <w:sz w:val="18"/>
                <w:szCs w:val="18"/>
                <w:color w:val="auto"/>
              </w:rPr>
              <w:t>DEDUCTIONS FROM NET ASSETS AVAILABLE FOR BENEFITS:</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tcPr>
          <w:p>
            <w:pPr>
              <w:ind w:left="120"/>
              <w:spacing w:after="0"/>
              <w:rPr>
                <w:sz w:val="20"/>
                <w:szCs w:val="20"/>
                <w:color w:val="auto"/>
              </w:rPr>
            </w:pPr>
            <w:r>
              <w:rPr>
                <w:rFonts w:ascii="Arial" w:cs="Arial" w:eastAsia="Arial" w:hAnsi="Arial"/>
                <w:sz w:val="18"/>
                <w:szCs w:val="18"/>
                <w:color w:val="auto"/>
              </w:rPr>
              <w:t>Benefits paid to participants</w:t>
            </w:r>
          </w:p>
        </w:tc>
        <w:tc>
          <w:tcPr>
            <w:tcW w:w="860" w:type="dxa"/>
            <w:vAlign w:val="bottom"/>
          </w:tcPr>
          <w:p>
            <w:pPr>
              <w:spacing w:after="0"/>
              <w:rPr>
                <w:sz w:val="20"/>
                <w:szCs w:val="20"/>
                <w:color w:val="auto"/>
              </w:rPr>
            </w:pP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90,292,259</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deductions</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90,292,259</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AVAILABLE FOR BENEFITS</w:t>
            </w: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171,623,521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EEEEE"/>
          </w:tcPr>
          <w:p>
            <w:pPr>
              <w:spacing w:after="0"/>
              <w:rPr>
                <w:sz w:val="20"/>
                <w:szCs w:val="20"/>
                <w:color w:val="auto"/>
              </w:rPr>
            </w:pPr>
            <w:r>
              <w:rPr>
                <w:rFonts w:ascii="Arial" w:cs="Arial" w:eastAsia="Arial" w:hAnsi="Arial"/>
                <w:sz w:val="18"/>
                <w:szCs w:val="18"/>
                <w:color w:val="auto"/>
              </w:rPr>
              <w:t>NET ASSETS AVAILABLE FOR BENEFITS:</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tcPr>
          <w:p>
            <w:pPr>
              <w:ind w:left="120"/>
              <w:spacing w:after="0"/>
              <w:rPr>
                <w:sz w:val="20"/>
                <w:szCs w:val="20"/>
                <w:color w:val="auto"/>
              </w:rPr>
            </w:pPr>
            <w:r>
              <w:rPr>
                <w:rFonts w:ascii="Arial" w:cs="Arial" w:eastAsia="Arial" w:hAnsi="Arial"/>
                <w:sz w:val="18"/>
                <w:szCs w:val="18"/>
                <w:color w:val="auto"/>
              </w:rPr>
              <w:t>Beginning of year</w:t>
            </w:r>
          </w:p>
        </w:tc>
        <w:tc>
          <w:tcPr>
            <w:tcW w:w="860" w:type="dxa"/>
            <w:vAlign w:val="bottom"/>
          </w:tcPr>
          <w:p>
            <w:pPr>
              <w:spacing w:after="0"/>
              <w:rPr>
                <w:sz w:val="20"/>
                <w:szCs w:val="20"/>
                <w:color w:val="auto"/>
              </w:rPr>
            </w:pP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836,822,928</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End of year</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8"/>
              </w:rPr>
              <w:t>1,008,446,449</w:t>
            </w:r>
          </w:p>
        </w:tc>
        <w:tc>
          <w:tcPr>
            <w:tcW w:w="9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Plan document for a more complete description of the Plan’s provisions.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Plan is a defined contribution plan available to all eligible employees, and their beneficiaries, of Waste Management, Inc., and subsidiaries (“Waste Management” or the “Company”). The Plan is subject to the provisions of the Employee Retirement Income Security Act of 1974, as amended (“ERISA”).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CitiStreet, an affiliate of State Street, serves as record keeper.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Employees are eligible to participate in the Plan following completion of a 90-day period of service (as defined by the Plan).</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Employees of the Company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 (e) certain nonresident aliens who have no earned income from sources within the United States of America and (f) individuals who are participants in any other pension, retirement, profit-sharing, stock bonus, thrift or savings plan maintained by the Company other than the Waste Management Pension Plan for Collectively Bargained Employees or such other plans as may from time to time be determined by the Administrative Committee. Certain United States citizens employed by foreign affiliates of the Company may participate in the Plan under certain provisions specified by the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0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Participants may contribute from 1 percent to 15 percent of their pre-tax compensation, as defined by the Plan (“Employee Contribution”), not to exceed certain limits as described in the Plan document. After-tax contributions are not permitted by the Plan. Participants may also contribute amounts representing distributions from other qualified plans (“Rollover Contribution”). The Company matches 100 percent of each participant’s Employee Contribution up to</w:t>
      </w:r>
    </w:p>
    <w:p>
      <w:pPr>
        <w:ind w:right="200"/>
        <w:spacing w:after="0" w:line="261" w:lineRule="auto"/>
        <w:rPr>
          <w:sz w:val="20"/>
          <w:szCs w:val="20"/>
          <w:color w:val="auto"/>
        </w:rPr>
      </w:pPr>
      <w:r>
        <w:rPr>
          <w:rFonts w:ascii="Arial" w:cs="Arial" w:eastAsia="Arial" w:hAnsi="Arial"/>
          <w:sz w:val="18"/>
          <w:szCs w:val="18"/>
          <w:color w:val="auto"/>
        </w:rPr>
        <w:t>3 percent of the participant’s compensation, as defined by the Plan, plus 50 percent of the participant’s Employee Contribution in excess of 3 percent of the participant’s compensation up to 6 percent of the participant’s compensation (“Employer Contribution”).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three asset allocation models, which are balanced among the six common collective trust funds (with aggressive, moderate and conservative investment objectives as investment options). Several restrictions apply, and a minimum balance is required to participate in the self-managed account. Certain participants’ accounts are invested in convertible notes (the “Notes”). No new investments are permitted in the Notes, and participants can move their investment out of the Notes at any time. The Plan utilizes cash equivalents to temporarily hold monies pending settlement for transactions initiated by participants.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Participants are immediately vested in their Employee Contribution, Rollover Contribution, and Employer Contribution accounts plus earnings thereon.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the participant’s account based upon the participant’s proportionate share of the funds within the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 of accounts invested in Company common stock may be taken in whole shares of common stock or cash.</w:t>
      </w:r>
    </w:p>
    <w:p>
      <w:pPr>
        <w:spacing w:after="0" w:line="14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Participants may also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6 months (12 months prior to January 1, 2002) after receiving the hardship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w:t>
      </w:r>
    </w:p>
    <w:p>
      <w:pPr>
        <w:spacing w:after="0" w:line="2" w:lineRule="exact"/>
        <w:rPr>
          <w:sz w:val="20"/>
          <w:szCs w:val="20"/>
          <w:color w:val="auto"/>
        </w:rPr>
      </w:pPr>
    </w:p>
    <w:p>
      <w:pPr>
        <w:ind w:left="5660" w:right="4500" w:hanging="5652"/>
        <w:spacing w:after="0" w:line="464" w:lineRule="auto"/>
        <w:tabs>
          <w:tab w:leader="none" w:pos="24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existed prior to January 1, 1999, (b) result from a merger of another plan into this Plan or (c)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(continued)</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which requires level amortization of principal and repayments no less frequently than quarterly. Such loans must be repaid over a period not to exceed 54 months (60 months for loans requested before August 5, 2002).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electing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2003, the Company elected to pay certain audit and legal fees of the Plan.</w:t>
      </w:r>
    </w:p>
    <w:p>
      <w:pPr>
        <w:spacing w:after="0" w:line="128" w:lineRule="exact"/>
        <w:rPr>
          <w:sz w:val="20"/>
          <w:szCs w:val="20"/>
          <w:color w:val="auto"/>
        </w:rPr>
      </w:pPr>
    </w:p>
    <w:p>
      <w:pPr>
        <w:ind w:right="8700" w:firstLine="8"/>
        <w:spacing w:after="0" w:line="46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42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preparation of the Plan’s financial statements in conformity with U.S. generally accepted accounting principles requires the Plan’s management to make estimates that affect the amounts reported in the financial statements and accompanying notes and supplemental schedules. Actual results could differ from those estimates.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Benefits paid to participants are recorded when paid. The Plan has amounts pending distribution to participants of $156,952 and $240,057 as of December 31, 2003 and 2002, respectively (see Note 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the Company and its subsidiaries, including Waste Management Holdings.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 Corporate stocks, convertible notes and mutual funds held by the Master Trust are stated at fair value based on quoted market price as of the financial statement date. The fair values of the common collective trust funds held by the Master Trust are established by State Street based on quoted market prices of the underlying assets. Short-term investments and loans to participants are stated at cost, which approximates fair value. The Master Trust records purchases and sales of securities on a trade-date basis and dividends on the ex-dividend date.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8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Plan provides for investment in the Master Trust, which in turn invests in various common collective trust funds, corporate stocks, convertible notes and mutual funds. 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Plan investments are held in the Master Trust along with another Company-sponsored retirement plan, the Waste Management Retirement Savings Plan for Bargaining Unit Employees (the “Union Plan”). As of December 31, 2003 and 2002, the Plan’s beneficial interest in the net assets of the Master Trust was 99.82% and 99.91%, respectively.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72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2003</w:t>
            </w:r>
          </w:p>
        </w:tc>
        <w:tc>
          <w:tcPr>
            <w:tcW w:w="296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2002</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1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Investments, at fair value-</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collective trust funds</w:t>
            </w:r>
          </w:p>
        </w:tc>
        <w:tc>
          <w:tcPr>
            <w:tcW w:w="3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$833,550,215</w:t>
            </w:r>
          </w:p>
        </w:tc>
        <w:tc>
          <w:tcPr>
            <w:tcW w:w="2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$685,772,099</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4,937,729</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3,902,643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Corporate stocks</w:t>
            </w:r>
          </w:p>
        </w:tc>
        <w:tc>
          <w:tcPr>
            <w:tcW w:w="3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6,765,165</w:t>
            </w:r>
          </w:p>
        </w:tc>
        <w:tc>
          <w:tcPr>
            <w:tcW w:w="2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3,370,845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Waste Management, Inc. common stock</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102,445,458</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86,754,860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Convertible notes</w:t>
            </w:r>
          </w:p>
        </w:tc>
        <w:tc>
          <w:tcPr>
            <w:tcW w:w="3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1,048,309</w:t>
            </w:r>
          </w:p>
        </w:tc>
        <w:tc>
          <w:tcPr>
            <w:tcW w:w="2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1,092,330</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6,796,257</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5,158,695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Limited partnerships</w:t>
            </w:r>
          </w:p>
        </w:tc>
        <w:tc>
          <w:tcPr>
            <w:tcW w:w="2380" w:type="dxa"/>
            <w:vAlign w:val="bottom"/>
            <w:gridSpan w:val="2"/>
            <w:shd w:val="clear" w:color="auto" w:fill="EEEEEE"/>
          </w:tcPr>
          <w:p>
            <w:pPr>
              <w:spacing w:after="0"/>
              <w:rPr>
                <w:sz w:val="18"/>
                <w:szCs w:val="18"/>
                <w:color w:val="auto"/>
              </w:rPr>
            </w:pPr>
          </w:p>
        </w:tc>
        <w:tc>
          <w:tcPr>
            <w:tcW w:w="9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86,178</w:t>
            </w:r>
          </w:p>
        </w:tc>
        <w:tc>
          <w:tcPr>
            <w:tcW w:w="2040" w:type="dxa"/>
            <w:vAlign w:val="bottom"/>
            <w:gridSpan w:val="3"/>
            <w:shd w:val="clear" w:color="auto" w:fill="EEEEEE"/>
          </w:tcPr>
          <w:p>
            <w:pPr>
              <w:spacing w:after="0"/>
              <w:rPr>
                <w:sz w:val="18"/>
                <w:szCs w:val="18"/>
                <w:color w:val="auto"/>
              </w:rPr>
            </w:pPr>
          </w:p>
        </w:tc>
        <w:tc>
          <w:tcPr>
            <w:tcW w:w="9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31,257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investments</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955,629,311</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786,082,729</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Securities sold receivable</w:t>
            </w:r>
          </w:p>
        </w:tc>
        <w:tc>
          <w:tcPr>
            <w:tcW w:w="3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175,701</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Interest receivable</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834,956</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1,631,527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non-interest bearing</w:t>
            </w:r>
          </w:p>
        </w:tc>
        <w:tc>
          <w:tcPr>
            <w:tcW w:w="1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9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EEEEEE"/>
          </w:tcPr>
          <w:p>
            <w:pPr>
              <w:spacing w:after="0"/>
              <w:rPr>
                <w:sz w:val="18"/>
                <w:szCs w:val="18"/>
                <w:color w:val="auto"/>
              </w:rPr>
            </w:pPr>
          </w:p>
        </w:tc>
        <w:tc>
          <w:tcPr>
            <w:tcW w:w="9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44,111</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956,639,968</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787,758,367</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Liabilities-</w:t>
            </w:r>
          </w:p>
        </w:tc>
        <w:tc>
          <w:tcPr>
            <w:tcW w:w="1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Administrative fees payable</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831,419</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1,310,052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Securities purchased payable</w:t>
            </w:r>
          </w:p>
        </w:tc>
        <w:tc>
          <w:tcPr>
            <w:tcW w:w="2380" w:type="dxa"/>
            <w:vAlign w:val="bottom"/>
            <w:gridSpan w:val="2"/>
            <w:shd w:val="clear" w:color="auto" w:fill="EEEEEE"/>
          </w:tcPr>
          <w:p>
            <w:pPr>
              <w:spacing w:after="0"/>
              <w:rPr>
                <w:sz w:val="18"/>
                <w:szCs w:val="18"/>
                <w:color w:val="auto"/>
              </w:rPr>
            </w:pPr>
          </w:p>
        </w:tc>
        <w:tc>
          <w:tcPr>
            <w:tcW w:w="9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154,080</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9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985,499</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1,310,052</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top w:val="single" w:sz="8" w:color="808080"/>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Borders>
              <w:top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net assets</w:t>
            </w:r>
          </w:p>
        </w:tc>
        <w:tc>
          <w:tcPr>
            <w:tcW w:w="3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$955,654,469</w:t>
            </w:r>
          </w:p>
        </w:tc>
        <w:tc>
          <w:tcPr>
            <w:tcW w:w="2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$786,448,315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400" w:type="dxa"/>
            <w:vAlign w:val="bottom"/>
            <w:tcBorders>
              <w:top w:val="single" w:sz="8" w:color="EEEEEE"/>
            </w:tcBorders>
          </w:tcPr>
          <w:p>
            <w:pPr>
              <w:spacing w:after="0"/>
              <w:rPr>
                <w:sz w:val="3"/>
                <w:szCs w:val="3"/>
                <w:color w:val="auto"/>
              </w:rPr>
            </w:pPr>
          </w:p>
        </w:tc>
        <w:tc>
          <w:tcPr>
            <w:tcW w:w="2380" w:type="dxa"/>
            <w:vAlign w:val="bottom"/>
            <w:tcBorders>
              <w:top w:val="single" w:sz="8" w:color="EEEEEE"/>
            </w:tcBorders>
            <w:gridSpan w:val="2"/>
          </w:tcPr>
          <w:p>
            <w:pPr>
              <w:spacing w:after="0"/>
              <w:rPr>
                <w:sz w:val="3"/>
                <w:szCs w:val="3"/>
                <w:color w:val="auto"/>
              </w:rPr>
            </w:pPr>
          </w:p>
        </w:tc>
        <w:tc>
          <w:tcPr>
            <w:tcW w:w="900" w:type="dxa"/>
            <w:vAlign w:val="bottom"/>
            <w:tcBorders>
              <w:top w:val="single" w:sz="8" w:color="808080"/>
            </w:tcBorders>
            <w:shd w:val="clear" w:color="auto" w:fill="808080"/>
          </w:tcPr>
          <w:p>
            <w:pPr>
              <w:spacing w:after="0"/>
              <w:rPr>
                <w:sz w:val="3"/>
                <w:szCs w:val="3"/>
                <w:color w:val="auto"/>
              </w:rPr>
            </w:pPr>
          </w:p>
        </w:tc>
        <w:tc>
          <w:tcPr>
            <w:tcW w:w="2040" w:type="dxa"/>
            <w:vAlign w:val="bottom"/>
            <w:tcBorders>
              <w:top w:val="single" w:sz="8" w:color="EEEEEE"/>
            </w:tcBorders>
            <w:gridSpan w:val="3"/>
          </w:tcPr>
          <w:p>
            <w:pPr>
              <w:spacing w:after="0"/>
              <w:rPr>
                <w:sz w:val="3"/>
                <w:szCs w:val="3"/>
                <w:color w:val="auto"/>
              </w:rPr>
            </w:pPr>
          </w:p>
        </w:tc>
        <w:tc>
          <w:tcPr>
            <w:tcW w:w="920" w:type="dxa"/>
            <w:vAlign w:val="bottom"/>
            <w:tcBorders>
              <w:top w:val="single" w:sz="8" w:color="808080"/>
            </w:tcBorders>
            <w:shd w:val="clear" w:color="auto" w:fill="808080"/>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420" w:type="dxa"/>
            <w:vAlign w:val="bottom"/>
            <w:gridSpan w:val="2"/>
          </w:tcPr>
          <w:p>
            <w:pPr>
              <w:spacing w:after="0"/>
              <w:rPr>
                <w:sz w:val="20"/>
                <w:szCs w:val="20"/>
                <w:color w:val="auto"/>
              </w:rPr>
            </w:pPr>
            <w:r>
              <w:rPr>
                <w:rFonts w:ascii="Arial" w:cs="Arial" w:eastAsia="Arial" w:hAnsi="Arial"/>
                <w:sz w:val="18"/>
                <w:szCs w:val="18"/>
                <w:color w:val="auto"/>
              </w:rPr>
              <w:t>Plan interest</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$953,933,282</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$785,743,863</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Union Plan interest</w:t>
            </w:r>
          </w:p>
        </w:tc>
        <w:tc>
          <w:tcPr>
            <w:tcW w:w="3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1,721,187</w:t>
            </w:r>
          </w:p>
        </w:tc>
        <w:tc>
          <w:tcPr>
            <w:tcW w:w="2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704,452</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20" w:type="dxa"/>
            <w:vAlign w:val="bottom"/>
          </w:tcPr>
          <w:p>
            <w:pPr>
              <w:ind w:left="4080"/>
              <w:spacing w:after="0"/>
              <w:rPr>
                <w:sz w:val="20"/>
                <w:szCs w:val="20"/>
                <w:color w:val="auto"/>
              </w:rPr>
            </w:pPr>
            <w:r>
              <w:rPr>
                <w:rFonts w:ascii="Arial" w:cs="Arial" w:eastAsia="Arial" w:hAnsi="Arial"/>
                <w:sz w:val="18"/>
                <w:szCs w:val="18"/>
                <w:color w:val="auto"/>
              </w:rPr>
              <w:t>Waste Management Retirement Savings Plan</w:t>
            </w: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20" w:type="dxa"/>
            <w:vAlign w:val="bottom"/>
          </w:tcPr>
          <w:p>
            <w:pPr>
              <w:ind w:left="4180"/>
              <w:spacing w:after="0"/>
              <w:rPr>
                <w:sz w:val="20"/>
                <w:szCs w:val="20"/>
                <w:color w:val="auto"/>
              </w:rPr>
            </w:pPr>
            <w:r>
              <w:rPr>
                <w:rFonts w:ascii="Arial" w:cs="Arial" w:eastAsia="Arial" w:hAnsi="Arial"/>
                <w:sz w:val="18"/>
                <w:szCs w:val="18"/>
                <w:color w:val="auto"/>
              </w:rPr>
              <w:t>Notes to Financial Statements (continued)</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Income or loss from investments held in the Master Trust for the year ended December 31, 2003, is as follows: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8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920" w:type="dxa"/>
            <w:vAlign w:val="bottom"/>
            <w:shd w:val="clear" w:color="auto" w:fill="EEEEEE"/>
          </w:tcPr>
          <w:p>
            <w:pPr>
              <w:ind w:left="840"/>
              <w:spacing w:after="0"/>
              <w:rPr>
                <w:sz w:val="20"/>
                <w:szCs w:val="20"/>
                <w:color w:val="auto"/>
              </w:rPr>
            </w:pPr>
            <w:r>
              <w:rPr>
                <w:rFonts w:ascii="Arial" w:cs="Arial" w:eastAsia="Arial" w:hAnsi="Arial"/>
                <w:sz w:val="10"/>
                <w:szCs w:val="10"/>
                <w:color w:val="auto"/>
                <w:w w:val="71"/>
              </w:rPr>
              <w:t>$</w:t>
            </w:r>
          </w:p>
        </w:tc>
        <w:tc>
          <w:tcPr>
            <w:tcW w:w="94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11,437,962</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Dividends</w:t>
            </w:r>
          </w:p>
        </w:tc>
        <w:tc>
          <w:tcPr>
            <w:tcW w:w="9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132,960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Dividends — Waste Management, Inc. common stock</w:t>
            </w:r>
          </w:p>
        </w:tc>
        <w:tc>
          <w:tcPr>
            <w:tcW w:w="920" w:type="dxa"/>
            <w:vAlign w:val="bottom"/>
            <w:shd w:val="clear" w:color="auto" w:fill="EEEEEE"/>
          </w:tcPr>
          <w:p>
            <w:pPr>
              <w:spacing w:after="0"/>
              <w:rPr>
                <w:sz w:val="18"/>
                <w:szCs w:val="18"/>
                <w:color w:val="auto"/>
              </w:rPr>
            </w:pPr>
          </w:p>
        </w:tc>
        <w:tc>
          <w:tcPr>
            <w:tcW w:w="94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35,863</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Other income</w:t>
            </w:r>
          </w:p>
        </w:tc>
        <w:tc>
          <w:tcPr>
            <w:tcW w:w="9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1,318,906</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Net appreciation/(depreciation) in fair value of-</w:t>
            </w:r>
          </w:p>
        </w:tc>
        <w:tc>
          <w:tcPr>
            <w:tcW w:w="920" w:type="dxa"/>
            <w:vAlign w:val="bottom"/>
            <w:shd w:val="clear" w:color="auto" w:fill="EEEEEE"/>
          </w:tcPr>
          <w:p>
            <w:pPr>
              <w:spacing w:after="0"/>
              <w:rPr>
                <w:sz w:val="18"/>
                <w:szCs w:val="18"/>
                <w:color w:val="auto"/>
              </w:rPr>
            </w:pPr>
          </w:p>
        </w:tc>
        <w:tc>
          <w:tcPr>
            <w:tcW w:w="9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Common collective trust funds</w:t>
            </w:r>
          </w:p>
        </w:tc>
        <w:tc>
          <w:tcPr>
            <w:tcW w:w="9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112,479,793</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Corporate stock</w:t>
            </w:r>
          </w:p>
        </w:tc>
        <w:tc>
          <w:tcPr>
            <w:tcW w:w="920" w:type="dxa"/>
            <w:vAlign w:val="bottom"/>
            <w:shd w:val="clear" w:color="auto" w:fill="EEEEEE"/>
          </w:tcPr>
          <w:p>
            <w:pPr>
              <w:spacing w:after="0"/>
              <w:rPr>
                <w:sz w:val="18"/>
                <w:szCs w:val="18"/>
                <w:color w:val="auto"/>
              </w:rPr>
            </w:pPr>
          </w:p>
        </w:tc>
        <w:tc>
          <w:tcPr>
            <w:tcW w:w="1660" w:type="dxa"/>
            <w:vAlign w:val="bottom"/>
            <w:tcBorders>
              <w:left w:val="single" w:sz="8" w:color="EEEEEE"/>
            </w:tcBorders>
            <w:gridSpan w:val="3"/>
            <w:shd w:val="clear" w:color="auto" w:fill="EEEEEE"/>
          </w:tcPr>
          <w:p>
            <w:pPr>
              <w:jc w:val="right"/>
              <w:ind w:right="680"/>
              <w:spacing w:after="0"/>
              <w:rPr>
                <w:sz w:val="20"/>
                <w:szCs w:val="20"/>
                <w:color w:val="auto"/>
              </w:rPr>
            </w:pPr>
            <w:r>
              <w:rPr>
                <w:rFonts w:ascii="Arial" w:cs="Arial" w:eastAsia="Arial" w:hAnsi="Arial"/>
                <w:sz w:val="18"/>
                <w:szCs w:val="18"/>
                <w:color w:val="auto"/>
              </w:rPr>
              <w:t>(1,636,238)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Waste Management, Inc. common stock</w:t>
            </w:r>
          </w:p>
        </w:tc>
        <w:tc>
          <w:tcPr>
            <w:tcW w:w="9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24,194,033</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Convertible notes</w:t>
            </w:r>
          </w:p>
        </w:tc>
        <w:tc>
          <w:tcPr>
            <w:tcW w:w="920" w:type="dxa"/>
            <w:vAlign w:val="bottom"/>
            <w:shd w:val="clear" w:color="auto" w:fill="EEEEEE"/>
          </w:tcPr>
          <w:p>
            <w:pPr>
              <w:spacing w:after="0"/>
              <w:rPr>
                <w:sz w:val="18"/>
                <w:szCs w:val="18"/>
                <w:color w:val="auto"/>
              </w:rPr>
            </w:pPr>
          </w:p>
        </w:tc>
        <w:tc>
          <w:tcPr>
            <w:tcW w:w="94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96,338</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Limited partnerships</w:t>
            </w:r>
          </w:p>
        </w:tc>
        <w:tc>
          <w:tcPr>
            <w:tcW w:w="9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19,634</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Mutual funds</w:t>
            </w:r>
          </w:p>
        </w:tc>
        <w:tc>
          <w:tcPr>
            <w:tcW w:w="920" w:type="dxa"/>
            <w:vAlign w:val="bottom"/>
            <w:shd w:val="clear" w:color="auto" w:fill="EEEEEE"/>
          </w:tcPr>
          <w:p>
            <w:pPr>
              <w:spacing w:after="0"/>
              <w:rPr>
                <w:sz w:val="18"/>
                <w:szCs w:val="18"/>
                <w:color w:val="auto"/>
              </w:rPr>
            </w:pPr>
          </w:p>
        </w:tc>
        <w:tc>
          <w:tcPr>
            <w:tcW w:w="94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1,695,200</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Total net appreciation in fair value of investments</w:t>
            </w:r>
          </w:p>
        </w:tc>
        <w:tc>
          <w:tcPr>
            <w:tcW w:w="9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9"/>
              </w:rPr>
              <w:t>136,848,760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investment gain</w:t>
            </w:r>
          </w:p>
        </w:tc>
        <w:tc>
          <w:tcPr>
            <w:tcW w:w="920" w:type="dxa"/>
            <w:vAlign w:val="bottom"/>
            <w:shd w:val="clear" w:color="auto" w:fill="EEEEEE"/>
          </w:tcPr>
          <w:p>
            <w:pPr>
              <w:spacing w:after="0"/>
              <w:rPr>
                <w:sz w:val="18"/>
                <w:szCs w:val="18"/>
                <w:color w:val="auto"/>
              </w:rPr>
            </w:pPr>
          </w:p>
        </w:tc>
        <w:tc>
          <w:tcPr>
            <w:tcW w:w="94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9"/>
              </w:rPr>
              <w:t>149,774,451</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Administrative fees</w:t>
            </w:r>
          </w:p>
        </w:tc>
        <w:tc>
          <w:tcPr>
            <w:tcW w:w="920" w:type="dxa"/>
            <w:vAlign w:val="bottom"/>
          </w:tcPr>
          <w:p>
            <w:pPr>
              <w:spacing w:after="0"/>
              <w:rPr>
                <w:sz w:val="20"/>
                <w:szCs w:val="20"/>
                <w:color w:val="auto"/>
              </w:rPr>
            </w:pP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(2,818,306)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gain</w:t>
            </w:r>
          </w:p>
        </w:tc>
        <w:tc>
          <w:tcPr>
            <w:tcW w:w="920" w:type="dxa"/>
            <w:vAlign w:val="bottom"/>
            <w:shd w:val="clear" w:color="auto" w:fill="EEEEEE"/>
          </w:tcPr>
          <w:p>
            <w:pPr>
              <w:ind w:left="8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808080"/>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146,956,145</w:t>
            </w:r>
          </w:p>
        </w:tc>
        <w:tc>
          <w:tcPr>
            <w:tcW w:w="2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920" w:type="dxa"/>
            <w:vAlign w:val="bottom"/>
            <w:vMerge w:val="restart"/>
          </w:tcPr>
          <w:p>
            <w:pPr>
              <w:ind w:left="840"/>
              <w:spacing w:after="0"/>
              <w:rPr>
                <w:sz w:val="20"/>
                <w:szCs w:val="20"/>
                <w:color w:val="auto"/>
              </w:rPr>
            </w:pPr>
            <w:r>
              <w:rPr>
                <w:rFonts w:ascii="Arial" w:cs="Arial" w:eastAsia="Arial" w:hAnsi="Arial"/>
                <w:sz w:val="10"/>
                <w:szCs w:val="10"/>
                <w:color w:val="auto"/>
                <w:w w:val="71"/>
              </w:rPr>
              <w:t>$</w:t>
            </w:r>
          </w:p>
        </w:tc>
        <w:tc>
          <w:tcPr>
            <w:tcW w:w="940" w:type="dxa"/>
            <w:vAlign w:val="bottom"/>
            <w:tcBorders>
              <w:left w:val="single" w:sz="8" w:color="808080"/>
            </w:tcBorders>
            <w:gridSpan w:val="2"/>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884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146,653,851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Union Plan interest in investment gain from the Master Trust</w:t>
            </w:r>
          </w:p>
        </w:tc>
        <w:tc>
          <w:tcPr>
            <w:tcW w:w="920" w:type="dxa"/>
            <w:vAlign w:val="bottom"/>
            <w:shd w:val="clear" w:color="auto" w:fill="EEEEEE"/>
          </w:tcPr>
          <w:p>
            <w:pPr>
              <w:spacing w:after="0"/>
              <w:rPr>
                <w:sz w:val="18"/>
                <w:szCs w:val="18"/>
                <w:color w:val="auto"/>
              </w:rPr>
            </w:pPr>
          </w:p>
        </w:tc>
        <w:tc>
          <w:tcPr>
            <w:tcW w:w="940" w:type="dxa"/>
            <w:vAlign w:val="bottom"/>
            <w:tcBorders>
              <w:lef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302,294</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Federal Income Taxes</w:t>
      </w:r>
    </w:p>
    <w:p>
      <w:pPr>
        <w:spacing w:after="0" w:line="18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Plan has received a determination letter from the Internal Revenue Service (“IRS”) dated June 20, 2002,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administrator believes the Plan is being operated in compliance with the applicable requirements of the Code and, therefore, believes that the Plan, as amended, is qualified and the related trust is tax exempt.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Reconciliation of Financial Statements to Form 5500</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2003 and 2002:</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6"/>
                <w:szCs w:val="16"/>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84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$1,008,446,449</w:t>
            </w:r>
          </w:p>
        </w:tc>
        <w:tc>
          <w:tcPr>
            <w:tcW w:w="680" w:type="dxa"/>
            <w:vAlign w:val="bottom"/>
            <w:shd w:val="clear" w:color="auto" w:fill="EEEEEE"/>
          </w:tcPr>
          <w:p>
            <w:pPr>
              <w:spacing w:after="0"/>
              <w:rPr>
                <w:sz w:val="18"/>
                <w:szCs w:val="18"/>
                <w:color w:val="auto"/>
              </w:rPr>
            </w:pPr>
          </w:p>
        </w:tc>
        <w:tc>
          <w:tcPr>
            <w:tcW w:w="1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$836,822,928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Less — Amounts pending distribution to participants</w:t>
            </w:r>
          </w:p>
        </w:tc>
        <w:tc>
          <w:tcPr>
            <w:tcW w:w="2300" w:type="dxa"/>
            <w:vAlign w:val="bottom"/>
            <w:gridSpan w:val="3"/>
          </w:tcPr>
          <w:p>
            <w:pPr>
              <w:jc w:val="right"/>
              <w:ind w:right="620"/>
              <w:spacing w:after="0"/>
              <w:rPr>
                <w:sz w:val="20"/>
                <w:szCs w:val="20"/>
                <w:color w:val="auto"/>
              </w:rPr>
            </w:pPr>
            <w:r>
              <w:rPr>
                <w:rFonts w:ascii="Arial" w:cs="Arial" w:eastAsia="Arial" w:hAnsi="Arial"/>
                <w:sz w:val="18"/>
                <w:szCs w:val="18"/>
                <w:color w:val="auto"/>
              </w:rPr>
              <w:t>(156,952)</w:t>
            </w:r>
          </w:p>
        </w:tc>
        <w:tc>
          <w:tcPr>
            <w:tcW w:w="2260" w:type="dxa"/>
            <w:vAlign w:val="bottom"/>
            <w:gridSpan w:val="4"/>
          </w:tcPr>
          <w:p>
            <w:pPr>
              <w:jc w:val="right"/>
              <w:ind w:right="520"/>
              <w:spacing w:after="0"/>
              <w:rPr>
                <w:sz w:val="20"/>
                <w:szCs w:val="20"/>
                <w:color w:val="auto"/>
              </w:rPr>
            </w:pPr>
            <w:r>
              <w:rPr>
                <w:rFonts w:ascii="Arial" w:cs="Arial" w:eastAsia="Arial" w:hAnsi="Arial"/>
                <w:sz w:val="18"/>
                <w:szCs w:val="18"/>
                <w:color w:val="auto"/>
              </w:rPr>
              <w:t>(240,057)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$1,008,289,497</w:t>
            </w:r>
          </w:p>
        </w:tc>
        <w:tc>
          <w:tcPr>
            <w:tcW w:w="680" w:type="dxa"/>
            <w:vAlign w:val="bottom"/>
            <w:shd w:val="clear" w:color="auto" w:fill="EEEEEE"/>
          </w:tcPr>
          <w:p>
            <w:pPr>
              <w:spacing w:after="0"/>
              <w:rPr>
                <w:sz w:val="18"/>
                <w:szCs w:val="18"/>
                <w:color w:val="auto"/>
              </w:rPr>
            </w:pPr>
          </w:p>
        </w:tc>
        <w:tc>
          <w:tcPr>
            <w:tcW w:w="1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$836,582,871</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1040" w:type="dxa"/>
            <w:vAlign w:val="bottom"/>
            <w:tcBorders>
              <w:top w:val="single" w:sz="8" w:color="808080"/>
            </w:tcBorders>
            <w:shd w:val="clear" w:color="auto" w:fill="808080"/>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900" w:type="dxa"/>
            <w:vAlign w:val="bottom"/>
            <w:tcBorders>
              <w:top w:val="single" w:sz="8" w:color="808080"/>
            </w:tcBorders>
            <w:shd w:val="clear" w:color="auto" w:fill="808080"/>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benefits paid to participants per the financial statements to the Form 5500 for the year ended December 31, 2003: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EEEEEE"/>
          </w:tcPr>
          <w:p>
            <w:pPr>
              <w:spacing w:after="0"/>
              <w:rPr>
                <w:sz w:val="20"/>
                <w:szCs w:val="20"/>
                <w:color w:val="auto"/>
              </w:rPr>
            </w:pPr>
            <w:r>
              <w:rPr>
                <w:rFonts w:ascii="Arial" w:cs="Arial" w:eastAsia="Arial" w:hAnsi="Arial"/>
                <w:sz w:val="18"/>
                <w:szCs w:val="18"/>
                <w:color w:val="auto"/>
              </w:rPr>
              <w:t>Benefits paid to participants per the financial statements</w:t>
            </w:r>
          </w:p>
        </w:tc>
        <w:tc>
          <w:tcPr>
            <w:tcW w:w="3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$90,292,259</w:t>
            </w:r>
          </w:p>
        </w:tc>
        <w:tc>
          <w:tcPr>
            <w:tcW w:w="620" w:type="dxa"/>
            <w:vAlign w:val="bottom"/>
            <w:shd w:val="clear" w:color="auto" w:fill="EEEEEE"/>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Arial" w:cs="Arial" w:eastAsia="Arial" w:hAnsi="Arial"/>
                <w:sz w:val="18"/>
                <w:szCs w:val="18"/>
                <w:color w:val="auto"/>
              </w:rPr>
              <w:t>Add — Amounts pending distribution to participants at December 31, 2003</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156,952</w:t>
            </w:r>
          </w:p>
        </w:tc>
        <w:tc>
          <w:tcPr>
            <w:tcW w:w="620" w:type="dxa"/>
            <w:vAlign w:val="bottom"/>
          </w:tcPr>
          <w:p>
            <w:pPr>
              <w:spacing w:after="0"/>
              <w:rPr>
                <w:sz w:val="18"/>
                <w:szCs w:val="18"/>
                <w:color w:val="auto"/>
              </w:rPr>
            </w:pPr>
          </w:p>
        </w:tc>
      </w:tr>
      <w:tr>
        <w:trPr>
          <w:trHeight w:val="216"/>
        </w:trPr>
        <w:tc>
          <w:tcPr>
            <w:tcW w:w="7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Less — Amounts pending distribution to participants at December 31, 2002</w:t>
            </w:r>
          </w:p>
        </w:tc>
        <w:tc>
          <w:tcPr>
            <w:tcW w:w="368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(240,057)</w:t>
            </w:r>
          </w:p>
        </w:tc>
      </w:tr>
      <w:tr>
        <w:trPr>
          <w:trHeight w:val="20"/>
        </w:trPr>
        <w:tc>
          <w:tcPr>
            <w:tcW w:w="7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Benefits paid to participants per the Form 5500</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90,209,154</w:t>
            </w:r>
          </w:p>
        </w:tc>
        <w:tc>
          <w:tcPr>
            <w:tcW w:w="620" w:type="dxa"/>
            <w:vAlign w:val="bottom"/>
          </w:tcPr>
          <w:p>
            <w:pPr>
              <w:spacing w:after="0"/>
              <w:rPr>
                <w:sz w:val="19"/>
                <w:szCs w:val="19"/>
                <w:color w:val="auto"/>
              </w:rPr>
            </w:pPr>
          </w:p>
        </w:tc>
      </w:tr>
      <w:tr>
        <w:trPr>
          <w:trHeight w:val="65"/>
        </w:trPr>
        <w:tc>
          <w:tcPr>
            <w:tcW w:w="7740" w:type="dxa"/>
            <w:vAlign w:val="bottom"/>
          </w:tcPr>
          <w:p>
            <w:pPr>
              <w:spacing w:after="0"/>
              <w:rPr>
                <w:sz w:val="5"/>
                <w:szCs w:val="5"/>
                <w:color w:val="auto"/>
              </w:rPr>
            </w:pPr>
          </w:p>
        </w:tc>
        <w:tc>
          <w:tcPr>
            <w:tcW w:w="226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20" w:type="dxa"/>
            <w:vAlign w:val="bottom"/>
          </w:tcPr>
          <w:p>
            <w:pPr>
              <w:spacing w:after="0"/>
              <w:rPr>
                <w:sz w:val="5"/>
                <w:szCs w:val="5"/>
                <w:color w:val="auto"/>
              </w:rPr>
            </w:pPr>
          </w:p>
        </w:tc>
      </w:tr>
    </w:tbl>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Amounts pending distribution are recorded on the Form 5500 for benefit claims that have been processed and approved for payment prior to December 31, but which have not yet been paid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2002, a lawsuit was filed against the Waste Management Retirement Savings Plan (which was sponsored by Waste Management Holdings and merged into the Plan in February 1999), the Plan (as successor to the savings plan sponsored by Waste Management Holdings), Waste Management Holdings, and certain fiduciaries of the savings plan sponsored by Waste Management Holdings and the Plan in the United States District Court for the District of Columbia (the “D.C. Case”). After first asserting broader claims as to the Plan, the plaintiffs in the D.C. Case now purport to file their complaint on behalf of those Plan participants for whose account the Plan’s fiduciaries acquired Waste Management Holdings common stock between January 1990 and February 24, 1998, the date of the restatement of previously issued financial statements by Waste Management Holdings. The plaintiffs in the D.C. Case alleged that the prices at which the Plan purchased the stock were artificially inflated by omissions of a material nature about Waste Management Holdings’ financial condition. The plaintiffs in the D.C. Case also alleged that certain of the defendants breached a variety of ERISA imposed duties and prohibitions by, among other things, participating in two securities class action settlements (one in Illinois and the other in Texas, as described below), rather than opting out to pursue the Plan’s separate and distinct ERISA claims.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Illinois securities class action arose from Waste Management Holdings’ February 1998 restatement of prior period earnings and charge to fourth quarter 1997 earnings. The parties to the Illinois securities class action agreed to a settlement of the case that became final in 1999 (the “Illinois Settlement”). The Plan elected to stay in the settlement class and submitted a proof of claim form for its share of the settlement proceeds. In 2000, the Plan received its share of the settlement proceeds.</w:t>
      </w:r>
    </w:p>
    <w:p>
      <w:pPr>
        <w:spacing w:after="0" w:line="1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Texas securities class action involved allegations arising from events related to the Company’s earnings announcements in July and August of 1999. A settlement in that action was first approved in May 2002 and became final in September 2003 (the “Texas Settlement”). The Texas Settlement provided for a payment by the Company of $457 million to members of the class and for the Company to consent, for settlement purposes, to the certification of a class of purchasers or acquirers of Company securities from June 11, 1998 through November 9, 1999. The Plan elected to remain a member of the settlement class and submitted a proof of claim form. As a result of the Texas Settlement, the Plan received $2.3 million on March 17, 2004 from the settlement claims administrator. The allocation of the $457 million to members of the class was not finalized until 2004, and therefore, the $2.3 million has not been recorded as a receivable by the Plan at December 31, 2003. In addition, in July 2003, the plaintiffs in the D.C. Case reached an agreement with the lead plaintiff in the Texas securities class action under which an additional $4.5 million (reduced by $198,905 for attorneys’ fees and costs) will be paid from the Texas Settlement to the Plan on behalf of participants in the savings plan sponsored by Waste Management Holdings. As such, a receivable has been recorded by the Plan at December 31, 2003 for $4,301,095.</w:t>
      </w:r>
    </w:p>
    <w:p>
      <w:pPr>
        <w:spacing w:after="0" w:line="15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Plan asserts that most, if not all, of the plaintiffs’ causes of action in the D.C. Case have been released as a result of the Illinois Settlement and the Texas Settlement or are time-barred. The defendants have filed a motion to dismiss the plaintiffs’ amended complaint and discovery is substantially stayed pending resolution of the motion. The outcome of this lawsuit cannot be predicted with certainty, and these matters could impact the Plan’s net assets available for benefits. The Plan and the other defendants intend to defend themselves vigorously in this litigation.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Effective January 2, 2004, the Company merged the American Waste Services, Inc. Participating Companies Profit Sharing Plan into the Plan. Net Assets of $722,734 were transferred into the Plan as a result of this merger.</w:t>
      </w:r>
    </w:p>
    <w:p>
      <w:pPr>
        <w:spacing w:after="0" w:line="14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approved the merger of the following plans into the Plan: The Peltz Group, Inc. Retirement Savings Plan, the TransAmerican Waste 401(k) Savings Plan, and the Speedway Disposal &amp; Recycling, Inc. Salary Savings Plan. The Company intends to merge the Plans during the third quarter of 2004. The net assets of the plans merging into the Plan are not material to the Plan.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5"/>
          <w:szCs w:val="15"/>
          <w:b w:val="1"/>
          <w:bCs w:val="1"/>
          <w:color w:val="auto"/>
        </w:rPr>
        <w:t>Supplemental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174625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4(a) – Schedule of Delinquent Participant Contributions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PN: 001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2"/>
              </w:rPr>
              <w:t>Participant Contributions</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Total that Constitute Non Exempt</w:t>
            </w:r>
          </w:p>
        </w:tc>
      </w:tr>
      <w:tr>
        <w:trPr>
          <w:trHeight w:val="234"/>
        </w:trPr>
        <w:tc>
          <w:tcPr>
            <w:tcW w:w="54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Transferred toe Late to Plan</w:t>
            </w:r>
          </w:p>
        </w:tc>
        <w:tc>
          <w:tcPr>
            <w:tcW w:w="580" w:type="dxa"/>
            <w:vAlign w:val="bottom"/>
          </w:tcPr>
          <w:p>
            <w:pPr>
              <w:spacing w:after="0"/>
              <w:rPr>
                <w:sz w:val="20"/>
                <w:szCs w:val="20"/>
                <w:color w:val="auto"/>
              </w:rPr>
            </w:pPr>
          </w:p>
        </w:tc>
        <w:tc>
          <w:tcPr>
            <w:tcW w:w="54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Prohibitive Transactions</w:t>
            </w:r>
          </w:p>
        </w:tc>
      </w:t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90"/>
              </w:rPr>
              <w:t>$4,425</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$4,425</w:t>
            </w:r>
          </w:p>
        </w:tc>
      </w:tr>
      <w:tr>
        <w:trPr>
          <w:trHeight w:val="392"/>
        </w:trPr>
        <w:tc>
          <w:tcPr>
            <w:tcW w:w="542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5420" w:type="dxa"/>
            <w:vAlign w:val="bottom"/>
          </w:tcPr>
          <w:p>
            <w:pPr>
              <w:spacing w:after="0"/>
              <w:rPr>
                <w:sz w:val="24"/>
                <w:szCs w:val="24"/>
                <w:color w:val="auto"/>
              </w:rPr>
            </w:pPr>
          </w:p>
        </w:tc>
      </w:tr>
      <w:tr>
        <w:trPr>
          <w:trHeight w:val="226"/>
        </w:trPr>
        <w:tc>
          <w:tcPr>
            <w:tcW w:w="5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PN: 001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90"/>
              </w:rPr>
              <w:t>Identity of Issue</w:t>
            </w:r>
          </w:p>
        </w:tc>
        <w:tc>
          <w:tcPr>
            <w:tcW w:w="580" w:type="dxa"/>
            <w:vAlign w:val="bottom"/>
          </w:tcPr>
          <w:p>
            <w:pPr>
              <w:spacing w:after="0"/>
              <w:rPr>
                <w:sz w:val="20"/>
                <w:szCs w:val="20"/>
                <w:color w:val="auto"/>
              </w:rPr>
            </w:pPr>
          </w:p>
        </w:tc>
        <w:tc>
          <w:tcPr>
            <w:tcW w:w="34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Description of Investment</w:t>
            </w:r>
          </w:p>
        </w:tc>
        <w:tc>
          <w:tcPr>
            <w:tcW w:w="560" w:type="dxa"/>
            <w:vAlign w:val="bottom"/>
          </w:tcPr>
          <w:p>
            <w:pPr>
              <w:spacing w:after="0"/>
              <w:rPr>
                <w:sz w:val="20"/>
                <w:szCs w:val="20"/>
                <w:color w:val="auto"/>
              </w:rPr>
            </w:pPr>
          </w:p>
        </w:tc>
        <w:tc>
          <w:tcPr>
            <w:tcW w:w="34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93"/>
              </w:rPr>
              <w:t>Current Value</w:t>
            </w:r>
          </w:p>
        </w:tc>
      </w:tr>
      <w:tr>
        <w:trPr>
          <w:trHeight w:val="222"/>
        </w:trPr>
        <w:tc>
          <w:tcPr>
            <w:tcW w:w="3440" w:type="dxa"/>
            <w:vAlign w:val="bottom"/>
          </w:tcPr>
          <w:p>
            <w:pPr>
              <w:jc w:val="center"/>
              <w:spacing w:after="0"/>
              <w:rPr>
                <w:sz w:val="20"/>
                <w:szCs w:val="20"/>
                <w:color w:val="auto"/>
              </w:rPr>
            </w:pPr>
            <w:r>
              <w:rPr>
                <w:rFonts w:ascii="Arial" w:cs="Arial" w:eastAsia="Arial" w:hAnsi="Arial"/>
                <w:sz w:val="18"/>
                <w:szCs w:val="18"/>
                <w:color w:val="auto"/>
                <w:w w:val="93"/>
              </w:rPr>
              <w:t>*Participant Loans</w:t>
            </w:r>
          </w:p>
        </w:tc>
        <w:tc>
          <w:tcPr>
            <w:tcW w:w="5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Various maturity dates with</w:t>
            </w:r>
          </w:p>
        </w:tc>
        <w:tc>
          <w:tcPr>
            <w:tcW w:w="3980" w:type="dxa"/>
            <w:vAlign w:val="bottom"/>
            <w:gridSpan w:val="2"/>
          </w:tcPr>
          <w:p>
            <w:pPr>
              <w:jc w:val="right"/>
              <w:ind w:right="1170"/>
              <w:spacing w:after="0"/>
              <w:rPr>
                <w:sz w:val="20"/>
                <w:szCs w:val="20"/>
                <w:color w:val="auto"/>
              </w:rPr>
            </w:pPr>
            <w:r>
              <w:rPr>
                <w:rFonts w:ascii="Arial" w:cs="Arial" w:eastAsia="Arial" w:hAnsi="Arial"/>
                <w:sz w:val="18"/>
                <w:szCs w:val="18"/>
                <w:color w:val="auto"/>
              </w:rPr>
              <w:t>$49,381,642</w:t>
            </w:r>
          </w:p>
        </w:tc>
      </w:t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interest rates ranging from</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5.0% to 11.0%</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92"/>
        </w:trPr>
        <w:tc>
          <w:tcPr>
            <w:tcW w:w="3440" w:type="dxa"/>
            <w:vAlign w:val="bottom"/>
          </w:tcPr>
          <w:p>
            <w:pPr>
              <w:spacing w:after="0"/>
              <w:rPr>
                <w:sz w:val="20"/>
                <w:szCs w:val="20"/>
                <w:color w:val="auto"/>
              </w:rPr>
            </w:pPr>
            <w:r>
              <w:rPr>
                <w:rFonts w:ascii="Arial" w:cs="Arial" w:eastAsia="Arial" w:hAnsi="Arial"/>
                <w:sz w:val="18"/>
                <w:szCs w:val="18"/>
                <w:color w:val="auto"/>
              </w:rPr>
              <w:t>*Party-in-interest</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92"/>
        </w:trPr>
        <w:tc>
          <w:tcPr>
            <w:tcW w:w="3440" w:type="dxa"/>
            <w:vAlign w:val="bottom"/>
          </w:tcPr>
          <w:p>
            <w:pPr>
              <w:spacing w:after="0"/>
              <w:rPr>
                <w:sz w:val="24"/>
                <w:szCs w:val="24"/>
                <w:color w:val="auto"/>
              </w:rPr>
            </w:pPr>
          </w:p>
        </w:tc>
        <w:tc>
          <w:tcPr>
            <w:tcW w:w="400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12</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undersigned registrant hereby amends and restates its Annual Report on Form 11-K for the year ended December 31, 2003 (the “11-K”) to reflect a correction in the Report of Independent Registered Public Accounting Firm included in the 11-K. The Report of Independent Registered Public Accountant as filed contained a typographical error, which has been corrected in this filing. There were no other changes to the previously filed financial statements of the Waste Management Retirement Savings Plan as of December 31, 2003 and 2002 and for the year ended December 31, 2003, other than to correct the typographical error.</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15(d) of the Securities Exchange Act of 1934, the Administrative Committee has duly caused this Annual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Date: August 18, 2004</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WASTE MANAGEMENT RETIREMENT SAVINGS</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PLAN</w:t>
            </w:r>
          </w:p>
        </w:tc>
        <w:tc>
          <w:tcPr>
            <w:tcW w:w="16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Lois B. Martin</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Lois B. Martin</w:t>
            </w:r>
          </w:p>
        </w:tc>
        <w:tc>
          <w:tcPr>
            <w:tcW w:w="168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Chair of the Administrative Committee</w:t>
            </w:r>
          </w:p>
        </w:tc>
        <w:tc>
          <w:tcPr>
            <w:tcW w:w="1680" w:type="dxa"/>
            <w:vAlign w:val="bottom"/>
          </w:tcPr>
          <w:p>
            <w:pPr>
              <w:spacing w:after="0"/>
              <w:rPr>
                <w:sz w:val="20"/>
                <w:szCs w:val="20"/>
                <w:color w:val="auto"/>
              </w:rPr>
            </w:pPr>
          </w:p>
        </w:tc>
      </w:tr>
      <w:tr>
        <w:trPr>
          <w:trHeight w:val="618"/>
        </w:trPr>
        <w:tc>
          <w:tcPr>
            <w:tcW w:w="35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18"/>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37"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333-45062) pertaining to the Waste Management Retirement Savings Plan of our report dated June 15, 2004, with respect to the financial statements and schedules of the Waste Management Retirement Savings Plan included in this Annual Report (Form 11-K) for the year ended December 31, 2003.</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2004</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2019-12-11T21:13:40Z</dcterms:created>
  <dcterms:modified xsi:type="dcterms:W3CDTF">2019-12-11T21:13:40Z</dcterms:modified>
</cp:coreProperties>
</file>