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60" w:hanging="101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w:t>
      </w:r>
    </w:p>
    <w:p>
      <w:pPr>
        <w:spacing w:after="0" w:line="13"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ind w:left="1160"/>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8"/>
          <w:szCs w:val="18"/>
          <w:b w:val="1"/>
          <w:bCs w:val="1"/>
          <w:color w:val="auto"/>
        </w:rPr>
        <w:t>or</w:t>
      </w:r>
    </w:p>
    <w:p>
      <w:pPr>
        <w:ind w:left="1160" w:hanging="1014"/>
        <w:spacing w:after="0" w:line="237" w:lineRule="auto"/>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spacing w:after="0" w:line="1"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81" w:right="239" w:bottom="1440" w:gutter="0" w:footer="0" w:header="0"/>
        </w:sectPr>
      </w:pPr>
    </w:p>
    <w:p>
      <w:pPr>
        <w:spacing w:after="0" w:line="4"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11" w:lineRule="exact"/>
        <w:rPr>
          <w:sz w:val="24"/>
          <w:szCs w:val="24"/>
          <w:color w:val="auto"/>
        </w:rPr>
      </w:pPr>
    </w:p>
    <w:p>
      <w:pPr>
        <w:sectPr>
          <w:pgSz w:w="11900" w:h="16838" w:orient="portrait"/>
          <w:cols w:equalWidth="0" w:num="2">
            <w:col w:w="3420" w:space="580"/>
            <w:col w:w="742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Waste Management, Inc.</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381" w:right="239" w:bottom="1440" w:gutter="0" w:footer="0" w:header="0"/>
          <w:type w:val="continuous"/>
        </w:sectPr>
      </w:pPr>
    </w:p>
    <w:p>
      <w:pPr>
        <w:spacing w:after="0" w:line="152"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6" w:lineRule="exact"/>
        <w:rPr>
          <w:sz w:val="24"/>
          <w:szCs w:val="24"/>
          <w:color w:val="auto"/>
        </w:rPr>
      </w:pPr>
    </w:p>
    <w:p>
      <w:pPr>
        <w:sectPr>
          <w:pgSz w:w="11900" w:h="16838" w:orient="portrait"/>
          <w:cols w:equalWidth="0" w:num="2">
            <w:col w:w="7540" w:space="720"/>
            <w:col w:w="3160"/>
          </w:cols>
          <w:pgMar w:left="240" w:top="381" w:right="239" w:bottom="1440" w:gutter="0" w:footer="0" w:header="0"/>
          <w:type w:val="continuous"/>
        </w:sectPr>
      </w:pPr>
    </w:p>
    <w:p>
      <w:pPr>
        <w:ind w:left="208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ind w:left="204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30" w:lineRule="exact"/>
        <w:rPr>
          <w:sz w:val="24"/>
          <w:szCs w:val="24"/>
          <w:color w:val="auto"/>
        </w:rPr>
      </w:pPr>
    </w:p>
    <w:p>
      <w:pPr>
        <w:sectPr>
          <w:pgSz w:w="11900" w:h="16838" w:orient="portrait"/>
          <w:cols w:equalWidth="0" w:num="2">
            <w:col w:w="7460" w:space="720"/>
            <w:col w:w="324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right="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81"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88" w:lineRule="exact"/>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p>
      <w:pPr>
        <w:spacing w:after="0" w:line="56" w:lineRule="exact"/>
        <w:rPr>
          <w:sz w:val="24"/>
          <w:szCs w:val="24"/>
          <w:color w:val="auto"/>
        </w:rPr>
      </w:pPr>
    </w:p>
    <w:p>
      <w:pPr>
        <w:ind w:left="160"/>
        <w:spacing w:after="0"/>
        <w:rPr>
          <w:sz w:val="20"/>
          <w:szCs w:val="20"/>
          <w:color w:val="auto"/>
        </w:rPr>
      </w:pPr>
      <w:r>
        <w:rPr>
          <w:rFonts w:ascii="Arial" w:cs="Arial" w:eastAsia="Arial" w:hAnsi="Arial"/>
          <w:sz w:val="16"/>
          <w:szCs w:val="16"/>
          <w:color w:val="auto"/>
        </w:rPr>
        <w:t>(Do not check if a smaller reporting company)</w:t>
      </w:r>
    </w:p>
    <w:p>
      <w:pPr>
        <w:spacing w:after="0" w:line="67" w:lineRule="exact"/>
        <w:rPr>
          <w:sz w:val="24"/>
          <w:szCs w:val="24"/>
          <w:color w:val="auto"/>
        </w:rPr>
      </w:pPr>
    </w:p>
    <w:p>
      <w:pPr>
        <w:sectPr>
          <w:pgSz w:w="11900" w:h="16838" w:orient="portrait"/>
          <w:cols w:equalWidth="0" w:num="6">
            <w:col w:w="1580" w:space="100"/>
            <w:col w:w="140" w:space="260"/>
            <w:col w:w="1220" w:space="100"/>
            <w:col w:w="160" w:space="260"/>
            <w:col w:w="1480" w:space="100"/>
            <w:col w:w="6020"/>
          </w:cols>
          <w:pgMar w:left="240" w:top="381"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7700" w:space="160"/>
            <w:col w:w="260" w:space="80"/>
            <w:col w:w="160" w:space="180"/>
            <w:col w:w="220" w:space="80"/>
            <w:col w:w="2580"/>
          </w:cols>
          <w:pgMar w:left="240" w:top="381" w:right="23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July 18, 2016 was 442,288,938 (excluding treasury shares of 187,993,523).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60" w:type="dxa"/>
            <w:vAlign w:val="bottom"/>
          </w:tcPr>
          <w:p>
            <w:pPr>
              <w:jc w:val="center"/>
              <w:ind w:left="1572"/>
              <w:spacing w:after="0"/>
              <w:rPr>
                <w:sz w:val="20"/>
                <w:szCs w:val="20"/>
                <w:color w:val="auto"/>
              </w:rPr>
            </w:pPr>
            <w:r>
              <w:rPr>
                <w:rFonts w:ascii="Arial" w:cs="Arial" w:eastAsia="Arial" w:hAnsi="Arial"/>
                <w:sz w:val="18"/>
                <w:szCs w:val="18"/>
                <w:b w:val="1"/>
                <w:bCs w:val="1"/>
                <w:color w:val="auto"/>
                <w:w w:val="96"/>
              </w:rPr>
              <w:t>PART I.</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6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Financial Statements.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60" w:type="dxa"/>
            <w:vAlign w:val="bottom"/>
          </w:tcPr>
          <w:p>
            <w:pPr>
              <w:jc w:val="center"/>
              <w:ind w:left="1572"/>
              <w:spacing w:after="0"/>
              <w:rPr>
                <w:sz w:val="20"/>
                <w:szCs w:val="20"/>
                <w:color w:val="auto"/>
              </w:rPr>
            </w:pPr>
            <w:r>
              <w:rPr>
                <w:rFonts w:ascii="Arial" w:cs="Arial" w:eastAsia="Arial" w:hAnsi="Arial"/>
                <w:sz w:val="18"/>
                <w:szCs w:val="18"/>
                <w:b w:val="1"/>
                <w:bCs w:val="1"/>
                <w:color w:val="auto"/>
                <w:w w:val="97"/>
              </w:rPr>
              <w:t>WASTE MANAGEMENT, INC.</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60" w:type="dxa"/>
            <w:vAlign w:val="bottom"/>
          </w:tcPr>
          <w:p>
            <w:pPr>
              <w:jc w:val="center"/>
              <w:ind w:left="15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60" w:type="dxa"/>
            <w:vAlign w:val="bottom"/>
          </w:tcPr>
          <w:p>
            <w:pPr>
              <w:jc w:val="center"/>
              <w:ind w:left="1572"/>
              <w:spacing w:after="0"/>
              <w:rPr>
                <w:sz w:val="20"/>
                <w:szCs w:val="20"/>
                <w:color w:val="auto"/>
              </w:rPr>
            </w:pPr>
            <w:r>
              <w:rPr>
                <w:rFonts w:ascii="Arial" w:cs="Arial" w:eastAsia="Arial" w:hAnsi="Arial"/>
                <w:sz w:val="18"/>
                <w:szCs w:val="18"/>
                <w:b w:val="1"/>
                <w:bCs w:val="1"/>
                <w:color w:val="auto"/>
                <w:w w:val="89"/>
              </w:rPr>
              <w:t>(In Millions, Except Share and Par Value Amounts)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560" w:type="dxa"/>
            <w:vAlign w:val="bottom"/>
            <w:shd w:val="clear" w:color="auto" w:fill="CCEEFF"/>
          </w:tcPr>
          <w:p>
            <w:pPr>
              <w:ind w:left="47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 of allowance for doubtful accounts of $21 and $25, respectively</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200"/>
              <w:spacing w:after="0"/>
              <w:rPr>
                <w:sz w:val="20"/>
                <w:szCs w:val="20"/>
                <w:color w:val="auto"/>
              </w:rPr>
            </w:pPr>
            <w:r>
              <w:rPr>
                <w:rFonts w:ascii="Arial" w:cs="Arial" w:eastAsia="Arial" w:hAnsi="Arial"/>
                <w:sz w:val="18"/>
                <w:szCs w:val="18"/>
                <w:color w:val="auto"/>
              </w:rPr>
              <w:t>Parts and supplies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2,276</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2,345</w:t>
            </w: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 of $16,820 and $16,420, respectively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10,665</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6,230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5,984</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6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20,752</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20,367</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560" w:type="dxa"/>
            <w:vAlign w:val="bottom"/>
            <w:shd w:val="clear" w:color="auto" w:fill="CCEEFF"/>
          </w:tcPr>
          <w:p>
            <w:pPr>
              <w:ind w:left="394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223"/>
        </w:trPr>
        <w:tc>
          <w:tcPr>
            <w:tcW w:w="20" w:type="dxa"/>
            <w:vAlign w:val="bottom"/>
          </w:tcPr>
          <w:p>
            <w:pPr>
              <w:spacing w:after="0"/>
              <w:rPr>
                <w:sz w:val="19"/>
                <w:szCs w:val="19"/>
                <w:color w:val="auto"/>
              </w:rPr>
            </w:pPr>
          </w:p>
        </w:tc>
        <w:tc>
          <w:tcPr>
            <w:tcW w:w="9140" w:type="dxa"/>
            <w:vAlign w:val="bottom"/>
            <w:gridSpan w:val="2"/>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8,916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8,676</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Landfill and environmental remediation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1,584</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15,524</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Equity:</w:t>
            </w:r>
          </w:p>
        </w:tc>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7,116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6,939</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188,540,093 and 183,105,326 shares, respectively</w:t>
            </w:r>
          </w:p>
        </w:tc>
        <w:tc>
          <w:tcPr>
            <w:tcW w:w="100" w:type="dxa"/>
            <w:vAlign w:val="bottom"/>
          </w:tcPr>
          <w:p>
            <w:pPr>
              <w:spacing w:after="0"/>
              <w:rPr>
                <w:sz w:val="19"/>
                <w:szCs w:val="19"/>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(6,667)</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(6,300)</w:t>
            </w: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Waste Management, Inc.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60" w:type="dxa"/>
            <w:vAlign w:val="bottom"/>
          </w:tcPr>
          <w:p>
            <w:pPr>
              <w:ind w:left="60"/>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20,752</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20,367</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2015</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$ 3,425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$ 3,315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$ 6,601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w w:val="93"/>
              </w:rPr>
              <w:t>2,130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2,163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4,123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52"/>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340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5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from divestitures, asset impairments and unusual items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2,814</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2,813</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5,482</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611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12"/>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4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12"/>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41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1"/>
        </w:trPr>
        <w:tc>
          <w:tcPr>
            <w:tcW w:w="67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459</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389</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855</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252"/>
              <w:spacing w:after="0"/>
              <w:rPr>
                <w:sz w:val="20"/>
                <w:szCs w:val="20"/>
                <w:color w:val="auto"/>
              </w:rPr>
            </w:pPr>
            <w:r>
              <w:rPr>
                <w:rFonts w:ascii="Arial" w:cs="Arial" w:eastAsia="Arial" w:hAnsi="Arial"/>
                <w:sz w:val="18"/>
                <w:szCs w:val="18"/>
                <w:color w:val="auto"/>
              </w:rPr>
              <w:t>286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(loss) attributable to noncontrolling interests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252"/>
              <w:spacing w:after="0"/>
              <w:rPr>
                <w:sz w:val="20"/>
                <w:szCs w:val="20"/>
                <w:color w:val="auto"/>
              </w:rPr>
            </w:pPr>
            <w:r>
              <w:rPr>
                <w:rFonts w:ascii="Arial" w:cs="Arial" w:eastAsia="Arial" w:hAnsi="Arial"/>
                <w:sz w:val="18"/>
                <w:szCs w:val="18"/>
                <w:color w:val="auto"/>
              </w:rPr>
              <w:t>287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4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0.65</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252"/>
              <w:spacing w:after="0"/>
              <w:rPr>
                <w:sz w:val="20"/>
                <w:szCs w:val="20"/>
                <w:color w:val="auto"/>
              </w:rPr>
            </w:pPr>
            <w:r>
              <w:rPr>
                <w:rFonts w:ascii="Arial" w:cs="Arial" w:eastAsia="Arial" w:hAnsi="Arial"/>
                <w:sz w:val="18"/>
                <w:szCs w:val="18"/>
                <w:color w:val="auto"/>
              </w:rPr>
              <w:t>0.64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0.60</w:t>
            </w:r>
          </w:p>
        </w:tc>
        <w:tc>
          <w:tcPr>
            <w:tcW w:w="4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0.41</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$ 0.385</w:t>
            </w:r>
          </w:p>
        </w:tc>
        <w:tc>
          <w:tcPr>
            <w:tcW w:w="4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600" w:type="dxa"/>
            <w:vAlign w:val="bottom"/>
            <w:gridSpan w:val="14"/>
          </w:tcPr>
          <w:p>
            <w:pPr>
              <w:jc w:val="center"/>
              <w:ind w:left="1692"/>
              <w:spacing w:after="0"/>
              <w:rPr>
                <w:sz w:val="20"/>
                <w:szCs w:val="20"/>
                <w:color w:val="auto"/>
              </w:rPr>
            </w:pPr>
            <w:r>
              <w:rPr>
                <w:rFonts w:ascii="Arial" w:cs="Arial" w:eastAsia="Arial" w:hAnsi="Arial"/>
                <w:sz w:val="18"/>
                <w:szCs w:val="18"/>
                <w:b w:val="1"/>
                <w:bCs w:val="1"/>
                <w:color w:val="auto"/>
                <w:w w:val="97"/>
              </w:rPr>
              <w:t>CONDENSED CONSOLIDATED STATEMENTS OF COMPREHENSIVE INCOME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jc w:val="center"/>
              <w:ind w:left="4552"/>
              <w:spacing w:after="0"/>
              <w:rPr>
                <w:sz w:val="20"/>
                <w:szCs w:val="20"/>
                <w:color w:val="auto"/>
              </w:rPr>
            </w:pPr>
            <w:r>
              <w:rPr>
                <w:rFonts w:ascii="Arial" w:cs="Arial" w:eastAsia="Arial" w:hAnsi="Arial"/>
                <w:sz w:val="18"/>
                <w:szCs w:val="18"/>
                <w:b w:val="1"/>
                <w:bCs w:val="1"/>
                <w:color w:val="auto"/>
                <w:w w:val="93"/>
              </w:rPr>
              <w:t>(In Millions)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40" w:type="dxa"/>
            <w:vAlign w:val="bottom"/>
          </w:tcPr>
          <w:p>
            <w:pPr>
              <w:jc w:val="center"/>
              <w:ind w:left="4552"/>
              <w:spacing w:after="0"/>
              <w:rPr>
                <w:sz w:val="20"/>
                <w:szCs w:val="20"/>
                <w:color w:val="auto"/>
              </w:rPr>
            </w:pPr>
            <w:r>
              <w:rPr>
                <w:rFonts w:ascii="Arial" w:cs="Arial" w:eastAsia="Arial" w:hAnsi="Arial"/>
                <w:sz w:val="18"/>
                <w:szCs w:val="18"/>
                <w:b w:val="1"/>
                <w:bCs w:val="1"/>
                <w:color w:val="auto"/>
                <w:w w:val="89"/>
              </w:rPr>
              <w:t>(Unaudited)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11"/>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June 30,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3"/>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4"/>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273</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instruments, net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Available-for-sale securities,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taxes</w:t>
            </w: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w w:val="99"/>
              </w:rPr>
              <w:t>(1)</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623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2016</w:t>
            </w: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542</w:t>
            </w:r>
          </w:p>
        </w:tc>
        <w:tc>
          <w:tcPr>
            <w:tcW w:w="5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benefit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Interest accretion on landfill liabilities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accretion on and discount rate adjustments to environmental remediation liabilities and recovery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Provision for bad debts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Excess tax benefits associated with equity-based transactions</w:t>
            </w:r>
          </w:p>
        </w:tc>
        <w:tc>
          <w:tcPr>
            <w:tcW w:w="100" w:type="dxa"/>
            <w:vAlign w:val="bottom"/>
          </w:tcPr>
          <w:p>
            <w:pPr>
              <w:spacing w:after="0"/>
              <w:rPr>
                <w:sz w:val="18"/>
                <w:szCs w:val="18"/>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from disposal of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Expense from divestitures, asset impairments and unusual items and other,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 net of dividends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Deferred revenues and other liabilities</w:t>
            </w:r>
          </w:p>
        </w:tc>
        <w:tc>
          <w:tcPr>
            <w:tcW w:w="100" w:type="dxa"/>
            <w:vAlign w:val="bottom"/>
          </w:tcPr>
          <w:p>
            <w:pPr>
              <w:spacing w:after="0"/>
              <w:rPr>
                <w:sz w:val="19"/>
                <w:szCs w:val="19"/>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w:t>
            </w:r>
          </w:p>
        </w:tc>
        <w:tc>
          <w:tcPr>
            <w:tcW w:w="100" w:type="dxa"/>
            <w:vAlign w:val="bottom"/>
          </w:tcPr>
          <w:p>
            <w:pPr>
              <w:spacing w:after="0"/>
              <w:rPr>
                <w:sz w:val="18"/>
                <w:szCs w:val="18"/>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w w:val="87"/>
              </w:rPr>
              <w:t>(1,186)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2,094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7"/>
              </w:rPr>
              <w:t>(1,517)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Premiums paid on early extinguishment of debt</w:t>
            </w:r>
          </w:p>
        </w:tc>
        <w:tc>
          <w:tcPr>
            <w:tcW w:w="100" w:type="dxa"/>
            <w:vAlign w:val="bottom"/>
          </w:tcPr>
          <w:p>
            <w:pPr>
              <w:spacing w:after="0"/>
              <w:rPr>
                <w:sz w:val="18"/>
                <w:szCs w:val="18"/>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tcPr>
          <w:p>
            <w:pPr>
              <w:spacing w:after="0"/>
              <w:rPr>
                <w:sz w:val="18"/>
                <w:szCs w:val="18"/>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Excess tax benefits associated with equity-based transactions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(1,469)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0"/>
          </w:tcPr>
          <w:p>
            <w:pPr>
              <w:ind w:left="140"/>
              <w:spacing w:after="0"/>
              <w:rPr>
                <w:sz w:val="20"/>
                <w:szCs w:val="20"/>
                <w:color w:val="auto"/>
              </w:rPr>
            </w:pPr>
            <w:r>
              <w:rPr>
                <w:rFonts w:ascii="Arial" w:cs="Arial" w:eastAsia="Arial" w:hAnsi="Arial"/>
                <w:sz w:val="14"/>
                <w:szCs w:val="14"/>
                <w:b w:val="1"/>
                <w:bCs w:val="1"/>
                <w:color w:val="auto"/>
                <w:w w:val="92"/>
              </w:rPr>
              <w:t>Waste Management, Inc. Stockholders’ Equity</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38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87"/>
              </w:rPr>
              <w:t>Common Stock</w:t>
            </w: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5"/>
              </w:rPr>
              <w:t>Paid-In</w:t>
            </w: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340" w:type="dxa"/>
            <w:vAlign w:val="bottom"/>
            <w:gridSpan w:val="5"/>
            <w:vMerge w:val="restart"/>
          </w:tcPr>
          <w:p>
            <w:pPr>
              <w:jc w:val="right"/>
              <w:ind w:right="172"/>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Borders>
              <w:bottom w:val="single" w:sz="8" w:color="auto"/>
            </w:tcBorders>
            <w:gridSpan w:val="3"/>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Retained</w:t>
            </w:r>
          </w:p>
        </w:tc>
        <w:tc>
          <w:tcPr>
            <w:tcW w:w="1160" w:type="dxa"/>
            <w:vAlign w:val="bottom"/>
            <w:gridSpan w:val="3"/>
          </w:tcPr>
          <w:p>
            <w:pPr>
              <w:jc w:val="center"/>
              <w:ind w:right="260"/>
              <w:spacing w:after="0" w:line="114" w:lineRule="exact"/>
              <w:rPr>
                <w:sz w:val="20"/>
                <w:szCs w:val="20"/>
                <w:color w:val="auto"/>
              </w:rPr>
            </w:pPr>
            <w:r>
              <w:rPr>
                <w:rFonts w:ascii="Arial" w:cs="Arial" w:eastAsia="Arial" w:hAnsi="Arial"/>
                <w:sz w:val="12"/>
                <w:szCs w:val="12"/>
                <w:b w:val="1"/>
                <w:bCs w:val="1"/>
                <w:color w:val="auto"/>
                <w:w w:val="99"/>
              </w:rPr>
              <w:t>Comprehensive</w:t>
            </w:r>
          </w:p>
        </w:tc>
        <w:tc>
          <w:tcPr>
            <w:tcW w:w="1340" w:type="dxa"/>
            <w:vAlign w:val="bottom"/>
            <w:tcBorders>
              <w:bottom w:val="single" w:sz="8" w:color="auto"/>
            </w:tcBorders>
            <w:gridSpan w:val="5"/>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3"/>
              </w:rPr>
              <w:t>Total</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Capital</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Shares</w:t>
            </w:r>
          </w:p>
        </w:tc>
        <w:tc>
          <w:tcPr>
            <w:tcW w:w="1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3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2015</w:t>
            </w: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4"/>
              </w:rPr>
              <w:t>$5,367</w:t>
            </w: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630,282</w:t>
            </w:r>
          </w:p>
        </w:tc>
        <w:tc>
          <w:tcPr>
            <w:tcW w:w="2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4,827</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6,939</w:t>
            </w:r>
          </w:p>
        </w:tc>
        <w:tc>
          <w:tcPr>
            <w:tcW w:w="2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(183,105)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542</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545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64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(364)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(364)</w:t>
            </w: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 dividend</w:t>
            </w: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equivalents, net of taxes</w:t>
            </w:r>
          </w:p>
        </w:tc>
        <w:tc>
          <w:tcPr>
            <w:tcW w:w="3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102</w:t>
            </w: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2,405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64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(500)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4"/>
                <w:szCs w:val="14"/>
                <w:color w:val="auto"/>
              </w:rPr>
              <w:t>Balance, June 30, 2016</w:t>
            </w: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vMerge w:val="continue"/>
          </w:tcPr>
          <w:p>
            <w:pPr>
              <w:spacing w:after="0"/>
              <w:rPr>
                <w:sz w:val="13"/>
                <w:szCs w:val="13"/>
                <w:color w:val="auto"/>
              </w:rPr>
            </w:pPr>
          </w:p>
        </w:tc>
        <w:tc>
          <w:tcPr>
            <w:tcW w:w="380" w:type="dxa"/>
            <w:vAlign w:val="bottom"/>
            <w:gridSpan w:val="3"/>
          </w:tcPr>
          <w:p>
            <w:pPr>
              <w:jc w:val="right"/>
              <w:ind w:right="20"/>
              <w:spacing w:after="0" w:line="155" w:lineRule="exact"/>
              <w:rPr>
                <w:sz w:val="20"/>
                <w:szCs w:val="20"/>
                <w:color w:val="auto"/>
              </w:rPr>
            </w:pPr>
            <w:r>
              <w:rPr>
                <w:rFonts w:ascii="Arial" w:cs="Arial" w:eastAsia="Arial" w:hAnsi="Arial"/>
                <w:sz w:val="14"/>
                <w:szCs w:val="14"/>
                <w:u w:val="single" w:color="auto"/>
                <w:color w:val="auto"/>
                <w:w w:val="79"/>
              </w:rPr>
              <w:t>$</w:t>
            </w:r>
            <w:r>
              <w:rPr>
                <w:rFonts w:ascii="Arial" w:cs="Arial" w:eastAsia="Arial" w:hAnsi="Arial"/>
                <w:sz w:val="14"/>
                <w:szCs w:val="14"/>
                <w:color w:val="auto"/>
                <w:w w:val="79"/>
              </w:rPr>
              <w:t>5,228</w:t>
            </w:r>
          </w:p>
        </w:tc>
        <w:tc>
          <w:tcPr>
            <w:tcW w:w="2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630,282</w:t>
            </w:r>
          </w:p>
        </w:tc>
        <w:tc>
          <w:tcPr>
            <w:tcW w:w="62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w:t>
            </w:r>
          </w:p>
        </w:tc>
        <w:tc>
          <w:tcPr>
            <w:tcW w:w="220" w:type="dxa"/>
            <w:vAlign w:val="bottom"/>
            <w:gridSpan w:val="2"/>
          </w:tcPr>
          <w:p>
            <w:pPr>
              <w:ind w:left="140"/>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4,802</w:t>
            </w:r>
          </w:p>
        </w:tc>
        <w:tc>
          <w:tcPr>
            <w:tcW w:w="28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7,116</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(49)</w:t>
            </w: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3"/>
              </w:rPr>
              <w:t>(188,540)</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9"/>
              </w:rPr>
              <w:t>(6,667)</w:t>
            </w: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and Waste Management’s wholly-owned and majority-owned subsidiaries. Waste Management is a holding company and all operations are conducted by its subsidiaries. When the terms “the Company,” “we,” “us” or “our” are used in this document, those terms refer to Waste Management, Inc. and its consolidated subsidiaries. When we use the term “WM,” we are referring only to Waste Management, Inc., the parent holding company.</w:t>
      </w:r>
    </w:p>
    <w:p>
      <w:pPr>
        <w:spacing w:after="0" w:line="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geographic Areas. We also provide additional services that are not managed through our Solid Waste business, which are presented in this report as “Other.” Additional information related to our segments is included in Note 8.</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Condensed Consolidated Financial Statements as of June 30, 2016 and for the three and six months ended June 30, 2016 and 2015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2015.</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Debt Issuance Costs </w:t>
      </w:r>
      <w:r>
        <w:rPr>
          <w:rFonts w:ascii="Arial" w:cs="Arial" w:eastAsia="Arial" w:hAnsi="Arial"/>
          <w:sz w:val="18"/>
          <w:szCs w:val="18"/>
          <w:color w:val="auto"/>
        </w:rPr>
        <w:t>— In April 2015, and as subsequently amended, the Financial Accounting Standards Board (“FASB”) issued amended authoritative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associated with debt issuance costs which were previously presented as assets related to recognized debt liabilities. The amended guidance requires that debt issuance costs, other than those costs related to line of credit arrangements, be presented on the balance sheet as a direct deduction from the related debt liability, which is similar to the presentation for debt discounts and premiums. This guidance was effective for the Company on January 1, 2016. The Company’s adoption of this guidance was applied retrospectively and resulted in a reclassification of $52 million of such costs in our Condensed Consolidated Balance Sheet at December 31, 2015.</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In February 2015, the FASB issued amended authoritative guidance associated with consolidation. The amended guidance makes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to existing consolidation requirements associated with the analysis a reporting entity must perform to determine whether it should consolidate certain types of legal entities, including limited partnerships and variable interest entities. The guidance was effective for the Company on January 1, 2016. The Company’s adoption of this guidance did not impact our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When necessary, reclassifications have been made to our prior period consolidated financial information in order to conform to the current year presentation.</w:t>
      </w:r>
    </w:p>
    <w:p>
      <w:pPr>
        <w:spacing w:after="0" w:line="16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2016</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7"/>
              </w:rPr>
              <w:t>December 31, 2015</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9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6"/>
              </w:rPr>
              <w:t>Landfill</w:t>
            </w:r>
          </w:p>
        </w:tc>
        <w:tc>
          <w:tcPr>
            <w:tcW w:w="5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3"/>
              </w:rPr>
              <w:t>Total</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Landfill</w:t>
            </w:r>
          </w:p>
        </w:tc>
        <w:tc>
          <w:tcPr>
            <w:tcW w:w="320" w:type="dxa"/>
            <w:vAlign w:val="bottom"/>
          </w:tcPr>
          <w:p>
            <w:pPr>
              <w:spacing w:after="0"/>
              <w:rPr>
                <w:sz w:val="14"/>
                <w:szCs w:val="14"/>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Remediation</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Long-term</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1,440</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1,622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1,584</w:t>
            </w:r>
          </w:p>
        </w:tc>
        <w:tc>
          <w:tcPr>
            <w:tcW w:w="100" w:type="dxa"/>
            <w:vAlign w:val="bottom"/>
          </w:tcPr>
          <w:p>
            <w:pPr>
              <w:spacing w:after="0"/>
              <w:rPr>
                <w:sz w:val="18"/>
                <w:szCs w:val="18"/>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1,556</w:t>
            </w:r>
          </w:p>
        </w:tc>
        <w:tc>
          <w:tcPr>
            <w:tcW w:w="8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1,769</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1,727</w:t>
            </w:r>
          </w:p>
        </w:tc>
        <w:tc>
          <w:tcPr>
            <w:tcW w:w="100" w:type="dxa"/>
            <w:vAlign w:val="bottom"/>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changes to landfill and environmental remediation liabilities for the six months ended June 30, 2016 are reflected in the table below (in millions):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Landfill</w:t>
            </w:r>
          </w:p>
        </w:tc>
        <w:tc>
          <w:tcPr>
            <w:tcW w:w="42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Remediation</w:t>
            </w: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2015</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$1,518</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color w:val="auto"/>
              </w:rPr>
              <w:t>Obligations incurred and capitalized</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color w:val="auto"/>
              </w:rPr>
              <w:t>Interest accretion</w:t>
            </w: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Revisions in estimates and interest rate assumptions(a)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23"/>
        </w:trPr>
        <w:tc>
          <w:tcPr>
            <w:tcW w:w="20" w:type="dxa"/>
            <w:vAlign w:val="bottom"/>
          </w:tcPr>
          <w:p>
            <w:pPr>
              <w:spacing w:after="0"/>
              <w:rPr>
                <w:sz w:val="19"/>
                <w:szCs w:val="19"/>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1,556</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9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reported in 2016 for our environmental remediation liabilities includes the impact of a decrease in the risk-free discount rate used to measure our liabilities from 2.25% at December 31, 2015 to 1.50% at June 30, 2016, resulting in an increase of $9 million to our environmental remediation liabilities and a corresponding increase to “Operating” expenses.</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14 for additional information related to these trusts.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June 30, 2016:</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8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2016</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$2.25 billion revolving credit facility, maturing July 2020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Letter of credit facilities, maturing through December 2018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Canadian credit facility and term loan, maturing March 2019 (weighted average effective interest rate of</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 at June 30, 2016 and 2.2% at December 31, 2015)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r>
      <w:tr>
        <w:trPr>
          <w:trHeight w:val="208"/>
        </w:trPr>
        <w:tc>
          <w:tcPr>
            <w:tcW w:w="8320" w:type="dxa"/>
            <w:vAlign w:val="bottom"/>
          </w:tcPr>
          <w:p>
            <w:pPr>
              <w:spacing w:after="0"/>
              <w:rPr>
                <w:sz w:val="20"/>
                <w:szCs w:val="20"/>
                <w:color w:val="auto"/>
              </w:rPr>
            </w:pPr>
            <w:r>
              <w:rPr>
                <w:rFonts w:ascii="Arial" w:cs="Arial" w:eastAsia="Arial" w:hAnsi="Arial"/>
                <w:sz w:val="18"/>
                <w:szCs w:val="18"/>
                <w:color w:val="auto"/>
                <w:w w:val="98"/>
              </w:rPr>
              <w:t>Senior notes maturing through 2045, interest rates ranging from 2.4% to 7.75% (weighted average interest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320" w:type="dxa"/>
            <w:vAlign w:val="bottom"/>
          </w:tcPr>
          <w:p>
            <w:pPr>
              <w:ind w:left="220"/>
              <w:spacing w:after="0"/>
              <w:rPr>
                <w:sz w:val="20"/>
                <w:szCs w:val="20"/>
                <w:color w:val="auto"/>
              </w:rPr>
            </w:pPr>
            <w:r>
              <w:rPr>
                <w:rFonts w:ascii="Arial" w:cs="Arial" w:eastAsia="Arial" w:hAnsi="Arial"/>
                <w:sz w:val="18"/>
                <w:szCs w:val="18"/>
                <w:color w:val="auto"/>
              </w:rPr>
              <w:t>rate of 4.5% at June 30, 2016 and 4.7% at December 31, 2015)</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6,534</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9"/>
                <w:szCs w:val="19"/>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Tax-exempt bonds, maturing through 2045, fixed and variable interest rates ranging from 0.45% to 5.7%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interest rate of 1.7% at June 30, 2016 and 1.9% at December 31, 2015)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2,350</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shd w:val="clear" w:color="auto" w:fill="CCEEFF"/>
          </w:tcPr>
          <w:p>
            <w:pPr>
              <w:spacing w:after="0"/>
              <w:rPr>
                <w:sz w:val="19"/>
                <w:szCs w:val="19"/>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9,530</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100" w:type="dxa"/>
            <w:vAlign w:val="bottom"/>
            <w:shd w:val="clear" w:color="auto" w:fill="CCEEFF"/>
          </w:tcPr>
          <w:p>
            <w:pPr>
              <w:spacing w:after="0"/>
              <w:rPr>
                <w:sz w:val="18"/>
                <w:szCs w:val="18"/>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8,916</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00" w:type="dxa"/>
            <w:vAlign w:val="bottom"/>
            <w:shd w:val="clear" w:color="auto" w:fill="CCEEFF"/>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June 30, 2016, our current debt balances include (i) $500 million of 2.6% senior notes that mature in September 2016 and (ii) $114 million of other debt with scheduled maturities within the next 12 months, including $48 million of tax-exempt bonds.</w:t>
      </w:r>
    </w:p>
    <w:p>
      <w:pPr>
        <w:spacing w:after="0" w:line="5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June 30, 2016, we also have $454 million of tax-exempt bonds with term interest rate periods that expire within the next 12 months and an additional $491 million of variable-rate tax-exempt bonds that are supported by letters of credit. The interest rates on our variable-rate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intent and ability to use availability under our long-term U.S. revolving credit facility (“$2.25 billion revolving credit facility”) to fund the debt obligations until they can be remarketed successfully. Accordingly, we classified these borrowings as long-term in our Condensed Consolidated Balance Sheet at June 30, 2016.</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Access to and Utilization of Credit Facilities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$2.25 Billion Revolving Credit Facility and Other Letter of Credit Facilities — </w:t>
      </w:r>
      <w:r>
        <w:rPr>
          <w:rFonts w:ascii="Arial" w:cs="Arial" w:eastAsia="Arial" w:hAnsi="Arial"/>
          <w:sz w:val="18"/>
          <w:szCs w:val="18"/>
          <w:color w:val="auto"/>
        </w:rPr>
        <w:t>As of June 30, 2016, we had an aggregate committed capacity of $2.4</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for letters of credit under various U.S. credit facilities. Our $2.25 billion revolving credit facility expires in July 2020 and is our primary source of letter of credit capacity. Our remaining committed letter of credit capacity is provided under facilities with terms extending through December 2018. As of June 30, 2016, we had an aggregate of $964 million of letters of credit outstanding under various credit facilities. As of June 30, 2016, we had no outstanding borrowings under our $2.25 billion revolving credit facility and $814 million of letters of credit issued and supported by the facility, leaving $1,436 million of unused and available capacity.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Canadian Term Loan and Revolving Credit Facility — </w:t>
      </w:r>
      <w:r>
        <w:rPr>
          <w:rFonts w:ascii="Arial" w:cs="Arial" w:eastAsia="Arial" w:hAnsi="Arial"/>
          <w:sz w:val="16"/>
          <w:szCs w:val="16"/>
          <w:color w:val="auto"/>
        </w:rPr>
        <w:t>In March 2016, we amended and restated our Canadian credit agreement (which includes a term</w:t>
      </w:r>
      <w:r>
        <w:rPr>
          <w:rFonts w:ascii="Arial" w:cs="Arial" w:eastAsia="Arial" w:hAnsi="Arial"/>
          <w:sz w:val="16"/>
          <w:szCs w:val="16"/>
          <w:i w:val="1"/>
          <w:iCs w:val="1"/>
          <w:color w:val="auto"/>
        </w:rPr>
        <w:t xml:space="preserve"> </w:t>
      </w:r>
      <w:r>
        <w:rPr>
          <w:rFonts w:ascii="Arial" w:cs="Arial" w:eastAsia="Arial" w:hAnsi="Arial"/>
          <w:sz w:val="16"/>
          <w:szCs w:val="16"/>
          <w:color w:val="auto"/>
        </w:rPr>
        <w:t>loan and revolving credit facility), decreasing the revolving credit capacity, increasing the amount of term credit, and extending the term through March 2019. Waste Management of Canada Corporation and WM Quebec Inc., wholly-owned subsidiaries of WM, are borrowers under the agreement. The amended and restated credit agreement provides the Company (i) C$50 million of revolving credit capacity, which can be used for borrowings or letters of credit, and (ii) C$460 million of non-revolving term credit that is prepayable without penalty. Prior to closing, there was a balance of C$90 million remaining on the prior C$500 million term loan. Upon closing, the term loan was fully drawn to repay the indebtedness owed under the prior Canadian credit agreement and to repay C$370 million of intercompany debt. At no time during the six months ended June 30, 2016, did we have borrowings or letters of credit outstanding under the Canadian revolving credit agreement.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$2.25 Billion Revolving Credit Facility </w:t>
      </w:r>
      <w:r>
        <w:rPr>
          <w:rFonts w:ascii="Arial" w:cs="Arial" w:eastAsia="Arial" w:hAnsi="Arial"/>
          <w:sz w:val="16"/>
          <w:szCs w:val="16"/>
          <w:color w:val="auto"/>
        </w:rPr>
        <w:t>— During the six months ended June 30, 2016, borrowings under our $2.25 billion revolving credit facility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funds to support our acquisition of certain operations and business assets of Southern Waste Systems/Sun Recycling (“SWS”) in Southern Florida. Refer to Note 9 for additional information related to this acquisition. These borrowings were repaid with proceeds from the May 2016 issuance of senior notes discussed below.</w:t>
      </w:r>
    </w:p>
    <w:p>
      <w:pPr>
        <w:spacing w:after="0" w:line="2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Canadian Term Loan </w:t>
      </w:r>
      <w:r>
        <w:rPr>
          <w:rFonts w:ascii="Arial" w:cs="Arial" w:eastAsia="Arial" w:hAnsi="Arial"/>
          <w:sz w:val="16"/>
          <w:szCs w:val="16"/>
          <w:color w:val="auto"/>
        </w:rPr>
        <w:t>— During the three months ended March 31, 2016, we repaid C$27 million, or $20 million, of advances under our prior Canadian</w:t>
      </w:r>
      <w:r>
        <w:rPr>
          <w:rFonts w:ascii="Arial" w:cs="Arial" w:eastAsia="Arial" w:hAnsi="Arial"/>
          <w:sz w:val="16"/>
          <w:szCs w:val="16"/>
          <w:i w:val="1"/>
          <w:iCs w:val="1"/>
          <w:color w:val="auto"/>
        </w:rPr>
        <w:t xml:space="preserve"> </w:t>
      </w:r>
      <w:r>
        <w:rPr>
          <w:rFonts w:ascii="Arial" w:cs="Arial" w:eastAsia="Arial" w:hAnsi="Arial"/>
          <w:sz w:val="16"/>
          <w:szCs w:val="16"/>
          <w:color w:val="auto"/>
        </w:rPr>
        <w:t>term loan reducing the balance to C$90 million at the time of the amendment and restatement of the credit agreement. Upon closing the new Canadian credit agreement, we borrowed C$460 million, or $347 million, to repay the prior term loan and to allow our Canadian subsidiaries to repay C$370 million, or $280 million, of intercompany debt. During the three months ended June 30, 2016, we repaid C$55 million, or $42 million, of advances under our Canadian term loan. The remaining increase in the carrying value of borrowings outstanding under our Canadian term loan is due to foreign currency translation.</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In May 2016, we issued $500 million of 2.4% senior notes due May 2023. We used the net proceeds of $496 million to pay down short-term borrowings under our $2.25 billion revolving credit facility. We issued the senior notes for the ultimate purpose of repaying $500 million of 2.6% senior notes when they mature in September 2016.</w:t>
      </w:r>
    </w:p>
    <w:p>
      <w:pPr>
        <w:spacing w:after="0" w:line="5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Tax-Exempt Bonds — </w:t>
      </w:r>
      <w:r>
        <w:rPr>
          <w:rFonts w:ascii="Arial" w:cs="Arial" w:eastAsia="Arial" w:hAnsi="Arial"/>
          <w:sz w:val="16"/>
          <w:szCs w:val="16"/>
          <w:color w:val="auto"/>
        </w:rPr>
        <w:t>During the six months ended June 30, 2016, we repaid $98 million of tax-exempt bonds with available cash. In May 2016, we elected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refund and reissue $143 million of tax-exempt bonds. The “Loss on early extinguishment of debt” reflected in our Condensed Consolidated Statement of Operations for the three and six months ended June 30, 2016 includes $3 million of charges related to these refundings.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 Refinancing</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six months ended June 30, 2015, we recognized a pre-tax loss of $552 million associated with the early extinguishment of almost $2 billion of our high-coupon senior notes through make-whole redemption and cash tender offers. We replaced substantially all of the debt extinguished with new senior notes at significantly lower coupon interest rates and extended the weighted average duration of these debt obligations.</w:t>
      </w:r>
    </w:p>
    <w:p>
      <w:pPr>
        <w:spacing w:after="0" w:line="14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Foreign Currency Derivatives </w:t>
      </w:r>
      <w:r>
        <w:rPr>
          <w:rFonts w:ascii="Arial" w:cs="Arial" w:eastAsia="Arial" w:hAnsi="Arial"/>
          <w:sz w:val="16"/>
          <w:szCs w:val="16"/>
          <w:color w:val="auto"/>
        </w:rPr>
        <w:t>— As of December 31, 2015, we had cross currency swaps outstanding for all of the anticipated cash flows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C$370 million of intercompany debt between WM Holdings and its wholly-owned Canadian subsidiaries. As discussed in Note 3, in March 2016, our Canadian subsidiaries repaid the intercompany debt with proceeds from our Canadian term loan. Concurrent with the repayment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intercompany debt, we terminated the cross currency swaps and received $67 million in cash. The cash received from our termination of the swaps has been classified as a change in “Other current assets” and “Other assets” within “Net cash provided by operating activities” in the Condensed Consolidated Statement of Cash Flows. In addition, we recognized $8 million of expense associated with the termination of these swaps which was included in “Other, net” in the Condensed Consolidated Statement of Operations.</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These cross currency swaps had been designated as cash flow hedges and as of December 31, 2015, the carrying value of the hedge position was reflected in our Condensed Consolidated Balance Sheet as $15 million of current other assets and $63 million of long-term other assets. Through March 2016, when the intercompany loans and the related hedges were terminated, gains or losses resulting from the remeasurement of the underlying non-functional currency intercompany loans were recognized in current earnings in the same financial statement line item as the offsetting gains or losses on the related cross currency swaps. There was no significant ineffectiveness associated with our cash flow hedges during the reported periods.</w:t>
      </w:r>
    </w:p>
    <w:p>
      <w:pPr>
        <w:spacing w:after="0" w:line="3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Forward-Starting Interest Rate Swaps </w:t>
      </w:r>
      <w:r>
        <w:rPr>
          <w:rFonts w:ascii="Arial" w:cs="Arial" w:eastAsia="Arial" w:hAnsi="Arial"/>
          <w:sz w:val="16"/>
          <w:szCs w:val="16"/>
          <w:color w:val="auto"/>
        </w:rPr>
        <w:t>— At June 30, 2016 and December 31, 2015, our “Accumulated other comprehensive income (loss)” included $39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and $43 million, respectively, of after-tax deferred losses related to terminated swaps, which are being amortized as an increase to interest expense using the effective interest method over the ten-year terms of the related senior notes, which extend through 2024. As of June 30, 2016, $10 million of the pre-tax deferred losses for these previously terminated swaps is scheduled to be reclassified as an increase to interest expense over the next 12 months.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11 for information regarding the impacts of our cash flow derivatives on our comprehensive income and results of operations.</w:t>
      </w:r>
    </w:p>
    <w:p>
      <w:pPr>
        <w:spacing w:after="0" w:line="22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effective income tax rate for the three and six months ended June 30, 2016 was 37.6% and 36.5%, respectively, compared with 29.6% and 14.5%, respectively, for the comparable prior year periods. We evaluate our effective income tax rate at each interim period and adjust it as facts and circumstances warrant. The difference between federal income taxes computed at the federal statutory rate and reported income taxes for the three and six months ended June 30, 2016 was primarily due to the unfavorable impact of nondeductible investment impairments and state and local income taxes offset, in part, by the favorable impact of federal tax credits and tax audit settlements.</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difference between federal income taxes computed at the federal statutory rate and reported income taxes for the three and six months ended June 30, 2015 was primarily due to the favorable impact of federal tax credits, revaluation of our deferred taxes and utilization of state net operating losses resulting from changes in state law and nontaxable post-closing adjustments related to the divestiture of our Wheelabrator business offset, in part, by the unfavorable impact of state and local income taxes. In addition, the loss on early extinguishment of debt included in our pre-tax income for the six months ended June 30, 2015 contributed to a lower effective tax rate.</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Investments Qualifying for Federal Tax Credits </w:t>
      </w:r>
      <w:r>
        <w:rPr>
          <w:rFonts w:ascii="Arial" w:cs="Arial" w:eastAsia="Arial" w:hAnsi="Arial"/>
          <w:sz w:val="18"/>
          <w:szCs w:val="18"/>
          <w:color w:val="auto"/>
        </w:rPr>
        <w:t>— We have significant financial interests in entities established to invest in and manage low-income</w:t>
      </w:r>
      <w:r>
        <w:rPr>
          <w:rFonts w:ascii="Arial" w:cs="Arial" w:eastAsia="Arial" w:hAnsi="Arial"/>
          <w:sz w:val="18"/>
          <w:szCs w:val="18"/>
          <w:i w:val="1"/>
          <w:iCs w:val="1"/>
          <w:color w:val="auto"/>
        </w:rPr>
        <w:t xml:space="preserve"> </w:t>
      </w:r>
      <w:r>
        <w:rPr>
          <w:rFonts w:ascii="Arial" w:cs="Arial" w:eastAsia="Arial" w:hAnsi="Arial"/>
          <w:sz w:val="18"/>
          <w:szCs w:val="18"/>
          <w:color w:val="auto"/>
        </w:rPr>
        <w:t>housing properties and a refined coal facility. We support the operations of these entities in exchange for a pro-rata share of the tax credits they generate. The low-income housing investments and the coal facility’s refinement processes qualify for federal tax credits that we expect to realize through 2020 under Section 42 and through 2019 under Section 45, respectively, of the Internal Revenue Code.</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 During the three and six months ended June 30, 2016, we recognized $9 million and $15 million of net losses and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reduction in our tax provision of $14 million and $25 million, respectively, primarily as a result of tax credits realized from these investments. In addition, during the three and six months ended June 30, 2016, we recognized interest expense of $1 million and $2 million, respectively, associated with the low-income housing investments. During the three and six months ended June 30, 2015, we recognized $7 million and $14 million of net losses and a reduction in our tax provision of $13 million and $24 million, respectively, primarily as a result of tax credits realized from these investments. In addition, during the three and six months ended June 30, 2015, we recognized interest expense of $1 million and $2 million, respectively, associated with the low-income housing investments.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for additional information related to these unconsolidated variable interest entities.</w:t>
      </w:r>
    </w:p>
    <w:p>
      <w:pPr>
        <w:spacing w:after="0" w:line="20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6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54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2016</w:t>
            </w:r>
          </w:p>
        </w:tc>
        <w:tc>
          <w:tcPr>
            <w:tcW w:w="10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w w:val="98"/>
              </w:rPr>
              <w:t>Dilutive effect of equity-based compensation awards and other contingently issuable shares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20" w:type="dxa"/>
            <w:vAlign w:val="bottom"/>
            <w:gridSpan w:val="2"/>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w w:val="94"/>
              </w:rPr>
              <w:t>Number of anti-dilutive potentially issuable shares excluded from diluted common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surety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We do not expect the impact of any known casualty, property, environmental or other contingency to have a material impact on our financial condition, results of operations or cash flows.</w:t>
      </w:r>
    </w:p>
    <w:p>
      <w:pPr>
        <w:spacing w:after="0" w:line="6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In the ordinary course of our business, WM and WM Holdings enter into guarantee agreements associated with their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2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also have guaranteed the obligations and certain performance requirements of, and provided indemnification to, third parties in connection with both consolidated and unconsolidated entities. Guarantee agreements outstanding as of June 30, 2016 (excluding those related to Wheelabrator obligations that are discussed below) include agreements guaranteeing certain market value losses for approximately 850 homeowners’ properties adjacent to or near 21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3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December 2014, we sold our Wheelabrator business, which provides waste-to-energy services and manages waste-to-energy facilities and independent power production plants. Before the divestiture of our Wheelabrator business, WM had guaranteed certain operational and financial performance obligations of Wheelabrator and its subsidiaries in the ordinary course of business. In conjunction with the divestiture, certain WM guarantees of Wheelabrator obligations were terminated, but others continued and are now guarantees of third-party obligations. Wheelabrator is working with the various third-party beneficiaries to release WM from these guarantees, but until they are successful, WM has agreed to retain the guarantees and, in exchange, receive a credit support fee. The most significant of these guarantees specifically define WM’s maximum financial obligation over the course of the relevant agreements, and as of June 30, 2016 and December 31, 2015, WM’s maximum future payments under these guarantees were $106 million. WM’s exposure under certain of the performance guarantees is variable and a maximum exposure is not defined. We have recorded the fair value of the operational and financial performance guarantees, some of which could extend through 2038 if not terminated, in our Condensed Consolidated Balance Sheets. The estimated fair value of WM’s potential obligation associated with guarantees of Wheelabrator obligations (net of credit support fee) at June 30, 2016 and December 31, 2015 was $12 million and $13 million, respectively. We currently do not expect the financial impact of such operational and financial performance guarantees to materially exceed the recorded fair value.</w:t>
      </w:r>
    </w:p>
    <w:p>
      <w:pPr>
        <w:spacing w:after="0" w:line="4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Environmental Matters </w:t>
      </w:r>
      <w:r>
        <w:rPr>
          <w:rFonts w:ascii="Arial" w:cs="Arial" w:eastAsia="Arial" w:hAnsi="Arial"/>
          <w:sz w:val="18"/>
          <w:szCs w:val="18"/>
          <w:color w:val="auto"/>
        </w:rPr>
        <w:t>— A significant portion of our operating costs and capital expenditures could be characterized as costs of environmental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5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$195 million higher than the $213 million recorded in the Condensed Consolidated Financial Statements as of June 30, 2016.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4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June 30, 2016, we had been notified by the government that we are a PRP in connection with 75 locations listed on the EPA’s Superfund National Priorities List, or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3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3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 is disclosed in accordance with that requirement.</w:t>
      </w:r>
    </w:p>
    <w:p>
      <w:pPr>
        <w:spacing w:after="0" w:line="26" w:lineRule="exact"/>
        <w:rPr>
          <w:sz w:val="20"/>
          <w:szCs w:val="20"/>
          <w:color w:val="auto"/>
        </w:rPr>
      </w:pPr>
    </w:p>
    <w:p>
      <w:pPr>
        <w:jc w:val="both"/>
        <w:ind w:left="460" w:firstLine="438"/>
        <w:spacing w:after="0" w:line="256" w:lineRule="auto"/>
        <w:rPr>
          <w:sz w:val="20"/>
          <w:szCs w:val="20"/>
          <w:color w:val="auto"/>
        </w:rPr>
      </w:pPr>
      <w:r>
        <w:rPr>
          <w:rFonts w:ascii="Arial" w:cs="Arial" w:eastAsia="Arial" w:hAnsi="Arial"/>
          <w:sz w:val="18"/>
          <w:szCs w:val="18"/>
          <w:color w:val="auto"/>
        </w:rPr>
        <w:t>Waste Management of Hawaii, Inc. (“WMHI”) may face civil claims from the Hawaii Department of Health and/or the EPA based upon water discharges at the Waimanalo Gulch Sanitary Landfill, which WMHI operates for the city and county of Honolulu, following three major rainstorms in December 2010 and January 2011. We do not anticipate such claims could have a material adverse effect on the Company’s business, financial condition, results of operations or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On March 26, 2015, the Company acquired Deffenbaugh Disposal Inc. (“Deffenbaugh”). In May 2012 and December 2013, Deffenbaugh was</w:t>
      </w:r>
      <w:r>
        <w:rPr>
          <w:rFonts w:ascii="Arial" w:cs="Arial" w:eastAsia="Arial" w:hAnsi="Arial"/>
          <w:sz w:val="18"/>
          <w:szCs w:val="18"/>
          <w:i w:val="1"/>
          <w:iCs w:val="1"/>
          <w:color w:val="auto"/>
        </w:rPr>
        <w:t xml:space="preserve"> </w:t>
      </w:r>
      <w:r>
        <w:rPr>
          <w:rFonts w:ascii="Arial" w:cs="Arial" w:eastAsia="Arial" w:hAnsi="Arial"/>
          <w:sz w:val="18"/>
          <w:szCs w:val="18"/>
          <w:color w:val="auto"/>
        </w:rPr>
        <w:t>named as a defendant in purported class actions filed in the United States District Court for the District of Kansas. These cases pertained to fuel, environmental and base rate charges included on invoices, generally alleging that such charges were not properly disclosed, were unfair or were contrary to the customer service contracts. We have agreed on settlement terms for both cases. We submitted a request for preliminary court approval during the fourth quarter of 2015 and are awaiting action on our request. The anticipated settlements will not have a material adverse effect on the Company’s business, financial condition, results of operations or cash flows.</w:t>
      </w:r>
    </w:p>
    <w:p>
      <w:pPr>
        <w:spacing w:after="0" w:line="63"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42"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2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the Company has direct contractual obligations to provide indemnification to each of the members of WM’s Board of Directors and each of our executive officers and senior vice presidents.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3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Multiemployer Defined Benefit Pension Plans </w:t>
      </w:r>
      <w:r>
        <w:rPr>
          <w:rFonts w:ascii="Arial" w:cs="Arial" w:eastAsia="Arial" w:hAnsi="Arial"/>
          <w:sz w:val="16"/>
          <w:szCs w:val="16"/>
          <w:color w:val="auto"/>
        </w:rPr>
        <w:t>— About 20% of our workforce is covered by collective bargaining agreements with various local unions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the United States and Canada. As a result of some of these agreements, certain of our subsidiaries are participating employers in a number of trustee-managed multiemployer defined benefit pension plans for the covered employees. In connection with our ongoing renegotiation of various collective bargaining agreements, we may discuss and negotiate for the complete or partial withdrawal from one or more of these pension plans. A complete or partial withdrawal from a multiemployer defined benefit pension plan may also occur if employees covered by a collective bargaining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agreement vote to decertify a union from continuing to represent them. Any other circumstance resulting in a decline in Company contributions to a multiemployer defined benefit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 We do not believe that any future liability for withdrawals from the multiemployer defined benefit pension plans to which we contribute, could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defined benefit pension plan(s) at the time of such withdrawal(s).</w:t>
      </w:r>
    </w:p>
    <w:p>
      <w:pPr>
        <w:spacing w:after="0" w:line="6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the second quarter of 2015, we recognized a $55 million charge to “Operating” expenses associated with the withdrawal from the Central States, Southeast and Southwest Areas Pension Plan and the Teamsters Employers Local 945 Pension Fund.</w:t>
      </w:r>
    </w:p>
    <w:p>
      <w:pPr>
        <w:spacing w:after="0" w:line="5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participate in the IRS’s Compliance Assurance Process, which means we work with the IRS throughout the year in order to resolve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issues prior to the filing of our annual tax return. We are currently in the examination phase of IRS audits for the tax years 2014, 2015 and 2016 and expect these audits to be completed within the next three, 12 and 24 months, respectively. We are also currently undergoing audits by various state and local jurisdictions for tax years that date back to 2009, with the exception of affirmative claims in a limited number of jurisdictions that date back to 2000. We acquired Deffenbaugh, which is subject to potential IRS examination for the years 2012 through the date of acquisition in 2015.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5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evaluate, oversee and manage the financial performance of our Solid Waste subsidiaries through our 17 Areas. The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 geography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3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Annually, we analyze the Areas’ income from operations margins for purposes of segment reporting and in the fourth quarter of 2015, we realigned our Solid Waste tiers to reflect changes in their relative economic characteristics and prospects. These changes are the results of various factors including acquisitions, divestments, business mix and the economic climate of various geographies. Reclassifications have been made to our prior period consolidated financial information in order to conform to the current year presentation.</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Tier 1 is now comprised of our operations across the Southern United States, with the exception of Southern California and the Florida peninsula and also includes the New England states, the tri-state area of Michigan, Indiana and Ohio and Western Canada. Tier 2 includes Southern California, Eastern Canada, Wisconsin, Minnesota and a portion of the lower Mid-Atlantic region of the United States. Tier 3 encompasses all the remaining operations including the Pacific Northwest and Northern California, the majority of the Mid-Atlantic region of the United States, the Florida peninsula, Illinois and Missouri.</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w w:val="83"/>
              </w:rPr>
              <w:t>Gross</w:t>
            </w:r>
          </w:p>
        </w:tc>
        <w:tc>
          <w:tcPr>
            <w:tcW w:w="78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Net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0"/>
              </w:rPr>
              <w:t>Operating</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Revenues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7"/>
              </w:rPr>
              <w:t>Revenues</w:t>
            </w: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Revenues</w:t>
            </w:r>
          </w:p>
        </w:tc>
        <w:tc>
          <w:tcPr>
            <w:tcW w:w="4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Three Months Ended:</w:t>
            </w:r>
          </w:p>
        </w:tc>
        <w:tc>
          <w:tcPr>
            <w:tcW w:w="37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June 30, 2016</w:t>
            </w:r>
          </w:p>
        </w:tc>
        <w:tc>
          <w:tcPr>
            <w:tcW w:w="3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Tier 1</w:t>
            </w:r>
          </w:p>
        </w:tc>
        <w:tc>
          <w:tcPr>
            <w:tcW w:w="3840" w:type="dxa"/>
            <w:vAlign w:val="bottom"/>
            <w:gridSpan w:val="2"/>
          </w:tcPr>
          <w:p>
            <w:pPr>
              <w:ind w:left="37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1,316</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1,087</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Tier 3</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1,114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2,899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Other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3,425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8"/>
              </w:rPr>
              <w:t>Corporate and Other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84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3,425</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June 30, 2015</w:t>
            </w:r>
          </w:p>
        </w:tc>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660" w:type="dxa"/>
            <w:vAlign w:val="bottom"/>
            <w:gridSpan w:val="2"/>
            <w:vMerge w:val="continue"/>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Tier 1</w:t>
            </w:r>
          </w:p>
        </w:tc>
        <w:tc>
          <w:tcPr>
            <w:tcW w:w="3840" w:type="dxa"/>
            <w:vAlign w:val="bottom"/>
            <w:gridSpan w:val="2"/>
          </w:tcPr>
          <w:p>
            <w:pPr>
              <w:ind w:left="37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1,292</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1,074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Tier 3</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1,049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2,814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Wheelabrator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3,934</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3,315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8"/>
              </w:rPr>
              <w:t>Corporate and Other</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vMerge w:val="restart"/>
          </w:tcPr>
          <w:p>
            <w:pPr>
              <w:ind w:left="200"/>
              <w:spacing w:after="0"/>
              <w:rPr>
                <w:sz w:val="20"/>
                <w:szCs w:val="20"/>
                <w:color w:val="auto"/>
              </w:rPr>
            </w:pPr>
            <w:r>
              <w:rPr>
                <w:rFonts w:ascii="Arial" w:cs="Arial" w:eastAsia="Arial" w:hAnsi="Arial"/>
                <w:sz w:val="18"/>
                <w:szCs w:val="18"/>
                <w:color w:val="auto"/>
              </w:rPr>
              <w:t>Total</w:t>
            </w:r>
          </w:p>
        </w:tc>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3840" w:type="dxa"/>
            <w:vAlign w:val="bottom"/>
            <w:gridSpan w:val="2"/>
          </w:tcPr>
          <w:p>
            <w:pPr>
              <w:ind w:left="37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3,934</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3,315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40" w:type="dxa"/>
            <w:vAlign w:val="bottom"/>
            <w:vMerge w:val="restart"/>
          </w:tcPr>
          <w:p>
            <w:pPr>
              <w:ind w:left="350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Gross</w:t>
            </w:r>
          </w:p>
        </w:tc>
        <w:tc>
          <w:tcPr>
            <w:tcW w:w="74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Operating</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7"/>
              </w:rPr>
              <w:t>Operating</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Revenues</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Revenues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Revenues</w:t>
            </w:r>
          </w:p>
        </w:tc>
        <w:tc>
          <w:tcPr>
            <w:tcW w:w="3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Six Months Ended:</w:t>
            </w:r>
          </w:p>
        </w:tc>
        <w:tc>
          <w:tcPr>
            <w:tcW w:w="4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June 30, 2016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2,557</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2,116</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1,337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2,607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2,162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5,615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1,072</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986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(1,272)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6,601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6,601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June 30, 2015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2,487</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2,079</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1,328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2,386</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1,991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(1,108)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5,398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7,509</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(1,154)</w:t>
            </w:r>
          </w:p>
        </w:tc>
        <w:tc>
          <w:tcPr>
            <w:tcW w:w="14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6,355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7,509</w:t>
            </w:r>
          </w:p>
        </w:tc>
        <w:tc>
          <w:tcPr>
            <w:tcW w:w="7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(1,154)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6,355</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by general economic conditions. In addition, our revenues and income from operations typically reflect seasonal patterns. 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3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United States, can actually increase our revenues in the areas affected. While weather-related and other “one-time” occurrences can boost revenues through additional work for a limited time as a result of significant start-up costs and other factors, such revenue can generate earnings at comparatively lower margins.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Southern Waste Systems/Sun Recyclin</w:t>
      </w:r>
      <w:r>
        <w:rPr>
          <w:rFonts w:ascii="Arial" w:cs="Arial" w:eastAsia="Arial" w:hAnsi="Arial"/>
          <w:sz w:val="18"/>
          <w:szCs w:val="18"/>
          <w:color w:val="auto"/>
        </w:rPr>
        <w:t>g — On January 8, 2016, Waste Management Inc. of Florida, a wholly-owned subsidiary of WM, acquired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business assets of SWS in Southern Florida for total consideration of $525 million. The acquired business assets include residential, commercial, and industrial solid waste collection, processing/recycling and transfer operations, equipment, vehicles, real estate and customer agreements. The acquisition was funded primarily with borrowings under our $2.25 billion revolving credit facility.</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have provisionally recorded $93 million of property and equipment, $182 million of other intangible assets and $250 million of goodwill. The completion of our acquisition accounting is subject to change based on the finalization of our detailed valuations. There have been no adjustments to the preliminary purchase price allocation since the acquisition date. The goodwill allocation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Florida Area as it is expected to benefit from the synergies of the combination. Goodwill related to this acquisition is deductible for income tax purposes.</w:t>
      </w:r>
    </w:p>
    <w:p>
      <w:pPr>
        <w:spacing w:after="0" w:line="6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presents the preliminary allocation of the purchase price for SWS to other intangible assets (amounts in millions, except for amortization periods):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8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8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Amortization</w:t>
            </w:r>
          </w:p>
        </w:tc>
      </w:tr>
      <w:tr>
        <w:trPr>
          <w:trHeight w:val="149"/>
        </w:trPr>
        <w:tc>
          <w:tcPr>
            <w:tcW w:w="8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Periods</w:t>
            </w:r>
          </w:p>
        </w:tc>
      </w:tr>
      <w:tr>
        <w:trPr>
          <w:trHeight w:val="161"/>
        </w:trPr>
        <w:tc>
          <w:tcPr>
            <w:tcW w:w="8080" w:type="dxa"/>
            <w:vAlign w:val="bottom"/>
          </w:tcPr>
          <w:p>
            <w:pPr>
              <w:spacing w:after="0"/>
              <w:rPr>
                <w:sz w:val="14"/>
                <w:szCs w:val="14"/>
                <w:color w:val="auto"/>
              </w:rPr>
            </w:pPr>
          </w:p>
        </w:tc>
        <w:tc>
          <w:tcPr>
            <w:tcW w:w="50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Amount</w:t>
            </w:r>
          </w:p>
        </w:tc>
        <w:tc>
          <w:tcPr>
            <w:tcW w:w="104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(in Years)</w:t>
            </w:r>
          </w:p>
        </w:tc>
      </w:tr>
      <w:tr>
        <w:trPr>
          <w:trHeight w:val="210"/>
        </w:trPr>
        <w:tc>
          <w:tcPr>
            <w:tcW w:w="8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160</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22"/>
        </w:trPr>
        <w:tc>
          <w:tcPr>
            <w:tcW w:w="8080" w:type="dxa"/>
            <w:vAlign w:val="bottom"/>
          </w:tcPr>
          <w:p>
            <w:pPr>
              <w:ind w:left="220"/>
              <w:spacing w:after="0"/>
              <w:rPr>
                <w:sz w:val="20"/>
                <w:szCs w:val="20"/>
                <w:color w:val="auto"/>
              </w:rPr>
            </w:pPr>
            <w:r>
              <w:rPr>
                <w:rFonts w:ascii="Arial" w:cs="Arial" w:eastAsia="Arial" w:hAnsi="Arial"/>
                <w:sz w:val="18"/>
                <w:szCs w:val="18"/>
                <w:color w:val="auto"/>
              </w:rPr>
              <w:t>Total other intangible assets subject to amortization</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182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For the three and six months ended June 30, 2016, the acquired operations of SWS contributed revenues of $39 million and $76 million, respectively, and net income of less than $1 million and $1 million, respectively, which are included in our Condensed Consolidated Statements of Operations.</w:t>
      </w:r>
    </w:p>
    <w:p>
      <w:pPr>
        <w:spacing w:after="0" w:line="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Deffenbaugh Disposal, Inc. </w:t>
      </w:r>
      <w:r>
        <w:rPr>
          <w:rFonts w:ascii="Arial" w:cs="Arial" w:eastAsia="Arial" w:hAnsi="Arial"/>
          <w:sz w:val="18"/>
          <w:szCs w:val="18"/>
          <w:color w:val="auto"/>
        </w:rPr>
        <w:t>— On March 26, 2015, we acquired Deffenbaugh, one of the largest privately owned collection and disposal firms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Midwest, for total consideration, net of cash acquired, of $400 million. Deffenbaugh’s assets include collection operations, transfer stations, recycling facilities and landfills. The acquisition accounting for this transaction was finalized in the first quarter of 2016. There were no significant measurement period adjustments recorded in 2016.</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acquisitions of Deffenbaugh and SWS occurred at January 1, 2015 (in millions, except per share amounts):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revenues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Net income attributable to Waste Management, Inc.</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earnings per common share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Diluted earnings per common share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1320" w:type="dxa"/>
        <w:tblCellMar>
          <w:top w:w="0" w:type="dxa"/>
          <w:left w:w="0" w:type="dxa"/>
          <w:bottom w:w="0" w:type="dxa"/>
          <w:right w:w="0" w:type="dxa"/>
        </w:tblCellMar>
      </w:tblPr>
      <w:tr>
        <w:trPr>
          <w:trHeight w:val="161"/>
        </w:trPr>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184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40" w:type="dxa"/>
            <w:vAlign w:val="bottom"/>
          </w:tcPr>
          <w:p>
            <w:pPr>
              <w:spacing w:after="0"/>
              <w:rPr>
                <w:sz w:val="14"/>
                <w:szCs w:val="14"/>
                <w:color w:val="auto"/>
              </w:rPr>
            </w:pP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w w:val="99"/>
              </w:rPr>
              <w:t>June 30,</w:t>
            </w:r>
          </w:p>
        </w:tc>
      </w:tr>
      <w:tr>
        <w:trPr>
          <w:trHeight w:val="142"/>
        </w:trPr>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159"/>
              <w:spacing w:after="0" w:line="142" w:lineRule="exact"/>
              <w:rPr>
                <w:sz w:val="20"/>
                <w:szCs w:val="20"/>
                <w:color w:val="auto"/>
              </w:rPr>
            </w:pPr>
            <w:r>
              <w:rPr>
                <w:rFonts w:ascii="Arial" w:cs="Arial" w:eastAsia="Arial" w:hAnsi="Arial"/>
                <w:sz w:val="14"/>
                <w:szCs w:val="14"/>
                <w:b w:val="1"/>
                <w:bCs w:val="1"/>
                <w:color w:val="auto"/>
                <w:w w:val="89"/>
              </w:rPr>
              <w:t>2015</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2015</w:t>
            </w:r>
          </w:p>
        </w:tc>
      </w:tr>
      <w:tr>
        <w:trPr>
          <w:trHeight w:val="201"/>
        </w:trPr>
        <w:tc>
          <w:tcPr>
            <w:tcW w:w="240" w:type="dxa"/>
            <w:vAlign w:val="bottom"/>
            <w:tcBorders>
              <w:top w:val="single" w:sz="8" w:color="auto"/>
            </w:tcBorders>
          </w:tcPr>
          <w:p>
            <w:pPr>
              <w:jc w:val="right"/>
              <w:ind w:right="62"/>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3,350</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$6,603</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$6,461</w:t>
            </w:r>
          </w:p>
        </w:tc>
      </w:tr>
      <w:tr>
        <w:trPr>
          <w:trHeight w:val="216"/>
        </w:trPr>
        <w:tc>
          <w:tcPr>
            <w:tcW w:w="24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274</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545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24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0.60</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1.23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0.31</w:t>
            </w:r>
          </w:p>
        </w:tc>
      </w:tr>
      <w:tr>
        <w:trPr>
          <w:trHeight w:val="222"/>
        </w:trPr>
        <w:tc>
          <w:tcPr>
            <w:tcW w:w="24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0.60</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-555625</wp:posOffset>
            </wp:positionV>
            <wp:extent cx="666369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-272415</wp:posOffset>
            </wp:positionV>
            <wp:extent cx="666369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ectPr>
          <w:pgSz w:w="11900" w:h="16838" w:orient="portrait"/>
          <w:cols w:equalWidth="0" w:num="2">
            <w:col w:w="4900" w:space="720"/>
            <w:col w:w="5800"/>
          </w:cols>
          <w:pgMar w:left="240" w:top="274"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Unusual Items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 from divestitures, asset impairments and unusual items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six months ended June 30, 2015, we recognized net charges of $15 million, including $16 million of charges to write down or divest of certain assets in our recycling operations and a $5 million impairment charge related to a landfill in our Western Canada Area. Partially offsetting these charges was a $6 million gain on the sale of an oil and gas producing property.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During the second quarter of 2016, we recognized $41 million of impairments to write down minority-owned investments in waste diversion technology companies to their fair value. These charges are recorded in “Other, net” in our Condensed Consolidated Statement of Operations.</w:t>
      </w:r>
    </w:p>
    <w:p>
      <w:pPr>
        <w:spacing w:after="0" w:line="12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Balance,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3" w:lineRule="exact"/>
        <w:rPr>
          <w:sz w:val="20"/>
          <w:szCs w:val="20"/>
          <w:color w:val="auto"/>
        </w:rPr>
      </w:pPr>
    </w:p>
    <w:p>
      <w:pPr>
        <w:ind w:left="900" w:right="280" w:hanging="215"/>
        <w:spacing w:after="0" w:line="254" w:lineRule="auto"/>
        <w:rPr>
          <w:sz w:val="20"/>
          <w:szCs w:val="20"/>
          <w:color w:val="auto"/>
        </w:rPr>
      </w:pPr>
      <w:r>
        <w:rPr>
          <w:rFonts w:ascii="Arial" w:cs="Arial" w:eastAsia="Arial" w:hAnsi="Arial"/>
          <w:sz w:val="18"/>
          <w:szCs w:val="18"/>
          <w:color w:val="auto"/>
        </w:rPr>
        <w:t>Other comprehensive income (loss) before reclassifications net of tax expense (benefit) of $(4), $1, $0 and $0, respectively</w:t>
      </w:r>
    </w:p>
    <w:p>
      <w:pPr>
        <w:ind w:left="900" w:hanging="215"/>
        <w:spacing w:after="0" w:line="261" w:lineRule="auto"/>
        <w:rPr>
          <w:sz w:val="20"/>
          <w:szCs w:val="20"/>
          <w:color w:val="auto"/>
        </w:rPr>
      </w:pPr>
      <w:r>
        <w:rPr>
          <w:rFonts w:ascii="Arial" w:cs="Arial" w:eastAsia="Arial" w:hAnsi="Arial"/>
          <w:sz w:val="18"/>
          <w:szCs w:val="18"/>
          <w:color w:val="auto"/>
        </w:rPr>
        <w:t>Amounts reclassified from accumulated other comprehensive (income) loss net of tax (expense) benefit of $10, $0, $0 and $0,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-283845</wp:posOffset>
            </wp:positionV>
            <wp:extent cx="666369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Foreign</w:t>
            </w:r>
          </w:p>
        </w:tc>
        <w:tc>
          <w:tcPr>
            <w:tcW w:w="12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Post-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Currency</w:t>
            </w: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Retirement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for-Sale</w:t>
            </w: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2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Benefit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7"/>
              </w:rPr>
              <w:t>Instruments</w:t>
            </w:r>
          </w:p>
        </w:tc>
        <w:tc>
          <w:tcPr>
            <w:tcW w:w="2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Plans</w:t>
            </w:r>
          </w:p>
        </w:tc>
        <w:tc>
          <w:tcPr>
            <w:tcW w:w="8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vMerge w:val="continue"/>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76"/>
              </w:rPr>
              <w:t>$(127)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440" w:space="420"/>
            <w:col w:w="4560"/>
          </w:cols>
          <w:pgMar w:left="240" w:top="274" w:right="23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0" w:type="dxa"/>
            <w:vAlign w:val="bottom"/>
            <w:gridSpan w:val="2"/>
          </w:tcPr>
          <w:p>
            <w:pPr>
              <w:spacing w:after="0" w:line="204" w:lineRule="exact"/>
              <w:rPr>
                <w:sz w:val="20"/>
                <w:szCs w:val="20"/>
                <w:color w:val="auto"/>
              </w:rPr>
            </w:pPr>
            <w:r>
              <w:rPr>
                <w:rFonts w:ascii="Arial" w:cs="Arial" w:eastAsia="Arial" w:hAnsi="Arial"/>
                <w:sz w:val="18"/>
                <w:szCs w:val="18"/>
                <w:color w:val="auto"/>
              </w:rPr>
              <w:t>Net current period other comprehensive income (loss)</w:t>
            </w:r>
          </w:p>
        </w:tc>
        <w:tc>
          <w:tcPr>
            <w:tcW w:w="280" w:type="dxa"/>
            <w:vAlign w:val="bottom"/>
          </w:tcPr>
          <w:p>
            <w:pPr>
              <w:spacing w:after="0"/>
              <w:rPr>
                <w:sz w:val="17"/>
                <w:szCs w:val="17"/>
                <w:color w:val="auto"/>
              </w:rPr>
            </w:pPr>
          </w:p>
        </w:tc>
        <w:tc>
          <w:tcPr>
            <w:tcW w:w="440" w:type="dxa"/>
            <w:vAlign w:val="bottom"/>
          </w:tcPr>
          <w:p>
            <w:pPr>
              <w:jc w:val="right"/>
              <w:spacing w:after="0" w:line="204"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60"/>
              <w:spacing w:after="0" w:line="204"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600" w:type="dxa"/>
            <w:vAlign w:val="bottom"/>
            <w:gridSpan w:val="2"/>
          </w:tcPr>
          <w:p>
            <w:pPr>
              <w:jc w:val="right"/>
              <w:ind w:right="200"/>
              <w:spacing w:after="0" w:line="204" w:lineRule="exact"/>
              <w:rPr>
                <w:sz w:val="20"/>
                <w:szCs w:val="20"/>
                <w:color w:val="auto"/>
              </w:rPr>
            </w:pPr>
            <w:r>
              <w:rPr>
                <w:rFonts w:ascii="Arial" w:cs="Arial" w:eastAsia="Arial" w:hAnsi="Arial"/>
                <w:sz w:val="18"/>
                <w:szCs w:val="18"/>
                <w:color w:val="auto"/>
              </w:rPr>
              <w:t>67</w:t>
            </w:r>
          </w:p>
        </w:tc>
        <w:tc>
          <w:tcPr>
            <w:tcW w:w="300" w:type="dxa"/>
            <w:vAlign w:val="bottom"/>
          </w:tcPr>
          <w:p>
            <w:pPr>
              <w:spacing w:after="0"/>
              <w:rPr>
                <w:sz w:val="17"/>
                <w:szCs w:val="17"/>
                <w:color w:val="auto"/>
              </w:rPr>
            </w:pPr>
          </w:p>
        </w:tc>
        <w:tc>
          <w:tcPr>
            <w:tcW w:w="500" w:type="dxa"/>
            <w:vAlign w:val="bottom"/>
            <w:gridSpan w:val="2"/>
          </w:tcPr>
          <w:p>
            <w:pPr>
              <w:jc w:val="right"/>
              <w:ind w:right="120"/>
              <w:spacing w:after="0" w:line="204" w:lineRule="exact"/>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2016</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amounts of other comprehensive income (loss) before reclassifications associated with the effective portion of derivatives designated as cash flow hedges are as follows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3"/>
          </w:tcPr>
          <w:p>
            <w:pPr>
              <w:ind w:left="260"/>
              <w:spacing w:after="0"/>
              <w:rPr>
                <w:sz w:val="20"/>
                <w:szCs w:val="20"/>
                <w:color w:val="auto"/>
              </w:rPr>
            </w:pPr>
            <w:r>
              <w:rPr>
                <w:rFonts w:ascii="Arial" w:cs="Arial" w:eastAsia="Arial" w:hAnsi="Arial"/>
                <w:sz w:val="14"/>
                <w:szCs w:val="14"/>
                <w:b w:val="1"/>
                <w:bCs w:val="1"/>
                <w:color w:val="auto"/>
                <w:w w:val="98"/>
              </w:rPr>
              <w:t>Three Months Ended June 30,</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w:t>
            </w:r>
          </w:p>
        </w:tc>
        <w:tc>
          <w:tcPr>
            <w:tcW w:w="1160" w:type="dxa"/>
            <w:vAlign w:val="bottom"/>
            <w:tcBorders>
              <w:top w:val="single" w:sz="8" w:color="auto"/>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6"/>
              </w:rPr>
              <w:t>2016</w:t>
            </w:r>
          </w:p>
        </w:tc>
        <w:tc>
          <w:tcPr>
            <w:tcW w:w="114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derivatives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9"/>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Tax (expense) benefit</w:t>
            </w:r>
          </w:p>
        </w:tc>
        <w:tc>
          <w:tcPr>
            <w:tcW w:w="16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7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9"/>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vMerge w:val="restart"/>
          </w:tcPr>
          <w:p>
            <w:pPr>
              <w:jc w:val="right"/>
              <w:ind w:right="812"/>
              <w:spacing w:after="0"/>
              <w:rPr>
                <w:sz w:val="20"/>
                <w:szCs w:val="20"/>
                <w:color w:val="auto"/>
              </w:rPr>
            </w:pPr>
            <w:r>
              <w:rPr>
                <w:rFonts w:ascii="Arial" w:cs="Arial" w:eastAsia="Arial" w:hAnsi="Arial"/>
                <w:sz w:val="18"/>
                <w:szCs w:val="18"/>
                <w:color w:val="auto"/>
              </w:rPr>
              <w:t>19</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significant amounts reclassified out of each component of accumulated other comprehensive income (loss) are as follows (in millions, with amounts in parentheses representing debits to the statement of operations classification):</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8"/>
              </w:rPr>
              <w:t>Six Months Ended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82"/>
              </w:rPr>
              <w:t>June 30,</w:t>
            </w:r>
          </w:p>
        </w:tc>
        <w:tc>
          <w:tcPr>
            <w:tcW w:w="2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62"/>
        </w:trPr>
        <w:tc>
          <w:tcPr>
            <w:tcW w:w="4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2015</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17"/>
              <w:spacing w:after="0"/>
              <w:rPr>
                <w:sz w:val="20"/>
                <w:szCs w:val="20"/>
                <w:color w:val="auto"/>
              </w:rPr>
            </w:pPr>
            <w:r>
              <w:rPr>
                <w:rFonts w:ascii="Arial" w:cs="Arial" w:eastAsia="Arial" w:hAnsi="Arial"/>
                <w:sz w:val="14"/>
                <w:szCs w:val="14"/>
                <w:b w:val="1"/>
                <w:bCs w:val="1"/>
                <w:color w:val="auto"/>
                <w:w w:val="76"/>
              </w:rPr>
              <w:t>2016</w:t>
            </w:r>
          </w:p>
        </w:tc>
        <w:tc>
          <w:tcPr>
            <w:tcW w:w="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Operations Classification</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Gains and losses on cash flow hedges:</w:t>
            </w: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Forward-starting interest rate swaps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w w:val="95"/>
              </w:rPr>
              <w:t>Interest expense, net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rate locks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Interest expense, net</w:t>
            </w: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21</w:t>
            </w:r>
          </w:p>
        </w:tc>
        <w:tc>
          <w:tcPr>
            <w:tcW w:w="64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6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w w:val="91"/>
              </w:rPr>
              <w:t>Tax (expense) benefit</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reclassifications for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share repurchases have been made in accordance with financial plans approved by our Board of Directors. The Company entered into an accelerated share repurchase (“ASR”) agreement in December 2015 to repurchase $150 million of our common stock in early 2016. In January 2016, we delivered $150 million in cash and received 2.0 million shares based on a stock price of $53.37. The ASR agreement completed in February 2016, at which time we received 0.9 million additional shares based on a final weighted average per share purchase price during the repurchase period of $53.15.</w:t>
      </w:r>
    </w:p>
    <w:p>
      <w:pPr>
        <w:spacing w:after="0" w:line="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March 2016, the Company entered into an ASR agreement to repurchase $100 million of our common stock. At the beginning of the ASR repurchase period, we delivered $100 million in cash and received 1.2 million shares based on a stock price of $56.95. The ASR agreement completed in April 2016, at which time we received 0.5 million additional shares based on a final weighted average per share purchase price during the repurchase period of $58.33.</w:t>
      </w:r>
    </w:p>
    <w:p>
      <w:pPr>
        <w:spacing w:after="0" w:line="2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May 2016, the Company entered into an ASR agreement to repurchase $250 million of our common stock. At the beginning of the ASR repurchase period, we delivered $250 million in cash and received 3.3 million shares based on a stock price of $60.49.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in August 2016.</w:t>
      </w:r>
    </w:p>
    <w:p>
      <w:pPr>
        <w:spacing w:after="0" w:line="3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After completion of these ASRs, the Company has Board authorization remaining for $650 million of future share repurchases. Any future share repurchases pursuant to such authorization will be made at the discretion of management.</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Each ASR agreement was accounted for as two separate transactions: (i) as shares of reacquired common stock for the shares delivered to us upon effectiveness of the ASR agreements and (ii) as a forward contract indexed to our own common stock for the undelivered shares. The initial delivery of shares is included in treasury stock at cost and resulted in an immediate reduction of the outstanding shares used to calculate the weighted average common shares outstanding for basic and diluted earnings per share. The forward contracts indexed to our own stock met the criteria for equity classification, and these amounts are initially recorded in additional paid-in capital and reclassified to treasury stock upon completion of the ASR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FairValue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87"/>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82"/>
              <w:spacing w:after="0"/>
              <w:rPr>
                <w:sz w:val="20"/>
                <w:szCs w:val="20"/>
                <w:color w:val="auto"/>
              </w:rPr>
            </w:pPr>
            <w:r>
              <w:rPr>
                <w:rFonts w:ascii="Arial" w:cs="Arial" w:eastAsia="Arial" w:hAnsi="Arial"/>
                <w:sz w:val="14"/>
                <w:szCs w:val="14"/>
                <w:b w:val="1"/>
                <w:bCs w:val="1"/>
                <w:color w:val="auto"/>
                <w:w w:val="85"/>
              </w:rPr>
              <w:t>June 30, 2016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80" w:type="dxa"/>
            <w:vAlign w:val="bottom"/>
          </w:tcPr>
          <w:p>
            <w:pPr>
              <w:spacing w:after="0"/>
              <w:rPr>
                <w:sz w:val="11"/>
                <w:szCs w:val="11"/>
                <w:color w:val="auto"/>
              </w:rPr>
            </w:pPr>
          </w:p>
        </w:tc>
        <w:tc>
          <w:tcPr>
            <w:tcW w:w="13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Prices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7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r>
      <w:tr>
        <w:trPr>
          <w:trHeight w:val="149"/>
        </w:trPr>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780" w:type="dxa"/>
            <w:vAlign w:val="bottom"/>
          </w:tcPr>
          <w:p>
            <w:pPr>
              <w:spacing w:after="0"/>
              <w:rPr>
                <w:sz w:val="14"/>
                <w:szCs w:val="14"/>
                <w:color w:val="auto"/>
              </w:rPr>
            </w:pPr>
          </w:p>
        </w:tc>
        <w:tc>
          <w:tcPr>
            <w:tcW w:w="13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r>
      <w:tr>
        <w:trPr>
          <w:trHeight w:val="196"/>
        </w:trPr>
        <w:tc>
          <w:tcPr>
            <w:tcW w:w="4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0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$ 40</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gridSpan w:val="2"/>
          </w:tcPr>
          <w:p>
            <w:pPr>
              <w:ind w:left="220"/>
              <w:spacing w:after="0"/>
              <w:rPr>
                <w:sz w:val="20"/>
                <w:szCs w:val="20"/>
                <w:color w:val="auto"/>
              </w:rPr>
            </w:pPr>
            <w:r>
              <w:rPr>
                <w:rFonts w:ascii="Arial" w:cs="Arial" w:eastAsia="Arial" w:hAnsi="Arial"/>
                <w:sz w:val="18"/>
                <w:szCs w:val="18"/>
                <w:color w:val="auto"/>
              </w:rPr>
              <w:t>Fixed-income securities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Redeemable preferred stock</w:t>
            </w:r>
          </w:p>
        </w:tc>
        <w:tc>
          <w:tcPr>
            <w:tcW w:w="16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w w:val="78"/>
              </w:rPr>
              <w:t>48</w:t>
            </w:r>
          </w:p>
        </w:tc>
        <w:tc>
          <w:tcPr>
            <w:tcW w:w="100" w:type="dxa"/>
            <w:vAlign w:val="bottom"/>
            <w:shd w:val="clear" w:color="auto" w:fill="CCEEFF"/>
          </w:tcPr>
          <w:p>
            <w:pPr>
              <w:spacing w:after="0"/>
              <w:rPr>
                <w:sz w:val="18"/>
                <w:szCs w:val="18"/>
                <w:color w:val="auto"/>
              </w:rPr>
            </w:pPr>
          </w:p>
        </w:tc>
      </w:tr>
      <w:tr>
        <w:trPr>
          <w:trHeight w:val="222"/>
        </w:trPr>
        <w:tc>
          <w:tcPr>
            <w:tcW w:w="4100" w:type="dxa"/>
            <w:vAlign w:val="bottom"/>
            <w:gridSpan w:val="2"/>
          </w:tcPr>
          <w:p>
            <w:pPr>
              <w:ind w:left="440"/>
              <w:spacing w:after="0"/>
              <w:rPr>
                <w:sz w:val="20"/>
                <w:szCs w:val="20"/>
                <w:color w:val="auto"/>
              </w:rPr>
            </w:pPr>
            <w:r>
              <w:rPr>
                <w:rFonts w:ascii="Arial" w:cs="Arial" w:eastAsia="Arial" w:hAnsi="Arial"/>
                <w:sz w:val="18"/>
                <w:szCs w:val="18"/>
                <w:color w:val="auto"/>
              </w:rPr>
              <w:t>Total assets</w:t>
            </w:r>
          </w:p>
        </w:tc>
        <w:tc>
          <w:tcPr>
            <w:tcW w:w="1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169</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70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48</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3"/>
        </w:trPr>
        <w:tc>
          <w:tcPr>
            <w:tcW w:w="1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87"/>
              </w:rPr>
              <w:t>Fair Value Measurements at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82"/>
              <w:spacing w:after="0"/>
              <w:rPr>
                <w:sz w:val="20"/>
                <w:szCs w:val="20"/>
                <w:color w:val="auto"/>
              </w:rPr>
            </w:pPr>
            <w:r>
              <w:rPr>
                <w:rFonts w:ascii="Arial" w:cs="Arial" w:eastAsia="Arial" w:hAnsi="Arial"/>
                <w:sz w:val="14"/>
                <w:szCs w:val="14"/>
                <w:b w:val="1"/>
                <w:bCs w:val="1"/>
                <w:color w:val="auto"/>
                <w:w w:val="86"/>
              </w:rPr>
              <w:t>December 31, 2015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80" w:type="dxa"/>
            <w:vAlign w:val="bottom"/>
          </w:tcPr>
          <w:p>
            <w:pPr>
              <w:spacing w:after="0"/>
              <w:rPr>
                <w:sz w:val="11"/>
                <w:szCs w:val="11"/>
                <w:color w:val="auto"/>
              </w:rPr>
            </w:pPr>
          </w:p>
        </w:tc>
        <w:tc>
          <w:tcPr>
            <w:tcW w:w="13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Prices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7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Unobservable</w:t>
            </w:r>
          </w:p>
        </w:tc>
      </w:tr>
      <w:tr>
        <w:trPr>
          <w:trHeight w:val="149"/>
        </w:trPr>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780" w:type="dxa"/>
            <w:vAlign w:val="bottom"/>
          </w:tcPr>
          <w:p>
            <w:pPr>
              <w:spacing w:after="0"/>
              <w:rPr>
                <w:sz w:val="14"/>
                <w:szCs w:val="14"/>
                <w:color w:val="auto"/>
              </w:rPr>
            </w:pPr>
          </w:p>
        </w:tc>
        <w:tc>
          <w:tcPr>
            <w:tcW w:w="13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r>
      <w:tr>
        <w:trPr>
          <w:trHeight w:val="196"/>
        </w:trPr>
        <w:tc>
          <w:tcPr>
            <w:tcW w:w="4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0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$ 35</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gridSpan w:val="2"/>
          </w:tcPr>
          <w:p>
            <w:pPr>
              <w:ind w:left="220"/>
              <w:spacing w:after="0"/>
              <w:rPr>
                <w:sz w:val="20"/>
                <w:szCs w:val="20"/>
                <w:color w:val="auto"/>
              </w:rPr>
            </w:pPr>
            <w:r>
              <w:rPr>
                <w:rFonts w:ascii="Arial" w:cs="Arial" w:eastAsia="Arial" w:hAnsi="Arial"/>
                <w:sz w:val="18"/>
                <w:szCs w:val="18"/>
                <w:color w:val="auto"/>
              </w:rPr>
              <w:t>Fixed-income securities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derivatives(b)</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410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16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w w:val="78"/>
              </w:rPr>
              <w:t>47</w:t>
            </w:r>
          </w:p>
        </w:tc>
        <w:tc>
          <w:tcPr>
            <w:tcW w:w="100" w:type="dxa"/>
            <w:vAlign w:val="bottom"/>
          </w:tcPr>
          <w:p>
            <w:pPr>
              <w:spacing w:after="0"/>
              <w:rPr>
                <w:sz w:val="19"/>
                <w:szCs w:val="19"/>
                <w:color w:val="auto"/>
              </w:rPr>
            </w:pPr>
          </w:p>
        </w:tc>
      </w:tr>
      <w:tr>
        <w:trPr>
          <w:trHeight w:val="216"/>
        </w:trPr>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w:t>
            </w:r>
          </w:p>
        </w:tc>
        <w:tc>
          <w:tcPr>
            <w:tcW w:w="9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7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78"/>
              </w:rPr>
              <w:t>47</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900" w:hanging="446"/>
        <w:spacing w:after="0" w:line="252"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analysis, third-party appraisals or industry multiples and public comparables. There has not been any significant change in the fair value of the redeemable preferred stock since our assessment at December 31, 2015.</w:t>
      </w: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March 2016, we terminated our foreign currency derivatives. Refer to Note 4 for additional information.</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At June 30, 2016 and December 31, 2015, the carrying value of our debt was approximately $9.5 billion and $8.9 billion, respectively. The estimated fair value of our debt was approximately $10.4 billion and $9.2 billion at June 30, 2016 and December 31, 2015, respectively. The fair value of our fixed-rate debt is estimated using discounted cash flow analysis, based on current market rates for similar types of instruments. The carrying value of our variable-rate debt approximates fair value due to the short-term nature of the interest rates. The increase in the fair value of our debt when comparing June 30, 2016 with December 31, 2015 is primarily related to $577 million of net borrowings during 2016, as well as recent decreases in long-term interest rates.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June 30, 2016 and December 31, 2015. These amounts have not been revalued since those dates, and current estimates of fair value could differ significantly from the amounts presented.</w:t>
      </w:r>
    </w:p>
    <w:p>
      <w:pPr>
        <w:spacing w:after="0" w:line="17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9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Following is a description of our financial interests in variable interest entities that we consider significant, including (i) those that represent a significant interest in an unconsolidated entity and (ii) trusts for final capping, closure, post-closure or environmental remediation obligations.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have significant financial interests in entities established to invest in and manage low-income housing properties and a refined coal facility. We support the operations of these entities in exchange for a pro-rata share of the tax credits they generate. We have determined we are not the primary beneficiary of these entities as we do not have the power to individually direct the activities of these entities. Accordingly, we account for these investments under the equity method of accounting and do not consolidate them. As of June 30, 2016 and December 31, 2015, our aggregate investment balance in these two entities was $98 million and $110 million, respectively. The debt balance related to our investment in low-income housing properties was $68 million and $80 million at June 30, 2016 and December 31, 2015, respectively. Additional information related to these investments is discussed in Note 5.</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Trusts for Final Capping, Closure, Post-Closure or Environmental Remediation Obligations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have significant financial interests in trust funds that 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certain of these entities because either (i) we do not have the power to direct the significant activities of the trusts or (ii) power over the trusts’ significant activities is shared.</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account for the trusts for which we are the sole beneficiary as long-term “Other assets” in our Condensed Consolidated Balance Sheets. We reflect our interests in the unrealized gains and losses on available-for-sale securities held by these trusts as a component of “Accumulated other comprehensive income (loss).” These trusts had a fair value of $95 million and $94 million at June 30, 2016 and December 31, 2015, respectively. Our interests in the trusts that have been established for the benefit of both the Company and the host community in which we operate are accounted for as investments in unconsolidated entities and receivables. These amounts are recorded in “Other receivables,” “Investments in unconsolidated entities” and long-term “Other assets” in our Condensed Consolidated Balance Sheets, as appropriate. Our investments and receivables related to these trusts had an aggregate carrying value of $95 million and $93 million as of June 30, 2016 and December 31, 2015, respectively.</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9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5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7"/>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shd w:val="clear" w:color="auto" w:fill="CCEEFF"/>
          </w:tcPr>
          <w:p>
            <w:pPr>
              <w:ind w:left="14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Other current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net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10,841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affiliates(a)</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19,194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19,628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(46,312)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Other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7,590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19,215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19,665</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28,184</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(46,312)</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1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160" w:type="dxa"/>
            <w:vAlign w:val="bottom"/>
            <w:gridSpan w:val="7"/>
          </w:tcPr>
          <w:p>
            <w:pPr>
              <w:jc w:val="center"/>
              <w:ind w:left="117"/>
              <w:spacing w:after="0"/>
              <w:rPr>
                <w:sz w:val="20"/>
                <w:szCs w:val="20"/>
                <w:color w:val="auto"/>
              </w:rPr>
            </w:pPr>
            <w:r>
              <w:rPr>
                <w:rFonts w:ascii="Arial" w:cs="Arial" w:eastAsia="Arial" w:hAnsi="Arial"/>
                <w:sz w:val="18"/>
                <w:szCs w:val="18"/>
                <w:b w:val="1"/>
                <w:bCs w:val="1"/>
                <w:color w:val="auto"/>
              </w:rPr>
              <w:t>LIABILITIES AND EQUITY</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1500" w:type="dxa"/>
            <w:vAlign w:val="bottom"/>
            <w:gridSpan w:val="2"/>
          </w:tcPr>
          <w:p>
            <w:pPr>
              <w:ind w:left="14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5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portion(a)</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Due to affiliates(a)</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7,334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(7,490)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gridSpan w:val="2"/>
            <w:vMerge w:val="continue"/>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14,007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8,536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(7,490)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Stockholders’ equity</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5,208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19,194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19,628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(38,822)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Noncontrolling interests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5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5,208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19,194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19,648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(38,822)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2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19,215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19,665</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28,184</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(46,312)</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6"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conjunction with the preparation of our June 30, 2016 Condensed Consolidating Balance Sheet, we identified and corrected the presentation of $126 million of tax-exempt bonds previously reported in Non-Guarantor Subsidiaries’ rather than WM’s “Long-term debt, less current portion,” which had corresponding impacts on “Investments in and advances to affiliates” and “Due to affiliates.” This immaterial correction has been reflected in our June 30, 2016 Condensed Consolidating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WM</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rPr>
              <w:t>WM</w:t>
            </w:r>
          </w:p>
        </w:tc>
        <w:tc>
          <w:tcPr>
            <w:tcW w:w="5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4"/>
                <w:szCs w:val="14"/>
                <w:b w:val="1"/>
                <w:bCs w:val="1"/>
                <w:color w:val="auto"/>
                <w:w w:val="81"/>
              </w:rPr>
              <w:t>Subsidiaries</w:t>
            </w:r>
          </w:p>
        </w:tc>
        <w:tc>
          <w:tcPr>
            <w:tcW w:w="5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shd w:val="clear" w:color="auto" w:fill="CCEEFF"/>
          </w:tcPr>
          <w:p>
            <w:pPr>
              <w:spacing w:after="0"/>
              <w:rPr>
                <w:sz w:val="17"/>
                <w:szCs w:val="17"/>
                <w:color w:val="auto"/>
              </w:rPr>
            </w:pPr>
          </w:p>
        </w:tc>
        <w:tc>
          <w:tcPr>
            <w:tcW w:w="2220" w:type="dxa"/>
            <w:vAlign w:val="bottom"/>
            <w:gridSpan w:val="3"/>
            <w:shd w:val="clear" w:color="auto" w:fill="CCEEFF"/>
          </w:tcPr>
          <w:p>
            <w:pPr>
              <w:jc w:val="right"/>
              <w:ind w:right="113"/>
              <w:spacing w:after="0" w:line="196" w:lineRule="exact"/>
              <w:rPr>
                <w:sz w:val="20"/>
                <w:szCs w:val="20"/>
                <w:color w:val="auto"/>
              </w:rPr>
            </w:pPr>
            <w:r>
              <w:rPr>
                <w:rFonts w:ascii="Arial" w:cs="Arial" w:eastAsia="Arial" w:hAnsi="Arial"/>
                <w:sz w:val="18"/>
                <w:szCs w:val="18"/>
                <w:b w:val="1"/>
                <w:bCs w:val="1"/>
                <w:color w:val="auto"/>
              </w:rPr>
              <w:t>ASSETS</w:t>
            </w: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2,297</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2,336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10,665</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affiliates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18,557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18,911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7,365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(44,833)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assets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7,305</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6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5"/>
              </w:rPr>
              <w:t>$ 18,583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18,946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27,671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(44,833)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980" w:type="dxa"/>
            <w:vAlign w:val="bottom"/>
          </w:tcPr>
          <w:p>
            <w:pPr>
              <w:spacing w:after="0"/>
              <w:rPr>
                <w:sz w:val="24"/>
                <w:szCs w:val="24"/>
                <w:color w:val="auto"/>
              </w:rPr>
            </w:pPr>
          </w:p>
        </w:tc>
        <w:tc>
          <w:tcPr>
            <w:tcW w:w="2860" w:type="dxa"/>
            <w:vAlign w:val="bottom"/>
            <w:gridSpan w:val="5"/>
          </w:tcPr>
          <w:p>
            <w:pPr>
              <w:jc w:val="right"/>
              <w:spacing w:after="0"/>
              <w:rPr>
                <w:sz w:val="20"/>
                <w:szCs w:val="20"/>
                <w:color w:val="auto"/>
              </w:rPr>
            </w:pPr>
            <w:r>
              <w:rPr>
                <w:rFonts w:ascii="Arial" w:cs="Arial" w:eastAsia="Arial" w:hAnsi="Arial"/>
                <w:sz w:val="18"/>
                <w:szCs w:val="18"/>
                <w:b w:val="1"/>
                <w:bCs w:val="1"/>
                <w:color w:val="auto"/>
              </w:rPr>
              <w:t>LIABILITIES AND EQUITY</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41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2,165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2,377</w:t>
            </w: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5,801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2,571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Due to affiliates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7,289</w:t>
            </w: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(7,365)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3,790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13,238</w:t>
            </w:r>
          </w:p>
        </w:tc>
        <w:tc>
          <w:tcPr>
            <w:tcW w:w="12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8,738</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(7,365)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5,345</w:t>
            </w: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18,557</w:t>
            </w: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18,911</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(37,468)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5,345</w:t>
            </w:r>
          </w:p>
        </w:tc>
        <w:tc>
          <w:tcPr>
            <w:tcW w:w="12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18,557</w:t>
            </w:r>
          </w:p>
        </w:tc>
        <w:tc>
          <w:tcPr>
            <w:tcW w:w="10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18,933</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(37,468)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equity</w:t>
            </w:r>
          </w:p>
        </w:tc>
        <w:tc>
          <w:tcPr>
            <w:tcW w:w="16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5"/>
              </w:rPr>
              <w:t>$ 18,583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18,946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27,671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(44,833)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2220" w:type="dxa"/>
            <w:vAlign w:val="bottom"/>
            <w:gridSpan w:val="3"/>
          </w:tcPr>
          <w:p>
            <w:pPr>
              <w:jc w:val="right"/>
              <w:ind w:right="313"/>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Three Months Ended June 30,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14"/>
                <w:szCs w:val="14"/>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Holdings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Subsidiaries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2,814</w:t>
            </w:r>
          </w:p>
        </w:tc>
        <w:tc>
          <w:tcPr>
            <w:tcW w:w="2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333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257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257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540</w:t>
            </w:r>
          </w:p>
        </w:tc>
        <w:tc>
          <w:tcPr>
            <w:tcW w:w="26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287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Net income (loss) attributable to noncontrolling interests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13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287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333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7080" w:type="dxa"/>
            <w:vAlign w:val="bottom"/>
            <w:gridSpan w:val="8"/>
          </w:tcPr>
          <w:p>
            <w:pPr>
              <w:jc w:val="center"/>
              <w:ind w:left="4212"/>
              <w:spacing w:after="0"/>
              <w:rPr>
                <w:sz w:val="20"/>
                <w:szCs w:val="20"/>
                <w:color w:val="auto"/>
              </w:rPr>
            </w:pPr>
            <w:r>
              <w:rPr>
                <w:rFonts w:ascii="Arial" w:cs="Arial" w:eastAsia="Arial" w:hAnsi="Arial"/>
                <w:sz w:val="18"/>
                <w:szCs w:val="18"/>
                <w:b w:val="1"/>
                <w:bCs w:val="1"/>
                <w:color w:val="auto"/>
                <w:w w:val="88"/>
              </w:rPr>
              <w:t>Three Months Ended June 30, 2015</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440" w:type="dxa"/>
            <w:vAlign w:val="bottom"/>
            <w:gridSpan w:val="2"/>
          </w:tcPr>
          <w:p>
            <w:pPr>
              <w:jc w:val="center"/>
              <w:ind w:left="212"/>
              <w:spacing w:after="0"/>
              <w:rPr>
                <w:sz w:val="20"/>
                <w:szCs w:val="20"/>
                <w:color w:val="auto"/>
              </w:rPr>
            </w:pPr>
            <w:r>
              <w:rPr>
                <w:rFonts w:ascii="Arial" w:cs="Arial" w:eastAsia="Arial" w:hAnsi="Arial"/>
                <w:sz w:val="18"/>
                <w:szCs w:val="18"/>
                <w:b w:val="1"/>
                <w:bCs w:val="1"/>
                <w:color w:val="auto"/>
                <w:w w:val="89"/>
              </w:rPr>
              <w:t>(Unaudited)</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14"/>
                <w:szCs w:val="14"/>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Holdings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Subsidiaries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2,819</w:t>
            </w:r>
          </w:p>
        </w:tc>
        <w:tc>
          <w:tcPr>
            <w:tcW w:w="2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320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243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243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274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316</w:t>
            </w:r>
          </w:p>
        </w:tc>
        <w:tc>
          <w:tcPr>
            <w:tcW w:w="26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Net income (loss) attributable to noncontrolling interests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13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317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40" w:type="dxa"/>
            <w:vAlign w:val="bottom"/>
            <w:vMerge w:val="restart"/>
          </w:tcPr>
          <w:p>
            <w:pPr>
              <w:jc w:val="center"/>
              <w:ind w:left="312"/>
              <w:spacing w:after="0"/>
              <w:rPr>
                <w:sz w:val="20"/>
                <w:szCs w:val="20"/>
                <w:color w:val="auto"/>
              </w:rPr>
            </w:pPr>
            <w:r>
              <w:rPr>
                <w:rFonts w:ascii="Arial" w:cs="Arial" w:eastAsia="Arial" w:hAnsi="Arial"/>
                <w:sz w:val="18"/>
                <w:szCs w:val="18"/>
                <w:color w:val="auto"/>
                <w:w w:val="89"/>
              </w:rPr>
              <w:t>25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Six Months Ended June 30,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WM</w:t>
            </w:r>
          </w:p>
        </w:tc>
        <w:tc>
          <w:tcPr>
            <w:tcW w:w="1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WM</w:t>
            </w:r>
          </w:p>
        </w:tc>
        <w:tc>
          <w:tcPr>
            <w:tcW w:w="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Subsidiaries</w:t>
            </w:r>
          </w:p>
        </w:tc>
        <w:tc>
          <w:tcPr>
            <w:tcW w:w="2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Costs and expenses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5,482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486</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633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(1,280)</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637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640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(1,280)</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89"/>
              </w:rPr>
              <w:t>Less: Net income (loss) attributable to noncontrolling interests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17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gridSpan w:val="2"/>
            <w:vMerge w:val="continue"/>
          </w:tcPr>
          <w:p>
            <w:pPr>
              <w:spacing w:after="0"/>
              <w:rPr>
                <w:sz w:val="19"/>
                <w:szCs w:val="19"/>
                <w:color w:val="auto"/>
              </w:rPr>
            </w:pPr>
          </w:p>
        </w:tc>
        <w:tc>
          <w:tcPr>
            <w:tcW w:w="2540" w:type="dxa"/>
            <w:vAlign w:val="bottom"/>
            <w:gridSpan w:val="4"/>
          </w:tcPr>
          <w:p>
            <w:pPr>
              <w:jc w:val="right"/>
              <w:ind w:right="400"/>
              <w:spacing w:after="0"/>
              <w:rPr>
                <w:sz w:val="20"/>
                <w:szCs w:val="20"/>
                <w:color w:val="auto"/>
              </w:rPr>
            </w:pPr>
            <w:r>
              <w:rPr>
                <w:rFonts w:ascii="Arial" w:cs="Arial" w:eastAsia="Arial" w:hAnsi="Arial"/>
                <w:sz w:val="18"/>
                <w:szCs w:val="18"/>
                <w:color w:val="auto"/>
              </w:rPr>
              <w:t>$ 545</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637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643</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(1,280)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Six Months Ended June 30, 2015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800" w:type="dxa"/>
            <w:vAlign w:val="bottom"/>
            <w:gridSpan w:val="2"/>
          </w:tcPr>
          <w:p>
            <w:pPr>
              <w:jc w:val="center"/>
              <w:ind w:left="652"/>
              <w:spacing w:after="0"/>
              <w:rPr>
                <w:sz w:val="20"/>
                <w:szCs w:val="20"/>
                <w:color w:val="auto"/>
              </w:rPr>
            </w:pPr>
            <w:r>
              <w:rPr>
                <w:rFonts w:ascii="Arial" w:cs="Arial" w:eastAsia="Arial" w:hAnsi="Arial"/>
                <w:sz w:val="18"/>
                <w:szCs w:val="18"/>
                <w:b w:val="1"/>
                <w:bCs w:val="1"/>
                <w:color w:val="auto"/>
                <w:w w:val="89"/>
              </w:rPr>
              <w:t>(Unaudited)</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WM</w:t>
            </w:r>
          </w:p>
        </w:tc>
        <w:tc>
          <w:tcPr>
            <w:tcW w:w="18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WM</w:t>
            </w:r>
          </w:p>
        </w:tc>
        <w:tc>
          <w:tcPr>
            <w:tcW w:w="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Subsidiaries</w:t>
            </w:r>
          </w:p>
        </w:tc>
        <w:tc>
          <w:tcPr>
            <w:tcW w:w="2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Costs and expenses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5,413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(500)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(103)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885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(248)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551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89"/>
              </w:rPr>
              <w:t>Less: Net income (loss) attributable to noncontrolling interests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17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gridSpan w:val="2"/>
            <w:vMerge w:val="continue"/>
          </w:tcPr>
          <w:p>
            <w:pPr>
              <w:spacing w:after="0"/>
              <w:rPr>
                <w:sz w:val="19"/>
                <w:szCs w:val="19"/>
                <w:color w:val="auto"/>
              </w:rPr>
            </w:pPr>
          </w:p>
        </w:tc>
        <w:tc>
          <w:tcPr>
            <w:tcW w:w="2540" w:type="dxa"/>
            <w:vAlign w:val="bottom"/>
            <w:gridSpan w:val="4"/>
          </w:tcPr>
          <w:p>
            <w:pPr>
              <w:jc w:val="right"/>
              <w:ind w:right="400"/>
              <w:spacing w:after="0"/>
              <w:rPr>
                <w:sz w:val="20"/>
                <w:szCs w:val="20"/>
                <w:color w:val="auto"/>
              </w:rPr>
            </w:pPr>
            <w:r>
              <w:rPr>
                <w:rFonts w:ascii="Arial" w:cs="Arial" w:eastAsia="Arial" w:hAnsi="Arial"/>
                <w:sz w:val="18"/>
                <w:szCs w:val="18"/>
                <w:color w:val="auto"/>
              </w:rPr>
              <w:t>$ 145</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551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590</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20" w:type="dxa"/>
            <w:vAlign w:val="bottom"/>
            <w:vMerge w:val="restart"/>
          </w:tcPr>
          <w:p>
            <w:pPr>
              <w:jc w:val="center"/>
              <w:ind w:left="732"/>
              <w:spacing w:after="0"/>
              <w:rPr>
                <w:sz w:val="20"/>
                <w:szCs w:val="20"/>
                <w:color w:val="auto"/>
              </w:rPr>
            </w:pPr>
            <w:r>
              <w:rPr>
                <w:rFonts w:ascii="Arial" w:cs="Arial" w:eastAsia="Arial" w:hAnsi="Arial"/>
                <w:sz w:val="18"/>
                <w:szCs w:val="18"/>
                <w:color w:val="auto"/>
                <w:w w:val="89"/>
              </w:rPr>
              <w:t>26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rPr>
              <w:t>WM</w:t>
            </w:r>
          </w:p>
        </w:tc>
        <w:tc>
          <w:tcPr>
            <w:tcW w:w="6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WM</w:t>
            </w:r>
          </w:p>
        </w:tc>
        <w:tc>
          <w:tcPr>
            <w:tcW w:w="6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0"/>
              </w:rPr>
              <w:t>Holdings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4"/>
              </w:rPr>
              <w:t>Subsidiaries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Three Months Ended June 30, 2016</w:t>
            </w: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Comprehensive income</w:t>
            </w:r>
          </w:p>
        </w:tc>
        <w:tc>
          <w:tcPr>
            <w:tcW w:w="23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$289</w:t>
            </w:r>
          </w:p>
        </w:tc>
        <w:tc>
          <w:tcPr>
            <w:tcW w:w="74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333</w:t>
            </w:r>
          </w:p>
        </w:tc>
        <w:tc>
          <w:tcPr>
            <w:tcW w:w="720" w:type="dxa"/>
            <w:vAlign w:val="bottom"/>
            <w:tcBorders>
              <w:top w:val="single" w:sz="8" w:color="CCEEFF"/>
            </w:tcBorders>
            <w:gridSpan w:val="2"/>
          </w:tcPr>
          <w:p>
            <w:pPr>
              <w:ind w:left="64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342</w:t>
            </w:r>
          </w:p>
        </w:tc>
        <w:tc>
          <w:tcPr>
            <w:tcW w:w="6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580"/>
              <w:spacing w:after="0"/>
              <w:rPr>
                <w:sz w:val="20"/>
                <w:szCs w:val="20"/>
                <w:color w:val="auto"/>
              </w:rPr>
            </w:pPr>
            <w:r>
              <w:rPr>
                <w:rFonts w:ascii="Arial" w:cs="Arial" w:eastAsia="Arial" w:hAnsi="Arial"/>
                <w:sz w:val="18"/>
                <w:szCs w:val="18"/>
                <w:color w:val="auto"/>
              </w:rPr>
              <w:t>(669)</w:t>
            </w:r>
          </w:p>
        </w:tc>
        <w:tc>
          <w:tcPr>
            <w:tcW w:w="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Less: Comprehensive income (loss) attributable to noncontrolling</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Arial" w:cs="Arial" w:eastAsia="Arial" w:hAnsi="Arial"/>
                <w:sz w:val="18"/>
                <w:szCs w:val="18"/>
                <w:color w:val="auto"/>
                <w:w w:val="98"/>
              </w:rPr>
              <w:t>Comprehensive income attributable to Waste Management, Inc.</w:t>
            </w: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4"/>
            <w:vMerge w:val="continue"/>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289</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333</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343</w:t>
            </w:r>
          </w:p>
        </w:tc>
        <w:tc>
          <w:tcPr>
            <w:tcW w:w="6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(669)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0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June 30, 2015</w:t>
            </w: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Comprehensive income</w:t>
            </w:r>
          </w:p>
        </w:tc>
        <w:tc>
          <w:tcPr>
            <w:tcW w:w="23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$276</w:t>
            </w:r>
          </w:p>
        </w:tc>
        <w:tc>
          <w:tcPr>
            <w:tcW w:w="74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320</w:t>
            </w:r>
          </w:p>
        </w:tc>
        <w:tc>
          <w:tcPr>
            <w:tcW w:w="720" w:type="dxa"/>
            <w:vAlign w:val="bottom"/>
            <w:tcBorders>
              <w:top w:val="single" w:sz="8" w:color="CCEEFF"/>
            </w:tcBorders>
            <w:gridSpan w:val="2"/>
          </w:tcPr>
          <w:p>
            <w:pPr>
              <w:ind w:left="64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330</w:t>
            </w:r>
          </w:p>
        </w:tc>
        <w:tc>
          <w:tcPr>
            <w:tcW w:w="6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580"/>
              <w:spacing w:after="0"/>
              <w:rPr>
                <w:sz w:val="20"/>
                <w:szCs w:val="20"/>
                <w:color w:val="auto"/>
              </w:rPr>
            </w:pPr>
            <w:r>
              <w:rPr>
                <w:rFonts w:ascii="Arial" w:cs="Arial" w:eastAsia="Arial" w:hAnsi="Arial"/>
                <w:sz w:val="18"/>
                <w:szCs w:val="18"/>
                <w:color w:val="auto"/>
              </w:rPr>
              <w:t>(637)</w:t>
            </w:r>
          </w:p>
        </w:tc>
        <w:tc>
          <w:tcPr>
            <w:tcW w:w="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Less: Comprehensive income (loss) attributable to noncontrolling</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Arial" w:cs="Arial" w:eastAsia="Arial" w:hAnsi="Arial"/>
                <w:sz w:val="18"/>
                <w:szCs w:val="18"/>
                <w:color w:val="auto"/>
                <w:w w:val="98"/>
              </w:rPr>
              <w:t>Comprehensive income attributable to Waste Management, Inc.</w:t>
            </w: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4"/>
            <w:vMerge w:val="continue"/>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320</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331</w:t>
            </w:r>
          </w:p>
        </w:tc>
        <w:tc>
          <w:tcPr>
            <w:tcW w:w="6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(637)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ind w:right="55"/>
              <w:spacing w:after="0"/>
              <w:rPr>
                <w:sz w:val="20"/>
                <w:szCs w:val="20"/>
                <w:color w:val="auto"/>
              </w:rPr>
            </w:pPr>
            <w:r>
              <w:rPr>
                <w:rFonts w:ascii="Arial" w:cs="Arial" w:eastAsia="Arial" w:hAnsi="Arial"/>
                <w:sz w:val="14"/>
                <w:szCs w:val="14"/>
                <w:b w:val="1"/>
                <w:bCs w:val="1"/>
                <w:color w:val="auto"/>
              </w:rPr>
              <w:t>WM</w:t>
            </w:r>
          </w:p>
        </w:tc>
        <w:tc>
          <w:tcPr>
            <w:tcW w:w="64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WM</w:t>
            </w:r>
          </w:p>
        </w:tc>
        <w:tc>
          <w:tcPr>
            <w:tcW w:w="6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0"/>
              </w:rPr>
              <w:t>Holdings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4"/>
              </w:rPr>
              <w:t>Subsidiaries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Six Months Ended June 30, 2016</w:t>
            </w:r>
          </w:p>
        </w:tc>
        <w:tc>
          <w:tcPr>
            <w:tcW w:w="25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$549</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637</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714</w:t>
            </w:r>
          </w:p>
        </w:tc>
        <w:tc>
          <w:tcPr>
            <w:tcW w:w="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(1,280)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Less: Comprehensive income (loss) attributable to noncontrolling</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Arial" w:cs="Arial" w:eastAsia="Arial" w:hAnsi="Arial"/>
                <w:sz w:val="18"/>
                <w:szCs w:val="18"/>
                <w:color w:val="auto"/>
                <w:w w:val="98"/>
              </w:rPr>
              <w:t>Comprehensive income attributable to Waste Management, Inc.</w:t>
            </w:r>
          </w:p>
        </w:tc>
        <w:tc>
          <w:tcPr>
            <w:tcW w:w="4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4"/>
            <w:vMerge w:val="continue"/>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637</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717</w:t>
            </w:r>
          </w:p>
        </w:tc>
        <w:tc>
          <w:tcPr>
            <w:tcW w:w="6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(1,280)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4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Six Months Ended June 30, 2015</w:t>
            </w:r>
          </w:p>
        </w:tc>
        <w:tc>
          <w:tcPr>
            <w:tcW w:w="2580" w:type="dxa"/>
            <w:vAlign w:val="bottom"/>
            <w:tcBorders>
              <w:bottom w:val="single" w:sz="8" w:color="CCEEFF"/>
            </w:tcBorders>
            <w:gridSpan w:val="2"/>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left w:val="single" w:sz="8" w:color="CCEEFF"/>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left w:val="single" w:sz="8" w:color="CCEEFF"/>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551</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524</w:t>
            </w:r>
          </w:p>
        </w:tc>
        <w:tc>
          <w:tcPr>
            <w:tcW w:w="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(1,141)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Less: Comprehensive income (loss) attributable to noncontrolling</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Arial" w:cs="Arial" w:eastAsia="Arial" w:hAnsi="Arial"/>
                <w:sz w:val="18"/>
                <w:szCs w:val="18"/>
                <w:color w:val="auto"/>
                <w:w w:val="98"/>
              </w:rPr>
              <w:t>Comprehensive income attributable to Waste Management, Inc.</w:t>
            </w:r>
          </w:p>
        </w:tc>
        <w:tc>
          <w:tcPr>
            <w:tcW w:w="4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4"/>
            <w:vMerge w:val="continue"/>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551</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527</w:t>
            </w:r>
          </w:p>
        </w:tc>
        <w:tc>
          <w:tcPr>
            <w:tcW w:w="6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(1,141)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Six Months Ended June 30,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WM</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637</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640</w:t>
            </w:r>
          </w:p>
        </w:tc>
        <w:tc>
          <w:tcPr>
            <w:tcW w:w="3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(1,280)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(629)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Proceeds from divestitures of businesses and other assets (net of</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divested)</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w w:val="98"/>
              </w:rPr>
              <w:t>Net receipts from restricted trust and escrow accounts and other,</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net</w:t>
            </w:r>
          </w:p>
        </w:tc>
        <w:tc>
          <w:tcPr>
            <w:tcW w:w="8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1,647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8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(1,038)</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(479)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paid on early extinguishment of debt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8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Six Months Ended June 30,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WM</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WM</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8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145</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551</w:t>
            </w:r>
          </w:p>
        </w:tc>
        <w:tc>
          <w:tcPr>
            <w:tcW w:w="6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587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(1,141)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1,173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Proceeds from divestitures of businesses and other assets (net of</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divested)</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w w:val="99"/>
              </w:rPr>
              <w:t>Net receipts from restricted trust and escrow accounts and other,</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1,781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Debt repayments</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(1,825)</w:t>
            </w: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Premiums paid on early extinguishment of debt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Common stock repurchases</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(1,087)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1,235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 Pending Adoption</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Financial Instrument Credit Losses — </w:t>
      </w:r>
      <w:r>
        <w:rPr>
          <w:rFonts w:ascii="Arial" w:cs="Arial" w:eastAsia="Arial" w:hAnsi="Arial"/>
          <w:sz w:val="18"/>
          <w:szCs w:val="18"/>
          <w:color w:val="auto"/>
        </w:rPr>
        <w:t>In June 2016, the FASB issued amended authoritative guidance associated with the measurement of credit losses 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The amended guidance replaces the incurred loss impairment methodology in current U.S. Generally Accepted Accounting Principles (“GAAP”)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the amended guidance and evaluating the timing and impact on our consolidated financial statements.</w:t>
      </w:r>
    </w:p>
    <w:p>
      <w:pPr>
        <w:spacing w:after="0" w:line="6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Stock Compensation — </w:t>
      </w:r>
      <w:r>
        <w:rPr>
          <w:rFonts w:ascii="Arial" w:cs="Arial" w:eastAsia="Arial" w:hAnsi="Arial"/>
          <w:sz w:val="16"/>
          <w:szCs w:val="16"/>
          <w:color w:val="auto"/>
        </w:rPr>
        <w:t>In March 2016, the FASB issued amended authoritative guidance associated with stock-based employee compensation as part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simplification initiative to reduce the cost and complexity of compliance with GAAP while maintaining or improving the usefulness of the information provided. The amended guidance changes both the accounting and financial reporting for certain income tax impacts of stock-based employee compensation. All excess tax benefits and tax deficiencies will be required to be recognized as an income tax benefit or expense rather than as a component of equity. The guidance also provides for changes in the calculation of forfeitures related to the expense of stock-based employee compensation. The amended guidance is effective for the Company on January 1, 2017, with early adoption permitted. We are assessing the provisions of the amended guidance and evaluating the timing and impact on our consolidated financial statements.</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In February 2016, the FASB issued amended authoritative guidance associated with lease accounting. The amended guidance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lease assets and lease liabilities on the balance sheet for those leases with terms in excess of 12 months and currently classified as operating leases. The disclosure of key information about leasing arrangements will also be required. The amended guidance is effective for the Company on January 1, 2019, with early adoption permitted. We are in the process of assessing the provisions of the amended guidance and evaluating the timing and impact on our consolidated financial statements and disclosures.</w:t>
      </w:r>
    </w:p>
    <w:p>
      <w:pPr>
        <w:spacing w:after="0" w:line="62"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i w:val="1"/>
          <w:iCs w:val="1"/>
          <w:color w:val="auto"/>
        </w:rPr>
        <w:t xml:space="preserve">Financial Instruments </w:t>
      </w:r>
      <w:r>
        <w:rPr>
          <w:rFonts w:ascii="Arial" w:cs="Arial" w:eastAsia="Arial" w:hAnsi="Arial"/>
          <w:sz w:val="15"/>
          <w:szCs w:val="15"/>
          <w:color w:val="auto"/>
        </w:rPr>
        <w:t>— In January 2016, the FASB issued amended authoritative guidance associated with the recognition and measurement of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assets and liabilities. The amended guidance will require certain equity investments that are not consolidated to be measured at fair value with changes in fair value recognized in net income rather than as a component of accumulated other comprehensive income. The amended guidance is effective for the Company on January 1, 2018, with early adoption permitted. The adoption of this amended guidance will not have a material impact on our consolidated financial statements.</w:t>
      </w:r>
    </w:p>
    <w:p>
      <w:pPr>
        <w:spacing w:after="0" w:line="1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In May 2014, the FASB issued amended authoritative guidance associated with revenue recognition. The amended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guidance associated with revenue recognition is effective for the Company on January 1, 2018. The amended guidance may be applied retrospectively for all periods presented or retrospectively with the cumulative effect of initially applying the amended guidance recognized at the date of initial adoption. We are in the process of assessing the provisions of the amended guidance and their impact on our consolidated financial statements. We have formed an implementation work team, completed training on the new standard and started performing reviews of our contractual arrangements. We have not determined whether the adoption will have a material impact on our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0" w:name="page31"/>
    <w:bookmarkEnd w:id="30"/>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2015.</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62"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Some of the risks that we believe could affect our business and financial statements for 2016 and beyond and that could cause actual results to be materially different from those that may be set forth in forward-looking statements made by the Company include the following:</w:t>
      </w:r>
    </w:p>
    <w:p>
      <w:pPr>
        <w:spacing w:after="0" w:line="51" w:lineRule="exact"/>
        <w:rPr>
          <w:sz w:val="20"/>
          <w:szCs w:val="20"/>
          <w:color w:val="auto"/>
        </w:rPr>
      </w:pPr>
    </w:p>
    <w:p>
      <w:pPr>
        <w:ind w:left="660" w:right="20" w:hanging="206"/>
        <w:spacing w:after="0" w:line="33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while retaining and attracting customers may negatively affect our average yield on collection and disposal business;</w:t>
      </w:r>
    </w:p>
    <w:p>
      <w:pPr>
        <w:spacing w:after="0" w:line="4"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fragmentation of efforts, increased indebtedness, asset impairments, business disruption, employee distraction, and regulatory issues;</w:t>
      </w:r>
    </w:p>
    <w:p>
      <w:pPr>
        <w:spacing w:after="0" w:line="25"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price leadership,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59"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existing or future regulations may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50"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1" w:name="page32"/>
    <w:bookmarkEnd w:id="31"/>
    <w:p>
      <w:pPr>
        <w:ind w:left="206" w:hanging="206"/>
        <w:spacing w:after="0"/>
        <w:tabs>
          <w:tab w:leader="none" w:pos="206"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oil and gas prices and drilling activity, and changes in applicable regulations, could adversely affect our Energy Services business;</w:t>
      </w:r>
    </w:p>
    <w:p>
      <w:pPr>
        <w:spacing w:after="0" w:line="113" w:lineRule="exact"/>
        <w:rPr>
          <w:rFonts w:ascii="Arial" w:cs="Arial" w:eastAsia="Arial" w:hAnsi="Arial"/>
          <w:sz w:val="16"/>
          <w:szCs w:val="16"/>
          <w:color w:val="auto"/>
        </w:rPr>
      </w:pPr>
    </w:p>
    <w:p>
      <w:pPr>
        <w:jc w:val="both"/>
        <w:ind w:left="206" w:hanging="206"/>
        <w:spacing w:after="0" w:line="259" w:lineRule="auto"/>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59"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such emerging technologies may not perform as intended or may experience other difficulties or delays that prevent us from realizing a return on our investment;</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50" w:lineRule="exact"/>
        <w:rPr>
          <w:rFonts w:ascii="Arial" w:cs="Arial" w:eastAsia="Arial" w:hAnsi="Arial"/>
          <w:sz w:val="18"/>
          <w:szCs w:val="18"/>
          <w:color w:val="auto"/>
        </w:rPr>
      </w:pPr>
    </w:p>
    <w:p>
      <w:pPr>
        <w:ind w:left="206" w:right="20" w:hanging="206"/>
        <w:spacing w:after="0" w:line="268" w:lineRule="auto"/>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206" w:hanging="206"/>
        <w:spacing w:after="0"/>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9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206" w:hanging="206"/>
        <w:spacing w:after="0"/>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90" w:lineRule="exact"/>
        <w:rPr>
          <w:rFonts w:ascii="Arial" w:cs="Arial" w:eastAsia="Arial" w:hAnsi="Arial"/>
          <w:sz w:val="18"/>
          <w:szCs w:val="18"/>
          <w:color w:val="auto"/>
        </w:rPr>
      </w:pPr>
    </w:p>
    <w:p>
      <w:pPr>
        <w:jc w:val="both"/>
        <w:ind w:left="206" w:hanging="206"/>
        <w:spacing w:after="0" w:line="259" w:lineRule="auto"/>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206" w:hanging="206"/>
        <w:spacing w:after="0"/>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90" w:lineRule="exact"/>
        <w:rPr>
          <w:rFonts w:ascii="Arial" w:cs="Arial" w:eastAsia="Arial" w:hAnsi="Arial"/>
          <w:sz w:val="18"/>
          <w:szCs w:val="18"/>
          <w:color w:val="auto"/>
        </w:rPr>
      </w:pPr>
    </w:p>
    <w:p>
      <w:pPr>
        <w:jc w:val="both"/>
        <w:ind w:left="206" w:hanging="206"/>
        <w:spacing w:after="0" w:line="259" w:lineRule="auto"/>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subject to operational and safety risks;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59" w:lineRule="exact"/>
        <w:rPr>
          <w:rFonts w:ascii="Arial" w:cs="Arial" w:eastAsia="Arial" w:hAnsi="Arial"/>
          <w:sz w:val="18"/>
          <w:szCs w:val="18"/>
          <w:color w:val="auto"/>
        </w:rPr>
      </w:pPr>
    </w:p>
    <w:p>
      <w:pPr>
        <w:ind w:left="206" w:hanging="206"/>
        <w:spacing w:after="0"/>
        <w:tabs>
          <w:tab w:leader="none" w:pos="206"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increased costs for financial assurance or the inadequacy of our insurance coverage could negatively impact our liquidity and increase our liabilities;</w:t>
      </w:r>
    </w:p>
    <w:p>
      <w:pPr>
        <w:spacing w:after="0" w:line="18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6"/>
          </w:cols>
          <w:pgMar w:left="694" w:top="280" w:right="239" w:bottom="1440" w:gutter="0" w:footer="0" w:header="0"/>
        </w:sectPr>
      </w:pPr>
    </w:p>
    <w:bookmarkStart w:id="32" w:name="page33"/>
    <w:bookmarkEnd w:id="32"/>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50"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113"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2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Our “Traditional Solid Waste” business excludes our recycling and resource recovery services. Through our subsidiaries, we are also a leading developer, operator and owner of landfill gas-to-energy facilities in the United States.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Company’s goals are targeted at serving our customers, our employees, the environment, the communities in which we work and our stockholders, and achievement of our goals is intended to meet the needs of a changing industry. Our Company and others have recognized the value of the traditional waste stream as a potential resource. Increasingly, customers want more of their waste materials recovered, while waste streams are becoming more complex, and our aim is to address, and anticipate, the current, expanding and evolving needs of our customers. Accomplishment of our goals will grow our Company and allow us to meet the needs of our customers and communities as they, too, Think Green</w:t>
      </w:r>
      <w:r>
        <w:rPr>
          <w:rFonts w:ascii="Arial" w:cs="Arial" w:eastAsia="Arial" w:hAnsi="Arial"/>
          <w:sz w:val="10"/>
          <w:szCs w:val="10"/>
          <w:color w:val="auto"/>
        </w:rPr>
        <w:t>®</w:t>
      </w:r>
      <w:r>
        <w:rPr>
          <w:rFonts w:ascii="Arial" w:cs="Arial" w:eastAsia="Arial" w:hAnsi="Arial"/>
          <w:sz w:val="16"/>
          <w:szCs w:val="16"/>
          <w:color w:val="auto"/>
        </w:rPr>
        <w:t>.</w:t>
      </w:r>
    </w:p>
    <w:p>
      <w:pPr>
        <w:spacing w:after="0" w:line="3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3" w:name="page34"/>
    <w:bookmarkEnd w:id="33"/>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Drawing on our resources and experience, we also pursue projects and initiatives that benefit the waste industry, the customers and communities we serve and the environment.</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remain dedicated to providing long-term value to our stockholders by successfully executing our strategy: to know and service our customers better than anyone in our industry, to extract more value from the materials we manage, and to innovate and optimize our business. We plan to accomplish our strategic goals through competitive advantages derived from operational improvements and focused differentiation in our industry, driven by capitalizing on our extensive, well-placed network of assets. While we will continue to monitor emerging diversion technologies that may generate additional value, our current attention will be on improving existing diversion technologies, such as our recycling operations.</w:t>
      </w:r>
    </w:p>
    <w:p>
      <w:pPr>
        <w:spacing w:after="0" w:line="3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pursuit of these long-term goals, we recognize that we must grow the business, and do so as efficiently and cost effectively as possible. Accordingly, we are focusing on the following five key company priorities:</w:t>
      </w:r>
    </w:p>
    <w:p>
      <w:pPr>
        <w:spacing w:after="0" w:line="51"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Customers: provide the best possible service to our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Solid Waste Business: continuously improve our operational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Growth: take advantage of opportunities in our current business, as well as considering attractive acquisition opportunities;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Yield Management: remain focused on price leadership while considering competitive dynamics;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minimize both operating costs and 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execution of our strategy through these key priorities will drive continued financial performance and leadership in a dynamic industry.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items of our financial results for the current quarter include:</w:t>
      </w:r>
    </w:p>
    <w:p>
      <w:pPr>
        <w:spacing w:after="0" w:line="90" w:lineRule="exact"/>
        <w:rPr>
          <w:sz w:val="20"/>
          <w:szCs w:val="20"/>
          <w:color w:val="auto"/>
        </w:rPr>
      </w:pPr>
    </w:p>
    <w:p>
      <w:pPr>
        <w:jc w:val="both"/>
        <w:ind w:left="660" w:hanging="206"/>
        <w:spacing w:after="0" w:line="294"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Revenues of $3,425 million compared with $3,315 million in the second quarter of 2015, an increase of $110 million, or 3.3%. This increase is attributable to (i) yield on our collection and disposal operations, which increased revenues by $77 million; (ii) acquisitions, which increased revenues by $64 million, primarily due to the acquisition of SWS in January 2016 and (iii) higher volumes, which increased our revenues by $12 million. These increases were partially offset by (i) lower fuel surcharges and mandated fees of $24 million, primarily due to lower year-over-year average fuel prices; (ii) divestitures, which decreased revenue by $12 million and (iii) foreign currency translation of $10 million related to our Canadian operations;</w:t>
      </w:r>
    </w:p>
    <w:p>
      <w:pPr>
        <w:spacing w:after="0" w:line="34" w:lineRule="exact"/>
        <w:rPr>
          <w:rFonts w:ascii="Arial" w:cs="Arial" w:eastAsia="Arial" w:hAnsi="Arial"/>
          <w:sz w:val="16"/>
          <w:szCs w:val="16"/>
          <w:color w:val="auto"/>
        </w:rPr>
      </w:pPr>
    </w:p>
    <w:p>
      <w:pPr>
        <w:jc w:val="both"/>
        <w:ind w:left="660" w:hanging="206"/>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expenses of $2,130 million, or 62.2% of revenues, compared with $2,163 million, or 65.2% of revenues in the second quarter of 2015. This decrease of $33 million is primarily attributable to (i) the recognition of a $55 million charge associated with the withdrawal from certain underfunded multiemployer pension plans in the second quarter of 2015 and (ii) lower fuel costs primarily due to lower year-over-year average fuel prices. These decreases were partially offset by (i) the acquisition of SWS; (ii) increased landfill leachate disposal costs and (iii) higher volumes in the current year period;</w:t>
      </w:r>
    </w:p>
    <w:p>
      <w:pPr>
        <w:spacing w:after="0" w:line="61"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Selling, general and administrative expenses of $340 million, or 9.9% of revenues, compared with $322 million, or 9.7% of revenues, in the second quarter of 2015. This increase of $18 million is primarily attributable to higher stock-based incentive compensation costs;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Income from operations of $611 million, or 17.8% of revenues, compared with $502 million, or 15.1% of revenues, in the second quarter of 2015; and</w:t>
      </w:r>
    </w:p>
    <w:p>
      <w:pPr>
        <w:spacing w:after="0" w:line="113"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$287 million, or $0.64 per diluted share, compared with $274 million, or $0.60 per diluted share, in the second quarter of 2015.</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key items that affected our diluted earnings per share in the second quarters of 2016 and 2015:</w:t>
      </w:r>
    </w:p>
    <w:p>
      <w:pPr>
        <w:spacing w:after="0" w:line="90" w:lineRule="exact"/>
        <w:rPr>
          <w:sz w:val="20"/>
          <w:szCs w:val="20"/>
          <w:color w:val="auto"/>
        </w:rPr>
      </w:pPr>
    </w:p>
    <w:p>
      <w:pPr>
        <w:ind w:left="660" w:hanging="206"/>
        <w:spacing w:after="0" w:line="33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2016 second quarter results were affected by the recognition of after-tax charges of $42 million, primarily related to the impairment of minority-owned investments in waste diversion technology companies, which had a negative impact of $0.10 on our diluted earnings per share.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4" w:name="page35"/>
    <w:bookmarkEnd w:id="34"/>
    <w:p>
      <w:pPr>
        <w:ind w:left="660" w:right="2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2015 second quarter results were affected by after-tax net charges of $27 million, primarily associated with the withdrawal from certain underfunded multiemployer pension plans, which had a negative impact of $0.06 on our diluted earnings per share.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000" w:type="dxa"/>
            <w:vAlign w:val="bottom"/>
            <w:gridSpan w:val="4"/>
          </w:tcPr>
          <w:p>
            <w:pPr>
              <w:jc w:val="center"/>
              <w:ind w:left="219"/>
              <w:spacing w:after="0"/>
              <w:rPr>
                <w:sz w:val="20"/>
                <w:szCs w:val="20"/>
                <w:color w:val="auto"/>
              </w:rPr>
            </w:pPr>
            <w:r>
              <w:rPr>
                <w:rFonts w:ascii="Arial" w:cs="Arial" w:eastAsia="Arial" w:hAnsi="Arial"/>
                <w:sz w:val="14"/>
                <w:szCs w:val="14"/>
                <w:b w:val="1"/>
                <w:bCs w:val="1"/>
                <w:color w:val="auto"/>
                <w:w w:val="88"/>
              </w:rPr>
              <w:t>Six Months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2016</w:t>
            </w: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$ 748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1,315</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Capital expenditures</w:t>
            </w:r>
          </w:p>
        </w:tc>
        <w:tc>
          <w:tcPr>
            <w:tcW w:w="920" w:type="dxa"/>
            <w:vAlign w:val="bottom"/>
            <w:gridSpan w:val="4"/>
          </w:tcPr>
          <w:p>
            <w:pPr>
              <w:jc w:val="right"/>
              <w:ind w:right="372"/>
              <w:spacing w:after="0"/>
              <w:rPr>
                <w:sz w:val="20"/>
                <w:szCs w:val="20"/>
                <w:color w:val="auto"/>
              </w:rPr>
            </w:pPr>
            <w:r>
              <w:rPr>
                <w:rFonts w:ascii="Arial" w:cs="Arial" w:eastAsia="Arial" w:hAnsi="Arial"/>
                <w:sz w:val="18"/>
                <w:szCs w:val="18"/>
                <w:color w:val="auto"/>
              </w:rPr>
              <w:t>(312)</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900" w:type="dxa"/>
            <w:vAlign w:val="bottom"/>
            <w:gridSpan w:val="2"/>
          </w:tcPr>
          <w:p>
            <w:pPr>
              <w:jc w:val="right"/>
              <w:ind w:right="372"/>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Free cash flow</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$ 447</w:t>
            </w:r>
          </w:p>
        </w:tc>
        <w:tc>
          <w:tcPr>
            <w:tcW w:w="4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$ 579</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849</w:t>
            </w:r>
          </w:p>
        </w:tc>
        <w:tc>
          <w:tcPr>
            <w:tcW w:w="5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864</w:t>
            </w:r>
          </w:p>
        </w:tc>
      </w:tr>
      <w:tr>
        <w:trPr>
          <w:trHeight w:val="20"/>
        </w:trPr>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cash flows from operating activities decreased $68 million when comparing the three months ended June 30, 2016 to the comparable period in 2015, and increased $139 million when comparing the six months ended June 30, 2016 to the comparable period in 2015. The three months ended June 30, 2016 was impacted by higher earnings from our Traditional Solid Waste business, although the earnings were more than offset by higher income tax payments in the current year and remaining unfavorable changes in our assets and liabilities, net of effects from business acquisitions and divestitures. The six months ended June 30, 2016, was impacted by (i) higher earnings from our Traditional Solid Waste business; (ii) cash proceeds of $67 million from the termination of our cross currency swaps in the first quarter of 2016 and (iii) a decrease of $46 million in annual incentive plan cash payments in the first quarter of 2016 when compared to the prior year period. These increases were partially offset by higher income tax payments in the current year and remaining unfavorable changes in our assets and liabilities, net of effects from business acquisitions and divestitures.</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Although capital expenditures were $16 million and $100 million higher, when comparing the three and six months ended June 30, 2016 to the comparable prior year periods, respectively, the Company continues to maintain a disciplined focus on capital management. The increase in our capital expenditures is generally the result of additional spending on new business opportunities and acquisitions, growth in our existing business and the timing of replacement of aging assets. Furthermore, the increase when compared to prior year periods is a result of continual efforts to spend capital more ratably throughout the year.</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Southern Waste Systems/Sun Recyclin</w:t>
      </w:r>
      <w:r>
        <w:rPr>
          <w:rFonts w:ascii="Arial" w:cs="Arial" w:eastAsia="Arial" w:hAnsi="Arial"/>
          <w:sz w:val="18"/>
          <w:szCs w:val="18"/>
          <w:color w:val="auto"/>
        </w:rPr>
        <w:t>g — On January 8, 2016, Waste Management Inc. of Florida, a wholly-owned subsidiary of WM, acquired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business assets of Southern Waste Systems/Sun Recycling (“SWS”) in Southern Florida for total consideration of $525 million. The acquired business assets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 residential, commercial, and industrial solid waste collection, processing/recycling and transfer operations, equipment, vehicles, real estate and customer agreements. The acquisition was funded primarily with borrowings under our long-term U.S. revolving credit facility (“$2.25 billion revolving credit facility”). For the three and six months ended June 30, 2016, the acquired operations of SWS contributed revenues of $39 million and $76 million, respectively, and net income of less than $1 million and $1 million, respectively, which are included in our Condensed Consolidated Statements of Operations.</w:t>
      </w:r>
    </w:p>
    <w:p>
      <w:pPr>
        <w:spacing w:after="0" w:line="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Deffenbaugh Disposal, Inc. </w:t>
      </w:r>
      <w:r>
        <w:rPr>
          <w:rFonts w:ascii="Arial" w:cs="Arial" w:eastAsia="Arial" w:hAnsi="Arial"/>
          <w:sz w:val="18"/>
          <w:szCs w:val="18"/>
          <w:color w:val="auto"/>
        </w:rPr>
        <w:t>— On March 26, 2015, we acquired Deffenbaugh Disposal, Inc. (“Deffenbaugh”), one of the largest privately owned collection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disposal firms in the Midwest, for total consideration, net of cash acquired, of $400 million. Deffenbaugh’s assets include collection operations, transfer stations, recycling facilities and landfills.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Debt Issuance Costs </w:t>
      </w:r>
      <w:r>
        <w:rPr>
          <w:rFonts w:ascii="Arial" w:cs="Arial" w:eastAsia="Arial" w:hAnsi="Arial"/>
          <w:sz w:val="18"/>
          <w:szCs w:val="18"/>
          <w:color w:val="auto"/>
        </w:rPr>
        <w:t>— In April 2015, and as subsequently amended, the Financial Accounting Standards Board (“FASB”) issued amended authoritative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associated with debt issuance costs which were previously presented as assets related to recognized debt liabilities. The amended guidance requires that debt issuance costs, other than those costs related to line of credit arrangements, be presented on the balance sheet as a direct deduction from the related debt liability, which is similar to the presentation for debt discounts and premiums. This guidance was effective for the Company on January 1, 2016. The Company’s adoption of this guidance was applied retrospectively and resulted in a reclassification of $52 million of such costs in our Condensed Consolidated Balance Sheet at December 31, 2015.</w:t>
      </w:r>
    </w:p>
    <w:p>
      <w:pPr>
        <w:spacing w:after="0" w:line="6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Consolidation — </w:t>
      </w:r>
      <w:r>
        <w:rPr>
          <w:rFonts w:ascii="Arial" w:cs="Arial" w:eastAsia="Arial" w:hAnsi="Arial"/>
          <w:sz w:val="18"/>
          <w:szCs w:val="18"/>
          <w:color w:val="auto"/>
        </w:rPr>
        <w:t>In February 2015, the FASB issued amended authoritative guidance associated with consolidation. The amended guidance makes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to existing consolidation requirements associated with the analysis a reporting entity must perform to determine whether it should consolidate certain types of legal entities, including limited partnerships and variable interest entities. The guidance was effective for the Company on January 1, 2016. The Company’s adoption of this guidance did not impact our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2015. Actual results could differ materially from the estimates and assumptions that we use in the preparation of our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Areas. We also provide additional services that are not managed through our Solid Waste business, including both our Strategic Business Solutions (“WMSBS”) and Energy and Environmental Services organizations, recycling brokerage services, landfill gas-to-energy services and expanded service offerings and solutions. In addition, we offer portable self-storage and long distance moving services through a joint venture; fluorescent bulb and universal waste mail-back through our LampTracker</w:t>
      </w:r>
      <w:r>
        <w:rPr>
          <w:rFonts w:ascii="Arial" w:cs="Arial" w:eastAsia="Arial" w:hAnsi="Arial"/>
          <w:sz w:val="10"/>
          <w:szCs w:val="10"/>
          <w:color w:val="auto"/>
        </w:rPr>
        <w:t>®</w:t>
      </w:r>
      <w:r>
        <w:rPr>
          <w:rFonts w:ascii="Arial" w:cs="Arial" w:eastAsia="Arial" w:hAnsi="Arial"/>
          <w:sz w:val="16"/>
          <w:szCs w:val="16"/>
          <w:color w:val="auto"/>
        </w:rPr>
        <w:t xml:space="preserve"> program; portable restroom servicing under the name Port-o-Let</w:t>
      </w:r>
      <w:r>
        <w:rPr>
          <w:rFonts w:ascii="Arial" w:cs="Arial" w:eastAsia="Arial" w:hAnsi="Arial"/>
          <w:sz w:val="10"/>
          <w:szCs w:val="10"/>
          <w:color w:val="auto"/>
        </w:rPr>
        <w:t>®</w:t>
      </w:r>
      <w:r>
        <w:rPr>
          <w:rFonts w:ascii="Arial" w:cs="Arial" w:eastAsia="Arial" w:hAnsi="Arial"/>
          <w:sz w:val="16"/>
          <w:szCs w:val="16"/>
          <w:color w:val="auto"/>
        </w:rPr>
        <w:t>; and street and parking lot sweeping services. In addition, we hold interests in oil and gas producing properties. These operations are presented as “Other” in the table below. The following table summarizes revenues during each period (in millions):</w:t>
      </w: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9"/>
              </w:rPr>
              <w:t>Three Months</w:t>
            </w:r>
          </w:p>
        </w:tc>
        <w:tc>
          <w:tcPr>
            <w:tcW w:w="1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6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7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6740" w:type="dxa"/>
            <w:vAlign w:val="bottom"/>
            <w:shd w:val="clear" w:color="auto" w:fill="CCEEFF"/>
          </w:tcPr>
          <w:p>
            <w:pPr>
              <w:jc w:val="center"/>
              <w:ind w:right="5752"/>
              <w:spacing w:after="0" w:line="196" w:lineRule="exact"/>
              <w:rPr>
                <w:sz w:val="20"/>
                <w:szCs w:val="20"/>
                <w:color w:val="auto"/>
              </w:rPr>
            </w:pPr>
            <w:r>
              <w:rPr>
                <w:rFonts w:ascii="Arial" w:cs="Arial" w:eastAsia="Arial" w:hAnsi="Arial"/>
                <w:sz w:val="18"/>
                <w:szCs w:val="18"/>
                <w:color w:val="auto"/>
                <w:w w:val="89"/>
              </w:rPr>
              <w:t>Solid Waste:</w:t>
            </w: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40" w:type="dxa"/>
            <w:vAlign w:val="bottom"/>
          </w:tcPr>
          <w:p>
            <w:pPr>
              <w:jc w:val="center"/>
              <w:ind w:right="5792"/>
              <w:spacing w:after="0"/>
              <w:rPr>
                <w:sz w:val="20"/>
                <w:szCs w:val="20"/>
                <w:color w:val="auto"/>
              </w:rPr>
            </w:pPr>
            <w:r>
              <w:rPr>
                <w:rFonts w:ascii="Arial" w:cs="Arial" w:eastAsia="Arial" w:hAnsi="Arial"/>
                <w:sz w:val="18"/>
                <w:szCs w:val="18"/>
                <w:color w:val="auto"/>
                <w:w w:val="91"/>
              </w:rPr>
              <w:t>Tier 1</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$1,316</w:t>
            </w:r>
          </w:p>
        </w:tc>
        <w:tc>
          <w:tcPr>
            <w:tcW w:w="5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$1,292</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$ 2,557</w:t>
            </w:r>
          </w:p>
        </w:tc>
        <w:tc>
          <w:tcPr>
            <w:tcW w:w="5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$ 2,487</w:t>
            </w:r>
          </w:p>
        </w:tc>
      </w:tr>
      <w:tr>
        <w:trPr>
          <w:trHeight w:val="216"/>
        </w:trPr>
        <w:tc>
          <w:tcPr>
            <w:tcW w:w="6740" w:type="dxa"/>
            <w:vAlign w:val="bottom"/>
            <w:shd w:val="clear" w:color="auto" w:fill="CCEEFF"/>
          </w:tcPr>
          <w:p>
            <w:pPr>
              <w:jc w:val="center"/>
              <w:ind w:right="5792"/>
              <w:spacing w:after="0"/>
              <w:rPr>
                <w:sz w:val="20"/>
                <w:szCs w:val="20"/>
                <w:color w:val="auto"/>
              </w:rPr>
            </w:pPr>
            <w:r>
              <w:rPr>
                <w:rFonts w:ascii="Arial" w:cs="Arial" w:eastAsia="Arial" w:hAnsi="Arial"/>
                <w:sz w:val="18"/>
                <w:szCs w:val="18"/>
                <w:color w:val="auto"/>
                <w:w w:val="91"/>
              </w:rPr>
              <w:t>Tier 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w:t>
            </w:r>
          </w:p>
        </w:tc>
      </w:tr>
      <w:tr>
        <w:trPr>
          <w:trHeight w:val="223"/>
        </w:trPr>
        <w:tc>
          <w:tcPr>
            <w:tcW w:w="6740" w:type="dxa"/>
            <w:vAlign w:val="bottom"/>
          </w:tcPr>
          <w:p>
            <w:pPr>
              <w:jc w:val="center"/>
              <w:ind w:right="5792"/>
              <w:spacing w:after="0"/>
              <w:rPr>
                <w:sz w:val="20"/>
                <w:szCs w:val="20"/>
                <w:color w:val="auto"/>
              </w:rPr>
            </w:pPr>
            <w:r>
              <w:rPr>
                <w:rFonts w:ascii="Arial" w:cs="Arial" w:eastAsia="Arial" w:hAnsi="Arial"/>
                <w:sz w:val="18"/>
                <w:szCs w:val="18"/>
                <w:color w:val="auto"/>
                <w:w w:val="91"/>
              </w:rPr>
              <w:t>Tier 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5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5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19"/>
                <w:szCs w:val="19"/>
                <w:color w:val="auto"/>
              </w:rPr>
            </w:pPr>
          </w:p>
        </w:tc>
      </w:tr>
      <w:tr>
        <w:trPr>
          <w:trHeight w:val="216"/>
        </w:trPr>
        <w:tc>
          <w:tcPr>
            <w:tcW w:w="6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Solid Waste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6,506</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jc w:val="right"/>
              <w:spacing w:after="0"/>
              <w:rPr>
                <w:sz w:val="20"/>
                <w:szCs w:val="20"/>
                <w:color w:val="auto"/>
              </w:rPr>
            </w:pPr>
            <w:r>
              <w:rPr>
                <w:rFonts w:ascii="Arial" w:cs="Arial" w:eastAsia="Arial" w:hAnsi="Arial"/>
                <w:sz w:val="18"/>
                <w:szCs w:val="18"/>
                <w:color w:val="auto"/>
              </w:rPr>
              <w:t>572</w:t>
            </w:r>
          </w:p>
        </w:tc>
        <w:tc>
          <w:tcPr>
            <w:tcW w:w="5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525</w:t>
            </w:r>
          </w:p>
        </w:tc>
        <w:tc>
          <w:tcPr>
            <w:tcW w:w="540" w:type="dxa"/>
            <w:vAlign w:val="bottom"/>
          </w:tcPr>
          <w:p>
            <w:pPr>
              <w:jc w:val="right"/>
              <w:spacing w:after="0"/>
              <w:rPr>
                <w:sz w:val="20"/>
                <w:szCs w:val="20"/>
                <w:color w:val="auto"/>
              </w:rPr>
            </w:pPr>
            <w:r>
              <w:rPr>
                <w:rFonts w:ascii="Arial" w:cs="Arial" w:eastAsia="Arial" w:hAnsi="Arial"/>
                <w:sz w:val="18"/>
                <w:szCs w:val="18"/>
                <w:color w:val="auto"/>
              </w:rPr>
              <w:t>1,072</w:t>
            </w:r>
          </w:p>
        </w:tc>
        <w:tc>
          <w:tcPr>
            <w:tcW w:w="5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10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(666)</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(619)</w:t>
            </w: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(1,272)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(1,154)</w:t>
            </w:r>
          </w:p>
        </w:tc>
      </w:tr>
      <w:tr>
        <w:trPr>
          <w:trHeight w:val="222"/>
        </w:trPr>
        <w:tc>
          <w:tcPr>
            <w:tcW w:w="6740" w:type="dxa"/>
            <w:vAlign w:val="bottom"/>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3,425</w:t>
            </w: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3,315</w:t>
            </w:r>
          </w:p>
        </w:tc>
        <w:tc>
          <w:tcPr>
            <w:tcW w:w="5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$ 6,601</w:t>
            </w:r>
          </w:p>
        </w:tc>
        <w:tc>
          <w:tcPr>
            <w:tcW w:w="5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$ 6,355</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9"/>
              </w:rPr>
              <w:t>Three Months</w:t>
            </w:r>
          </w:p>
        </w:tc>
        <w:tc>
          <w:tcPr>
            <w:tcW w:w="1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2016</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2015</w:t>
            </w:r>
          </w:p>
        </w:tc>
        <w:tc>
          <w:tcPr>
            <w:tcW w:w="5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$ 1,711</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Residential</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631</w:t>
            </w:r>
          </w:p>
        </w:tc>
        <w:tc>
          <w:tcPr>
            <w:tcW w:w="540" w:type="dxa"/>
            <w:vAlign w:val="bottom"/>
          </w:tcPr>
          <w:p>
            <w:pPr>
              <w:jc w:val="right"/>
              <w:spacing w:after="0"/>
              <w:rPr>
                <w:sz w:val="20"/>
                <w:szCs w:val="20"/>
                <w:color w:val="auto"/>
              </w:rPr>
            </w:pPr>
            <w:r>
              <w:rPr>
                <w:rFonts w:ascii="Arial" w:cs="Arial" w:eastAsia="Arial" w:hAnsi="Arial"/>
                <w:sz w:val="18"/>
                <w:szCs w:val="18"/>
                <w:color w:val="auto"/>
              </w:rPr>
              <w:t>1,232</w:t>
            </w:r>
          </w:p>
        </w:tc>
        <w:tc>
          <w:tcPr>
            <w:tcW w:w="5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Other</w:t>
            </w:r>
          </w:p>
        </w:tc>
        <w:tc>
          <w:tcPr>
            <w:tcW w:w="3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5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2,141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Landfill</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758</w:t>
            </w:r>
          </w:p>
        </w:tc>
        <w:tc>
          <w:tcPr>
            <w:tcW w:w="540" w:type="dxa"/>
            <w:vAlign w:val="bottom"/>
          </w:tcPr>
          <w:p>
            <w:pPr>
              <w:jc w:val="right"/>
              <w:spacing w:after="0"/>
              <w:rPr>
                <w:sz w:val="20"/>
                <w:szCs w:val="20"/>
                <w:color w:val="auto"/>
              </w:rPr>
            </w:pPr>
            <w:r>
              <w:rPr>
                <w:rFonts w:ascii="Arial" w:cs="Arial" w:eastAsia="Arial" w:hAnsi="Arial"/>
                <w:sz w:val="18"/>
                <w:szCs w:val="18"/>
                <w:color w:val="auto"/>
              </w:rPr>
              <w:t>1,499</w:t>
            </w:r>
          </w:p>
        </w:tc>
        <w:tc>
          <w:tcPr>
            <w:tcW w:w="5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Recycling</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299</w:t>
            </w:r>
          </w:p>
        </w:tc>
        <w:tc>
          <w:tcPr>
            <w:tcW w:w="540" w:type="dxa"/>
            <w:vAlign w:val="bottom"/>
          </w:tcPr>
          <w:p>
            <w:pPr>
              <w:jc w:val="right"/>
              <w:spacing w:after="0"/>
              <w:rPr>
                <w:sz w:val="20"/>
                <w:szCs w:val="20"/>
                <w:color w:val="auto"/>
              </w:rPr>
            </w:pPr>
            <w:r>
              <w:rPr>
                <w:rFonts w:ascii="Arial" w:cs="Arial" w:eastAsia="Arial" w:hAnsi="Arial"/>
                <w:sz w:val="18"/>
                <w:szCs w:val="18"/>
                <w:color w:val="auto"/>
              </w:rPr>
              <w:t>558</w:t>
            </w:r>
          </w:p>
        </w:tc>
        <w:tc>
          <w:tcPr>
            <w:tcW w:w="5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Intercompany</w:t>
            </w:r>
          </w:p>
        </w:tc>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(619)</w:t>
            </w:r>
          </w:p>
        </w:tc>
        <w:tc>
          <w:tcPr>
            <w:tcW w:w="1060" w:type="dxa"/>
            <w:vAlign w:val="bottom"/>
            <w:gridSpan w:val="2"/>
          </w:tcPr>
          <w:p>
            <w:pPr>
              <w:jc w:val="right"/>
              <w:ind w:right="392"/>
              <w:spacing w:after="0"/>
              <w:rPr>
                <w:sz w:val="20"/>
                <w:szCs w:val="20"/>
                <w:color w:val="auto"/>
              </w:rPr>
            </w:pPr>
            <w:r>
              <w:rPr>
                <w:rFonts w:ascii="Arial" w:cs="Arial" w:eastAsia="Arial" w:hAnsi="Arial"/>
                <w:sz w:val="18"/>
                <w:szCs w:val="18"/>
                <w:color w:val="auto"/>
              </w:rPr>
              <w:t>(1,272)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3,425</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3,315</w:t>
            </w:r>
          </w:p>
        </w:tc>
        <w:tc>
          <w:tcPr>
            <w:tcW w:w="52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$ 6,601</w:t>
            </w: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500" w:type="dxa"/>
            <w:vAlign w:val="bottom"/>
            <w:vMerge w:val="restart"/>
          </w:tcPr>
          <w:p>
            <w:pPr>
              <w:jc w:val="right"/>
              <w:ind w:right="13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7" w:name="page38"/>
    <w:bookmarkEnd w:id="3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details associated with the period-to-period change in revenues (dollars in millions) along with an explanation of the significant components of the current period changes: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89"/>
              </w:rPr>
              <w:t>Period-to-Period</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gridSpan w:val="5"/>
          </w:tcPr>
          <w:p>
            <w:pPr>
              <w:jc w:val="center"/>
              <w:ind w:right="102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40" w:type="dxa"/>
            <w:vAlign w:val="bottom"/>
          </w:tcPr>
          <w:p>
            <w:pPr>
              <w:spacing w:after="0"/>
              <w:rPr>
                <w:sz w:val="12"/>
                <w:szCs w:val="12"/>
                <w:color w:val="auto"/>
              </w:rPr>
            </w:pPr>
          </w:p>
        </w:tc>
        <w:tc>
          <w:tcPr>
            <w:tcW w:w="204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7"/>
              </w:rPr>
              <w:t>2016 vs. 2015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4"/>
              </w:rPr>
              <w:t>2016 vs. 2015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As a% of</w:t>
            </w:r>
          </w:p>
        </w:tc>
        <w:tc>
          <w:tcPr>
            <w:tcW w:w="8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8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yield(b)</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2300" w:type="dxa"/>
            <w:vAlign w:val="bottom"/>
            <w:gridSpan w:val="3"/>
          </w:tcPr>
          <w:p>
            <w:pPr>
              <w:jc w:val="right"/>
              <w:ind w:right="8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3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300" w:type="dxa"/>
            <w:vAlign w:val="bottom"/>
            <w:gridSpan w:val="3"/>
          </w:tcPr>
          <w:p>
            <w:pPr>
              <w:jc w:val="right"/>
              <w:ind w:right="80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w:t>
            </w:r>
          </w:p>
        </w:tc>
        <w:tc>
          <w:tcPr>
            <w:tcW w:w="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line="28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Calculated by dividing the amount of current period increase or decrease by the prior period’s total Company revenue adjusted to exclude the impacts of divestitures for the current period ($3,303 million and $6,332 million for the three and six months, respectively).</w:t>
      </w:r>
    </w:p>
    <w:p>
      <w:pPr>
        <w:jc w:val="both"/>
        <w:ind w:left="900" w:hanging="446"/>
        <w:spacing w:after="0" w:line="25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also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 business basis (dollars in millions):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89"/>
              </w:rPr>
              <w:t>Period-to-Period</w:t>
            </w:r>
          </w:p>
        </w:tc>
        <w:tc>
          <w:tcPr>
            <w:tcW w:w="160" w:type="dxa"/>
            <w:vAlign w:val="bottom"/>
          </w:tcPr>
          <w:p>
            <w:pPr>
              <w:spacing w:after="0"/>
              <w:rPr>
                <w:sz w:val="14"/>
                <w:szCs w:val="14"/>
                <w:color w:val="auto"/>
              </w:rPr>
            </w:pPr>
          </w:p>
        </w:tc>
        <w:tc>
          <w:tcPr>
            <w:tcW w:w="18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7"/>
              </w:rPr>
              <w:t>Period-to-Period</w:t>
            </w:r>
          </w:p>
        </w:tc>
      </w:tr>
      <w:tr>
        <w:trPr>
          <w:trHeight w:val="149"/>
        </w:trPr>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40" w:type="dxa"/>
            <w:vAlign w:val="bottom"/>
            <w:gridSpan w:val="4"/>
          </w:tcPr>
          <w:p>
            <w:pPr>
              <w:jc w:val="center"/>
              <w:ind w:right="128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Change for the</w:t>
            </w:r>
          </w:p>
        </w:tc>
      </w:tr>
      <w:tr>
        <w:trPr>
          <w:trHeight w:val="149"/>
        </w:trPr>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gridSpan w:val="5"/>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2"/>
                <w:szCs w:val="12"/>
                <w:color w:val="auto"/>
              </w:rPr>
            </w:pPr>
          </w:p>
        </w:tc>
        <w:tc>
          <w:tcPr>
            <w:tcW w:w="188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Six Months Ended</w:t>
            </w:r>
          </w:p>
        </w:tc>
      </w:tr>
      <w:tr>
        <w:trPr>
          <w:trHeight w:val="149"/>
        </w:trPr>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84"/>
              </w:rPr>
              <w:t>2016 vs. 2015</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4"/>
              </w:rPr>
              <w:t>2016 vs. 2015</w:t>
            </w:r>
          </w:p>
        </w:tc>
      </w:tr>
      <w:tr>
        <w:trPr>
          <w:trHeight w:val="129"/>
        </w:trPr>
        <w:tc>
          <w:tcPr>
            <w:tcW w:w="11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of</w:t>
            </w:r>
          </w:p>
        </w:tc>
        <w:tc>
          <w:tcPr>
            <w:tcW w:w="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As a% of</w:t>
            </w:r>
          </w:p>
        </w:tc>
        <w:tc>
          <w:tcPr>
            <w:tcW w:w="200" w:type="dxa"/>
            <w:vAlign w:val="bottom"/>
          </w:tcPr>
          <w:p>
            <w:pPr>
              <w:spacing w:after="0"/>
              <w:rPr>
                <w:sz w:val="11"/>
                <w:szCs w:val="11"/>
                <w:color w:val="auto"/>
              </w:rPr>
            </w:pPr>
          </w:p>
        </w:tc>
      </w:tr>
      <w:tr>
        <w:trPr>
          <w:trHeight w:val="149"/>
        </w:trPr>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Related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Related</w:t>
            </w:r>
          </w:p>
        </w:tc>
      </w:tr>
      <w:tr>
        <w:trPr>
          <w:trHeight w:val="161"/>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spacing w:after="0"/>
              <w:rPr>
                <w:sz w:val="14"/>
                <w:szCs w:val="14"/>
                <w:color w:val="auto"/>
              </w:rPr>
            </w:pPr>
          </w:p>
        </w:tc>
        <w:tc>
          <w:tcPr>
            <w:tcW w:w="14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2"/>
              </w:rPr>
              <w:t>Business(i)</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Business(i)</w:t>
            </w:r>
          </w:p>
        </w:tc>
      </w:tr>
      <w:tr>
        <w:trPr>
          <w:trHeight w:val="196"/>
        </w:trPr>
        <w:tc>
          <w:tcPr>
            <w:tcW w:w="4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Collection and disposal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52"/>
              <w:spacing w:after="0"/>
              <w:rPr>
                <w:sz w:val="20"/>
                <w:szCs w:val="20"/>
                <w:color w:val="auto"/>
              </w:rPr>
            </w:pPr>
            <w:r>
              <w:rPr>
                <w:rFonts w:ascii="Arial" w:cs="Arial" w:eastAsia="Arial" w:hAnsi="Arial"/>
                <w:sz w:val="18"/>
                <w:szCs w:val="18"/>
                <w:color w:val="auto"/>
              </w:rPr>
              <w:t>77</w:t>
            </w:r>
          </w:p>
        </w:tc>
        <w:tc>
          <w:tcPr>
            <w:tcW w:w="2020" w:type="dxa"/>
            <w:vAlign w:val="bottom"/>
            <w:gridSpan w:val="3"/>
          </w:tcPr>
          <w:p>
            <w:pPr>
              <w:jc w:val="right"/>
              <w:ind w:right="64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99"/>
              </w:rPr>
              <w:t>146</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20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Fuel surcharges and mandated fees</w:t>
            </w: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20" w:type="dxa"/>
            <w:vAlign w:val="bottom"/>
            <w:gridSpan w:val="3"/>
          </w:tcPr>
          <w:p>
            <w:pPr>
              <w:jc w:val="right"/>
              <w:ind w:right="74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(56)</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(21.1)</w:t>
            </w:r>
          </w:p>
        </w:tc>
      </w:tr>
      <w:tr>
        <w:trPr>
          <w:trHeight w:val="27"/>
        </w:trPr>
        <w:tc>
          <w:tcPr>
            <w:tcW w:w="11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72</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9"/>
        </w:trPr>
        <w:tc>
          <w:tcPr>
            <w:tcW w:w="1140" w:type="dxa"/>
            <w:vAlign w:val="bottom"/>
            <w:tcBorders>
              <w:bottom w:val="single" w:sz="8" w:color="auto"/>
            </w:tcBorders>
          </w:tcPr>
          <w:p>
            <w:pPr>
              <w:spacing w:after="0"/>
              <w:rPr>
                <w:sz w:val="7"/>
                <w:szCs w:val="7"/>
                <w:color w:val="auto"/>
              </w:rPr>
            </w:pPr>
          </w:p>
        </w:tc>
        <w:tc>
          <w:tcPr>
            <w:tcW w:w="3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r>
    </w:tbl>
    <w:p>
      <w:pPr>
        <w:spacing w:after="0" w:line="19" w:lineRule="exact"/>
        <w:rPr>
          <w:sz w:val="20"/>
          <w:szCs w:val="20"/>
          <w:color w:val="auto"/>
        </w:rPr>
      </w:pPr>
    </w:p>
    <w:p>
      <w:pPr>
        <w:ind w:left="1480" w:hanging="567"/>
        <w:spacing w:after="0" w:line="268"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period by the prior period’s related business revenue, adjusted to exclude the impacts of divestitures for the current period.</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revenues increased $110 million, or 3.3%, and $246 million, or 3.9%, for the three and six months ended June 30, 2016, respectively, as compared with the prior year periods. Our revenue increases were driven by (i) acquisitions, particularly the acquisitions of SWS in January 2016 and Deffenbaugh in March 2015; (ii) revenue growth from yield on our collection and disposal operations and (iii) higher volumes. Partially offsetting these revenue increases were (i) lower revenues from our fuel surcharges program due to lower year-over-year fuel costs; (ii) lower average commodity prices for the first six months in 2016; (iii) foreign currency translation, which affects revenues from our Canadian operations and (iv) divestitures.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8" w:name="page39"/>
    <w:bookmarkEnd w:id="38"/>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Average yield</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 our collection, transfer and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rollbacks to retain customers. Revenue growth from collection and disposal average yield was $77 million, or 2.6%, and $146 million, or 2.6%, for the three and six months ended June 30, 2016, respectively, as compared with the prior year periods.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experienced growth in all of our collection and disposal lines of business in the current periods. The details are as follows (dollars in millions):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87"/>
              </w:rPr>
              <w:t>Period-to-Period</w:t>
            </w:r>
          </w:p>
        </w:tc>
        <w:tc>
          <w:tcPr>
            <w:tcW w:w="160" w:type="dxa"/>
            <w:vAlign w:val="bottom"/>
          </w:tcPr>
          <w:p>
            <w:pPr>
              <w:spacing w:after="0"/>
              <w:rPr>
                <w:sz w:val="14"/>
                <w:szCs w:val="14"/>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Period-to-Period</w:t>
            </w:r>
          </w:p>
        </w:tc>
      </w:tr>
      <w:tr>
        <w:trPr>
          <w:trHeight w:val="149"/>
        </w:trPr>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gridSpan w:val="4"/>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60" w:type="dxa"/>
            <w:vAlign w:val="bottom"/>
          </w:tcPr>
          <w:p>
            <w:pPr>
              <w:spacing w:after="0"/>
              <w:rPr>
                <w:sz w:val="12"/>
                <w:szCs w:val="12"/>
                <w:color w:val="auto"/>
              </w:rPr>
            </w:pPr>
          </w:p>
        </w:tc>
        <w:tc>
          <w:tcPr>
            <w:tcW w:w="18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Change for the</w:t>
            </w:r>
          </w:p>
        </w:tc>
      </w:tr>
      <w:tr>
        <w:trPr>
          <w:trHeight w:val="149"/>
        </w:trPr>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gridSpan w:val="4"/>
          </w:tcPr>
          <w:p>
            <w:pPr>
              <w:jc w:val="center"/>
              <w:ind w:right="96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Six Months</w:t>
            </w:r>
          </w:p>
        </w:tc>
      </w:tr>
      <w:tr>
        <w:trPr>
          <w:trHeight w:val="149"/>
        </w:trPr>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7"/>
              </w:rPr>
              <w:t>June 30, 2016</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June 30, 2016</w:t>
            </w:r>
          </w:p>
        </w:tc>
      </w:tr>
      <w:tr>
        <w:trPr>
          <w:trHeight w:val="129"/>
        </w:trPr>
        <w:tc>
          <w:tcPr>
            <w:tcW w:w="60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As a%</w:t>
            </w:r>
          </w:p>
        </w:tc>
        <w:tc>
          <w:tcPr>
            <w:tcW w:w="7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As a%</w:t>
            </w:r>
          </w:p>
        </w:tc>
        <w:tc>
          <w:tcPr>
            <w:tcW w:w="200" w:type="dxa"/>
            <w:vAlign w:val="bottom"/>
          </w:tcPr>
          <w:p>
            <w:pPr>
              <w:spacing w:after="0"/>
              <w:rPr>
                <w:sz w:val="11"/>
                <w:szCs w:val="11"/>
                <w:color w:val="auto"/>
              </w:rPr>
            </w:pPr>
          </w:p>
        </w:tc>
      </w:tr>
      <w:tr>
        <w:trPr>
          <w:trHeight w:val="149"/>
        </w:trPr>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75"/>
              </w:rPr>
              <w:t>of</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Related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Related</w:t>
            </w:r>
          </w:p>
        </w:tc>
      </w:tr>
      <w:tr>
        <w:trPr>
          <w:trHeight w:val="161"/>
        </w:trPr>
        <w:tc>
          <w:tcPr>
            <w:tcW w:w="60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Amount</w:t>
            </w:r>
          </w:p>
        </w:tc>
        <w:tc>
          <w:tcPr>
            <w:tcW w:w="7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7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200" w:type="dxa"/>
            <w:vAlign w:val="bottom"/>
            <w:tcBorders>
              <w:bottom w:val="single" w:sz="8" w:color="CCEEFF"/>
            </w:tcBorders>
          </w:tcPr>
          <w:p>
            <w:pPr>
              <w:spacing w:after="0"/>
              <w:rPr>
                <w:sz w:val="14"/>
                <w:szCs w:val="14"/>
                <w:color w:val="auto"/>
              </w:rPr>
            </w:pPr>
          </w:p>
        </w:tc>
      </w:tr>
      <w:tr>
        <w:trPr>
          <w:trHeight w:val="210"/>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4.7%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2.3</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2.0</w:t>
            </w:r>
          </w:p>
        </w:tc>
        <w:tc>
          <w:tcPr>
            <w:tcW w:w="2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2.9</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3.3</w:t>
            </w:r>
          </w:p>
        </w:tc>
        <w:tc>
          <w:tcPr>
            <w:tcW w:w="200" w:type="dxa"/>
            <w:vAlign w:val="bottom"/>
            <w:shd w:val="clear" w:color="auto" w:fill="CCEEFF"/>
          </w:tcPr>
          <w:p>
            <w:pPr>
              <w:spacing w:after="0"/>
              <w:rPr>
                <w:sz w:val="18"/>
                <w:szCs w:val="18"/>
                <w:color w:val="auto"/>
              </w:rPr>
            </w:pPr>
          </w:p>
        </w:tc>
      </w:tr>
      <w:tr>
        <w:trPr>
          <w:trHeight w:val="221"/>
        </w:trPr>
        <w:tc>
          <w:tcPr>
            <w:tcW w:w="600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3.3</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130</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3.4</w:t>
            </w:r>
          </w:p>
        </w:tc>
        <w:tc>
          <w:tcPr>
            <w:tcW w:w="200" w:type="dxa"/>
            <w:vAlign w:val="bottom"/>
          </w:tcPr>
          <w:p>
            <w:pPr>
              <w:spacing w:after="0"/>
              <w:rPr>
                <w:sz w:val="19"/>
                <w:szCs w:val="19"/>
                <w:color w:val="auto"/>
              </w:rPr>
            </w:pPr>
          </w:p>
        </w:tc>
      </w:tr>
      <w:tr>
        <w:trPr>
          <w:trHeight w:val="218"/>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1.1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1.0</w:t>
            </w:r>
          </w:p>
        </w:tc>
        <w:tc>
          <w:tcPr>
            <w:tcW w:w="200" w:type="dxa"/>
            <w:vAlign w:val="bottom"/>
            <w:shd w:val="clear" w:color="auto" w:fill="CCEEFF"/>
          </w:tcPr>
          <w:p>
            <w:pPr>
              <w:spacing w:after="0"/>
              <w:rPr>
                <w:sz w:val="18"/>
                <w:szCs w:val="18"/>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Transfer</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2.8</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2.3</w:t>
            </w:r>
          </w:p>
        </w:tc>
        <w:tc>
          <w:tcPr>
            <w:tcW w:w="200" w:type="dxa"/>
            <w:vAlign w:val="bottom"/>
          </w:tcPr>
          <w:p>
            <w:pPr>
              <w:spacing w:after="0"/>
              <w:rPr>
                <w:sz w:val="19"/>
                <w:szCs w:val="19"/>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2.6</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146</w:t>
            </w:r>
          </w:p>
        </w:tc>
        <w:tc>
          <w:tcPr>
            <w:tcW w:w="12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2.6</w:t>
            </w:r>
          </w:p>
        </w:tc>
        <w:tc>
          <w:tcPr>
            <w:tcW w:w="200" w:type="dxa"/>
            <w:vAlign w:val="bottom"/>
            <w:shd w:val="clear" w:color="auto" w:fill="CCEEFF"/>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Revenues from our environmental fee contributed $18 million and $34 million for the three and six months ended June 30, 2016, respectively, to our collection and disposal average yield.</w:t>
      </w:r>
    </w:p>
    <w:p>
      <w:pPr>
        <w:spacing w:after="0" w:line="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Our revenues increased $3 million for the three months ended June 30, 2016 as a result of the 2% increase in the prices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recycling commodities we sell. This is the first revenue increase resulting from commodity price increases since the fourth quarter of 2013. However, commodity prices declined 3% for the first six months in 2016 compared to the prior year period, which resulted in a revenue decline of $18 million for the six months ended June 30, 2016.</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Fuel surcharges and mandated fees — </w:t>
      </w:r>
      <w:r>
        <w:rPr>
          <w:rFonts w:ascii="Arial" w:cs="Arial" w:eastAsia="Arial" w:hAnsi="Arial"/>
          <w:sz w:val="18"/>
          <w:szCs w:val="18"/>
          <w:color w:val="auto"/>
        </w:rPr>
        <w:t>These revenues, which are predominantly generated by our fuel surcharge program, decreased $24 million and $56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and six months ended June 30, 2016, respectively, compared to the prior year periods. These revenues fluctuate in response to changes in the national average prices for diesel fuel on which our surcharge is based. We experienced fuel price declines of approximately 19% and 24% for the three and six months ended June 30, 2016, respectively, compared to the prior year periods, which caused a decline in our fuel surcharge revenues. The mandated fees included in this line item are primarily related to pass-through fees and taxes assessed by various state, county and municipal government agencies at our landfills and transfer stations.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Volume</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revenues increased $12 million, or 0.4%, and $69 million, or 1.1%, for the three and six months ended June 30, 2016, respectively, as compared with the prior year periods due to higher volumes. The year-over-year comparison does not include volumes from acquisitions, which are discussed below. Overall, we experienced higher volumes as a result of improving market conditions and an additional workday in the first six months of 2016. We experienced revenue increases due to higher volumes particularly in our industrial collection business, our municipal solid waste, construction and demolition, and special waste landfill businesses, and our transfer station business.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drivers affecting the comparability of volumes for the periods presented are as follows:</w:t>
      </w:r>
    </w:p>
    <w:p>
      <w:pPr>
        <w:spacing w:after="0" w:line="90" w:lineRule="exact"/>
        <w:rPr>
          <w:sz w:val="20"/>
          <w:szCs w:val="20"/>
          <w:color w:val="auto"/>
        </w:rPr>
      </w:pPr>
    </w:p>
    <w:p>
      <w:pPr>
        <w:ind w:left="660" w:right="2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Due to our focus on renegotiating existing contracts and winning new contracts with reasonable returns, we continue to see revenue declines in our residential business.</w:t>
      </w:r>
    </w:p>
    <w:p>
      <w:pPr>
        <w:spacing w:after="0" w:line="50"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our ancillary service businesses, we experienced lower volumes resulting from lower oil prices, which negatively affected both our oil and gas producing properties and our oilfield services business. These decreases in volumes were partially offset by higher volumes in our remediation and construction services and portable self-storage businesses.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 and divestitures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Revenues increased $64 million and $156 million for the three and six months ended June 30, 2016, respectively, as compared with the prior year periods, principally due to the acquisition of SWS in January 2016. Additionally, the acquisition of Deffenbaugh in March 2015 also contributed to the revenue increase for the first six months of 2016. These revenues were partially offset by revenue decreases due to divestitures of $12 million and $23 million for the three and six months ended June 30, 2016, respectively, as compared with the prior year periods.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operating expenses decreased $33 million, or 1.5%, and increased $14 million, or 0.3%, for the three and six months ended June 30, 2016, respectively, as compared with the prior year periods. Our operating expenses as a percentage of revenues decreased to 62.2% in the second quarter of 2016 from 65.2% in the second quarter of 2015, and decreased to 62.5% for the six months ended June 30, 2016 from 64.7% for the six months ended June 30, 2015.</w:t>
      </w:r>
    </w:p>
    <w:p>
      <w:pPr>
        <w:spacing w:after="0" w:line="2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operating expenses for the three and six months ended June 30 (dollars in millions), with significant changes in our operating expenses discussed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4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Period-to-</w:t>
            </w:r>
          </w:p>
        </w:tc>
        <w:tc>
          <w:tcPr>
            <w:tcW w:w="14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2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Period</w:t>
            </w:r>
          </w:p>
        </w:tc>
        <w:tc>
          <w:tcPr>
            <w:tcW w:w="140" w:type="dxa"/>
            <w:vAlign w:val="bottom"/>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40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2015</w:t>
            </w:r>
          </w:p>
        </w:tc>
        <w:tc>
          <w:tcPr>
            <w:tcW w:w="3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2"/>
                <w:szCs w:val="12"/>
                <w:color w:val="auto"/>
              </w:rPr>
            </w:pPr>
          </w:p>
        </w:tc>
      </w:tr>
      <w:tr>
        <w:trPr>
          <w:trHeight w:val="210"/>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598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5"/>
              </w:rPr>
              <w:t>$(42)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$1,204</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483</w:t>
            </w:r>
          </w:p>
        </w:tc>
        <w:tc>
          <w:tcPr>
            <w:tcW w:w="500" w:type="dxa"/>
            <w:vAlign w:val="bottom"/>
          </w:tcPr>
          <w:p>
            <w:pPr>
              <w:jc w:val="right"/>
              <w:spacing w:after="0"/>
              <w:rPr>
                <w:sz w:val="20"/>
                <w:szCs w:val="20"/>
                <w:color w:val="auto"/>
              </w:rPr>
            </w:pPr>
            <w:r>
              <w:rPr>
                <w:rFonts w:ascii="Arial" w:cs="Arial" w:eastAsia="Arial" w:hAnsi="Arial"/>
                <w:sz w:val="18"/>
                <w:szCs w:val="18"/>
                <w:color w:val="auto"/>
              </w:rPr>
              <w:t>459</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Subcontractor costs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571</w:t>
            </w:r>
          </w:p>
        </w:tc>
        <w:tc>
          <w:tcPr>
            <w:tcW w:w="500" w:type="dxa"/>
            <w:vAlign w:val="bottom"/>
          </w:tcPr>
          <w:p>
            <w:pPr>
              <w:jc w:val="right"/>
              <w:spacing w:after="0"/>
              <w:rPr>
                <w:sz w:val="20"/>
                <w:szCs w:val="20"/>
                <w:color w:val="auto"/>
              </w:rPr>
            </w:pPr>
            <w:r>
              <w:rPr>
                <w:rFonts w:ascii="Arial" w:cs="Arial" w:eastAsia="Arial" w:hAnsi="Arial"/>
                <w:sz w:val="18"/>
                <w:szCs w:val="18"/>
                <w:color w:val="auto"/>
              </w:rPr>
              <w:t>547</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Fuel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880" w:type="dxa"/>
            <w:vAlign w:val="bottom"/>
            <w:gridSpan w:val="3"/>
          </w:tcPr>
          <w:p>
            <w:pPr>
              <w:jc w:val="right"/>
              <w:ind w:right="112"/>
              <w:spacing w:after="0"/>
              <w:rPr>
                <w:sz w:val="20"/>
                <w:szCs w:val="20"/>
                <w:color w:val="auto"/>
              </w:rPr>
            </w:pPr>
            <w:r>
              <w:rPr>
                <w:rFonts w:ascii="Arial" w:cs="Arial" w:eastAsia="Arial" w:hAnsi="Arial"/>
                <w:sz w:val="18"/>
                <w:szCs w:val="18"/>
                <w:color w:val="auto"/>
              </w:rPr>
              <w:t>(31)</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(29.5)</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138</w:t>
            </w:r>
          </w:p>
        </w:tc>
        <w:tc>
          <w:tcPr>
            <w:tcW w:w="500" w:type="dxa"/>
            <w:vAlign w:val="bottom"/>
          </w:tcPr>
          <w:p>
            <w:pPr>
              <w:jc w:val="right"/>
              <w:spacing w:after="0"/>
              <w:rPr>
                <w:sz w:val="20"/>
                <w:szCs w:val="20"/>
                <w:color w:val="auto"/>
              </w:rPr>
            </w:pPr>
            <w:r>
              <w:rPr>
                <w:rFonts w:ascii="Arial" w:cs="Arial" w:eastAsia="Arial" w:hAnsi="Arial"/>
                <w:sz w:val="18"/>
                <w:szCs w:val="18"/>
                <w:color w:val="auto"/>
              </w:rPr>
              <w:t>202</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(31.7)</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41.8</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173</w:t>
            </w:r>
          </w:p>
        </w:tc>
        <w:tc>
          <w:tcPr>
            <w:tcW w:w="500" w:type="dxa"/>
            <w:vAlign w:val="bottom"/>
          </w:tcPr>
          <w:p>
            <w:pPr>
              <w:jc w:val="right"/>
              <w:spacing w:after="0"/>
              <w:rPr>
                <w:sz w:val="20"/>
                <w:szCs w:val="20"/>
                <w:color w:val="auto"/>
              </w:rPr>
            </w:pPr>
            <w:r>
              <w:rPr>
                <w:rFonts w:ascii="Arial" w:cs="Arial" w:eastAsia="Arial" w:hAnsi="Arial"/>
                <w:sz w:val="18"/>
                <w:szCs w:val="18"/>
                <w:color w:val="auto"/>
              </w:rPr>
              <w:t>128</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45</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35.2</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(14)</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122</w:t>
            </w:r>
          </w:p>
        </w:tc>
        <w:tc>
          <w:tcPr>
            <w:tcW w:w="880" w:type="dxa"/>
            <w:vAlign w:val="bottom"/>
            <w:gridSpan w:val="3"/>
          </w:tcPr>
          <w:p>
            <w:pPr>
              <w:jc w:val="right"/>
              <w:ind w:right="112"/>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218</w:t>
            </w:r>
          </w:p>
        </w:tc>
        <w:tc>
          <w:tcPr>
            <w:tcW w:w="500" w:type="dxa"/>
            <w:vAlign w:val="bottom"/>
          </w:tcPr>
          <w:p>
            <w:pPr>
              <w:jc w:val="right"/>
              <w:spacing w:after="0"/>
              <w:rPr>
                <w:sz w:val="20"/>
                <w:szCs w:val="20"/>
                <w:color w:val="auto"/>
              </w:rPr>
            </w:pPr>
            <w:r>
              <w:rPr>
                <w:rFonts w:ascii="Arial" w:cs="Arial" w:eastAsia="Arial" w:hAnsi="Arial"/>
                <w:sz w:val="18"/>
                <w:szCs w:val="18"/>
                <w:color w:val="auto"/>
              </w:rPr>
              <w:t>239</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r>
      <w:tr>
        <w:trPr>
          <w:trHeight w:val="27"/>
        </w:trPr>
        <w:tc>
          <w:tcPr>
            <w:tcW w:w="4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0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2,130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2,163</w:t>
            </w:r>
          </w:p>
        </w:tc>
        <w:tc>
          <w:tcPr>
            <w:tcW w:w="8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4,109</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r>
      <w:tr>
        <w:trPr>
          <w:trHeight w:val="20"/>
        </w:trPr>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Operating expenses for the three and six months ended June 30, 2015 included a $55 million charge associated with the withdrawal from certain underfunded multiemployer pension plans reflected in labor and related benefits costs. Excluding the impact of this charge, we experienced higher current year operating costs for the three and six months when compared to the prior year periods related to:</w:t>
      </w:r>
    </w:p>
    <w:p>
      <w:pPr>
        <w:spacing w:after="0" w:line="59"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acquired operations of Deffenbaugh in March 2015 and SWS in January 2016, which increased costs in substantially all categories; and</w:t>
      </w:r>
    </w:p>
    <w:p>
      <w:pPr>
        <w:spacing w:after="0" w:line="113" w:lineRule="exact"/>
        <w:rPr>
          <w:rFonts w:ascii="Arial" w:cs="Arial" w:eastAsia="Arial" w:hAnsi="Arial"/>
          <w:sz w:val="16"/>
          <w:szCs w:val="16"/>
          <w:color w:val="auto"/>
        </w:rPr>
      </w:pPr>
    </w:p>
    <w:p>
      <w:pPr>
        <w:ind w:left="660" w:hanging="206"/>
        <w:spacing w:after="0" w:line="33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Higher volumes in the current year periods, primarily the six months ended June 30, 2016, as discussed above in </w:t>
      </w:r>
      <w:r>
        <w:rPr>
          <w:rFonts w:ascii="Arial" w:cs="Arial" w:eastAsia="Arial" w:hAnsi="Arial"/>
          <w:sz w:val="16"/>
          <w:szCs w:val="16"/>
          <w:i w:val="1"/>
          <w:iCs w:val="1"/>
          <w:color w:val="auto"/>
        </w:rPr>
        <w:t>Operating Revenues</w:t>
      </w:r>
      <w:r>
        <w:rPr>
          <w:rFonts w:ascii="Arial" w:cs="Arial" w:eastAsia="Arial" w:hAnsi="Arial"/>
          <w:sz w:val="16"/>
          <w:szCs w:val="16"/>
          <w:color w:val="auto"/>
        </w:rPr>
        <w:t>. The most significant cost increases were in the (i) transfer and disposal; (ii) subcontractor and (iii) disposal and franchise fees and taxes cost categories.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significant items affecting the comparability of the costs for the periods presented include: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The decrease in fuel expense in the current year periods when compared to the prior year periods was driven by (i) lower fuel prices; (ii) lower</w:t>
      </w:r>
      <w:r>
        <w:rPr>
          <w:rFonts w:ascii="Arial" w:cs="Arial" w:eastAsia="Arial" w:hAnsi="Arial"/>
          <w:sz w:val="18"/>
          <w:szCs w:val="18"/>
          <w:i w:val="1"/>
          <w:iCs w:val="1"/>
          <w:color w:val="auto"/>
        </w:rPr>
        <w:t xml:space="preserve"> </w:t>
      </w:r>
      <w:r>
        <w:rPr>
          <w:rFonts w:ascii="Arial" w:cs="Arial" w:eastAsia="Arial" w:hAnsi="Arial"/>
          <w:sz w:val="18"/>
          <w:szCs w:val="18"/>
          <w:color w:val="auto"/>
        </w:rPr>
        <w:t>costs resulting from the conversion of our fleet to natural gas vehicles and (iii) increases in natural gas fuel excise credits that could not be recognized until the fourth quarter of the prior year.</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Landfill operating costs </w:t>
      </w:r>
      <w:r>
        <w:rPr>
          <w:rFonts w:ascii="Arial" w:cs="Arial" w:eastAsia="Arial" w:hAnsi="Arial"/>
          <w:sz w:val="18"/>
          <w:szCs w:val="18"/>
          <w:color w:val="auto"/>
        </w:rPr>
        <w:t>— The increase in landfill operating costs in the current year periods when compared to the prior year periods was primarily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higher leachate disposal costs and an unfavorable adjustment related to changes in U.S. Treasury rates used to discount the present value of our environmental remediation obligations and recovery assets in the current quarter.</w:t>
      </w:r>
    </w:p>
    <w:p>
      <w:pPr>
        <w:spacing w:after="0" w:line="59" w:lineRule="exact"/>
        <w:rPr>
          <w:sz w:val="20"/>
          <w:szCs w:val="20"/>
          <w:color w:val="auto"/>
        </w:rPr>
      </w:pPr>
    </w:p>
    <w:p>
      <w:pPr>
        <w:ind w:left="240" w:right="800" w:firstLine="228"/>
        <w:spacing w:after="0" w:line="391"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The decrease in costs was primarily related to lower auto and general liability claim settlements in the current year periods.</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Selling, General and Administrative Expenses</w:t>
      </w:r>
    </w:p>
    <w:p>
      <w:pPr>
        <w:spacing w:after="0" w:line="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selling, general and administrative expenses increased by $18 million, or 5.6%, and $32 million, or 4.8%, for the three and six months ended June 30, 2016, respectively, as compared with the prior year periods. As a percentage of revenue, our selling, general and administrative expenses increased from 9.7% for the second quarter of 2015 to 9.9% for the second quarter of 2016, and increased from 10.5% for the six months ended June 30, 2015 to 10.6% for the six months ended June 30, 2016.</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three and six months ended June 30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5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9"/>
              </w:rPr>
              <w:t>Three Months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Six Months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5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Ended</w:t>
            </w:r>
          </w:p>
        </w:tc>
        <w:tc>
          <w:tcPr>
            <w:tcW w:w="13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Period-to-</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3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5540" w:type="dxa"/>
            <w:vAlign w:val="bottom"/>
          </w:tcPr>
          <w:p>
            <w:pPr>
              <w:spacing w:after="0"/>
              <w:rPr>
                <w:sz w:val="14"/>
                <w:szCs w:val="14"/>
                <w:color w:val="auto"/>
              </w:rPr>
            </w:pPr>
          </w:p>
        </w:tc>
        <w:tc>
          <w:tcPr>
            <w:tcW w:w="15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4"/>
                <w:szCs w:val="14"/>
                <w:color w:val="auto"/>
              </w:rPr>
            </w:pPr>
          </w:p>
        </w:tc>
        <w:tc>
          <w:tcPr>
            <w:tcW w:w="10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7"/>
              </w:rPr>
              <w:t>Period</w:t>
            </w:r>
          </w:p>
        </w:tc>
        <w:tc>
          <w:tcPr>
            <w:tcW w:w="140" w:type="dxa"/>
            <w:vAlign w:val="bottom"/>
          </w:tcPr>
          <w:p>
            <w:pPr>
              <w:spacing w:after="0"/>
              <w:rPr>
                <w:sz w:val="14"/>
                <w:szCs w:val="14"/>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554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4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right="192"/>
              <w:spacing w:after="0" w:line="142" w:lineRule="exact"/>
              <w:rPr>
                <w:sz w:val="20"/>
                <w:szCs w:val="20"/>
                <w:color w:val="auto"/>
              </w:rPr>
            </w:pPr>
            <w:r>
              <w:rPr>
                <w:rFonts w:ascii="Arial" w:cs="Arial" w:eastAsia="Arial" w:hAnsi="Arial"/>
                <w:sz w:val="14"/>
                <w:szCs w:val="14"/>
                <w:b w:val="1"/>
                <w:bCs w:val="1"/>
                <w:color w:val="auto"/>
                <w:w w:val="85"/>
              </w:rPr>
              <w:t>Change</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4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0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Professional fees</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28</w:t>
            </w: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56</w:t>
            </w:r>
          </w:p>
        </w:tc>
        <w:tc>
          <w:tcPr>
            <w:tcW w:w="760" w:type="dxa"/>
            <w:vAlign w:val="bottom"/>
            <w:gridSpan w:val="3"/>
          </w:tcPr>
          <w:p>
            <w:pPr>
              <w:jc w:val="right"/>
              <w:ind w:right="92"/>
              <w:spacing w:after="0"/>
              <w:rPr>
                <w:sz w:val="20"/>
                <w:szCs w:val="20"/>
                <w:color w:val="auto"/>
              </w:rPr>
            </w:pPr>
            <w:r>
              <w:rPr>
                <w:rFonts w:ascii="Arial" w:cs="Arial" w:eastAsia="Arial" w:hAnsi="Arial"/>
                <w:sz w:val="18"/>
                <w:szCs w:val="18"/>
                <w:color w:val="auto"/>
              </w:rPr>
              <w:t>(10)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162</w:t>
            </w:r>
          </w:p>
        </w:tc>
        <w:tc>
          <w:tcPr>
            <w:tcW w:w="4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r>
      <w:tr>
        <w:trPr>
          <w:trHeight w:val="27"/>
        </w:trPr>
        <w:tc>
          <w:tcPr>
            <w:tcW w:w="5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322</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0"/>
        </w:trPr>
        <w:tc>
          <w:tcPr>
            <w:tcW w:w="5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Our labor and related benefits costs increased as a result of (i) higher stock-based incentive compensation costs; (ii) increased headcount, primarily from our acquisition of SWS in January 2016 and (iii) merit increases. Our professional fees decreased as a result of lower legal fees.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components of our depreciation and amortization expense for the three and six months ended June 30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5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Six Months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5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3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Period-to-</w:t>
            </w:r>
          </w:p>
        </w:tc>
        <w:tc>
          <w:tcPr>
            <w:tcW w:w="360" w:type="dxa"/>
            <w:vAlign w:val="bottom"/>
          </w:tcPr>
          <w:p>
            <w:pPr>
              <w:spacing w:after="0"/>
              <w:rPr>
                <w:sz w:val="12"/>
                <w:szCs w:val="12"/>
                <w:color w:val="auto"/>
              </w:rPr>
            </w:pPr>
          </w:p>
        </w:tc>
        <w:tc>
          <w:tcPr>
            <w:tcW w:w="11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Ended</w:t>
            </w:r>
          </w:p>
        </w:tc>
        <w:tc>
          <w:tcPr>
            <w:tcW w:w="12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5740" w:type="dxa"/>
            <w:vAlign w:val="bottom"/>
          </w:tcPr>
          <w:p>
            <w:pPr>
              <w:spacing w:after="0"/>
              <w:rPr>
                <w:sz w:val="14"/>
                <w:szCs w:val="14"/>
                <w:color w:val="auto"/>
              </w:rPr>
            </w:pPr>
          </w:p>
        </w:tc>
        <w:tc>
          <w:tcPr>
            <w:tcW w:w="15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Period</w:t>
            </w:r>
          </w:p>
        </w:tc>
        <w:tc>
          <w:tcPr>
            <w:tcW w:w="15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57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3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79"/>
              <w:spacing w:after="0" w:line="142" w:lineRule="exact"/>
              <w:rPr>
                <w:sz w:val="20"/>
                <w:szCs w:val="20"/>
                <w:color w:val="auto"/>
              </w:rPr>
            </w:pPr>
            <w:r>
              <w:rPr>
                <w:rFonts w:ascii="Arial" w:cs="Arial" w:eastAsia="Arial" w:hAnsi="Arial"/>
                <w:sz w:val="14"/>
                <w:szCs w:val="14"/>
                <w:b w:val="1"/>
                <w:bCs w:val="1"/>
                <w:color w:val="auto"/>
                <w:w w:val="85"/>
              </w:rPr>
              <w:t>Change</w:t>
            </w:r>
          </w:p>
        </w:tc>
        <w:tc>
          <w:tcPr>
            <w:tcW w:w="4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4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4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99"/>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2"/>
                <w:szCs w:val="12"/>
                <w:color w:val="auto"/>
              </w:rPr>
            </w:pPr>
          </w:p>
        </w:tc>
      </w:tr>
      <w:tr>
        <w:trPr>
          <w:trHeight w:val="210"/>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380" w:type="dxa"/>
            <w:vAlign w:val="bottom"/>
          </w:tcPr>
          <w:p>
            <w:pPr>
              <w:jc w:val="right"/>
              <w:spacing w:after="0"/>
              <w:rPr>
                <w:sz w:val="20"/>
                <w:szCs w:val="20"/>
                <w:color w:val="auto"/>
              </w:rPr>
            </w:pPr>
            <w:r>
              <w:rPr>
                <w:rFonts w:ascii="Arial" w:cs="Arial" w:eastAsia="Arial" w:hAnsi="Arial"/>
                <w:sz w:val="18"/>
                <w:szCs w:val="18"/>
                <w:color w:val="auto"/>
              </w:rPr>
              <w:t>116</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6</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5.5</w:t>
            </w:r>
          </w:p>
        </w:tc>
        <w:tc>
          <w:tcPr>
            <w:tcW w:w="360" w:type="dxa"/>
            <w:vAlign w:val="bottom"/>
          </w:tcPr>
          <w:p>
            <w:pPr>
              <w:jc w:val="right"/>
              <w:spacing w:after="0"/>
              <w:rPr>
                <w:sz w:val="20"/>
                <w:szCs w:val="20"/>
                <w:color w:val="auto"/>
              </w:rPr>
            </w:pPr>
            <w:r>
              <w:rPr>
                <w:rFonts w:ascii="Arial" w:cs="Arial" w:eastAsia="Arial" w:hAnsi="Arial"/>
                <w:sz w:val="18"/>
                <w:szCs w:val="18"/>
                <w:color w:val="auto"/>
              </w:rPr>
              <w:t>215</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199</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w:t>
            </w:r>
          </w:p>
        </w:tc>
      </w:tr>
      <w:tr>
        <w:trPr>
          <w:trHeight w:val="222"/>
        </w:trPr>
        <w:tc>
          <w:tcPr>
            <w:tcW w:w="5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340</w:t>
            </w: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322</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18</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652</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614</w:t>
            </w:r>
          </w:p>
        </w:tc>
        <w:tc>
          <w:tcPr>
            <w:tcW w:w="26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38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20"/>
        </w:trPr>
        <w:tc>
          <w:tcPr>
            <w:tcW w:w="5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increase in depreciation of tangible property and equipment and amortization of intangible assets during the 2016 periods as compared to the prior year periods is primarily due to the acquisitions of SWS and Deffenbaugh. The increase in amortization of landfill airspace during the 2016 periods as compared to the prior year periods is primarily due to increased volumes at our landfills.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1" w:name="page42"/>
    <w:bookmarkEnd w:id="4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 from Divestitures, Asset Impairments and Unusual Items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six months ended June 30, 2015, we recognized net charges of $15 million, including $16 million of charges to write down or divest of certain assets in our recycling operations and a $5 million impairment charge related to a landfill in our Western Canada Area. Partially offsetting these charges was a $6 million gain on the sale of an oil and gas producing property.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three and six months ended June 30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8"/>
              </w:rPr>
              <w:t>Six Months</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1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Period-to-</w:t>
            </w:r>
          </w:p>
        </w:tc>
        <w:tc>
          <w:tcPr>
            <w:tcW w:w="100" w:type="dxa"/>
            <w:vAlign w:val="bottom"/>
          </w:tcPr>
          <w:p>
            <w:pPr>
              <w:spacing w:after="0"/>
              <w:rPr>
                <w:sz w:val="12"/>
                <w:szCs w:val="12"/>
                <w:color w:val="auto"/>
              </w:rPr>
            </w:pPr>
          </w:p>
        </w:tc>
        <w:tc>
          <w:tcPr>
            <w:tcW w:w="820" w:type="dxa"/>
            <w:vAlign w:val="bottom"/>
            <w:gridSpan w:val="3"/>
          </w:tcPr>
          <w:p>
            <w:pPr>
              <w:jc w:val="center"/>
              <w:ind w:left="219"/>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1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left="118"/>
              <w:spacing w:after="0"/>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jc w:val="center"/>
              <w:ind w:left="218"/>
              <w:spacing w:after="0"/>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left="118"/>
              <w:spacing w:after="0" w:line="142" w:lineRule="exact"/>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2016</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2015</w:t>
            </w:r>
          </w:p>
        </w:tc>
        <w:tc>
          <w:tcPr>
            <w:tcW w:w="320" w:type="dxa"/>
            <w:vAlign w:val="bottom"/>
          </w:tcPr>
          <w:p>
            <w:pPr>
              <w:spacing w:after="0"/>
              <w:rPr>
                <w:sz w:val="12"/>
                <w:szCs w:val="12"/>
                <w:color w:val="auto"/>
              </w:rPr>
            </w:pPr>
          </w:p>
        </w:tc>
        <w:tc>
          <w:tcPr>
            <w:tcW w:w="760" w:type="dxa"/>
            <w:vAlign w:val="bottom"/>
            <w:gridSpan w:val="2"/>
          </w:tcPr>
          <w:p>
            <w:pPr>
              <w:jc w:val="center"/>
              <w:ind w:left="218"/>
              <w:spacing w:after="0" w:line="142" w:lineRule="exact"/>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3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20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Tier 1</w:t>
            </w:r>
          </w:p>
        </w:tc>
        <w:tc>
          <w:tcPr>
            <w:tcW w:w="2640" w:type="dxa"/>
            <w:vAlign w:val="bottom"/>
            <w:gridSpan w:val="3"/>
          </w:tcPr>
          <w:p>
            <w:pPr>
              <w:jc w:val="right"/>
              <w:ind w:right="180"/>
              <w:spacing w:after="0"/>
              <w:rPr>
                <w:sz w:val="20"/>
                <w:szCs w:val="20"/>
                <w:color w:val="auto"/>
              </w:rPr>
            </w:pPr>
            <w:r>
              <w:rPr>
                <w:rFonts w:ascii="Arial" w:cs="Arial" w:eastAsia="Arial" w:hAnsi="Arial"/>
                <w:sz w:val="18"/>
                <w:szCs w:val="18"/>
                <w:color w:val="auto"/>
              </w:rPr>
              <w:t>$ 362</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$ 297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65</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82"/>
              </w:rPr>
              <w:t>21.9%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696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593</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$103</w:t>
            </w:r>
          </w:p>
        </w:tc>
        <w:tc>
          <w:tcPr>
            <w:tcW w:w="4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17.4%</w:t>
            </w:r>
          </w:p>
        </w:tc>
      </w:tr>
      <w:tr>
        <w:trPr>
          <w:trHeight w:val="216"/>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2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r>
      <w:tr>
        <w:trPr>
          <w:trHeight w:val="216"/>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Tier 3</w:t>
            </w:r>
          </w:p>
        </w:tc>
        <w:tc>
          <w:tcPr>
            <w:tcW w:w="2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53</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29.1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23.1</w:t>
            </w:r>
          </w:p>
        </w:tc>
      </w:tr>
      <w:tr>
        <w:trPr>
          <w:trHeight w:val="27"/>
        </w:trPr>
        <w:tc>
          <w:tcPr>
            <w:tcW w:w="1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5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Solid Waste</w:t>
            </w:r>
          </w:p>
        </w:tc>
        <w:tc>
          <w:tcPr>
            <w:tcW w:w="2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124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15.9</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20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40.0</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0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(262)</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r>
      <w:tr>
        <w:trPr>
          <w:trHeight w:val="27"/>
        </w:trPr>
        <w:tc>
          <w:tcPr>
            <w:tcW w:w="1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$ 611</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109</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2"/>
              </w:rPr>
              <w:t>21.7%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177</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2"/>
              </w:rPr>
              <w:t>18.8%</w:t>
            </w:r>
          </w:p>
        </w:tc>
      </w:tr>
      <w:tr>
        <w:trPr>
          <w:trHeight w:val="20"/>
        </w:trPr>
        <w:tc>
          <w:tcPr>
            <w:tcW w:w="1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Percentage change does not provide a meaningful comparison.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information presented has been updated to reflect our realigned segments which are discussed further in Note 8 to the Condensed Consolidated Financial Statements.</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Solid Waste </w:t>
      </w:r>
      <w:r>
        <w:rPr>
          <w:rFonts w:ascii="Arial" w:cs="Arial" w:eastAsia="Arial" w:hAnsi="Arial"/>
          <w:sz w:val="18"/>
          <w:szCs w:val="18"/>
          <w:color w:val="auto"/>
        </w:rPr>
        <w:t>— The most significant items affecting the results of operations of our Solid Waste business during the three and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2016 as compared with the prior year periods are summarized below:</w:t>
      </w:r>
    </w:p>
    <w:p>
      <w:pPr>
        <w:spacing w:after="0" w:line="51"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Traditional Solid Waste business benefited from internal revenue growth;</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second quarter of 2015, we recognized a $55 million charge associated with the withdrawal from certain underfunded multiemployer pension plans;</w:t>
      </w:r>
    </w:p>
    <w:p>
      <w:pPr>
        <w:spacing w:after="0" w:line="50"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recycling business was favorable compared to the prior year periods principally due to continued cost reductions. Additionally, market prices for commodities favorably affected our current quarter results, although prices negatively affected our year-to-date results;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leachate disposal costs in Tier 2;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Merit increases effective in the second quarter of 2016.</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Significant items affecting the comparison of the remaining components of our results of operations for the three and six months ended June 30, 2016 with the comparable prior year periods are summarized below:</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Wheelabrator </w:t>
      </w:r>
      <w:r>
        <w:rPr>
          <w:rFonts w:ascii="Arial" w:cs="Arial" w:eastAsia="Arial" w:hAnsi="Arial"/>
          <w:sz w:val="16"/>
          <w:szCs w:val="16"/>
          <w:color w:val="auto"/>
        </w:rPr>
        <w:t>— Amounts reported in 2015 reflect post-closing adjustments to the gain on the sale of our Wheelabrator business in December 2014.</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Lower year-over-year earnings in our WMSBS and energy related businesses.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Corporate and Other </w:t>
      </w:r>
      <w:r>
        <w:rPr>
          <w:rFonts w:ascii="Arial" w:cs="Arial" w:eastAsia="Arial" w:hAnsi="Arial"/>
          <w:sz w:val="18"/>
          <w:szCs w:val="18"/>
          <w:color w:val="auto"/>
        </w:rPr>
        <w:t>— The most significant items affecting the comparability of expenses for the periods presented include:</w:t>
      </w:r>
    </w:p>
    <w:p>
      <w:pPr>
        <w:spacing w:after="0" w:line="90"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stock-based incentive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risk management costs primarily related to lower auto and general liability claim settlements; and</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unfavorable adjustment in the second quarter of 2016 related to changes in U.S. Treasury rates used to discount the present value of our environmental remediation obligations and recovery assets.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Our interest expense, net was $93 million and $188 million during the three and six months ended June 30, 2016, respectively, compared to $95 million and $199 million during the three and six months ended June 30, 2015, respectively. The year-over-year decreases are primarily attributable to the refinancing of a significant portion of our high-coupon senior notes during the first quarter of 2015 as discussed below in </w:t>
      </w:r>
      <w:r>
        <w:rPr>
          <w:rFonts w:ascii="Arial" w:cs="Arial" w:eastAsia="Arial" w:hAnsi="Arial"/>
          <w:sz w:val="16"/>
          <w:szCs w:val="16"/>
          <w:i w:val="1"/>
          <w:iCs w:val="1"/>
          <w:color w:val="auto"/>
        </w:rPr>
        <w:t>Loss on Early Extinguishment of Debt</w:t>
      </w:r>
      <w:r>
        <w:rPr>
          <w:rFonts w:ascii="Arial" w:cs="Arial" w:eastAsia="Arial" w:hAnsi="Arial"/>
          <w:sz w:val="16"/>
          <w:szCs w:val="16"/>
          <w:color w:val="auto"/>
        </w:rPr>
        <w: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six months ended June 30, 2015, we recognized a pre-tax loss of $552 million associated with the early extinguishment of almost $2 billion of our high-coupon senior notes through make-whole redemption and cash tender offers. We replaced substantially all of the debt extinguished with new senior notes at significantly lower coupon interest rates and extended the weighted average duration of these debt obligations.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We recognized “Equity in net losses of unconsolidated entities” of $16 million and $23 million during the three and six months ended June 30, 2016, respectively, compared with $15 million and $23 million during the three and six months ended June 30, 2015, respectively. These losses are primarily related to our noncontrolling interests in entities established to invest in and manage low-income housing properties and a refined coal facility. The tax impacts realized as a result of our investments in low-income housing properties and the refined coal facility are discussed below 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Refer to Notes 5 and 14 to the Condensed Consolidated Financial Statements for more information related to these investments.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recognized other, net expense of $40 million and $49 million for the three and six months ended June 30, 2016, respectively, primarily related to impairment charges of $41 million to write down minority-owned investments in waste diversion technology companies to their fair value during the second quarter of 2016. In addition, we recognized $8 million of expense during the first quarter of 2016 associated with the termination of our cross currency swaps, which is discussed further in Note 4 to the Condensed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Our provision for income taxes and effective income tax rates were $173 million, or 37.6%, and $313 million, or 36.5%, for the three and six months ended June 30, 2016, respectively, compared to $116 million, or 29.6%, and $25 million, or 14.5%, for the three and six months ended June 30, 2015, respectively.</w:t>
      </w:r>
    </w:p>
    <w:p>
      <w:pPr>
        <w:spacing w:after="0" w:line="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provision for income taxes and effective tax rate for the three and six months ended June 30, 2016 was unfavorably impacted primarily by nondeductible investment impairments and state and local income taxes offset, in part, by the favorable impact of federal tax credits and tax audit settlements. Our provision for income taxes and effective tax rate for the three and six months ended June 30, 2015 was favorably impacted primarily by federal tax credits, revaluation of our deferred taxes and utilization of state net operating losses resulting from changes in state law and nontaxable post-closing adjustments related to the divestiture of our Wheelabrator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3" w:name="page44"/>
    <w:bookmarkEnd w:id="43"/>
    <w:p>
      <w:pPr>
        <w:jc w:val="both"/>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offset, in part, by the unfavorable impact of state and local income taxes. In addition, the loss on early extinguishment of debt included in our pre-tax income for the six months ended June 30, 2015 contributed to a lower effective tax rate.</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investments in the low-income housing properties and the refined coal facility reduced our provision for income taxes by a total of $14 million and $25 million for the three and six months ended June 30, 2016, respectively, and by $13 million and $24 million for the three and six months ended June 30, 2015, respectively. Refer to Note 5 to the Condensed Consolidated Financial Statements for more information related to these investments.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8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2016</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2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Debt: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220"/>
              <w:spacing w:after="0"/>
              <w:rPr>
                <w:sz w:val="20"/>
                <w:szCs w:val="20"/>
                <w:color w:val="auto"/>
              </w:rPr>
            </w:pPr>
            <w:r>
              <w:rPr>
                <w:rFonts w:ascii="Arial" w:cs="Arial" w:eastAsia="Arial" w:hAnsi="Arial"/>
                <w:sz w:val="18"/>
                <w:szCs w:val="18"/>
                <w:color w:val="auto"/>
              </w:rPr>
              <w:t>Long-term portion</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8,916</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9,530</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June 30, 2016, our current debt balances include (i) $500 million of 2.6% senior notes that mature in September 2016 and (ii) $114 million of other debt with scheduled maturities within the next 12 months, including $48 million of tax-exempt bonds.</w:t>
      </w:r>
    </w:p>
    <w:p>
      <w:pPr>
        <w:spacing w:after="0" w:line="5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June 30, 2016, we also have $454 million of tax-exempt bonds with term interest rate periods that expire within the next 12 months and an additional $491 million of variable-rate tax-exempt bonds that are supported by letters of credit. The interest rates on our variable-rate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intent and ability to use availability under our $2.25 billion revolving credit facility to fund the debt obligations until they can be remarketed successfully. Accordingly, we classified these borrowings as long-term in our Condensed Consolidated Balance Sheet at June 30, 2016.</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six months ended June 30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Borders>
              <w:bottom w:val="single" w:sz="8" w:color="CCEEFF"/>
            </w:tcBorders>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vMerge w:val="continue"/>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(1,186)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(1,469)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740" w:type="dxa"/>
            <w:vAlign w:val="bottom"/>
            <w:vMerge w:val="restart"/>
          </w:tcPr>
          <w:p>
            <w:pPr>
              <w:jc w:val="right"/>
              <w:ind w:right="3332"/>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Net Cash Provided by Operating Activities </w:t>
      </w:r>
      <w:r>
        <w:rPr>
          <w:rFonts w:ascii="Arial" w:cs="Arial" w:eastAsia="Arial" w:hAnsi="Arial"/>
          <w:sz w:val="16"/>
          <w:szCs w:val="16"/>
          <w:color w:val="auto"/>
        </w:rPr>
        <w:t>— The most significant items affecting the comparison of our operating cash flows for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2016 as compared with the six months ended June 30, 2015 are summarized below:</w:t>
      </w:r>
    </w:p>
    <w:p>
      <w:pPr>
        <w:spacing w:after="0" w:line="84" w:lineRule="exact"/>
        <w:rPr>
          <w:sz w:val="20"/>
          <w:szCs w:val="20"/>
          <w:color w:val="auto"/>
        </w:rPr>
      </w:pPr>
    </w:p>
    <w:p>
      <w:pPr>
        <w:jc w:val="both"/>
        <w:ind w:left="660" w:hanging="206"/>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Increase in earnings — </w:t>
      </w:r>
      <w:r>
        <w:rPr>
          <w:rFonts w:ascii="Arial" w:cs="Arial" w:eastAsia="Arial" w:hAnsi="Arial"/>
          <w:sz w:val="18"/>
          <w:szCs w:val="18"/>
          <w:color w:val="auto"/>
        </w:rPr>
        <w:t>Our income from operations, excluding depreciation and amortization, increased by $215 million on a year-over-year basis,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driven by earnings from our Traditional Solid Waste business. Additionally, the recognition of a $55 million charge in the second quarter of 2015 associated with the withdrawal from certain underfunded multiemployer pension plans favorably affected our year-over-year earnings; however, the associated payments were not made until the second half of 2015.</w:t>
      </w:r>
    </w:p>
    <w:p>
      <w:pPr>
        <w:spacing w:after="0" w:line="62"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Increase in tax payments </w:t>
      </w:r>
      <w:r>
        <w:rPr>
          <w:rFonts w:ascii="Arial" w:cs="Arial" w:eastAsia="Arial" w:hAnsi="Arial"/>
          <w:sz w:val="18"/>
          <w:szCs w:val="18"/>
          <w:color w:val="auto"/>
        </w:rPr>
        <w:t>— Cash paid for income taxes, net of excess tax benefits associated with equity-based transactions, was $68 million higher on</w:t>
      </w:r>
      <w:r>
        <w:rPr>
          <w:rFonts w:ascii="Arial" w:cs="Arial" w:eastAsia="Arial" w:hAnsi="Arial"/>
          <w:sz w:val="18"/>
          <w:szCs w:val="18"/>
          <w:i w:val="1"/>
          <w:iCs w:val="1"/>
          <w:color w:val="auto"/>
        </w:rPr>
        <w:t xml:space="preserve"> </w:t>
      </w:r>
      <w:r>
        <w:rPr>
          <w:rFonts w:ascii="Arial" w:cs="Arial" w:eastAsia="Arial" w:hAnsi="Arial"/>
          <w:sz w:val="18"/>
          <w:szCs w:val="18"/>
          <w:color w:val="auto"/>
        </w:rPr>
        <w:t>a year-over-year basis largely driven by higher earnings in the current year.</w:t>
      </w:r>
    </w:p>
    <w:p>
      <w:pPr>
        <w:spacing w:after="0" w:line="50" w:lineRule="exact"/>
        <w:rPr>
          <w:rFonts w:ascii="Arial" w:cs="Arial" w:eastAsia="Arial" w:hAnsi="Arial"/>
          <w:sz w:val="18"/>
          <w:szCs w:val="18"/>
          <w:color w:val="auto"/>
        </w:rPr>
      </w:pPr>
    </w:p>
    <w:p>
      <w:pPr>
        <w:jc w:val="both"/>
        <w:ind w:left="660" w:hanging="206"/>
        <w:spacing w:after="0" w:line="298"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Foreign currency derivatives </w:t>
      </w:r>
      <w:r>
        <w:rPr>
          <w:rFonts w:ascii="Arial" w:cs="Arial" w:eastAsia="Arial" w:hAnsi="Arial"/>
          <w:sz w:val="16"/>
          <w:szCs w:val="16"/>
          <w:color w:val="auto"/>
        </w:rPr>
        <w:t>— During the first quarter of 2016, we terminated our cross currency swaps associated with the anticipated cash flows of</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intercompany loans between WM Holdings and its wholly-owned Canadian subsidiaries, as discussed further in Note 4 to the Condensed Consolidated Financial Statements. In connection with the termination, we received cash proceeds of $67 million, which has been classified as a change in “Other current assets” and “Other assets” within “Net cash provided by operating activities” in the Condensed Consolidated Statement of Cash Flows.</w:t>
      </w:r>
    </w:p>
    <w:p>
      <w:pPr>
        <w:spacing w:after="0" w:line="31"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Decrease in incentive plan cash payments — </w:t>
      </w:r>
      <w:r>
        <w:rPr>
          <w:rFonts w:ascii="Arial" w:cs="Arial" w:eastAsia="Arial" w:hAnsi="Arial"/>
          <w:sz w:val="16"/>
          <w:szCs w:val="16"/>
          <w:color w:val="auto"/>
        </w:rPr>
        <w:t>Payments for our annual incentive plans are typically made in the first quarter of the year based on prior</w:t>
      </w:r>
      <w:r>
        <w:rPr>
          <w:rFonts w:ascii="Arial" w:cs="Arial" w:eastAsia="Arial" w:hAnsi="Arial"/>
          <w:sz w:val="16"/>
          <w:szCs w:val="16"/>
          <w:i w:val="1"/>
          <w:iCs w:val="1"/>
          <w:color w:val="auto"/>
        </w:rPr>
        <w:t xml:space="preserve"> </w:t>
      </w:r>
      <w:r>
        <w:rPr>
          <w:rFonts w:ascii="Arial" w:cs="Arial" w:eastAsia="Arial" w:hAnsi="Arial"/>
          <w:sz w:val="16"/>
          <w:szCs w:val="16"/>
          <w:color w:val="auto"/>
        </w:rPr>
        <w:t>year performance. Our cash flow from operations was favorably impacted by $46 million on a year-over-year basis, as the annual incentive plan cash payments made in the first quarter of 2016 were significantly lower than the cash payments made in the first quarter of 2015.</w:t>
      </w:r>
    </w:p>
    <w:p>
      <w:pPr>
        <w:spacing w:after="0" w:line="25" w:lineRule="exact"/>
        <w:rPr>
          <w:rFonts w:ascii="Arial" w:cs="Arial" w:eastAsia="Arial" w:hAnsi="Arial"/>
          <w:sz w:val="16"/>
          <w:szCs w:val="16"/>
          <w:color w:val="auto"/>
        </w:rPr>
      </w:pPr>
    </w:p>
    <w:p>
      <w:pPr>
        <w:jc w:val="both"/>
        <w:ind w:left="660" w:hanging="206"/>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 </w:t>
      </w:r>
      <w:r>
        <w:rPr>
          <w:rFonts w:ascii="Arial" w:cs="Arial" w:eastAsia="Arial" w:hAnsi="Arial"/>
          <w:sz w:val="18"/>
          <w:szCs w:val="18"/>
          <w:color w:val="auto"/>
        </w:rPr>
        <w:t>Our cash flow from operations was unfavorably impacted</w:t>
      </w:r>
      <w:r>
        <w:rPr>
          <w:rFonts w:ascii="Arial" w:cs="Arial" w:eastAsia="Arial" w:hAnsi="Arial"/>
          <w:sz w:val="18"/>
          <w:szCs w:val="18"/>
          <w:i w:val="1"/>
          <w:iCs w:val="1"/>
          <w:color w:val="auto"/>
        </w:rPr>
        <w:t xml:space="preserve"> </w:t>
      </w:r>
      <w:r>
        <w:rPr>
          <w:rFonts w:ascii="Arial" w:cs="Arial" w:eastAsia="Arial" w:hAnsi="Arial"/>
          <w:sz w:val="18"/>
          <w:szCs w:val="18"/>
          <w:color w:val="auto"/>
        </w:rPr>
        <w:t>by $66 million on a year-over-year basis due to changes in our asset and liability accounts, exclusive of the items noted above. Although our working capital changes may vary from year to year, they are typically driven by changes in accounts receivable and accounts payable, which result from changes in revenue and costs and the timing of receipts and payments.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included in our investing cash flows for the six months ended June 30, 2016 and 2015</w:t>
      </w:r>
      <w:r>
        <w:rPr>
          <w:rFonts w:ascii="Arial" w:cs="Arial" w:eastAsia="Arial" w:hAnsi="Arial"/>
          <w:sz w:val="18"/>
          <w:szCs w:val="18"/>
          <w:i w:val="1"/>
          <w:iCs w:val="1"/>
          <w:color w:val="auto"/>
        </w:rPr>
        <w:t xml:space="preserve"> </w:t>
      </w:r>
      <w:r>
        <w:rPr>
          <w:rFonts w:ascii="Arial" w:cs="Arial" w:eastAsia="Arial" w:hAnsi="Arial"/>
          <w:sz w:val="18"/>
          <w:szCs w:val="18"/>
          <w:color w:val="auto"/>
        </w:rPr>
        <w:t>are summarized below:</w:t>
      </w:r>
    </w:p>
    <w:p>
      <w:pPr>
        <w:spacing w:after="0" w:line="51" w:lineRule="exact"/>
        <w:rPr>
          <w:sz w:val="20"/>
          <w:szCs w:val="20"/>
          <w:color w:val="auto"/>
        </w:rPr>
      </w:pPr>
    </w:p>
    <w:p>
      <w:pPr>
        <w:jc w:val="both"/>
        <w:ind w:left="660" w:hanging="206"/>
        <w:spacing w:after="0" w:line="25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Our spending on acquisitions was $572 million during the six months ended June 30, 2016 compared with $454 million during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2015. In 2016, our acquisitions consisted primarily of certain operations and business assets of SWS. In 2015, our acquisitions consisted principally of the collection and disposal operations of Deffenbaugh. These acquisitions are discussed in Note 9 to the Condensed Consolidated Financial Statements.</w:t>
      </w:r>
    </w:p>
    <w:p>
      <w:pPr>
        <w:spacing w:after="0" w:line="62" w:lineRule="exact"/>
        <w:rPr>
          <w:rFonts w:ascii="Arial" w:cs="Arial" w:eastAsia="Arial" w:hAnsi="Arial"/>
          <w:sz w:val="18"/>
          <w:szCs w:val="18"/>
          <w:color w:val="auto"/>
        </w:rPr>
      </w:pPr>
    </w:p>
    <w:p>
      <w:pPr>
        <w:jc w:val="both"/>
        <w:ind w:left="660" w:hanging="206"/>
        <w:spacing w:after="0" w:line="25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 We used $629 million and $529 million during the six months ended June 30, 2016 and 2015, respectively, for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The increase in our capital expenditures is generally the result of additional spending on new business opportunities and acquisitions, growth in our existing business and the timing of replacement of aging assets. Furthermore, the increase when compared to prior year period is a result of continual efforts to spend capital more ratably throughout the year.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5" w:name="page46"/>
    <w:bookmarkEnd w:id="45"/>
    <w:p>
      <w:pPr>
        <w:ind w:left="4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Cash Used in Financing Activities — </w:t>
      </w:r>
      <w:r>
        <w:rPr>
          <w:rFonts w:ascii="Arial" w:cs="Arial" w:eastAsia="Arial" w:hAnsi="Arial"/>
          <w:sz w:val="16"/>
          <w:szCs w:val="16"/>
          <w:color w:val="auto"/>
        </w:rPr>
        <w:t>The most significant items affecting the comparison of our financing cash flows for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2015 are summarized below:</w:t>
      </w:r>
    </w:p>
    <w:p>
      <w:pPr>
        <w:spacing w:after="0" w:line="84"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 xml:space="preserve">Debt borrowings (repayments) </w:t>
      </w:r>
      <w:r>
        <w:rPr>
          <w:rFonts w:ascii="Arial" w:cs="Arial" w:eastAsia="Arial" w:hAnsi="Arial"/>
          <w:sz w:val="16"/>
          <w:szCs w:val="16"/>
          <w:color w:val="auto"/>
        </w:rPr>
        <w:t>— The following summarizes our cash borrowings and debt repayments for the six months ended June 30 (in millions):</w:t>
      </w:r>
    </w:p>
    <w:p>
      <w:pPr>
        <w:spacing w:after="0" w:line="8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p>
        </w:tc>
        <w:tc>
          <w:tcPr>
            <w:tcW w:w="2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$2.25 billion revolving credit facility</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1,008</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term loan</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Tax-exempt bonds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Capital leases and other debt</w:t>
            </w:r>
          </w:p>
        </w:tc>
        <w:tc>
          <w:tcPr>
            <w:tcW w:w="2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2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$2.25 billion revolving credit facility</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Canadian term loan</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notes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Tax-exempt bonds</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leases and other debt</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(1,517)</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(2,181)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borrowings (repayments)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90" w:lineRule="exact"/>
        <w:rPr>
          <w:sz w:val="20"/>
          <w:szCs w:val="20"/>
          <w:color w:val="auto"/>
        </w:rPr>
      </w:pPr>
    </w:p>
    <w:p>
      <w:pPr>
        <w:jc w:val="both"/>
        <w:ind w:left="660" w:hanging="206"/>
        <w:spacing w:after="0" w:line="25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Premiums paid on early extinguishment of debt — </w:t>
      </w:r>
      <w:r>
        <w:rPr>
          <w:rFonts w:ascii="Arial" w:cs="Arial" w:eastAsia="Arial" w:hAnsi="Arial"/>
          <w:sz w:val="18"/>
          <w:szCs w:val="18"/>
          <w:color w:val="auto"/>
        </w:rPr>
        <w:t>Premiums paid on early extinguishment of debt of $555 million during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2015 relate to (i) charges for make-whole premiums on certain senior notes that the Company decided to redeem in advance of their scheduled maturities and (ii) charges related to the tender offer for certain senior notes of WM and WM Holdings. For further discussion see </w:t>
      </w:r>
      <w:r>
        <w:rPr>
          <w:rFonts w:ascii="Arial" w:cs="Arial" w:eastAsia="Arial" w:hAnsi="Arial"/>
          <w:sz w:val="18"/>
          <w:szCs w:val="18"/>
          <w:i w:val="1"/>
          <w:iCs w:val="1"/>
          <w:color w:val="auto"/>
        </w:rPr>
        <w:t>Loss on Early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Extinguishment of Debt </w:t>
      </w:r>
      <w:r>
        <w:rPr>
          <w:rFonts w:ascii="Arial" w:cs="Arial" w:eastAsia="Arial" w:hAnsi="Arial"/>
          <w:sz w:val="18"/>
          <w:szCs w:val="18"/>
          <w:color w:val="auto"/>
        </w:rPr>
        <w:t>above.</w:t>
      </w:r>
    </w:p>
    <w:p>
      <w:pPr>
        <w:spacing w:after="0" w:line="62" w:lineRule="exact"/>
        <w:rPr>
          <w:rFonts w:ascii="Arial" w:cs="Arial" w:eastAsia="Arial" w:hAnsi="Arial"/>
          <w:sz w:val="18"/>
          <w:szCs w:val="18"/>
          <w:color w:val="auto"/>
        </w:rPr>
      </w:pPr>
    </w:p>
    <w:p>
      <w:pPr>
        <w:jc w:val="both"/>
        <w:ind w:left="660" w:hanging="206"/>
        <w:spacing w:after="0" w:line="30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Dividend payments — </w:t>
      </w:r>
      <w:r>
        <w:rPr>
          <w:rFonts w:ascii="Arial" w:cs="Arial" w:eastAsia="Arial" w:hAnsi="Arial"/>
          <w:sz w:val="16"/>
          <w:szCs w:val="16"/>
          <w:color w:val="auto"/>
        </w:rPr>
        <w:t>We paid cash dividends of $364 million and $351 million during the six months ended June 30, 2016 and 2015,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dividend payments is primarily due to our quarterly per share dividend increasing from $0.385 in 2015 to $0.41 in 2016 and has been offset, in part, by a reduction in our common stock outstanding during 2016 as a result of our share repurchase program.</w:t>
      </w:r>
    </w:p>
    <w:p>
      <w:pPr>
        <w:spacing w:after="0" w:line="25"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We paid $500 million and $300 million for share repurchases during the six months ended June 30, 2016 and 2015,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See Note 12 to the Condensed Consolidated Financial Statements for additional information.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have liabilities associated with unrecognized tax benefits and related interest. These liabilities are included as a component of long-term “Other liabilities” in our Condensed Consolidated Balance Sheets because the Company does not anticipate that settlement of the liabilities will require payment of cash within the next 12 months. We are not able to reasonably estimate when we would make any cash payments required to settle these liabilities, but we do not believe that the ultimate settlement of our obligations will materially affect our liquidity. At June 30, 2016, we anticipate that approximately $7 million of liabilities for unrecognized tax benefits, including accrued interest, and $3 million of related tax assets may be reversed within the next 12 months. The anticipated reversals primarily relate to miscellaneous state tax items, each of which is individually insignificant. The recognition of the unrecognized tax benefits is expected to result from audit settlements or the expiration of the applicable statute of limitations period.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Off-Balance Sheet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14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six months ended June 30, 2016, nor are they expected to have a material impact on our future financial position,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Pending Adoption</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Financial Instrument Credit Losses — </w:t>
      </w:r>
      <w:r>
        <w:rPr>
          <w:rFonts w:ascii="Arial" w:cs="Arial" w:eastAsia="Arial" w:hAnsi="Arial"/>
          <w:sz w:val="18"/>
          <w:szCs w:val="18"/>
          <w:color w:val="auto"/>
        </w:rPr>
        <w:t>In June 2016, the FASB issued amended authoritative guidance associated with the measurement of credit losses 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The amended guidance replaces the incurred loss impairment methodology in current U.S. Generally Accepted Accounting Principles (“GAAP”)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the amended guidance and evaluating the timing and impact on our consolidated financial statements.</w:t>
      </w:r>
    </w:p>
    <w:p>
      <w:pPr>
        <w:spacing w:after="0" w:line="6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Stock Compensation — </w:t>
      </w:r>
      <w:r>
        <w:rPr>
          <w:rFonts w:ascii="Arial" w:cs="Arial" w:eastAsia="Arial" w:hAnsi="Arial"/>
          <w:sz w:val="16"/>
          <w:szCs w:val="16"/>
          <w:color w:val="auto"/>
        </w:rPr>
        <w:t>In March 2016, the FASB issued amended authoritative guidance associated with stock-based employee compensation as part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simplification initiative to reduce the cost and complexity of compliance with GAAP while maintaining or improving the usefulness of the information provided. The amended guidance changes both the accounting and financial reporting for certain income tax impacts of stock-based employee compensation. All excess tax benefits and tax deficiencies will be required to be recognized as an income tax benefit or expense rather than as a component of equity. The guidance also provides for changes in the calculation of forfeitures related to the expense of stock-based employee compensation. The amended guidance is effective for the Company on January 1, 2017, with early adoption permitted. We are assessing the provisions of the amended guidance and evaluating the timing and impact on our consolidated financial statements.</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In February 2016, the FASB issued amended authoritative guidance associated with lease accounting. The amended guidance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lease assets and lease liabilities on the balance sheet for those leases with terms in excess of 12 months and currently classified as operating leases. The disclosure of key information about leasing arrangements will also be required. The amended guidance is effective for the Company on January 1, 2019, with early adoption permitted. We are in the process of assessing the provisions of the amended guidance and evaluating the timing and impact on our consolidated financial statements and disclosures.</w:t>
      </w:r>
    </w:p>
    <w:p>
      <w:pPr>
        <w:spacing w:after="0" w:line="62"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i w:val="1"/>
          <w:iCs w:val="1"/>
          <w:color w:val="auto"/>
        </w:rPr>
        <w:t xml:space="preserve">Financial Instruments </w:t>
      </w:r>
      <w:r>
        <w:rPr>
          <w:rFonts w:ascii="Arial" w:cs="Arial" w:eastAsia="Arial" w:hAnsi="Arial"/>
          <w:sz w:val="15"/>
          <w:szCs w:val="15"/>
          <w:color w:val="auto"/>
        </w:rPr>
        <w:t>— In January 2016, the FASB issued amended authoritative guidance associated with the recognition and measurement of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assets and liabilities. The amended guidance will require certain equity investments that are not consolidated to be measured at fair value with changes in fair value recognized in net income rather than as a component of accumulated other comprehensive income. The amended guidance is effective for the Company on January 1, 2018, with early adoption permitted. The adoption of this amended guidance will not have a material impact on our consolidated financial statements.</w:t>
      </w:r>
    </w:p>
    <w:p>
      <w:pPr>
        <w:spacing w:after="0" w:line="1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In May 2014, the FASB issued amended authoritative guidance associated with revenue recognition. The amended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guidance associated with revenue recognition is effective for the Company on January 1, 2018. The amended guidance may be applied retrospectively for all periods presented or retrospectively with the cumulative effect of initially applying the amended guidance recognized at the date of initial adoption. We are in the process of assessing the provisions of the amended guidance and their impact on our consolidated financial statements. We have formed an implementation work team, completed training on the new standard and started performing reviews of our contractual arrangements. We have not determined whether the adoption will have a material impact on our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Seasonal Trends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United States, can actually increase our revenues in the areas affected. While weather-related and other “one-time” occurrences can boost revenues through additional work for a limited time span, as a result of significant start-up costs and other factors, such revenue can generate earnings at comparatively lower margins.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Information about market risks as of June 30, 2016, does not differ materially from that discussed under Item 7A in our Annual Report on Form 10-K for the year ended December 31, 2015.</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2016 (the end of the period covered by this Quarterly Report on Form 10-Q).</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2016. We determined that there were no changes in our internal control over financial reporting during the quarter ended June 30, 2016 that have materially affected, or are reasonably likely to materially affect, our internal control over financial reporting.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7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changes from risk factors previously disclosed in our Annual Report on Form 10-K for the year ended December 31, 2015 in response to Item 1A to Part I of Form 10-K.</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common stock repurchases made during the second quarter of 2016 (shares in millions):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Total Number of</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20" w:type="dxa"/>
            <w:vAlign w:val="bottom"/>
            <w:gridSpan w:val="3"/>
          </w:tcPr>
          <w:p>
            <w:pPr>
              <w:jc w:val="center"/>
              <w:ind w:right="1060"/>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Approximate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20" w:type="dxa"/>
            <w:vAlign w:val="bottom"/>
            <w:gridSpan w:val="3"/>
          </w:tcPr>
          <w:p>
            <w:pPr>
              <w:jc w:val="center"/>
              <w:ind w:right="1060"/>
              <w:spacing w:after="0" w:line="149" w:lineRule="exact"/>
              <w:rPr>
                <w:sz w:val="20"/>
                <w:szCs w:val="20"/>
                <w:color w:val="auto"/>
              </w:rPr>
            </w:pPr>
            <w:r>
              <w:rPr>
                <w:rFonts w:ascii="Arial" w:cs="Arial" w:eastAsia="Arial" w:hAnsi="Arial"/>
                <w:sz w:val="14"/>
                <w:szCs w:val="14"/>
                <w:b w:val="1"/>
                <w:bCs w:val="1"/>
                <w:color w:val="auto"/>
                <w:w w:val="94"/>
              </w:rPr>
              <w:t>Number of</w:t>
            </w:r>
          </w:p>
        </w:tc>
        <w:tc>
          <w:tcPr>
            <w:tcW w:w="16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16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460" w:type="dxa"/>
            <w:vAlign w:val="bottom"/>
          </w:tcPr>
          <w:p>
            <w:pPr>
              <w:spacing w:after="0"/>
              <w:rPr>
                <w:sz w:val="12"/>
                <w:szCs w:val="12"/>
                <w:color w:val="auto"/>
              </w:rPr>
            </w:pPr>
          </w:p>
        </w:tc>
        <w:tc>
          <w:tcPr>
            <w:tcW w:w="19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Dollar Value of Shares that</w:t>
            </w:r>
          </w:p>
        </w:tc>
        <w:tc>
          <w:tcPr>
            <w:tcW w:w="0" w:type="dxa"/>
            <w:vAlign w:val="bottom"/>
          </w:tcPr>
          <w:p>
            <w:pPr>
              <w:spacing w:after="0"/>
              <w:rPr>
                <w:sz w:val="1"/>
                <w:szCs w:val="1"/>
                <w:color w:val="auto"/>
              </w:rPr>
            </w:pPr>
          </w:p>
        </w:tc>
      </w:tr>
      <w:tr>
        <w:trPr>
          <w:trHeight w:val="149"/>
        </w:trPr>
        <w:tc>
          <w:tcPr>
            <w:tcW w:w="3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720" w:type="dxa"/>
            <w:vAlign w:val="bottom"/>
            <w:gridSpan w:val="3"/>
          </w:tcPr>
          <w:p>
            <w:pPr>
              <w:jc w:val="center"/>
              <w:ind w:right="1060"/>
              <w:spacing w:after="0" w:line="149" w:lineRule="exact"/>
              <w:rPr>
                <w:sz w:val="20"/>
                <w:szCs w:val="20"/>
                <w:color w:val="auto"/>
              </w:rPr>
            </w:pPr>
            <w:r>
              <w:rPr>
                <w:rFonts w:ascii="Arial" w:cs="Arial" w:eastAsia="Arial" w:hAnsi="Arial"/>
                <w:sz w:val="14"/>
                <w:szCs w:val="14"/>
                <w:b w:val="1"/>
                <w:bCs w:val="1"/>
                <w:color w:val="auto"/>
                <w:w w:val="81"/>
              </w:rPr>
              <w:t>Shares</w:t>
            </w: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6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2400" w:type="dxa"/>
            <w:vAlign w:val="bottom"/>
            <w:gridSpan w:val="4"/>
          </w:tcPr>
          <w:p>
            <w:pPr>
              <w:ind w:left="460"/>
              <w:spacing w:after="0" w:line="149" w:lineRule="exact"/>
              <w:rPr>
                <w:sz w:val="20"/>
                <w:szCs w:val="20"/>
                <w:color w:val="auto"/>
              </w:rPr>
            </w:pPr>
            <w:r>
              <w:rPr>
                <w:rFonts w:ascii="Arial" w:cs="Arial" w:eastAsia="Arial" w:hAnsi="Arial"/>
                <w:sz w:val="14"/>
                <w:szCs w:val="14"/>
                <w:b w:val="1"/>
                <w:bCs w:val="1"/>
                <w:color w:val="auto"/>
                <w:w w:val="99"/>
              </w:rPr>
              <w:t>May Yet be Purchased Under</w:t>
            </w:r>
          </w:p>
        </w:tc>
        <w:tc>
          <w:tcPr>
            <w:tcW w:w="0" w:type="dxa"/>
            <w:vAlign w:val="bottom"/>
          </w:tcPr>
          <w:p>
            <w:pPr>
              <w:spacing w:after="0"/>
              <w:rPr>
                <w:sz w:val="1"/>
                <w:szCs w:val="1"/>
                <w:color w:val="auto"/>
              </w:rPr>
            </w:pPr>
          </w:p>
        </w:tc>
      </w:tr>
      <w:tr>
        <w:trPr>
          <w:trHeight w:val="148"/>
        </w:trPr>
        <w:tc>
          <w:tcPr>
            <w:tcW w:w="3980" w:type="dxa"/>
            <w:vAlign w:val="bottom"/>
            <w:gridSpan w:val="4"/>
            <w:vMerge w:val="continue"/>
          </w:tcPr>
          <w:p>
            <w:pPr>
              <w:spacing w:after="0"/>
              <w:rPr>
                <w:sz w:val="12"/>
                <w:szCs w:val="12"/>
                <w:color w:val="auto"/>
              </w:rPr>
            </w:pPr>
          </w:p>
        </w:tc>
        <w:tc>
          <w:tcPr>
            <w:tcW w:w="1720" w:type="dxa"/>
            <w:vAlign w:val="bottom"/>
            <w:gridSpan w:val="3"/>
          </w:tcPr>
          <w:p>
            <w:pPr>
              <w:jc w:val="center"/>
              <w:ind w:right="1060"/>
              <w:spacing w:after="0" w:line="148" w:lineRule="exact"/>
              <w:rPr>
                <w:sz w:val="20"/>
                <w:szCs w:val="20"/>
                <w:color w:val="auto"/>
              </w:rPr>
            </w:pPr>
            <w:r>
              <w:rPr>
                <w:rFonts w:ascii="Arial" w:cs="Arial" w:eastAsia="Arial" w:hAnsi="Arial"/>
                <w:sz w:val="14"/>
                <w:szCs w:val="14"/>
                <w:b w:val="1"/>
                <w:bCs w:val="1"/>
                <w:color w:val="auto"/>
                <w:w w:val="86"/>
              </w:rPr>
              <w:t>Purchased</w:t>
            </w:r>
          </w:p>
        </w:tc>
        <w:tc>
          <w:tcPr>
            <w:tcW w:w="16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per Share</w:t>
            </w:r>
          </w:p>
        </w:tc>
        <w:tc>
          <w:tcPr>
            <w:tcW w:w="16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5"/>
              </w:rPr>
              <w:t>Programs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the Plans or 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April 1 — 30</w:t>
            </w:r>
          </w:p>
        </w:tc>
        <w:tc>
          <w:tcPr>
            <w:tcW w:w="1720" w:type="dxa"/>
            <w:vAlign w:val="bottom"/>
            <w:gridSpan w:val="3"/>
            <w:shd w:val="clear" w:color="auto" w:fill="CCEEFF"/>
          </w:tcPr>
          <w:p>
            <w:pPr>
              <w:jc w:val="right"/>
              <w:ind w:right="860"/>
              <w:spacing w:after="0" w:line="203" w:lineRule="exact"/>
              <w:rPr>
                <w:sz w:val="20"/>
                <w:szCs w:val="20"/>
                <w:color w:val="auto"/>
              </w:rPr>
            </w:pPr>
            <w:r>
              <w:rPr>
                <w:rFonts w:ascii="Arial" w:cs="Arial" w:eastAsia="Arial" w:hAnsi="Arial"/>
                <w:sz w:val="18"/>
                <w:szCs w:val="18"/>
                <w:color w:val="auto"/>
              </w:rPr>
              <w:t>0.5(a)</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61.84(a)</w:t>
            </w: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ind w:left="740"/>
              <w:spacing w:after="0" w:line="203" w:lineRule="exact"/>
              <w:rPr>
                <w:sz w:val="20"/>
                <w:szCs w:val="20"/>
                <w:color w:val="auto"/>
              </w:rPr>
            </w:pPr>
            <w:r>
              <w:rPr>
                <w:rFonts w:ascii="Arial" w:cs="Arial" w:eastAsia="Arial" w:hAnsi="Arial"/>
                <w:sz w:val="18"/>
                <w:szCs w:val="18"/>
                <w:color w:val="auto"/>
                <w:w w:val="98"/>
              </w:rPr>
              <w:t>900 million(a)</w:t>
            </w:r>
          </w:p>
        </w:tc>
        <w:tc>
          <w:tcPr>
            <w:tcW w:w="0" w:type="dxa"/>
            <w:vAlign w:val="bottom"/>
          </w:tcPr>
          <w:p>
            <w:pPr>
              <w:spacing w:after="0"/>
              <w:rPr>
                <w:sz w:val="1"/>
                <w:szCs w:val="1"/>
                <w:color w:val="auto"/>
              </w:rPr>
            </w:pPr>
          </w:p>
        </w:tc>
      </w:tr>
      <w:tr>
        <w:trPr>
          <w:trHeight w:val="322"/>
        </w:trPr>
        <w:tc>
          <w:tcPr>
            <w:tcW w:w="3980" w:type="dxa"/>
            <w:vAlign w:val="bottom"/>
            <w:gridSpan w:val="4"/>
          </w:tcPr>
          <w:p>
            <w:pPr>
              <w:spacing w:after="0"/>
              <w:rPr>
                <w:sz w:val="20"/>
                <w:szCs w:val="20"/>
                <w:color w:val="auto"/>
              </w:rPr>
            </w:pPr>
            <w:r>
              <w:rPr>
                <w:rFonts w:ascii="Arial" w:cs="Arial" w:eastAsia="Arial" w:hAnsi="Arial"/>
                <w:sz w:val="18"/>
                <w:szCs w:val="18"/>
                <w:color w:val="auto"/>
              </w:rPr>
              <w:t>May 1 — 31</w:t>
            </w:r>
          </w:p>
        </w:tc>
        <w:tc>
          <w:tcPr>
            <w:tcW w:w="1720" w:type="dxa"/>
            <w:vAlign w:val="bottom"/>
            <w:gridSpan w:val="3"/>
          </w:tcPr>
          <w:p>
            <w:pPr>
              <w:jc w:val="right"/>
              <w:ind w:right="860"/>
              <w:spacing w:after="0"/>
              <w:rPr>
                <w:sz w:val="20"/>
                <w:szCs w:val="20"/>
                <w:color w:val="auto"/>
              </w:rPr>
            </w:pPr>
            <w:r>
              <w:rPr>
                <w:rFonts w:ascii="Arial" w:cs="Arial" w:eastAsia="Arial" w:hAnsi="Arial"/>
                <w:sz w:val="18"/>
                <w:szCs w:val="18"/>
                <w:color w:val="auto"/>
              </w:rPr>
              <w:t>3.3(b)</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60.49(b)</w:t>
            </w: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3.3</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ind w:left="740"/>
              <w:spacing w:after="0"/>
              <w:rPr>
                <w:sz w:val="20"/>
                <w:szCs w:val="20"/>
                <w:color w:val="auto"/>
              </w:rPr>
            </w:pPr>
            <w:r>
              <w:rPr>
                <w:rFonts w:ascii="Arial" w:cs="Arial" w:eastAsia="Arial" w:hAnsi="Arial"/>
                <w:sz w:val="18"/>
                <w:szCs w:val="18"/>
                <w:color w:val="auto"/>
                <w:w w:val="98"/>
              </w:rPr>
              <w:t>650 million(b)</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 — 30</w:t>
            </w:r>
          </w:p>
        </w:tc>
        <w:tc>
          <w:tcPr>
            <w:tcW w:w="172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650 million</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396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80"/>
              <w:spacing w:after="0"/>
              <w:rPr>
                <w:sz w:val="20"/>
                <w:szCs w:val="20"/>
                <w:color w:val="auto"/>
              </w:rPr>
            </w:pPr>
            <w:r>
              <w:rPr>
                <w:rFonts w:ascii="Arial" w:cs="Arial" w:eastAsia="Arial" w:hAnsi="Arial"/>
                <w:sz w:val="18"/>
                <w:szCs w:val="18"/>
                <w:color w:val="auto"/>
                <w:w w:val="79"/>
              </w:rPr>
              <w:t>60.66</w:t>
            </w:r>
          </w:p>
        </w:tc>
        <w:tc>
          <w:tcPr>
            <w:tcW w:w="1060" w:type="dxa"/>
            <w:vAlign w:val="bottom"/>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2"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March 2016, the Company entered into an accelerated share repurchase (“ASR”) agreement to repurchase $100 million of our common stock. At the beginning of the ASR repurchase period, we delivered $100 million in cash and received 1.2 million shares based on a stock price of $56.95. The ASR agreement completed in April 2016, at which time we received 0.5 million additional shares based on a final weighted average per share purchase price during the repurchase period of $58.33.</w:t>
      </w:r>
    </w:p>
    <w:p>
      <w:pPr>
        <w:spacing w:after="0" w:line="1" w:lineRule="exact"/>
        <w:rPr>
          <w:rFonts w:ascii="Arial" w:cs="Arial" w:eastAsia="Arial" w:hAnsi="Arial"/>
          <w:sz w:val="18"/>
          <w:szCs w:val="18"/>
          <w:color w:val="auto"/>
        </w:rPr>
      </w:pPr>
    </w:p>
    <w:p>
      <w:pPr>
        <w:jc w:val="both"/>
        <w:ind w:left="460" w:hanging="452"/>
        <w:spacing w:after="0" w:line="295"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May 2016, the Company entered into an ASR agreement to repurchase $250 million of our common stock. At the beginning of the ASR repurchase period, we delivered $250 million in cash and received 3.3 million shares based on a stock price of $60.49.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in August 2016.</w:t>
      </w:r>
    </w:p>
    <w:p>
      <w:pPr>
        <w:spacing w:after="0" w:line="15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Exhibits.</w:t>
            </w:r>
          </w:p>
        </w:tc>
        <w:tc>
          <w:tcPr>
            <w:tcW w:w="4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219"/>
        </w:trPr>
        <w:tc>
          <w:tcPr>
            <w:tcW w:w="2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168"/>
        </w:trPr>
        <w:tc>
          <w:tcPr>
            <w:tcW w:w="26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320" w:type="dxa"/>
            <w:vAlign w:val="bottom"/>
          </w:tcPr>
          <w:p>
            <w:pPr>
              <w:spacing w:after="0"/>
              <w:rPr>
                <w:sz w:val="14"/>
                <w:szCs w:val="14"/>
                <w:color w:val="auto"/>
              </w:rPr>
            </w:pPr>
          </w:p>
        </w:tc>
      </w:tr>
      <w:tr>
        <w:trPr>
          <w:trHeight w:val="316"/>
        </w:trPr>
        <w:tc>
          <w:tcPr>
            <w:tcW w:w="260" w:type="dxa"/>
            <w:vAlign w:val="bottom"/>
          </w:tcPr>
          <w:p>
            <w:pPr>
              <w:spacing w:after="0"/>
              <w:rPr>
                <w:sz w:val="20"/>
                <w:szCs w:val="20"/>
                <w:color w:val="auto"/>
              </w:rPr>
            </w:pPr>
            <w:r>
              <w:rPr>
                <w:rFonts w:ascii="Arial" w:cs="Arial" w:eastAsia="Arial" w:hAnsi="Arial"/>
                <w:sz w:val="18"/>
                <w:szCs w:val="18"/>
                <w:color w:val="auto"/>
                <w:w w:val="95"/>
              </w:rPr>
              <w:t>4.1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60" w:type="dxa"/>
            <w:vAlign w:val="bottom"/>
            <w:gridSpan w:val="4"/>
          </w:tcPr>
          <w:p>
            <w:pPr>
              <w:ind w:left="580"/>
              <w:spacing w:after="0"/>
              <w:rPr>
                <w:sz w:val="20"/>
                <w:szCs w:val="20"/>
                <w:color w:val="auto"/>
              </w:rPr>
            </w:pPr>
            <w:r>
              <w:rPr>
                <w:rFonts w:ascii="Arial" w:cs="Arial" w:eastAsia="Arial" w:hAnsi="Arial"/>
                <w:sz w:val="18"/>
                <w:szCs w:val="18"/>
                <w:color w:val="auto"/>
                <w:w w:val="89"/>
              </w:rPr>
              <w:t>—  Officers’ Certificate delivered pursuant to Section 3.01 of the Indenture establishing the terms and form of the 2.400% Senior Notes due</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20" w:type="dxa"/>
            <w:vAlign w:val="bottom"/>
          </w:tcPr>
          <w:p>
            <w:pPr>
              <w:ind w:left="80"/>
              <w:spacing w:after="0"/>
              <w:rPr>
                <w:sz w:val="20"/>
                <w:szCs w:val="20"/>
                <w:color w:val="auto"/>
              </w:rPr>
            </w:pPr>
            <w:r>
              <w:rPr>
                <w:rFonts w:ascii="Arial" w:cs="Arial" w:eastAsia="Arial" w:hAnsi="Arial"/>
                <w:sz w:val="18"/>
                <w:szCs w:val="18"/>
                <w:color w:val="auto"/>
              </w:rPr>
              <w:t>2023.</w:t>
            </w:r>
          </w:p>
        </w:tc>
        <w:tc>
          <w:tcPr>
            <w:tcW w:w="70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4.2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60" w:type="dxa"/>
            <w:vAlign w:val="bottom"/>
            <w:gridSpan w:val="4"/>
          </w:tcPr>
          <w:p>
            <w:pPr>
              <w:ind w:left="580"/>
              <w:spacing w:after="0"/>
              <w:rPr>
                <w:sz w:val="20"/>
                <w:szCs w:val="20"/>
                <w:color w:val="auto"/>
              </w:rPr>
            </w:pPr>
            <w:r>
              <w:rPr>
                <w:rFonts w:ascii="Arial" w:cs="Arial" w:eastAsia="Arial" w:hAnsi="Arial"/>
                <w:sz w:val="18"/>
                <w:szCs w:val="18"/>
                <w:color w:val="auto"/>
                <w:w w:val="96"/>
              </w:rPr>
              <w:t>—  Guarantee Agreement by WM Holdings in favor of the holders of Waste Management, Inc.’s 2.400% Senior Notes due 2023.</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10460" w:type="dxa"/>
            <w:vAlign w:val="bottom"/>
            <w:gridSpan w:val="4"/>
          </w:tcPr>
          <w:p>
            <w:pPr>
              <w:ind w:left="580"/>
              <w:spacing w:after="0"/>
              <w:rPr>
                <w:sz w:val="20"/>
                <w:szCs w:val="20"/>
                <w:color w:val="auto"/>
              </w:rPr>
            </w:pPr>
            <w:r>
              <w:rPr>
                <w:rFonts w:ascii="Arial" w:cs="Arial" w:eastAsia="Arial" w:hAnsi="Arial"/>
                <w:sz w:val="18"/>
                <w:szCs w:val="18"/>
                <w:color w:val="auto"/>
                <w:w w:val="90"/>
              </w:rPr>
              <w:t>—  Certification Pursuant to Rules 13a-14(a) and 15d-14(a) under the Securities Exchange Act of 1934, as amended, of David P. Steiner,</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40" w:type="dxa"/>
            <w:vAlign w:val="bottom"/>
            <w:gridSpan w:val="3"/>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0460" w:type="dxa"/>
            <w:vAlign w:val="bottom"/>
            <w:gridSpan w:val="4"/>
          </w:tcPr>
          <w:p>
            <w:pPr>
              <w:ind w:left="580"/>
              <w:spacing w:after="0"/>
              <w:rPr>
                <w:sz w:val="20"/>
                <w:szCs w:val="20"/>
                <w:color w:val="auto"/>
              </w:rPr>
            </w:pPr>
            <w:r>
              <w:rPr>
                <w:rFonts w:ascii="Arial" w:cs="Arial" w:eastAsia="Arial" w:hAnsi="Arial"/>
                <w:sz w:val="18"/>
                <w:szCs w:val="18"/>
                <w:color w:val="auto"/>
                <w:w w:val="89"/>
              </w:rPr>
              <w:t>—  Certification Pursuant to Rules 13a-14(a) and 15d-14(a) under the Securities Exchange Act of 1934, as amended, of James C. Fish, Jr.,</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40" w:type="dxa"/>
            <w:vAlign w:val="bottom"/>
            <w:gridSpan w:val="3"/>
          </w:tcPr>
          <w:p>
            <w:pPr>
              <w:ind w:left="80"/>
              <w:spacing w:after="0"/>
              <w:rPr>
                <w:sz w:val="20"/>
                <w:szCs w:val="20"/>
                <w:color w:val="auto"/>
              </w:rPr>
            </w:pPr>
            <w:r>
              <w:rPr>
                <w:rFonts w:ascii="Arial" w:cs="Arial" w:eastAsia="Arial" w:hAnsi="Arial"/>
                <w:sz w:val="18"/>
                <w:szCs w:val="18"/>
                <w:color w:val="auto"/>
              </w:rPr>
              <w:t>Executive Vice President and Chief Financial Officer.</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0460" w:type="dxa"/>
            <w:vAlign w:val="bottom"/>
            <w:gridSpan w:val="4"/>
          </w:tcPr>
          <w:p>
            <w:pPr>
              <w:ind w:left="58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10460" w:type="dxa"/>
            <w:vAlign w:val="bottom"/>
            <w:gridSpan w:val="4"/>
          </w:tcPr>
          <w:p>
            <w:pPr>
              <w:ind w:left="580"/>
              <w:spacing w:after="0"/>
              <w:rPr>
                <w:sz w:val="20"/>
                <w:szCs w:val="20"/>
                <w:color w:val="auto"/>
              </w:rPr>
            </w:pPr>
            <w:r>
              <w:rPr>
                <w:rFonts w:ascii="Arial" w:cs="Arial" w:eastAsia="Arial" w:hAnsi="Arial"/>
                <w:sz w:val="18"/>
                <w:szCs w:val="18"/>
                <w:color w:val="auto"/>
              </w:rPr>
              <w:t>—  Certification Pursuant to 18 U.S.C. §1350 of James C. Fish, Jr., Executive Vice President and Chief Financial Officer.</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80"/>
              <w:spacing w:after="0"/>
              <w:rPr>
                <w:sz w:val="20"/>
                <w:szCs w:val="20"/>
                <w:color w:val="auto"/>
              </w:rPr>
            </w:pPr>
            <w:r>
              <w:rPr>
                <w:rFonts w:ascii="Arial" w:cs="Arial" w:eastAsia="Arial" w:hAnsi="Arial"/>
                <w:sz w:val="18"/>
                <w:szCs w:val="18"/>
                <w:color w:val="auto"/>
              </w:rPr>
              <w:t>Mine Safety Disclosures.</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80"/>
              <w:spacing w:after="0"/>
              <w:rPr>
                <w:sz w:val="20"/>
                <w:szCs w:val="20"/>
                <w:color w:val="auto"/>
              </w:rPr>
            </w:pPr>
            <w:r>
              <w:rPr>
                <w:rFonts w:ascii="Arial" w:cs="Arial" w:eastAsia="Arial" w:hAnsi="Arial"/>
                <w:sz w:val="18"/>
                <w:szCs w:val="18"/>
                <w:color w:val="auto"/>
              </w:rPr>
              <w:t>XBRL Instance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20" w:type="dxa"/>
            <w:vAlign w:val="bottom"/>
          </w:tcPr>
          <w:p>
            <w:pPr>
              <w:spacing w:after="0"/>
              <w:rPr>
                <w:sz w:val="24"/>
                <w:szCs w:val="24"/>
                <w:color w:val="auto"/>
              </w:rPr>
            </w:pPr>
          </w:p>
        </w:tc>
        <w:tc>
          <w:tcPr>
            <w:tcW w:w="10460" w:type="dxa"/>
            <w:vAlign w:val="bottom"/>
            <w:gridSpan w:val="4"/>
          </w:tcPr>
          <w:p>
            <w:pPr>
              <w:ind w:left="580"/>
              <w:spacing w:after="0"/>
              <w:rPr>
                <w:sz w:val="20"/>
                <w:szCs w:val="20"/>
                <w:color w:val="auto"/>
              </w:rPr>
            </w:pPr>
            <w:r>
              <w:rPr>
                <w:rFonts w:ascii="Arial" w:cs="Arial" w:eastAsia="Arial" w:hAnsi="Arial"/>
                <w:sz w:val="18"/>
                <w:szCs w:val="18"/>
                <w:color w:val="auto"/>
              </w:rPr>
              <w:t>—  XBRL Taxonomy Extension Schema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10460" w:type="dxa"/>
            <w:vAlign w:val="bottom"/>
            <w:gridSpan w:val="4"/>
          </w:tcPr>
          <w:p>
            <w:pPr>
              <w:ind w:left="58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20" w:type="dxa"/>
            <w:vAlign w:val="bottom"/>
          </w:tcPr>
          <w:p>
            <w:pPr>
              <w:spacing w:after="0"/>
              <w:rPr>
                <w:sz w:val="24"/>
                <w:szCs w:val="24"/>
                <w:color w:val="auto"/>
              </w:rPr>
            </w:pPr>
          </w:p>
        </w:tc>
        <w:tc>
          <w:tcPr>
            <w:tcW w:w="10460" w:type="dxa"/>
            <w:vAlign w:val="bottom"/>
            <w:gridSpan w:val="4"/>
          </w:tcPr>
          <w:p>
            <w:pPr>
              <w:ind w:left="580"/>
              <w:spacing w:after="0"/>
              <w:rPr>
                <w:sz w:val="20"/>
                <w:szCs w:val="20"/>
                <w:color w:val="auto"/>
              </w:rPr>
            </w:pPr>
            <w:r>
              <w:rPr>
                <w:rFonts w:ascii="Arial" w:cs="Arial" w:eastAsia="Arial" w:hAnsi="Arial"/>
                <w:sz w:val="18"/>
                <w:szCs w:val="18"/>
                <w:color w:val="auto"/>
              </w:rPr>
              <w:t>—  XBRL Taxonomy Extension Definition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10460" w:type="dxa"/>
            <w:vAlign w:val="bottom"/>
            <w:gridSpan w:val="4"/>
          </w:tcPr>
          <w:p>
            <w:pPr>
              <w:ind w:left="580"/>
              <w:spacing w:after="0"/>
              <w:rPr>
                <w:sz w:val="20"/>
                <w:szCs w:val="20"/>
                <w:color w:val="auto"/>
              </w:rPr>
            </w:pPr>
            <w:r>
              <w:rPr>
                <w:rFonts w:ascii="Arial" w:cs="Arial" w:eastAsia="Arial" w:hAnsi="Arial"/>
                <w:sz w:val="18"/>
                <w:szCs w:val="18"/>
                <w:color w:val="auto"/>
              </w:rPr>
              <w:t>—  XBRL Taxonomy Extension Labels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20" w:type="dxa"/>
            <w:vAlign w:val="bottom"/>
          </w:tcPr>
          <w:p>
            <w:pPr>
              <w:spacing w:after="0"/>
              <w:rPr>
                <w:sz w:val="24"/>
                <w:szCs w:val="24"/>
                <w:color w:val="auto"/>
              </w:rPr>
            </w:pPr>
          </w:p>
        </w:tc>
        <w:tc>
          <w:tcPr>
            <w:tcW w:w="10460" w:type="dxa"/>
            <w:vAlign w:val="bottom"/>
            <w:gridSpan w:val="4"/>
          </w:tcPr>
          <w:p>
            <w:pPr>
              <w:ind w:left="58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365"/>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20" w:type="dxa"/>
            <w:vAlign w:val="bottom"/>
          </w:tcPr>
          <w:p>
            <w:pPr>
              <w:ind w:left="4080"/>
              <w:spacing w:after="0"/>
              <w:rPr>
                <w:sz w:val="20"/>
                <w:szCs w:val="20"/>
                <w:color w:val="auto"/>
              </w:rPr>
            </w:pPr>
            <w:r>
              <w:rPr>
                <w:rFonts w:ascii="Arial" w:cs="Arial" w:eastAsia="Arial" w:hAnsi="Arial"/>
                <w:sz w:val="18"/>
                <w:szCs w:val="18"/>
                <w:color w:val="auto"/>
              </w:rPr>
              <w:t>50</w:t>
            </w:r>
          </w:p>
        </w:tc>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Don P. Carpenter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undersigned, the Vice President and Treasurer, and the Corporate Secretary of Waste Management, Inc. (the “Company”), hereby certify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1" w:lineRule="exact"/>
        <w:rPr>
          <w:sz w:val="20"/>
          <w:szCs w:val="20"/>
          <w:color w:val="auto"/>
        </w:rPr>
      </w:pPr>
    </w:p>
    <w:p>
      <w:pPr>
        <w:ind w:right="60" w:firstLine="921"/>
        <w:spacing w:after="0" w:line="279" w:lineRule="auto"/>
        <w:tabs>
          <w:tab w:leader="none" w:pos="109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16, 2016 (the “Order”) for the authentication and delivery by the Trustee of $500,000,000 aggregate principal amount of 2.400% Senior Notes due 2023 (the “Notes”).</w:t>
      </w:r>
    </w:p>
    <w:p>
      <w:pPr>
        <w:spacing w:after="0" w:line="171" w:lineRule="exact"/>
        <w:rPr>
          <w:rFonts w:ascii="Arial" w:cs="Arial" w:eastAsia="Arial" w:hAnsi="Arial"/>
          <w:sz w:val="17"/>
          <w:szCs w:val="17"/>
          <w:color w:val="auto"/>
        </w:rPr>
      </w:pPr>
    </w:p>
    <w:p>
      <w:pPr>
        <w:ind w:left="1100" w:hanging="179"/>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225" w:lineRule="exact"/>
        <w:rPr>
          <w:rFonts w:ascii="Arial" w:cs="Arial" w:eastAsia="Arial" w:hAnsi="Arial"/>
          <w:sz w:val="18"/>
          <w:szCs w:val="18"/>
          <w:color w:val="auto"/>
        </w:rPr>
      </w:pPr>
    </w:p>
    <w:p>
      <w:pPr>
        <w:ind w:right="220" w:firstLine="921"/>
        <w:spacing w:after="0" w:line="342" w:lineRule="auto"/>
        <w:tabs>
          <w:tab w:leader="none" w:pos="109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23" w:lineRule="exact"/>
        <w:rPr>
          <w:rFonts w:ascii="Arial" w:cs="Arial" w:eastAsia="Arial" w:hAnsi="Arial"/>
          <w:sz w:val="16"/>
          <w:szCs w:val="16"/>
          <w:color w:val="auto"/>
        </w:rPr>
      </w:pPr>
    </w:p>
    <w:p>
      <w:pPr>
        <w:ind w:left="1100" w:hanging="179"/>
        <w:spacing w:after="0"/>
        <w:tabs>
          <w:tab w:leader="none" w:pos="11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read the covenants, conditions and provisions of the Indenture relating thereto.</w:t>
      </w:r>
    </w:p>
    <w:p>
      <w:pPr>
        <w:spacing w:after="0" w:line="248" w:lineRule="exact"/>
        <w:rPr>
          <w:rFonts w:ascii="Arial" w:cs="Arial" w:eastAsia="Arial" w:hAnsi="Arial"/>
          <w:sz w:val="16"/>
          <w:szCs w:val="16"/>
          <w:color w:val="auto"/>
        </w:rPr>
      </w:pPr>
    </w:p>
    <w:p>
      <w:pPr>
        <w:ind w:right="360" w:firstLine="921"/>
        <w:spacing w:after="0" w:line="264" w:lineRule="auto"/>
        <w:tabs>
          <w:tab w:leader="none" w:pos="1093"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1" w:lineRule="exact"/>
        <w:rPr>
          <w:rFonts w:ascii="Arial" w:cs="Arial" w:eastAsia="Arial" w:hAnsi="Arial"/>
          <w:sz w:val="18"/>
          <w:szCs w:val="18"/>
          <w:color w:val="auto"/>
        </w:rPr>
      </w:pPr>
    </w:p>
    <w:p>
      <w:pPr>
        <w:ind w:right="40" w:firstLine="921"/>
        <w:spacing w:after="0" w:line="264" w:lineRule="auto"/>
        <w:tabs>
          <w:tab w:leader="none" w:pos="109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$500,000,000 aggregate principal amount of the Notes have been complied with, and such Notes may be delivered in accordance with the Order as provided in the Indenture.</w:t>
      </w:r>
    </w:p>
    <w:p>
      <w:pPr>
        <w:spacing w:after="0" w:line="181" w:lineRule="exact"/>
        <w:rPr>
          <w:rFonts w:ascii="Arial" w:cs="Arial" w:eastAsia="Arial" w:hAnsi="Arial"/>
          <w:sz w:val="18"/>
          <w:szCs w:val="18"/>
          <w:color w:val="auto"/>
        </w:rPr>
      </w:pPr>
    </w:p>
    <w:p>
      <w:pPr>
        <w:ind w:right="80" w:firstLine="921"/>
        <w:spacing w:after="0" w:line="264" w:lineRule="auto"/>
        <w:tabs>
          <w:tab w:leader="none" w:pos="1093"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duly authorized by resolutions of the Board of Directors of the Company as of August 20, 2015 and such resolutions,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hereunto executed as of the date first written above.</w:t>
      </w:r>
    </w:p>
    <w:p>
      <w:pPr>
        <w:spacing w:after="0" w:line="200" w:lineRule="exact"/>
        <w:rPr>
          <w:sz w:val="20"/>
          <w:szCs w:val="20"/>
          <w:color w:val="auto"/>
        </w:rPr>
      </w:pPr>
    </w:p>
    <w:p>
      <w:pPr>
        <w:spacing w:after="0" w:line="30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14605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Devina A. Rankin</w:t>
      </w:r>
    </w:p>
    <w:p>
      <w:pPr>
        <w:spacing w:after="0" w:line="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Vice President and Treasurer</w:t>
      </w:r>
    </w:p>
    <w:p>
      <w:pPr>
        <w:spacing w:after="0" w:line="3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14605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Courtney A. Tippy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9299"/>
          </w:cols>
          <w:pgMar w:left="1160" w:top="274" w:right="1440" w:bottom="1440" w:gutter="0" w:footer="0" w:header="0"/>
        </w:sectPr>
      </w:pPr>
    </w:p>
    <w:bookmarkStart w:id="53" w:name="page54"/>
    <w:bookmarkEnd w:id="53"/>
    <w:p>
      <w:pPr>
        <w:jc w:val="center"/>
        <w:ind w:right="-7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Pursuant to authority granted by the Board of Directors of the Company on August 20, 2015 and the Sole Director of Waste Management Holdings, Inc. on October 19, 2015 and May 3, 2016,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9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title of the series of Securities shall be “2.400% Senior Notes due 2023” (the “Notes”).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130" w:lineRule="exact"/>
        <w:rPr>
          <w:rFonts w:ascii="Arial" w:cs="Arial" w:eastAsia="Arial" w:hAnsi="Arial"/>
          <w:sz w:val="18"/>
          <w:szCs w:val="18"/>
          <w:color w:val="auto"/>
        </w:rPr>
      </w:pPr>
    </w:p>
    <w:p>
      <w:pPr>
        <w:ind w:left="460" w:right="100" w:hanging="452"/>
        <w:spacing w:after="0" w:line="279"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76" w:lineRule="exact"/>
        <w:rPr>
          <w:rFonts w:ascii="Arial" w:cs="Arial" w:eastAsia="Arial" w:hAnsi="Arial"/>
          <w:sz w:val="17"/>
          <w:szCs w:val="17"/>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May 15, 2023.</w:t>
      </w:r>
    </w:p>
    <w:p>
      <w:pPr>
        <w:spacing w:after="0" w:line="130" w:lineRule="exact"/>
        <w:rPr>
          <w:rFonts w:ascii="Arial" w:cs="Arial" w:eastAsia="Arial" w:hAnsi="Arial"/>
          <w:sz w:val="18"/>
          <w:szCs w:val="18"/>
          <w:color w:val="auto"/>
        </w:rPr>
      </w:pPr>
    </w:p>
    <w:p>
      <w:pPr>
        <w:ind w:left="460" w:right="160" w:hanging="452"/>
        <w:spacing w:after="0" w:line="30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Note shall bear interest from May 16, 2016 at the fixed rate of 2.400% per annum; the Interest Payment Dates on which such interest shall be payable shall be May 15 and November 15, of each year, commencing November 15, 2016, until maturity unless such date falls on a day that is not a Business Day, in which case, such payment shall be made on the next day that is a Business Day. The Regular Record Date for the determination of Holders to whom interest is payable shall be May 1 or November 1, respectively, immediately preceding such date, as the case may be.</w:t>
      </w:r>
    </w:p>
    <w:p>
      <w:pPr>
        <w:spacing w:after="0" w:line="59" w:lineRule="exact"/>
        <w:rPr>
          <w:rFonts w:ascii="Arial" w:cs="Arial" w:eastAsia="Arial" w:hAnsi="Arial"/>
          <w:sz w:val="16"/>
          <w:szCs w:val="16"/>
          <w:color w:val="auto"/>
        </w:rPr>
      </w:pPr>
    </w:p>
    <w:p>
      <w:pPr>
        <w:ind w:left="460" w:right="80" w:hanging="452"/>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86"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ectPr>
          <w:pgSz w:w="11900" w:h="16838" w:orient="portrait"/>
          <w:cols w:equalWidth="0" w:num="1">
            <w:col w:w="11340"/>
          </w:cols>
          <w:pgMar w:left="240" w:top="274" w:right="319" w:bottom="1440" w:gutter="0" w:footer="0" w:header="0"/>
        </w:sectPr>
      </w:pPr>
    </w:p>
    <w:bookmarkStart w:id="54" w:name="page55"/>
    <w:bookmarkEnd w:id="54"/>
    <w:p>
      <w:pPr>
        <w:ind w:left="452" w:right="180" w:hanging="452"/>
        <w:spacing w:after="0" w:line="259" w:lineRule="auto"/>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92" w:lineRule="exact"/>
        <w:rPr>
          <w:rFonts w:ascii="Arial" w:cs="Arial" w:eastAsia="Arial" w:hAnsi="Arial"/>
          <w:sz w:val="18"/>
          <w:szCs w:val="18"/>
          <w:color w:val="auto"/>
        </w:rPr>
      </w:pPr>
    </w:p>
    <w:p>
      <w:pPr>
        <w:ind w:left="452" w:hanging="452"/>
        <w:spacing w:after="0" w:line="290" w:lineRule="auto"/>
        <w:tabs>
          <w:tab w:leader="none" w:pos="452" w:val="left"/>
        </w:tabs>
        <w:numPr>
          <w:ilvl w:val="0"/>
          <w:numId w:val="42"/>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March 15, 2023.</w:t>
      </w:r>
    </w:p>
    <w:p>
      <w:pPr>
        <w:spacing w:after="0" w:line="71" w:lineRule="exact"/>
        <w:rPr>
          <w:rFonts w:ascii="Arial" w:cs="Arial" w:eastAsia="Arial" w:hAnsi="Arial"/>
          <w:sz w:val="16"/>
          <w:szCs w:val="16"/>
          <w:color w:val="auto"/>
        </w:rPr>
      </w:pPr>
    </w:p>
    <w:p>
      <w:pPr>
        <w:ind w:left="452" w:right="520" w:hanging="452"/>
        <w:spacing w:after="0" w:line="277" w:lineRule="auto"/>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75" w:lineRule="exact"/>
        <w:rPr>
          <w:rFonts w:ascii="Arial" w:cs="Arial" w:eastAsia="Arial" w:hAnsi="Arial"/>
          <w:sz w:val="18"/>
          <w:szCs w:val="18"/>
          <w:color w:val="auto"/>
        </w:rPr>
      </w:pPr>
    </w:p>
    <w:p>
      <w:pPr>
        <w:ind w:left="452" w:right="980" w:hanging="452"/>
        <w:spacing w:after="0" w:line="277" w:lineRule="auto"/>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130" w:lineRule="exact"/>
        <w:rPr>
          <w:rFonts w:ascii="Arial" w:cs="Arial" w:eastAsia="Arial" w:hAnsi="Arial"/>
          <w:sz w:val="18"/>
          <w:szCs w:val="18"/>
          <w:color w:val="auto"/>
        </w:rPr>
      </w:pPr>
    </w:p>
    <w:p>
      <w:pPr>
        <w:ind w:left="452" w:right="240" w:hanging="452"/>
        <w:spacing w:after="0" w:line="302" w:lineRule="auto"/>
        <w:tabs>
          <w:tab w:leader="none" w:pos="45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Notes will be fully and unconditionally guaranteed on a senior basis by the Company’s wholly owned subsidiary, Waste Management Holdings, Inc., pursuant to the terms and conditions of a Guarantee Agreement dated May 16, 2016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ectPr>
          <w:pgSz w:w="11900" w:h="16838" w:orient="portrait"/>
          <w:cols w:equalWidth="0" w:num="1">
            <w:col w:w="11412"/>
          </w:cols>
          <w:pgMar w:left="248" w:top="27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BOOK-ENTRY SECURITY</w:t>
      </w:r>
    </w:p>
    <w:p>
      <w:pPr>
        <w:spacing w:after="0" w:line="225"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RGN</w:t>
            </w:r>
          </w:p>
        </w:tc>
        <w:tc>
          <w:tcPr>
            <w:tcW w:w="2940" w:type="dxa"/>
            <w:vAlign w:val="bottom"/>
          </w:tcPr>
          <w:p>
            <w:pPr>
              <w:jc w:val="right"/>
              <w:spacing w:after="0"/>
              <w:rPr>
                <w:sz w:val="20"/>
                <w:szCs w:val="20"/>
                <w:color w:val="auto"/>
              </w:rPr>
            </w:pPr>
            <w:r>
              <w:rPr>
                <w:rFonts w:ascii="Arial" w:cs="Arial" w:eastAsia="Arial" w:hAnsi="Arial"/>
                <w:sz w:val="18"/>
                <w:szCs w:val="18"/>
                <w:color w:val="auto"/>
              </w:rPr>
              <w:t>Principal Amount</w:t>
            </w:r>
          </w:p>
        </w:tc>
      </w:tr>
      <w:tr>
        <w:trPr>
          <w:trHeight w:val="418"/>
        </w:trPr>
        <w:tc>
          <w:tcPr>
            <w:tcW w:w="848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w w:val="78"/>
              </w:rPr>
              <w:t>U.S. $,</w:t>
            </w:r>
          </w:p>
        </w:tc>
      </w:tr>
      <w:tr>
        <w:trPr>
          <w:trHeight w:val="216"/>
        </w:trPr>
        <w:tc>
          <w:tcPr>
            <w:tcW w:w="848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which may be decreased</w:t>
            </w:r>
          </w:p>
        </w:tc>
      </w:tr>
      <w:tr>
        <w:trPr>
          <w:trHeight w:val="216"/>
        </w:trPr>
        <w:tc>
          <w:tcPr>
            <w:tcW w:w="848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by the Schedule of</w:t>
            </w:r>
          </w:p>
        </w:tc>
      </w:tr>
      <w:tr>
        <w:trPr>
          <w:trHeight w:val="216"/>
        </w:trPr>
        <w:tc>
          <w:tcPr>
            <w:tcW w:w="848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Exchanges of Definitive</w:t>
            </w:r>
          </w:p>
        </w:tc>
      </w:tr>
      <w:tr>
        <w:trPr>
          <w:trHeight w:val="244"/>
        </w:trPr>
        <w:tc>
          <w:tcPr>
            <w:tcW w:w="8480" w:type="dxa"/>
            <w:vAlign w:val="bottom"/>
          </w:tcPr>
          <w:p>
            <w:pPr>
              <w:jc w:val="center"/>
              <w:ind w:left="3330"/>
              <w:spacing w:after="0"/>
              <w:rPr>
                <w:sz w:val="20"/>
                <w:szCs w:val="20"/>
                <w:color w:val="auto"/>
              </w:rPr>
            </w:pPr>
            <w:r>
              <w:rPr>
                <w:rFonts w:ascii="Arial" w:cs="Arial" w:eastAsia="Arial" w:hAnsi="Arial"/>
                <w:sz w:val="18"/>
                <w:szCs w:val="18"/>
                <w:color w:val="auto"/>
                <w:w w:val="97"/>
              </w:rPr>
              <w:t>WASTE MANAGEMENT, INC.</w:t>
            </w:r>
          </w:p>
        </w:tc>
        <w:tc>
          <w:tcPr>
            <w:tcW w:w="2940" w:type="dxa"/>
            <w:vAlign w:val="bottom"/>
          </w:tcPr>
          <w:p>
            <w:pPr>
              <w:jc w:val="right"/>
              <w:spacing w:after="0"/>
              <w:rPr>
                <w:sz w:val="20"/>
                <w:szCs w:val="20"/>
                <w:color w:val="auto"/>
              </w:rPr>
            </w:pPr>
            <w:r>
              <w:rPr>
                <w:rFonts w:ascii="Arial" w:cs="Arial" w:eastAsia="Arial" w:hAnsi="Arial"/>
                <w:sz w:val="18"/>
                <w:szCs w:val="18"/>
                <w:color w:val="auto"/>
              </w:rPr>
              <w:t>Security attached hereto</w:t>
            </w:r>
          </w:p>
        </w:tc>
      </w:tr>
      <w:tr>
        <w:trPr>
          <w:trHeight w:val="432"/>
        </w:trPr>
        <w:tc>
          <w:tcPr>
            <w:tcW w:w="8480" w:type="dxa"/>
            <w:vAlign w:val="bottom"/>
          </w:tcPr>
          <w:p>
            <w:pPr>
              <w:jc w:val="center"/>
              <w:ind w:left="3330"/>
              <w:spacing w:after="0"/>
              <w:rPr>
                <w:sz w:val="20"/>
                <w:szCs w:val="20"/>
                <w:color w:val="auto"/>
              </w:rPr>
            </w:pPr>
            <w:r>
              <w:rPr>
                <w:rFonts w:ascii="Arial" w:cs="Arial" w:eastAsia="Arial" w:hAnsi="Arial"/>
                <w:sz w:val="18"/>
                <w:szCs w:val="18"/>
                <w:color w:val="auto"/>
                <w:w w:val="93"/>
              </w:rPr>
              <w:t>2.400% SENIOR NOTES DUE 2023</w:t>
            </w:r>
          </w:p>
        </w:tc>
        <w:tc>
          <w:tcPr>
            <w:tcW w:w="2940" w:type="dxa"/>
            <w:vAlign w:val="bottom"/>
          </w:tcPr>
          <w:p>
            <w:pPr>
              <w:spacing w:after="0"/>
              <w:rPr>
                <w:sz w:val="24"/>
                <w:szCs w:val="24"/>
                <w:color w:val="auto"/>
              </w:rPr>
            </w:pPr>
          </w:p>
        </w:tc>
      </w:tr>
      <w:tr>
        <w:trPr>
          <w:trHeight w:val="432"/>
        </w:trPr>
        <w:tc>
          <w:tcPr>
            <w:tcW w:w="848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CUSIP 94106L BD0</w:t>
            </w:r>
          </w:p>
        </w:tc>
      </w:tr>
    </w:tbl>
    <w:p>
      <w:pPr>
        <w:spacing w:after="0" w:line="202"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spacing w:after="0" w:line="253" w:lineRule="auto"/>
        <w:rPr>
          <w:sz w:val="20"/>
          <w:szCs w:val="20"/>
          <w:color w:val="auto"/>
        </w:rPr>
      </w:pPr>
      <w:r>
        <w:rPr>
          <w:rFonts w:ascii="Arial" w:cs="Arial" w:eastAsia="Arial" w:hAnsi="Arial"/>
          <w:sz w:val="18"/>
          <w:szCs w:val="18"/>
          <w:color w:val="auto"/>
        </w:rPr>
        <w:t>Million ($ ) U.S. dollars, or such lesser principal sum as is shown on the attached Schedule of Exchanges of Definitive Security, on May 15, 2023 in such coin or currency of the United States of America as at the time of payment shall be legal tender for the payment of public and private debts, and to pay interest at an annual rate of 2.400% payable on May 15 and November 15 of each year, to the person in whose name this Security is registered at the close of business on the record date for such interest, which shall be the preceding May 1 or November 1, respectively, payable commencing November 15, 2016, with interest consisting of interest accrued from May 16, 2016.</w:t>
      </w:r>
    </w:p>
    <w:p>
      <w:pPr>
        <w:sectPr>
          <w:pgSz w:w="11900" w:h="16838" w:orient="portrait"/>
          <w:cols w:equalWidth="0" w:num="1">
            <w:col w:w="11420"/>
          </w:cols>
          <w:pgMar w:left="240" w:top="274" w:right="239" w:bottom="1440" w:gutter="0" w:footer="0" w:header="0"/>
        </w:sectPr>
      </w:pPr>
    </w:p>
    <w:bookmarkStart w:id="56" w:name="page57"/>
    <w:bookmarkEnd w:id="5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$500,000,000 in principal amount designated as the 2.400% Senior Notes due 2023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hereby irrevocably undertakes to the Holder hereof to exchange this Security in accordance with the terms of the Indenture without charge.</w:t>
      </w:r>
    </w:p>
    <w:p>
      <w:pPr>
        <w:sectPr>
          <w:pgSz w:w="11900" w:h="16838" w:orient="portrait"/>
          <w:cols w:equalWidth="0" w:num="1">
            <w:col w:w="11320"/>
          </w:cols>
          <w:pgMar w:left="240" w:top="274" w:right="339" w:bottom="1440" w:gutter="0" w:footer="0" w:header="0"/>
        </w:sectPr>
      </w:pPr>
    </w:p>
    <w:bookmarkStart w:id="57" w:name="page58"/>
    <w:bookmarkEnd w:id="57"/>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Security shall not be valid or become obligatory for any purpose until the Certificate of Authentication hereon shall have been manually signed by the Trustee under the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Dated: May 16, 2016</w:t>
            </w:r>
          </w:p>
        </w:tc>
        <w:tc>
          <w:tcPr>
            <w:tcW w:w="6960" w:type="dxa"/>
            <w:vAlign w:val="bottom"/>
            <w:gridSpan w:val="2"/>
          </w:tcPr>
          <w:p>
            <w:pPr>
              <w:ind w:left="1440"/>
              <w:spacing w:after="0"/>
              <w:rPr>
                <w:sz w:val="20"/>
                <w:szCs w:val="20"/>
                <w:color w:val="auto"/>
              </w:rPr>
            </w:pPr>
            <w:r>
              <w:rPr>
                <w:rFonts w:ascii="Arial" w:cs="Arial" w:eastAsia="Arial" w:hAnsi="Arial"/>
                <w:sz w:val="18"/>
                <w:szCs w:val="18"/>
                <w:color w:val="auto"/>
              </w:rPr>
              <w:t>WASTE MANAGEMENT, INC.,</w:t>
            </w:r>
          </w:p>
        </w:tc>
      </w:tr>
      <w:tr>
        <w:trPr>
          <w:trHeight w:val="230"/>
        </w:trPr>
        <w:tc>
          <w:tcPr>
            <w:tcW w:w="4460" w:type="dxa"/>
            <w:vAlign w:val="bottom"/>
          </w:tcPr>
          <w:p>
            <w:pPr>
              <w:spacing w:after="0"/>
              <w:rPr>
                <w:sz w:val="20"/>
                <w:szCs w:val="20"/>
                <w:color w:val="auto"/>
              </w:rPr>
            </w:pPr>
          </w:p>
        </w:tc>
        <w:tc>
          <w:tcPr>
            <w:tcW w:w="6960" w:type="dxa"/>
            <w:vAlign w:val="bottom"/>
            <w:gridSpan w:val="2"/>
          </w:tcPr>
          <w:p>
            <w:pPr>
              <w:ind w:left="1440"/>
              <w:spacing w:after="0"/>
              <w:rPr>
                <w:sz w:val="20"/>
                <w:szCs w:val="20"/>
                <w:color w:val="auto"/>
              </w:rPr>
            </w:pPr>
            <w:r>
              <w:rPr>
                <w:rFonts w:ascii="Arial" w:cs="Arial" w:eastAsia="Arial" w:hAnsi="Arial"/>
                <w:sz w:val="18"/>
                <w:szCs w:val="18"/>
                <w:color w:val="auto"/>
              </w:rPr>
              <w:t>a Delaware corporation</w:t>
            </w:r>
          </w:p>
        </w:tc>
      </w:tr>
      <w:tr>
        <w:trPr>
          <w:trHeight w:val="446"/>
        </w:trPr>
        <w:tc>
          <w:tcPr>
            <w:tcW w:w="4460" w:type="dxa"/>
            <w:vAlign w:val="bottom"/>
          </w:tcPr>
          <w:p>
            <w:pPr>
              <w:spacing w:after="0"/>
              <w:rPr>
                <w:sz w:val="24"/>
                <w:szCs w:val="24"/>
                <w:color w:val="auto"/>
              </w:rPr>
            </w:pPr>
          </w:p>
        </w:tc>
        <w:tc>
          <w:tcPr>
            <w:tcW w:w="6960" w:type="dxa"/>
            <w:vAlign w:val="bottom"/>
            <w:gridSpan w:val="2"/>
          </w:tcPr>
          <w:p>
            <w:pPr>
              <w:ind w:left="1440"/>
              <w:spacing w:after="0"/>
              <w:rPr>
                <w:sz w:val="20"/>
                <w:szCs w:val="20"/>
                <w:color w:val="auto"/>
              </w:rPr>
            </w:pPr>
            <w:r>
              <w:rPr>
                <w:rFonts w:ascii="Arial" w:cs="Arial" w:eastAsia="Arial" w:hAnsi="Arial"/>
                <w:sz w:val="18"/>
                <w:szCs w:val="18"/>
                <w:color w:val="auto"/>
              </w:rPr>
              <w:t>By:</w:t>
            </w:r>
          </w:p>
        </w:tc>
      </w:tr>
      <w:tr>
        <w:trPr>
          <w:trHeight w:val="209"/>
        </w:trPr>
        <w:tc>
          <w:tcPr>
            <w:tcW w:w="4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Devina A. Rankin</w:t>
            </w:r>
          </w:p>
        </w:tc>
      </w:tr>
      <w:tr>
        <w:trPr>
          <w:trHeight w:val="230"/>
        </w:trPr>
        <w:tc>
          <w:tcPr>
            <w:tcW w:w="4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446"/>
        </w:trPr>
        <w:tc>
          <w:tcPr>
            <w:tcW w:w="4460" w:type="dxa"/>
            <w:vAlign w:val="bottom"/>
          </w:tcPr>
          <w:p>
            <w:pPr>
              <w:spacing w:after="0"/>
              <w:rPr>
                <w:sz w:val="24"/>
                <w:szCs w:val="24"/>
                <w:color w:val="auto"/>
              </w:rPr>
            </w:pPr>
          </w:p>
        </w:tc>
        <w:tc>
          <w:tcPr>
            <w:tcW w:w="6960" w:type="dxa"/>
            <w:vAlign w:val="bottom"/>
            <w:gridSpan w:val="2"/>
          </w:tcPr>
          <w:p>
            <w:pPr>
              <w:ind w:left="1440"/>
              <w:spacing w:after="0"/>
              <w:rPr>
                <w:sz w:val="20"/>
                <w:szCs w:val="20"/>
                <w:color w:val="auto"/>
              </w:rPr>
            </w:pPr>
            <w:r>
              <w:rPr>
                <w:rFonts w:ascii="Arial" w:cs="Arial" w:eastAsia="Arial" w:hAnsi="Arial"/>
                <w:sz w:val="18"/>
                <w:szCs w:val="18"/>
                <w:color w:val="auto"/>
              </w:rPr>
              <w:t>Attest:</w:t>
            </w:r>
          </w:p>
        </w:tc>
      </w:tr>
      <w:tr>
        <w:trPr>
          <w:trHeight w:val="432"/>
        </w:trPr>
        <w:tc>
          <w:tcPr>
            <w:tcW w:w="4460" w:type="dxa"/>
            <w:vAlign w:val="bottom"/>
          </w:tcPr>
          <w:p>
            <w:pPr>
              <w:spacing w:after="0"/>
              <w:rPr>
                <w:sz w:val="24"/>
                <w:szCs w:val="24"/>
                <w:color w:val="auto"/>
              </w:rPr>
            </w:pPr>
          </w:p>
        </w:tc>
        <w:tc>
          <w:tcPr>
            <w:tcW w:w="6960" w:type="dxa"/>
            <w:vAlign w:val="bottom"/>
            <w:gridSpan w:val="2"/>
          </w:tcPr>
          <w:p>
            <w:pPr>
              <w:ind w:left="1440"/>
              <w:spacing w:after="0"/>
              <w:rPr>
                <w:sz w:val="20"/>
                <w:szCs w:val="20"/>
                <w:color w:val="auto"/>
              </w:rPr>
            </w:pPr>
            <w:r>
              <w:rPr>
                <w:rFonts w:ascii="Arial" w:cs="Arial" w:eastAsia="Arial" w:hAnsi="Arial"/>
                <w:sz w:val="18"/>
                <w:szCs w:val="18"/>
                <w:color w:val="auto"/>
              </w:rPr>
              <w:t>By:</w:t>
            </w:r>
          </w:p>
        </w:tc>
      </w:tr>
      <w:tr>
        <w:trPr>
          <w:trHeight w:val="209"/>
        </w:trPr>
        <w:tc>
          <w:tcPr>
            <w:tcW w:w="4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Courtney A. Tippy</w:t>
            </w:r>
          </w:p>
        </w:tc>
      </w:tr>
      <w:tr>
        <w:trPr>
          <w:trHeight w:val="230"/>
        </w:trPr>
        <w:tc>
          <w:tcPr>
            <w:tcW w:w="4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Corporate Secretary</w:t>
            </w:r>
          </w:p>
        </w:tc>
      </w:tr>
      <w:tr>
        <w:trPr>
          <w:trHeight w:val="446"/>
        </w:trPr>
        <w:tc>
          <w:tcPr>
            <w:tcW w:w="446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182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of Authentication: May 16, 2016</w:t>
      </w:r>
      <w:r>
        <w:rPr>
          <w:sz w:val="20"/>
          <w:szCs w:val="20"/>
          <w:color w:val="auto"/>
        </w:rPr>
        <w:tab/>
      </w:r>
      <w:r>
        <w:rPr>
          <w:rFonts w:ascii="Arial" w:cs="Arial" w:eastAsia="Arial" w:hAnsi="Arial"/>
          <w:sz w:val="16"/>
          <w:szCs w:val="16"/>
          <w:color w:val="auto"/>
        </w:rPr>
        <w:t>The Bank of New York Mellon Trust Company, N.A., as Trustee</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-1905</wp:posOffset>
            </wp:positionV>
            <wp:extent cx="32588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Lawrence M. Kusch</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420"/>
          </w:cols>
          <w:pgMar w:left="240" w:top="274"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BOOK-ENTRY SECURITY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2.400% SENIOR NOTES DUE 2023</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2.400% Senior Notes due 2023 of the Company, in initial aggregate principal amount of $500,000,000 (the “Securities”).</w:t>
      </w:r>
    </w:p>
    <w:p>
      <w:pPr>
        <w:spacing w:after="0" w:line="338"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promises to pay interest on the principal amount of this Security at the rate of 2.400% per annum.</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will pay interest semi-annually on May 15 and November 15 of each year (each an “Interest Payment Date”), commencing November 15, 2016. Interest on the Securities will accrue from the most recent date to which interest has been paid or, if no interest has been paid on the Securities, from May 16, 2016.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2.400% per annum, in each case to the extent lawful.</w:t>
      </w:r>
    </w:p>
    <w:p>
      <w:pPr>
        <w:spacing w:after="0" w:line="307"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ectPr>
          <w:pgSz w:w="11900" w:h="16838" w:orient="portrait"/>
          <w:cols w:equalWidth="0" w:num="1">
            <w:col w:w="11420"/>
          </w:cols>
          <w:pgMar w:left="240" w:top="274" w:right="239" w:bottom="1440" w:gutter="0" w:footer="0" w:header="0"/>
        </w:sectPr>
      </w:pPr>
    </w:p>
    <w:bookmarkStart w:id="59" w:name="page60"/>
    <w:bookmarkEnd w:id="59"/>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337"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330"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Security is one of a duly authorized issue of Debt Securities of the Company issued and to be issued in one or more series under the Indenture.</w:t>
      </w:r>
    </w:p>
    <w:p>
      <w:pPr>
        <w:spacing w:after="0" w:line="24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20, 2015 (the “Resolutions”) and the written consents of the Sole Director of Waste Management Holdings, Inc. on October 19, 2015 and May 3, 2016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$500,000,000.</w:t>
      </w:r>
    </w:p>
    <w:p>
      <w:pPr>
        <w:spacing w:after="0" w:line="316"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15 basis points; plus, in either case, accrued interest to the Redemption Date.</w:t>
      </w:r>
    </w:p>
    <w:p>
      <w:pPr>
        <w:spacing w:after="0" w:line="19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ectPr>
          <w:pgSz w:w="11900" w:h="16838" w:orient="portrait"/>
          <w:cols w:equalWidth="0" w:num="1">
            <w:col w:w="11400"/>
          </w:cols>
          <w:pgMar w:left="240" w:top="274" w:right="259" w:bottom="1440" w:gutter="0" w:footer="0" w:header="0"/>
        </w:sectPr>
      </w:pPr>
    </w:p>
    <w:bookmarkStart w:id="60" w:name="page61"/>
    <w:bookmarkEnd w:id="60"/>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“Independent Investment Banker” means any of Citigroup Global Markets Inc., Merrill Lynch, Pierce, Fenner &amp; Smith Incorporated and Mizuho Securities USA Inc. (and their respective successors), or, if all such firms are unwilling or unable to select the applicable Comparable Treasury Issue, an independent investment banking institution of national standing appointed by the Company.</w:t>
      </w:r>
    </w:p>
    <w:p>
      <w:pPr>
        <w:spacing w:after="0" w:line="18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“Comparable Treasury Price” means, with respect to any Redemption Date,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 Call Date” means March 15, 2023.</w:t>
      </w:r>
    </w:p>
    <w:p>
      <w:pPr>
        <w:sectPr>
          <w:pgSz w:w="11900" w:h="16838" w:orient="portrait"/>
          <w:cols w:equalWidth="0" w:num="1">
            <w:col w:w="11400"/>
          </w:cols>
          <w:pgMar w:left="240" w:top="274" w:right="259" w:bottom="1440" w:gutter="0" w:footer="0" w:header="0"/>
        </w:sectPr>
      </w:pPr>
    </w:p>
    <w:bookmarkStart w:id="61" w:name="page62"/>
    <w:bookmarkEnd w:id="6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 Treasury Dealer” means (i) each of Citigroup Global Markets Inc., Merrill Lynch, Pierce, Fenner &amp; Smith Incorporated and Mizuho Securities USA Inc.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87"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 fund.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374"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93"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ectPr>
          <w:pgSz w:w="11900" w:h="16838" w:orient="portrait"/>
          <w:cols w:equalWidth="0" w:num="1">
            <w:col w:w="11340"/>
          </w:cols>
          <w:pgMar w:left="240" w:top="274" w:right="319"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Change of Control Payment Date, the Company shall, to the extent lawful:</w:t>
      </w:r>
    </w:p>
    <w:p>
      <w:pPr>
        <w:spacing w:after="0" w:line="13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accept for payment all Securities or portions of Securities properly tendered and not withdrawn pursuant to the Change of Control Offer;</w:t>
      </w:r>
    </w:p>
    <w:p>
      <w:pPr>
        <w:spacing w:after="0" w:line="142" w:lineRule="exact"/>
        <w:rPr>
          <w:rFonts w:ascii="Arial" w:cs="Arial" w:eastAsia="Arial" w:hAnsi="Arial"/>
          <w:sz w:val="17"/>
          <w:szCs w:val="17"/>
          <w:color w:val="auto"/>
        </w:rPr>
      </w:pPr>
    </w:p>
    <w:p>
      <w:pPr>
        <w:ind w:left="900" w:right="18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75"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w:t>
      </w:r>
    </w:p>
    <w:p>
      <w:pPr>
        <w:sectPr>
          <w:pgSz w:w="11900" w:h="16838" w:orient="portrait"/>
          <w:cols w:equalWidth="0" w:num="1">
            <w:col w:w="11360"/>
          </w:cols>
          <w:pgMar w:left="240" w:top="274" w:right="299" w:bottom="1440" w:gutter="0" w:footer="0" w:header="0"/>
        </w:sectPr>
      </w:pPr>
    </w:p>
    <w:bookmarkStart w:id="63" w:name="page64"/>
    <w:bookmarkEnd w:id="6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181" w:lineRule="exact"/>
        <w:rPr>
          <w:sz w:val="20"/>
          <w:szCs w:val="20"/>
          <w:color w:val="auto"/>
        </w:rPr>
      </w:pPr>
    </w:p>
    <w:p>
      <w:pPr>
        <w:jc w:val="both"/>
        <w:ind w:right="300" w:firstLine="447"/>
        <w:spacing w:after="0" w:line="288"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ind w:right="220" w:firstLine="8"/>
        <w:spacing w:after="0" w:line="255" w:lineRule="auto"/>
        <w:tabs>
          <w:tab w:leader="none" w:pos="2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25"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BBB-(or the equivalent) by S&amp;P, and the equivalent investment grade credit rating from any replacement Rating Agency or Rating Agencies selected by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ectPr>
          <w:pgSz w:w="11900" w:h="16838" w:orient="portrait"/>
          <w:cols w:equalWidth="0" w:num="1">
            <w:col w:w="11420"/>
          </w:cols>
          <w:pgMar w:left="240" w:top="274" w:right="239"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“S&amp;P” means S&amp;P Global Ratings, a division of S&amp;P Global Inc., and its successors.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319"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95"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374"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338"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w:t>
      </w:r>
    </w:p>
    <w:p>
      <w:pPr>
        <w:sectPr>
          <w:pgSz w:w="11900" w:h="16838" w:orient="portrait"/>
          <w:cols w:equalWidth="0" w:num="1">
            <w:col w:w="11400"/>
          </w:cols>
          <w:pgMar w:left="240" w:top="274" w:right="259" w:bottom="1440" w:gutter="0" w:footer="0" w:header="0"/>
        </w:sectPr>
      </w:pPr>
    </w:p>
    <w:bookmarkStart w:id="65" w:name="page66"/>
    <w:bookmarkEnd w:id="65"/>
    <w:p>
      <w:pPr>
        <w:ind w:right="1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328"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330"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Security shall not be valid until the Trustee or authenticating agent signs the certificate of authentication on the other side of this Security.</w:t>
      </w:r>
    </w:p>
    <w:p>
      <w:pPr>
        <w:spacing w:after="0" w:line="385"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330"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ectPr>
          <w:pgSz w:w="11900" w:h="16838" w:orient="portrait"/>
          <w:cols w:equalWidth="0" w:num="1">
            <w:col w:w="11380"/>
          </w:cols>
          <w:pgMar w:left="240" w:top="274" w:right="279" w:bottom="1440" w:gutter="0" w:footer="0" w:header="0"/>
        </w:sectPr>
      </w:pPr>
    </w:p>
    <w:bookmarkStart w:id="66" w:name="page67"/>
    <w:bookmarkEnd w:id="66"/>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Recourse.</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307"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374"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Agreement dated May 16, 2016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ectPr>
          <w:pgSz w:w="11900" w:h="16838" w:orient="portrait"/>
          <w:cols w:equalWidth="0" w:num="1">
            <w:col w:w="11240"/>
          </w:cols>
          <w:pgMar w:left="240" w:top="274" w:right="41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DEFINITIVE SECURITY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 of increase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Principal Amount</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in Principal</w:t>
            </w:r>
          </w:p>
        </w:tc>
        <w:tc>
          <w:tcPr>
            <w:tcW w:w="2260" w:type="dxa"/>
            <w:vAlign w:val="bottom"/>
            <w:gridSpan w:val="2"/>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Amount of this</w:t>
            </w: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of this Book-Entry</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4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of this Book-Entry</w:t>
            </w:r>
          </w:p>
        </w:tc>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Book-Entry</w:t>
            </w: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46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12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such decrease (or increase)</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Waste Management, Inc.</w:t>
      </w:r>
    </w:p>
    <w:p>
      <w:pPr>
        <w:spacing w:after="0" w:line="207"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September 28, 2012, Waste Management, Inc. (the “Company”) filed with the Securities Exchange Commission (the “SEC”) an</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 shelf registration statement on Form S-3, File No. 333-184157 (the “Automatic Shelf Registration Statement”),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184"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rules and regulations promulgated by the SEC, the Automatic Shelf Registration Statement will expire, by its terms, on</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28, 2015, three years after the effective date of the Automatic Shelf Registration Statement; and</w:t>
      </w:r>
    </w:p>
    <w:p>
      <w:pPr>
        <w:spacing w:after="0" w:line="16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 the time of the Board of Directors’ approval of the Automatic Shelf Registration Statement, the Board of Directors also authorized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offer and sell up to an aggregate of $3,000,000,000 of Securities (the “2012 Issuance Authorization”); and</w:t>
      </w:r>
    </w:p>
    <w:p>
      <w:pPr>
        <w:spacing w:after="0" w:line="162"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and finds it in the best interests of the Company, to file a new automatic shelf registration statement on Form S-3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facilitate any future offerings of securities by the Company or any selling security holders.</w:t>
      </w:r>
    </w:p>
    <w:p>
      <w:pPr>
        <w:spacing w:after="0" w:line="1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Company is hereby authorized to prepare and file with the SEC an automatic shelf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on Form S-3 (the “New Registration Statement”), pursuant to the Securities Act of 1933, as amended, and the rules and regulations promulgated thereunder (the “Securities Act”), which New Registration Statement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Debt Securities, Common Stock, warrants, preferred stock, guarantees and units collectively referred to herein as the “Securities”), to be issued from time to time;</w:t>
      </w:r>
    </w:p>
    <w:p>
      <w:pPr>
        <w:spacing w:after="0" w:line="172" w:lineRule="exact"/>
        <w:rPr>
          <w:sz w:val="20"/>
          <w:szCs w:val="20"/>
          <w:color w:val="auto"/>
        </w:rPr>
      </w:pPr>
    </w:p>
    <w:p>
      <w:pPr>
        <w:jc w:val="both"/>
        <w:ind w:right="240" w:firstLine="456"/>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proper officers (as established pursuant to these resolutions) be, and they hereby are, authorized, in their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pacing w:after="0" w:line="176"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upon the filing date of the New Registration Statement, authority to make new issuances of Securities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2012 Issuance Authorization shall be deemed rescinded;</w:t>
      </w:r>
    </w:p>
    <w:p>
      <w:pPr>
        <w:spacing w:after="0" w:line="1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proper officers and the authorized employees (as established pursuant to these resolutions) be, and each of them</w:t>
      </w:r>
      <w:r>
        <w:rPr>
          <w:rFonts w:ascii="Arial" w:cs="Arial" w:eastAsia="Arial" w:hAnsi="Arial"/>
          <w:sz w:val="18"/>
          <w:szCs w:val="18"/>
          <w:b w:val="1"/>
          <w:bCs w:val="1"/>
          <w:color w:val="auto"/>
        </w:rPr>
        <w:t xml:space="preserve"> </w:t>
      </w:r>
      <w:r>
        <w:rPr>
          <w:rFonts w:ascii="Arial" w:cs="Arial" w:eastAsia="Arial" w:hAnsi="Arial"/>
          <w:sz w:val="18"/>
          <w:szCs w:val="18"/>
          <w:color w:val="auto"/>
        </w:rPr>
        <w:t>hereby 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pacing w:after="0" w:line="188"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Chief Legal Officer of the Company be, and he hereby is, designated and appointed the agent for service of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Company under the Securities Act in connection with the New Registration Statement and any and all amendments and supplements thereto, with all powers incident to such appointment;</w:t>
      </w:r>
    </w:p>
    <w:p>
      <w:pPr>
        <w:sectPr>
          <w:pgSz w:w="11900" w:h="16838" w:orient="portrait"/>
          <w:cols w:equalWidth="0" w:num="1">
            <w:col w:w="11400"/>
          </w:cols>
          <w:pgMar w:left="240" w:top="274" w:right="259" w:bottom="1440" w:gutter="0" w:footer="0" w:header="0"/>
        </w:sectPr>
      </w:pPr>
    </w:p>
    <w:bookmarkStart w:id="69" w:name="page70"/>
    <w:bookmarkEnd w:id="69"/>
    <w:p>
      <w:pPr>
        <w:ind w:firstLine="456"/>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RESOLVED FURTHER, </w:t>
      </w:r>
      <w:r>
        <w:rPr>
          <w:rFonts w:ascii="Arial" w:cs="Arial" w:eastAsia="Arial" w:hAnsi="Arial"/>
          <w:sz w:val="18"/>
          <w:szCs w:val="18"/>
          <w:color w:val="auto"/>
        </w:rPr>
        <w:t>that the proper officers and authorized employees be and hereby are authorized and directed in the name and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8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form of any additional resolutions required in connection with the appropriate qualification or registration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8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any of the proper officers or authorized employees be, and each of them hereby is, authorized to approve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and 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17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 the proper officers be, and each of them hereby is, authorized, at any time and from time to time,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to determine, within any limits that may be set by the Board of Directors, the number of shares of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Registration Statement and the applicable purchase agreement, which action could be taken or which things could be done by the Board of Directors of the Company;</w:t>
      </w:r>
    </w:p>
    <w:p>
      <w:pPr>
        <w:spacing w:after="0" w:line="18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 the proper officers may, at any time and from time to time, on behalf of the Company, authorize the issuance of</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18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any such series of Securities (but without limiting the authority hereinafter in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ectPr>
          <w:pgSz w:w="11900" w:h="16838" w:orient="portrait"/>
          <w:cols w:equalWidth="0" w:num="1">
            <w:col w:w="11420"/>
          </w:cols>
          <w:pgMar w:left="240" w:top="270" w:right="239" w:bottom="1440" w:gutter="0" w:footer="0" w:header="0"/>
        </w:sectPr>
      </w:pPr>
    </w:p>
    <w:bookmarkStart w:id="70" w:name="page71"/>
    <w:bookmarkEnd w:id="70"/>
    <w:p>
      <w:pPr>
        <w:jc w:val="both"/>
        <w:ind w:right="220" w:firstLine="456"/>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RESOLVED FURTHER, </w:t>
      </w:r>
      <w:r>
        <w:rPr>
          <w:rFonts w:ascii="Arial" w:cs="Arial" w:eastAsia="Arial" w:hAnsi="Arial"/>
          <w:sz w:val="16"/>
          <w:szCs w:val="16"/>
          <w:color w:val="auto"/>
        </w:rPr>
        <w:t>that, in connection with the issuance of Securities of any series which may not be originally issued at one time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pacing w:after="0" w:line="142" w:lineRule="exact"/>
        <w:rPr>
          <w:sz w:val="20"/>
          <w:szCs w:val="20"/>
          <w:color w:val="auto"/>
        </w:rPr>
      </w:pPr>
    </w:p>
    <w:p>
      <w:pPr>
        <w:ind w:right="140" w:firstLine="456"/>
        <w:spacing w:after="0" w:line="314"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any such series of Securities, any of the proper officers is authorized to approve any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142"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proper officers and authorized employees be, and each of them hereby is, authorized, in the name and on behalf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51"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proper officers be, and each of them hereby is, authorized, subject to and in accordance with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indentures 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7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proper officers and authorized employees be, and each of them hereby is, authorized, in the name and on behalf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proper officers be, and each of them hereby is, authorized, in the name and on behalf of the Company,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6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officers and authorized employees of the Company be, and each of them hereby is, authorized to take, or cause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ectPr>
          <w:pgSz w:w="11900" w:h="16838" w:orient="portrait"/>
          <w:cols w:equalWidth="0" w:num="1">
            <w:col w:w="11420"/>
          </w:cols>
          <w:pgMar w:left="240" w:top="270" w:right="239" w:bottom="1440" w:gutter="0" w:footer="0" w:header="0"/>
        </w:sectPr>
      </w:pPr>
    </w:p>
    <w:bookmarkStart w:id="71" w:name="page72"/>
    <w:bookmarkEnd w:id="71"/>
    <w:p>
      <w:pPr>
        <w:ind w:right="2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RESOLVED FURTHER, </w:t>
      </w:r>
      <w:r>
        <w:rPr>
          <w:rFonts w:ascii="Arial" w:cs="Arial" w:eastAsia="Arial" w:hAnsi="Arial"/>
          <w:sz w:val="18"/>
          <w:szCs w:val="18"/>
          <w:color w:val="auto"/>
        </w:rPr>
        <w:t>that for purposes of these resolutions, the term “proper officer” shall mean any or all of the Chief Executive Officer,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the Chief Legal Officer, the Chief Accounting Officer and the Treasurer of the Company and the term “authorized employees” shall mean either or both of the Vice President and General Counsel – Corporate and Securities and the Assistant General Counsel – Securities &amp; Governance of the Company;</w:t>
      </w:r>
    </w:p>
    <w:p>
      <w:pPr>
        <w:spacing w:after="0" w:line="180"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form of any additional resolutions required in connection with the foregoing resolutions be and hereby is approved</w:t>
      </w:r>
      <w:r>
        <w:rPr>
          <w:rFonts w:ascii="Arial" w:cs="Arial" w:eastAsia="Arial" w:hAnsi="Arial"/>
          <w:sz w:val="16"/>
          <w:szCs w:val="16"/>
          <w:b w:val="1"/>
          <w:bCs w:val="1"/>
          <w:color w:val="auto"/>
        </w:rPr>
        <w:t xml:space="preserve"> </w:t>
      </w:r>
      <w:r>
        <w:rPr>
          <w:rFonts w:ascii="Arial" w:cs="Arial" w:eastAsia="Arial" w:hAnsi="Arial"/>
          <w:sz w:val="16"/>
          <w:szCs w:val="16"/>
          <w:color w:val="auto"/>
        </w:rPr>
        <w:t>and 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of Directors with the same force and effect as if set out verbatim herein; and</w:t>
      </w:r>
    </w:p>
    <w:p>
      <w:pPr>
        <w:spacing w:after="0" w:line="151"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officer of the Company is hereby authorized and directed to make, provide, execute, and deliver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280"/>
          </w:cols>
          <w:pgMar w:left="240" w:top="270" w:right="37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in Favor of The Bank of New York Mellon Trust Company, N.A., as Trustee for the Holders of Certain Debt Securities of</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$500,000,000</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2.400% Senior Notes due 2023</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May 16, 2016</w:t>
      </w:r>
    </w:p>
    <w:p>
      <w:pPr>
        <w:sectPr>
          <w:pgSz w:w="11900" w:h="16838" w:orient="portrait"/>
          <w:cols w:equalWidth="0" w:num="1">
            <w:col w:w="10220"/>
          </w:cols>
          <w:pgMar w:left="1440" w:top="121" w:right="239" w:bottom="1440" w:gutter="0" w:footer="0" w:header="0"/>
        </w:sectPr>
      </w:pPr>
    </w:p>
    <w:bookmarkStart w:id="73" w:name="page74"/>
    <w:bookmarkEnd w:id="73"/>
    <w:p>
      <w:pPr>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dated as of May 16, 2016 (as amended from time to time, this “Guarantee”), made by Waste Management Holdings, Inc. (formerly known as Waste Management, Inc.), a Delaware corporation (the “Guarantor”), in favor of The Bank of New York Mellon Trust Company, N.A., as trustee for the holders of the $500 million aggregate principal amount of 2.400% Senior Notes due 2023 (the “Debt Securities”) of Waste Management, Inc. (formerly known as USA Waste Services, Inc.), a Delaware corporation (the “Issuer”).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225" w:lineRule="exact"/>
        <w:rPr>
          <w:sz w:val="20"/>
          <w:szCs w:val="20"/>
          <w:color w:val="auto"/>
        </w:rPr>
      </w:pPr>
    </w:p>
    <w:p>
      <w:pPr>
        <w:ind w:firstLine="921"/>
        <w:spacing w:after="0" w:line="255" w:lineRule="auto"/>
        <w:tabs>
          <w:tab w:leader="none" w:pos="11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3" w:lineRule="exact"/>
        <w:rPr>
          <w:rFonts w:ascii="Arial" w:cs="Arial" w:eastAsia="Arial" w:hAnsi="Arial"/>
          <w:sz w:val="18"/>
          <w:szCs w:val="18"/>
          <w:color w:val="auto"/>
        </w:rPr>
      </w:pPr>
    </w:p>
    <w:p>
      <w:pPr>
        <w:ind w:right="40" w:firstLine="921"/>
        <w:spacing w:after="0" w:line="293" w:lineRule="auto"/>
        <w:tabs>
          <w:tab w:leader="none" w:pos="1168" w:val="left"/>
        </w:tabs>
        <w:numPr>
          <w:ilvl w:val="0"/>
          <w:numId w:val="63"/>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65"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57" w:lineRule="exact"/>
        <w:rPr>
          <w:sz w:val="20"/>
          <w:szCs w:val="20"/>
          <w:color w:val="auto"/>
        </w:rPr>
      </w:pPr>
    </w:p>
    <w:p>
      <w:pPr>
        <w:ind w:left="1120" w:hanging="217"/>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117" w:lineRule="exact"/>
        <w:rPr>
          <w:rFonts w:ascii="Arial" w:cs="Arial" w:eastAsia="Arial" w:hAnsi="Arial"/>
          <w:sz w:val="18"/>
          <w:szCs w:val="18"/>
          <w:color w:val="auto"/>
        </w:rPr>
      </w:pPr>
    </w:p>
    <w:p>
      <w:pPr>
        <w:ind w:left="460" w:right="440" w:firstLine="443"/>
        <w:spacing w:after="0" w:line="277" w:lineRule="auto"/>
        <w:tabs>
          <w:tab w:leader="none" w:pos="1163"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ectPr>
          <w:pgSz w:w="11900" w:h="16838" w:orient="portrait"/>
          <w:cols w:equalWidth="0" w:num="1">
            <w:col w:w="11400"/>
          </w:cols>
          <w:pgMar w:left="240" w:top="274" w:right="259" w:bottom="1440" w:gutter="0" w:footer="0" w:header="0"/>
        </w:sectPr>
      </w:pPr>
    </w:p>
    <w:bookmarkStart w:id="74" w:name="page75"/>
    <w:bookmarkEnd w:id="74"/>
    <w:p>
      <w:pPr>
        <w:ind w:left="460" w:right="180" w:firstLine="443"/>
        <w:spacing w:after="0" w:line="277" w:lineRule="auto"/>
        <w:tabs>
          <w:tab w:leader="none" w:pos="1213"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exchange, release or non-perfection of any collateral, or any release or amendment or waiver of or consent to departure from any other guaranty, for all or any of the Obligations; or</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Issuer or a guarantor.</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The Guarantor covenants and agrees that its obligation to make payments of the Obligations hereunder constitutes an unsecured obligation of the Guarantor ranking (a) pari passu with all existing and future senior indebtedness of the Guarantor and (b) senior in right of payment to all existing and future subordinated indebtedness of the Guarantor.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225" w:lineRule="exact"/>
        <w:rPr>
          <w:sz w:val="20"/>
          <w:szCs w:val="20"/>
          <w:color w:val="auto"/>
        </w:rPr>
      </w:pPr>
    </w:p>
    <w:p>
      <w:pPr>
        <w:jc w:val="both"/>
        <w:ind w:right="340" w:firstLine="921"/>
        <w:spacing w:after="0" w:line="264" w:lineRule="auto"/>
        <w:tabs>
          <w:tab w:leader="none" w:pos="115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1" w:lineRule="exact"/>
        <w:rPr>
          <w:rFonts w:ascii="Arial" w:cs="Arial" w:eastAsia="Arial" w:hAnsi="Arial"/>
          <w:sz w:val="18"/>
          <w:szCs w:val="18"/>
          <w:color w:val="auto"/>
        </w:rPr>
      </w:pPr>
    </w:p>
    <w:p>
      <w:pPr>
        <w:ind w:right="160" w:firstLine="921"/>
        <w:spacing w:after="0" w:line="312" w:lineRule="auto"/>
        <w:tabs>
          <w:tab w:leader="none" w:pos="1168"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4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Third Amended and Restated Revolving Credit Agreement dated July 10, 2015, by and among the Issuer, the Guarantor (as guarantor), Bank of America, N.A., as administrative agent, J.P. Morgan Securities LLC, Merrill Lynch, Pierce, Fenner &amp; Smith Incorporated and Barclays Bank PLC, as lead arrangers and joint book runners (or under any replacement or new principal credit facility of the Issuer) of the guarantee of the Guarantor thereunder,</w:t>
      </w:r>
    </w:p>
    <w:p>
      <w:pPr>
        <w:spacing w:after="0" w:line="5" w:lineRule="exact"/>
        <w:rPr>
          <w:sz w:val="20"/>
          <w:szCs w:val="20"/>
          <w:color w:val="auto"/>
        </w:rPr>
      </w:pPr>
    </w:p>
    <w:p>
      <w:pPr>
        <w:ind w:firstLine="8"/>
        <w:spacing w:after="0" w:line="261" w:lineRule="auto"/>
        <w:tabs>
          <w:tab w:leader="none" w:pos="265" w:val="left"/>
        </w:tabs>
        <w:numPr>
          <w:ilvl w:val="0"/>
          <w:numId w:val="67"/>
        </w:numPr>
        <w:rPr>
          <w:rFonts w:ascii="Arial" w:cs="Arial" w:eastAsia="Arial" w:hAnsi="Arial"/>
          <w:sz w:val="18"/>
          <w:szCs w:val="18"/>
          <w:color w:val="auto"/>
        </w:rPr>
      </w:pPr>
      <w:r>
        <w:rPr>
          <w:rFonts w:ascii="Arial" w:cs="Arial" w:eastAsia="Arial" w:hAnsi="Arial"/>
          <w:sz w:val="18"/>
          <w:szCs w:val="18"/>
          <w:color w:val="auto"/>
        </w:rPr>
        <w:t>be binding upon the Guarantor, its successors and assigns, and (iii) inure to the benefit of and be enforceable by any holder of Debt Securities, the Trustee, and by their respective successors, transferees, and assigns.</w:t>
      </w:r>
    </w:p>
    <w:p>
      <w:pPr>
        <w:sectPr>
          <w:pgSz w:w="11900" w:h="16838" w:orient="portrait"/>
          <w:cols w:equalWidth="0" w:num="1">
            <w:col w:w="11400"/>
          </w:cols>
          <w:pgMar w:left="240" w:top="274" w:right="259" w:bottom="1440" w:gutter="0" w:footer="0" w:header="0"/>
        </w:sectPr>
      </w:pPr>
    </w:p>
    <w:bookmarkStart w:id="75" w:name="page76"/>
    <w:bookmarkEnd w:id="75"/>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ectPr>
          <w:pgSz w:w="11900" w:h="16838" w:orient="portrait"/>
          <w:cols w:equalWidth="0" w:num="1">
            <w:col w:w="11360"/>
          </w:cols>
          <w:pgMar w:left="240" w:top="274" w:right="299" w:bottom="1440" w:gutter="0" w:footer="0" w:header="0"/>
        </w:sectPr>
      </w:pPr>
    </w:p>
    <w:bookmarkStart w:id="76" w:name="page77"/>
    <w:bookmarkEnd w:id="7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Guarantor has caused this Guarantee to be duly executed and delivered by its officer thereunto duly authorized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Devina A. Rankin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Treasurer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Ed Egl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Ed Egl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Assistant Treasurer</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to Guarantee</w:t>
      </w:r>
    </w:p>
    <w:p>
      <w:pPr>
        <w:sectPr>
          <w:pgSz w:w="11900" w:h="16838" w:orient="portrait"/>
          <w:cols w:equalWidth="0" w:num="1">
            <w:col w:w="11360"/>
          </w:cols>
          <w:pgMar w:left="240" w:top="274" w:right="2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1"/>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1"/>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91" w:lineRule="auto"/>
        <w:tabs>
          <w:tab w:leader="none" w:pos="675"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w:t>
      </w:r>
    </w:p>
    <w:p>
      <w:pPr>
        <w:spacing w:after="0"/>
        <w:rPr>
          <w:rFonts w:ascii="Arial" w:cs="Arial" w:eastAsia="Arial" w:hAnsi="Arial"/>
          <w:sz w:val="16"/>
          <w:szCs w:val="16"/>
          <w:color w:val="auto"/>
        </w:rPr>
      </w:pPr>
      <w:r>
        <w:rPr>
          <w:rFonts w:ascii="Arial" w:cs="Arial" w:eastAsia="Arial" w:hAnsi="Arial"/>
          <w:sz w:val="18"/>
          <w:szCs w:val="18"/>
          <w:color w:val="auto"/>
        </w:rPr>
        <w:t>— 15(f)) for the registrant and have:</w:t>
      </w:r>
    </w:p>
    <w:p>
      <w:pPr>
        <w:spacing w:after="0" w:line="102" w:lineRule="exact"/>
        <w:rPr>
          <w:rFonts w:ascii="Arial" w:cs="Arial" w:eastAsia="Arial" w:hAnsi="Arial"/>
          <w:sz w:val="16"/>
          <w:szCs w:val="16"/>
          <w:color w:val="auto"/>
        </w:rPr>
      </w:pPr>
    </w:p>
    <w:p>
      <w:pPr>
        <w:ind w:left="460" w:right="80" w:firstLine="443"/>
        <w:spacing w:after="0" w:line="264" w:lineRule="auto"/>
        <w:tabs>
          <w:tab w:leader="none" w:pos="1118" w:val="left"/>
        </w:tabs>
        <w:numPr>
          <w:ilvl w:val="2"/>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2"/>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2"/>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2"/>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2"/>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2016</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1"/>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1"/>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91" w:lineRule="auto"/>
        <w:tabs>
          <w:tab w:leader="none" w:pos="675"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w:t>
      </w:r>
    </w:p>
    <w:p>
      <w:pPr>
        <w:spacing w:after="0"/>
        <w:rPr>
          <w:rFonts w:ascii="Arial" w:cs="Arial" w:eastAsia="Arial" w:hAnsi="Arial"/>
          <w:sz w:val="16"/>
          <w:szCs w:val="16"/>
          <w:color w:val="auto"/>
        </w:rPr>
      </w:pPr>
      <w:r>
        <w:rPr>
          <w:rFonts w:ascii="Arial" w:cs="Arial" w:eastAsia="Arial" w:hAnsi="Arial"/>
          <w:sz w:val="18"/>
          <w:szCs w:val="18"/>
          <w:color w:val="auto"/>
        </w:rPr>
        <w:t>— 15(f)) for the registrant and have:</w:t>
      </w:r>
    </w:p>
    <w:p>
      <w:pPr>
        <w:spacing w:after="0" w:line="102" w:lineRule="exact"/>
        <w:rPr>
          <w:rFonts w:ascii="Arial" w:cs="Arial" w:eastAsia="Arial" w:hAnsi="Arial"/>
          <w:sz w:val="16"/>
          <w:szCs w:val="16"/>
          <w:color w:val="auto"/>
        </w:rPr>
      </w:pPr>
    </w:p>
    <w:p>
      <w:pPr>
        <w:ind w:left="460" w:right="80" w:firstLine="443"/>
        <w:spacing w:after="0" w:line="264" w:lineRule="auto"/>
        <w:tabs>
          <w:tab w:leader="none" w:pos="1118" w:val="left"/>
        </w:tabs>
        <w:numPr>
          <w:ilvl w:val="2"/>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2"/>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2"/>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2"/>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2"/>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2016</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2016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27, 2016</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2016 as filed with the Securities and Exchange Commission on the date hereof (the “Report”), I, James C. Fish, Jr., Chief Financial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27, 2016</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95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During the quarter ended June 30, 2016,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In addition, during the quarter ended June 30, 2016,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2"/>
    </w:lvl>
  </w:abstractNum>
  <w:abstractNum w:abstractNumId="4">
    <w:nsid w:val="5C482A97"/>
    <w:multiLevelType w:val="hybridMultilevel"/>
    <w:lvl w:ilvl="0">
      <w:lvlJc w:val="left"/>
      <w:lvlText w:val="(%1)"/>
      <w:numFmt w:val="lowerLetter"/>
      <w:start w:val="1"/>
    </w:lvl>
  </w:abstractNum>
  <w:abstractNum w:abstractNumId="5">
    <w:nsid w:val="2463B9EA"/>
    <w:multiLevelType w:val="hybridMultilevel"/>
    <w:lvl w:ilvl="0">
      <w:lvlJc w:val="left"/>
      <w:lvlText w:val="%1."/>
      <w:numFmt w:val="decimal"/>
      <w:start w:val="3"/>
    </w:lvl>
  </w:abstractNum>
  <w:abstractNum w:abstractNumId="6">
    <w:nsid w:val="5E884ADC"/>
    <w:multiLevelType w:val="hybridMultilevel"/>
    <w:lvl w:ilvl="0">
      <w:lvlJc w:val="left"/>
      <w:lvlText w:val="%1."/>
      <w:numFmt w:val="decimal"/>
      <w:start w:val="4"/>
    </w:lvl>
  </w:abstractNum>
  <w:abstractNum w:abstractNumId="7">
    <w:nsid w:val="51EAD36B"/>
    <w:multiLevelType w:val="hybridMultilevel"/>
    <w:lvl w:ilvl="0">
      <w:lvlJc w:val="left"/>
      <w:lvlText w:val="%1."/>
      <w:numFmt w:val="decimal"/>
      <w:start w:val="5"/>
    </w:lvl>
  </w:abstractNum>
  <w:abstractNum w:abstractNumId="8">
    <w:nsid w:val="2D517796"/>
    <w:multiLevelType w:val="hybridMultilevel"/>
    <w:lvl w:ilvl="0">
      <w:lvlJc w:val="left"/>
      <w:lvlText w:val="%1."/>
      <w:numFmt w:val="decimal"/>
      <w:start w:val="6"/>
    </w:lvl>
  </w:abstractNum>
  <w:abstractNum w:abstractNumId="9">
    <w:nsid w:val="580BD78F"/>
    <w:multiLevelType w:val="hybridMultilevel"/>
    <w:lvl w:ilvl="0">
      <w:lvlJc w:val="left"/>
      <w:lvlText w:val="%1."/>
      <w:numFmt w:val="decimal"/>
      <w:start w:val="7"/>
    </w:lvl>
  </w:abstractNum>
  <w:abstractNum w:abstractNumId="10">
    <w:nsid w:val="153EA438"/>
    <w:multiLevelType w:val="hybridMultilevel"/>
    <w:lvl w:ilvl="0">
      <w:lvlJc w:val="left"/>
      <w:lvlText w:val="%1."/>
      <w:numFmt w:val="decimal"/>
      <w:start w:val="8"/>
    </w:lvl>
  </w:abstractNum>
  <w:abstractNum w:abstractNumId="11">
    <w:nsid w:val="3855585C"/>
    <w:multiLevelType w:val="hybridMultilevel"/>
    <w:lvl w:ilvl="0">
      <w:lvlJc w:val="left"/>
      <w:lvlText w:val="%1."/>
      <w:numFmt w:val="decimal"/>
      <w:start w:val="9"/>
    </w:lvl>
  </w:abstractNum>
  <w:abstractNum w:abstractNumId="12">
    <w:nsid w:val="70A64E2A"/>
    <w:multiLevelType w:val="hybridMultilevel"/>
    <w:lvl w:ilvl="0">
      <w:lvlJc w:val="left"/>
      <w:lvlText w:val="%1."/>
      <w:numFmt w:val="decimal"/>
      <w:start w:val="10"/>
    </w:lvl>
  </w:abstractNum>
  <w:abstractNum w:abstractNumId="13">
    <w:nsid w:val="6A2342EC"/>
    <w:multiLevelType w:val="hybridMultilevel"/>
    <w:lvl w:ilvl="0">
      <w:lvlJc w:val="left"/>
      <w:lvlText w:val="%1."/>
      <w:numFmt w:val="decimal"/>
      <w:start w:val="11"/>
    </w:lvl>
  </w:abstractNum>
  <w:abstractNum w:abstractNumId="14">
    <w:nsid w:val="2A487CB0"/>
    <w:multiLevelType w:val="hybridMultilevel"/>
    <w:lvl w:ilvl="0">
      <w:lvlJc w:val="left"/>
      <w:lvlText w:val="%1."/>
      <w:numFmt w:val="decimal"/>
      <w:start w:val="12"/>
    </w:lvl>
  </w:abstractNum>
  <w:abstractNum w:abstractNumId="15">
    <w:nsid w:val="1D4ED43B"/>
    <w:multiLevelType w:val="hybridMultilevel"/>
    <w:lvl w:ilvl="0">
      <w:lvlJc w:val="left"/>
      <w:lvlText w:val="(%1)"/>
      <w:numFmt w:val="lowerLetter"/>
      <w:start w:val="1"/>
    </w:lvl>
  </w:abstractNum>
  <w:abstractNum w:abstractNumId="16">
    <w:nsid w:val="725A06FB"/>
    <w:multiLevelType w:val="hybridMultilevel"/>
    <w:lvl w:ilvl="0">
      <w:lvlJc w:val="left"/>
      <w:lvlText w:val="%1."/>
      <w:numFmt w:val="decimal"/>
      <w:start w:val="14"/>
    </w:lvl>
  </w:abstractNum>
  <w:abstractNum w:abstractNumId="17">
    <w:nsid w:val="2CD89A32"/>
    <w:multiLevelType w:val="hybridMultilevel"/>
    <w:lvl w:ilvl="0">
      <w:lvlJc w:val="left"/>
      <w:lvlText w:val="%1."/>
      <w:numFmt w:val="decimal"/>
      <w:start w:val="15"/>
    </w:lvl>
  </w:abstractNum>
  <w:abstractNum w:abstractNumId="18">
    <w:nsid w:val="57E4CCAF"/>
    <w:multiLevelType w:val="hybridMultilevel"/>
    <w:lvl w:ilvl="0">
      <w:lvlJc w:val="left"/>
      <w:lvlText w:val="(%1)"/>
      <w:numFmt w:val="lowerLetter"/>
      <w:start w:val="1"/>
    </w:lvl>
  </w:abstractNum>
  <w:abstractNum w:abstractNumId="19">
    <w:nsid w:val="7A6D8D3C"/>
    <w:multiLevelType w:val="hybridMultilevel"/>
    <w:lvl w:ilvl="0">
      <w:lvlJc w:val="left"/>
      <w:lvlText w:val="%1."/>
      <w:numFmt w:val="decimal"/>
      <w:start w:val="16"/>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1)"/>
      <w:numFmt w:val="lowerLetter"/>
      <w:start w:val="1"/>
    </w:lvl>
  </w:abstractNum>
  <w:abstractNum w:abstractNumId="29">
    <w:nsid w:val="3DC240FB"/>
    <w:multiLevelType w:val="hybridMultilevel"/>
    <w:lvl w:ilvl="0">
      <w:lvlJc w:val="left"/>
      <w:lvlText w:val="(%1)"/>
      <w:numFmt w:val="lowerRoman"/>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1)"/>
      <w:numFmt w:val="lowerLetter"/>
      <w:start w:val="1"/>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8"/>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decimal"/>
      <w:start w:val="2"/>
    </w:lvl>
  </w:abstractNum>
  <w:abstractNum w:abstractNumId="44">
    <w:nsid w:val="235BA861"/>
    <w:multiLevelType w:val="hybridMultilevel"/>
    <w:lvl w:ilvl="0">
      <w:lvlJc w:val="left"/>
      <w:lvlText w:val="%1."/>
      <w:numFmt w:val="decimal"/>
      <w:start w:val="3"/>
    </w:lvl>
  </w:abstractNum>
  <w:abstractNum w:abstractNumId="45">
    <w:nsid w:val="47398C89"/>
    <w:multiLevelType w:val="hybridMultilevel"/>
    <w:lvl w:ilvl="0">
      <w:lvlJc w:val="left"/>
      <w:lvlText w:val="%1."/>
      <w:numFmt w:val="decimal"/>
      <w:start w:val="4"/>
    </w:lvl>
  </w:abstractNum>
  <w:abstractNum w:abstractNumId="46">
    <w:nsid w:val="354FE9F9"/>
    <w:multiLevelType w:val="hybridMultilevel"/>
    <w:lvl w:ilvl="0">
      <w:lvlJc w:val="left"/>
      <w:lvlText w:val="%1."/>
      <w:numFmt w:val="decimal"/>
      <w:start w:val="5"/>
    </w:lvl>
  </w:abstractNum>
  <w:abstractNum w:abstractNumId="47">
    <w:nsid w:val="15B5AF5C"/>
    <w:multiLevelType w:val="hybridMultilevel"/>
    <w:lvl w:ilvl="0">
      <w:lvlJc w:val="left"/>
      <w:lvlText w:val="%1."/>
      <w:numFmt w:val="decimal"/>
      <w:start w:val="6"/>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1)"/>
      <w:numFmt w:val="upperLetter"/>
      <w:start w:val="2"/>
    </w:lvl>
  </w:abstractNum>
  <w:abstractNum w:abstractNumId="50">
    <w:nsid w:val="10233C99"/>
    <w:multiLevelType w:val="hybridMultilevel"/>
    <w:lvl w:ilvl="0">
      <w:lvlJc w:val="left"/>
      <w:lvlText w:val="%1."/>
      <w:numFmt w:val="decimal"/>
      <w:start w:val="7"/>
    </w:lvl>
  </w:abstractNum>
  <w:abstractNum w:abstractNumId="51">
    <w:nsid w:val="3F6AB60F"/>
    <w:multiLevelType w:val="hybridMultilevel"/>
    <w:lvl w:ilvl="0">
      <w:lvlJc w:val="left"/>
      <w:lvlText w:val="%1."/>
      <w:numFmt w:val="decimal"/>
      <w:start w:val="8"/>
    </w:lvl>
  </w:abstractNum>
  <w:abstractNum w:abstractNumId="52">
    <w:nsid w:val="61574095"/>
    <w:multiLevelType w:val="hybridMultilevel"/>
    <w:lvl w:ilvl="0">
      <w:lvlJc w:val="left"/>
      <w:lvlText w:val="%1."/>
      <w:numFmt w:val="decimal"/>
      <w:start w:val="9"/>
    </w:lvl>
  </w:abstractNum>
  <w:abstractNum w:abstractNumId="53">
    <w:nsid w:val="7E0C57B1"/>
    <w:multiLevelType w:val="hybridMultilevel"/>
    <w:lvl w:ilvl="0">
      <w:lvlJc w:val="left"/>
      <w:lvlText w:val="%1."/>
      <w:numFmt w:val="decimal"/>
      <w:start w:val="10"/>
    </w:lvl>
  </w:abstractNum>
  <w:abstractNum w:abstractNumId="54">
    <w:nsid w:val="77AE35EB"/>
    <w:multiLevelType w:val="hybridMultilevel"/>
    <w:lvl w:ilvl="0">
      <w:lvlJc w:val="left"/>
      <w:lvlText w:val="%1."/>
      <w:numFmt w:val="decimal"/>
      <w:start w:val="11"/>
    </w:lvl>
  </w:abstractNum>
  <w:abstractNum w:abstractNumId="55">
    <w:nsid w:val="579BE4F1"/>
    <w:multiLevelType w:val="hybridMultilevel"/>
    <w:lvl w:ilvl="0">
      <w:lvlJc w:val="left"/>
      <w:lvlText w:val="%1."/>
      <w:numFmt w:val="decimal"/>
      <w:start w:val="12"/>
    </w:lvl>
  </w:abstractNum>
  <w:abstractNum w:abstractNumId="56">
    <w:nsid w:val="310C50B3"/>
    <w:multiLevelType w:val="hybridMultilevel"/>
    <w:lvl w:ilvl="0">
      <w:lvlJc w:val="left"/>
      <w:lvlText w:val="%1."/>
      <w:numFmt w:val="decimal"/>
      <w:start w:val="13"/>
    </w:lvl>
  </w:abstractNum>
  <w:abstractNum w:abstractNumId="57">
    <w:nsid w:val="5FF87E05"/>
    <w:multiLevelType w:val="hybridMultilevel"/>
    <w:lvl w:ilvl="0">
      <w:lvlJc w:val="left"/>
      <w:lvlText w:val="%1."/>
      <w:numFmt w:val="decimal"/>
      <w:start w:val="14"/>
    </w:lvl>
  </w:abstractNum>
  <w:abstractNum w:abstractNumId="58">
    <w:nsid w:val="2F305DEF"/>
    <w:multiLevelType w:val="hybridMultilevel"/>
    <w:lvl w:ilvl="0">
      <w:lvlJc w:val="left"/>
      <w:lvlText w:val="%1."/>
      <w:numFmt w:val="decimal"/>
      <w:start w:val="15"/>
    </w:lvl>
  </w:abstractNum>
  <w:abstractNum w:abstractNumId="59">
    <w:nsid w:val="25A70BF7"/>
    <w:multiLevelType w:val="hybridMultilevel"/>
    <w:lvl w:ilvl="0">
      <w:lvlJc w:val="left"/>
      <w:lvlText w:val="%1."/>
      <w:numFmt w:val="decimal"/>
      <w:start w:val="16"/>
    </w:lvl>
  </w:abstractNum>
  <w:abstractNum w:abstractNumId="60">
    <w:nsid w:val="1DBABF00"/>
    <w:multiLevelType w:val="hybridMultilevel"/>
    <w:lvl w:ilvl="0">
      <w:lvlJc w:val="left"/>
      <w:lvlText w:val="%1."/>
      <w:numFmt w:val="decimal"/>
      <w:start w:val="17"/>
    </w:lvl>
  </w:abstractNum>
  <w:abstractNum w:abstractNumId="61">
    <w:nsid w:val="4AD084E9"/>
    <w:multiLevelType w:val="hybridMultilevel"/>
    <w:lvl w:ilvl="0">
      <w:lvlJc w:val="left"/>
      <w:lvlText w:val="%1."/>
      <w:numFmt w:val="decimal"/>
      <w:start w:val="18"/>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lowerRoman"/>
      <w:start w:val="1"/>
    </w:lvl>
  </w:abstractNum>
  <w:abstractNum w:abstractNumId="64">
    <w:nsid w:val="5DB70AE5"/>
    <w:multiLevelType w:val="hybridMultilevel"/>
    <w:lvl w:ilvl="0">
      <w:lvlJc w:val="left"/>
      <w:lvlText w:val="(%1)"/>
      <w:numFmt w:val="lowerRoman"/>
      <w:start w:val="3"/>
    </w:lvl>
  </w:abstractNum>
  <w:abstractNum w:abstractNumId="65">
    <w:nsid w:val="100F8FCA"/>
    <w:multiLevelType w:val="hybridMultilevel"/>
    <w:lvl w:ilvl="0">
      <w:lvlJc w:val="left"/>
      <w:lvlText w:val="(%1)"/>
      <w:numFmt w:val="lowerLetter"/>
      <w:start w:val="1"/>
    </w:lvl>
  </w:abstractNum>
  <w:abstractNum w:abstractNumId="66">
    <w:nsid w:val="6590700B"/>
    <w:multiLevelType w:val="hybridMultilevel"/>
    <w:lvl w:ilvl="0">
      <w:lvlJc w:val="left"/>
      <w:lvlText w:val="(%1)"/>
      <w:numFmt w:val="lowerRoman"/>
      <w:start w:val="2"/>
    </w:lvl>
  </w:abstractNum>
  <w:abstractNum w:abstractNumId="67">
    <w:nsid w:val="15014ACB"/>
    <w:multiLevelType w:val="hybridMultilevel"/>
    <w:lvl w:ilvl="0">
      <w:lvlJc w:val="left"/>
      <w:lvlText w:val="\emdash "/>
      <w:numFmt w:val="bullet"/>
      <w:start w:val="1"/>
    </w:lvl>
    <w:lvl w:ilvl="1">
      <w:lvlJc w:val="left"/>
      <w:lvlText w:val="%2."/>
      <w:numFmt w:val="lowerRoman"/>
      <w:start w:val="2"/>
    </w:lvl>
    <w:lvl w:ilvl="2">
      <w:lvlJc w:val="left"/>
      <w:lvlText w:val="%3."/>
      <w:numFmt w:val="upperLetter"/>
      <w:start w:val="1"/>
    </w:lvl>
  </w:abstractNum>
  <w:abstractNum w:abstractNumId="68">
    <w:nsid w:val="5F5E7FD0"/>
    <w:multiLevelType w:val="hybridMultilevel"/>
    <w:lvl w:ilvl="0">
      <w:lvlJc w:val="left"/>
      <w:lvlText w:val="\emdash "/>
      <w:numFmt w:val="bullet"/>
      <w:start w:val="1"/>
    </w:lvl>
    <w:lvl w:ilvl="1">
      <w:lvlJc w:val="left"/>
      <w:lvlText w:val="%2."/>
      <w:numFmt w:val="lowerRoman"/>
      <w:start w:val="2"/>
    </w:lvl>
    <w:lvl w:ilvl="2">
      <w:lvlJc w:val="left"/>
      <w:lvlText w:val="%3."/>
      <w:numFmt w:val="upp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2019-12-05T20:49:13Z</dcterms:created>
  <dcterms:modified xsi:type="dcterms:W3CDTF">2019-12-05T20:49:13Z</dcterms:modified>
</cp:coreProperties>
</file>