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4)*</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94106L109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both"/>
        <w:ind w:left="1060" w:right="828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13,261,007(1)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13,261,007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52" w:right="5120" w:hanging="620"/>
        <w:spacing w:after="0" w:line="277"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13,261,007 (1)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3.0%(2)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200" w:firstLine="8"/>
        <w:spacing w:after="0" w:line="258" w:lineRule="auto"/>
        <w:tabs>
          <w:tab w:leader="none" w:pos="2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8"/>
          <w:szCs w:val="18"/>
          <w:color w:val="auto"/>
        </w:rPr>
      </w:pPr>
    </w:p>
    <w:p>
      <w:pPr>
        <w:ind w:left="-8" w:firstLine="8"/>
        <w:spacing w:after="0" w:line="261"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446,495,290 shares of the Issuer’s Common Stock outstanding as of October 20, 2015 as reported in the Issuer’s Form 10-Q for the quarter ended September 30, 2015 filed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-851535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-1400175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-1948815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-2360295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-636905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300" w:hanging="620"/>
        <w:spacing w:after="0" w:line="308" w:lineRule="auto"/>
        <w:tabs>
          <w:tab w:leader="none" w:pos="1052"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972"/>
          </w:cols>
          <w:pgMar w:left="248" w:top="125" w:right="679" w:bottom="126"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220"/>
          </w:cols>
          <w:pgMar w:left="248" w:top="125" w:right="679" w:bottom="126" w:gutter="0" w:footer="0" w:header="0"/>
          <w:type w:val="continuous"/>
        </w:sectPr>
      </w:pPr>
    </w:p>
    <w:p>
      <w:pPr>
        <w:spacing w:after="0" w:line="227" w:lineRule="exact"/>
        <w:rPr>
          <w:sz w:val="20"/>
          <w:szCs w:val="20"/>
          <w:color w:val="auto"/>
        </w:rPr>
      </w:pPr>
    </w:p>
    <w:p>
      <w:pPr>
        <w:ind w:left="1052" w:right="51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52" w:right="61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-1468755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0972"/>
          </w:cols>
          <w:pgMar w:left="248" w:top="125" w:right="679" w:bottom="126" w:gutter="0" w:footer="0" w:header="0"/>
          <w:type w:val="continuous"/>
        </w:sectPr>
      </w:pPr>
    </w:p>
    <w:bookmarkStart w:id="2" w:name="page3"/>
    <w:bookmarkEnd w:id="2"/>
    <w:p>
      <w:pPr>
        <w:ind w:left="-8" w:firstLine="8"/>
        <w:spacing w:after="0" w:line="256"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Rule 13d-3 under the Securities Exchange Act of 1934, as amended, all shares of the Common Stock of Waste Management, Inc. (the “Issuer”) beneficially owned by Bill &amp; Melinda Gates Foundation Trust (the “Trust”) may be deemed to be beneficially owned by William H. Gates III and Melinda French Gates, as Co-Trustees of the Trust.</w:t>
      </w:r>
    </w:p>
    <w:p>
      <w:pPr>
        <w:ind w:left="-8" w:right="220" w:firstLine="8"/>
        <w:spacing w:after="0" w:line="261"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446,495,290 shares of the Issuer’s Common Stock outstanding as of October 20, 2015 as reported in the Issuer’s Form 10-Q for the quarter ended September 30, 2015 filed on October 27, 2015.</w:t>
      </w:r>
    </w:p>
    <w:p>
      <w:pPr>
        <w:spacing w:after="0" w:line="18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8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William H. Gates III</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2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13,261,007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13,261,007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40"/>
          </w:cols>
          <w:pgMar w:left="248" w:top="125" w:right="459" w:bottom="0" w:gutter="0" w:footer="0" w:header="0"/>
          <w:type w:val="continuous"/>
        </w:sectPr>
      </w:pPr>
    </w:p>
    <w:p>
      <w:pPr>
        <w:spacing w:after="0" w:line="227" w:lineRule="exact"/>
        <w:rPr>
          <w:sz w:val="20"/>
          <w:szCs w:val="20"/>
          <w:color w:val="auto"/>
        </w:rPr>
      </w:pPr>
    </w:p>
    <w:p>
      <w:pPr>
        <w:ind w:left="1052" w:right="5340" w:hanging="620"/>
        <w:spacing w:after="0" w:line="277" w:lineRule="auto"/>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31,894,679(1)(2)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7.1%(3)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420" w:firstLine="8"/>
        <w:spacing w:after="0" w:line="258" w:lineRule="auto"/>
        <w:tabs>
          <w:tab w:leader="none" w:pos="2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8"/>
          <w:szCs w:val="18"/>
          <w:color w:val="auto"/>
        </w:rPr>
      </w:pPr>
    </w:p>
    <w:p>
      <w:pPr>
        <w:ind w:left="-8" w:right="120" w:firstLine="8"/>
        <w:spacing w:after="0" w:line="250"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Bill &amp; Melinda Gates Foundation Trust (the “Trust”) beneficially owns 18,633,672 shares of the Issuer’s Common Stock.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pacing w:after="0" w:line="1" w:lineRule="exact"/>
        <w:rPr>
          <w:rFonts w:ascii="Arial" w:cs="Arial" w:eastAsia="Arial" w:hAnsi="Arial"/>
          <w:sz w:val="18"/>
          <w:szCs w:val="18"/>
          <w:color w:val="auto"/>
        </w:rPr>
      </w:pPr>
    </w:p>
    <w:p>
      <w:pPr>
        <w:ind w:left="-8" w:right="220" w:firstLine="8"/>
        <w:spacing w:after="0" w:line="261"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446,495,290 shares of the Issuer’s Common Stock outstanding as of October 20, 2015 as reported in the Issuer’s Form 10-Q for the quarter ended September 30, 2015 filed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-1263015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-1811655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-2360295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-2772410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-1048385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
        <w:spacing w:after="0"/>
        <w:rPr>
          <w:sz w:val="20"/>
          <w:szCs w:val="20"/>
          <w:color w:val="auto"/>
        </w:rPr>
      </w:pPr>
      <w:r>
        <w:rPr>
          <w:rFonts w:ascii="Arial" w:cs="Arial" w:eastAsia="Arial" w:hAnsi="Arial"/>
          <w:sz w:val="16"/>
          <w:szCs w:val="16"/>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type w:val="continuous"/>
        </w:sectPr>
      </w:pPr>
    </w:p>
    <w:bookmarkStart w:id="3" w:name="page4"/>
    <w:bookmarkEnd w:id="3"/>
    <w:p>
      <w:pPr>
        <w:spacing w:after="0" w:line="127" w:lineRule="exact"/>
        <w:rPr>
          <w:sz w:val="20"/>
          <w:szCs w:val="20"/>
          <w:color w:val="auto"/>
        </w:rPr>
      </w:pPr>
    </w:p>
    <w:p>
      <w:pPr>
        <w:ind w:left="1052" w:right="826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66" w:orient="portrait"/>
          <w:cols w:equalWidth="0" w:num="1">
            <w:col w:w="11372"/>
          </w:cols>
          <w:pgMar w:left="248" w:top="449"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966" w:orient="portrait"/>
          <w:cols w:equalWidth="0" w:num="2">
            <w:col w:w="2032" w:space="720"/>
            <w:col w:w="8620"/>
          </w:cols>
          <w:pgMar w:left="248" w:top="44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4.2%(2)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1" w:lineRule="auto"/>
        <w:tabs>
          <w:tab w:leader="none" w:pos="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Bill &amp; Melinda Gates Foundation Trust (the “Trust”) beneficially owns 18,633,672 shares of Common Stock of Waste Management, Inc. (the “Issuer”).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ind w:left="-8" w:right="400" w:firstLine="8"/>
        <w:spacing w:after="0" w:line="261"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446,495,290 shares of the Issuer’s Common Stock outstanding as of October 20, 2015 as reported in the Issuer’s Form 10-Q for the quarter ended September 30, 2015 filed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-988695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-1537335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-2085975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-2498090</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-774065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52" w:hanging="499"/>
        <w:spacing w:after="0"/>
        <w:tabs>
          <w:tab w:leader="none" w:pos="15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116" w:lineRule="exact"/>
        <w:rPr>
          <w:rFonts w:ascii="Arial" w:cs="Arial" w:eastAsia="Arial" w:hAnsi="Arial"/>
          <w:sz w:val="18"/>
          <w:szCs w:val="18"/>
          <w:color w:val="auto"/>
        </w:rPr>
      </w:pPr>
    </w:p>
    <w:p>
      <w:pPr>
        <w:ind w:left="1552" w:hanging="499"/>
        <w:spacing w:after="0"/>
        <w:tabs>
          <w:tab w:leader="none" w:pos="15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1001 Fannin Street, Suite 4000,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40005</wp:posOffset>
            </wp:positionV>
            <wp:extent cx="6243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-311150</wp:posOffset>
            </wp:positionV>
            <wp:extent cx="6243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52" w:hanging="499"/>
        <w:spacing w:after="0"/>
        <w:tabs>
          <w:tab w:leader="none" w:pos="15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52" w:right="160"/>
        <w:spacing w:after="0" w:line="261" w:lineRule="auto"/>
        <w:rPr>
          <w:rFonts w:ascii="Arial" w:cs="Arial" w:eastAsia="Arial" w:hAnsi="Arial"/>
          <w:sz w:val="18"/>
          <w:szCs w:val="18"/>
          <w:color w:val="auto"/>
        </w:rPr>
      </w:pPr>
      <w:r>
        <w:rPr>
          <w:rFonts w:ascii="Arial" w:cs="Arial" w:eastAsia="Arial" w:hAnsi="Arial"/>
          <w:sz w:val="18"/>
          <w:szCs w:val="18"/>
          <w:color w:val="auto"/>
        </w:rPr>
        <w:t>Cascade Investment, L.L.C. (“Cascade”), Bill &amp; Melinda Gates Foundation Trust (the “Trust”), Melinda French Gates and William H. Gates III (together, “Reporting Persons”)(1)</w:t>
      </w:r>
    </w:p>
    <w:p>
      <w:pPr>
        <w:spacing w:after="0" w:line="89" w:lineRule="exact"/>
        <w:rPr>
          <w:rFonts w:ascii="Arial" w:cs="Arial" w:eastAsia="Arial" w:hAnsi="Arial"/>
          <w:sz w:val="18"/>
          <w:szCs w:val="18"/>
          <w:color w:val="auto"/>
        </w:rPr>
      </w:pPr>
    </w:p>
    <w:p>
      <w:pPr>
        <w:ind w:left="1552" w:right="5440" w:hanging="499"/>
        <w:spacing w:after="0" w:line="312" w:lineRule="auto"/>
        <w:tabs>
          <w:tab w:leader="none" w:pos="15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Cascade – 2365 Carillon Point, Kirkland, Washington 98033 The Trust – 500 Fifth Avenue N, Seattle, Washington 98119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-488950</wp:posOffset>
            </wp:positionV>
            <wp:extent cx="6243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ectPr>
          <w:pgSz w:w="11900" w:h="16966" w:orient="portrait"/>
          <w:cols w:equalWidth="0" w:num="1">
            <w:col w:w="11372"/>
          </w:cols>
          <w:pgMar w:left="248" w:top="449" w:right="279" w:bottom="0" w:gutter="0" w:footer="0" w:header="0"/>
          <w:type w:val="continuous"/>
        </w:sectPr>
      </w:pPr>
    </w:p>
    <w:bookmarkStart w:id="4" w:name="page5"/>
    <w:bookmarkEnd w:id="4"/>
    <w:p>
      <w:pPr>
        <w:ind w:left="1552"/>
        <w:spacing w:after="0"/>
        <w:rPr>
          <w:sz w:val="20"/>
          <w:szCs w:val="20"/>
          <w:color w:val="auto"/>
        </w:rPr>
      </w:pPr>
      <w:r>
        <w:rPr>
          <w:rFonts w:ascii="Arial" w:cs="Arial" w:eastAsia="Arial" w:hAnsi="Arial"/>
          <w:sz w:val="18"/>
          <w:szCs w:val="18"/>
          <w:color w:val="auto"/>
        </w:rPr>
        <w:t>Mr. Gates – One Microsoft Way, Redmond, Washington 98052</w:t>
      </w:r>
    </w:p>
    <w:p>
      <w:pPr>
        <w:spacing w:after="0" w:line="23" w:lineRule="exact"/>
        <w:rPr>
          <w:sz w:val="20"/>
          <w:szCs w:val="20"/>
          <w:color w:val="auto"/>
        </w:rPr>
      </w:pPr>
    </w:p>
    <w:p>
      <w:pPr>
        <w:ind w:left="1552"/>
        <w:spacing w:after="0"/>
        <w:rPr>
          <w:sz w:val="20"/>
          <w:szCs w:val="20"/>
          <w:color w:val="auto"/>
        </w:rPr>
      </w:pPr>
      <w:r>
        <w:rPr>
          <w:rFonts w:ascii="Arial" w:cs="Arial" w:eastAsia="Arial" w:hAnsi="Arial"/>
          <w:sz w:val="18"/>
          <w:szCs w:val="18"/>
          <w:color w:val="auto"/>
        </w:rPr>
        <w:t>Mrs. Gates – 500 Fifth Avenue N, Seattle, Washington 98119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40005</wp:posOffset>
            </wp:positionV>
            <wp:extent cx="6243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96" w:lineRule="exact"/>
        <w:rPr>
          <w:sz w:val="20"/>
          <w:szCs w:val="20"/>
          <w:color w:val="auto"/>
        </w:rPr>
      </w:pPr>
    </w:p>
    <w:p>
      <w:pPr>
        <w:ind w:left="1552" w:hanging="499"/>
        <w:spacing w:after="0"/>
        <w:tabs>
          <w:tab w:leader="none" w:pos="15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52" w:right="326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ind w:left="1552"/>
        <w:spacing w:after="0"/>
        <w:rPr>
          <w:rFonts w:ascii="Arial" w:cs="Arial" w:eastAsia="Arial" w:hAnsi="Arial"/>
          <w:sz w:val="18"/>
          <w:szCs w:val="18"/>
          <w:color w:val="auto"/>
        </w:rPr>
      </w:pPr>
      <w:r>
        <w:rPr>
          <w:rFonts w:ascii="Arial" w:cs="Arial" w:eastAsia="Arial" w:hAnsi="Arial"/>
          <w:sz w:val="18"/>
          <w:szCs w:val="18"/>
          <w:color w:val="auto"/>
        </w:rPr>
        <w:t>Mr. and Mrs. Gates are citizens of the United States of America.</w:t>
      </w:r>
    </w:p>
    <w:p>
      <w:pPr>
        <w:spacing w:after="0" w:line="116" w:lineRule="exact"/>
        <w:rPr>
          <w:rFonts w:ascii="Arial" w:cs="Arial" w:eastAsia="Arial" w:hAnsi="Arial"/>
          <w:sz w:val="18"/>
          <w:szCs w:val="18"/>
          <w:color w:val="auto"/>
        </w:rPr>
      </w:pPr>
    </w:p>
    <w:p>
      <w:pPr>
        <w:ind w:left="1552" w:right="7520" w:hanging="499"/>
        <w:spacing w:after="0" w:line="342" w:lineRule="auto"/>
        <w:tabs>
          <w:tab w:leader="none" w:pos="15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Title of Class of Securities Common Stock, $0.01 par value</w:t>
      </w:r>
    </w:p>
    <w:p>
      <w:pPr>
        <w:spacing w:after="0" w:line="29" w:lineRule="exact"/>
        <w:rPr>
          <w:rFonts w:ascii="Arial" w:cs="Arial" w:eastAsia="Arial" w:hAnsi="Arial"/>
          <w:sz w:val="16"/>
          <w:szCs w:val="16"/>
          <w:color w:val="auto"/>
        </w:rPr>
      </w:pPr>
    </w:p>
    <w:p>
      <w:pPr>
        <w:ind w:left="1552" w:right="8720" w:hanging="499"/>
        <w:spacing w:after="0" w:line="342" w:lineRule="auto"/>
        <w:tabs>
          <w:tab w:leader="none" w:pos="15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-14605</wp:posOffset>
            </wp:positionV>
            <wp:extent cx="6243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-366395</wp:posOffset>
            </wp:positionV>
            <wp:extent cx="6243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-717550</wp:posOffset>
            </wp:positionV>
            <wp:extent cx="6243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316" w:lineRule="exact"/>
        <w:rPr>
          <w:sz w:val="20"/>
          <w:szCs w:val="20"/>
          <w:color w:val="auto"/>
        </w:rPr>
      </w:pPr>
    </w:p>
    <w:p>
      <w:pPr>
        <w:ind w:left="112"/>
        <w:spacing w:after="0"/>
        <w:tabs>
          <w:tab w:leader="none" w:pos="103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 w:firstLine="8"/>
        <w:spacing w:after="0" w:line="277" w:lineRule="auto"/>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52" w:hanging="394"/>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52" w:hanging="400"/>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52" w:hanging="394"/>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255270</wp:posOffset>
            </wp:positionV>
            <wp:extent cx="6234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-198755</wp:posOffset>
            </wp:positionV>
            <wp:extent cx="6234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-653415</wp:posOffset>
            </wp:positionV>
            <wp:extent cx="6234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hanging="453"/>
        <w:spacing w:after="0"/>
        <w:tabs>
          <w:tab w:leader="none" w:pos="22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83185</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72" w:hanging="478"/>
        <w:spacing w:after="0"/>
        <w:tabs>
          <w:tab w:leader="none" w:pos="22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83185</wp:posOffset>
            </wp:positionV>
            <wp:extent cx="5840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72" w:right="5100" w:hanging="503"/>
        <w:spacing w:after="0" w:line="412" w:lineRule="auto"/>
        <w:tabs>
          <w:tab w:leader="none" w:pos="22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84" w:lineRule="exact"/>
        <w:rPr>
          <w:rFonts w:ascii="Arial" w:cs="Arial" w:eastAsia="Arial" w:hAnsi="Arial"/>
          <w:sz w:val="16"/>
          <w:szCs w:val="16"/>
          <w:color w:val="auto"/>
        </w:rPr>
      </w:pPr>
    </w:p>
    <w:p>
      <w:pPr>
        <w:ind w:left="2272" w:right="5100" w:hanging="498"/>
        <w:spacing w:after="0" w:line="456" w:lineRule="auto"/>
        <w:tabs>
          <w:tab w:leader="none" w:pos="2272" w:val="left"/>
        </w:tabs>
        <w:numPr>
          <w:ilvl w:val="0"/>
          <w:numId w:val="21"/>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-29210</wp:posOffset>
            </wp:positionV>
            <wp:extent cx="58400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-483870</wp:posOffset>
            </wp:positionV>
            <wp:extent cx="58400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52"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72" w:right="80" w:hanging="1120"/>
        <w:spacing w:after="0" w:line="282" w:lineRule="auto"/>
        <w:tabs>
          <w:tab w:leader="none" w:pos="1152"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12"/>
          </w:cols>
          <w:pgMar w:left="248" w:top="125"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220" w:right="2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February 12, 2016</w:t>
            </w:r>
          </w:p>
        </w:tc>
        <w:tc>
          <w:tcPr>
            <w:tcW w:w="7480" w:type="dxa"/>
            <w:vAlign w:val="bottom"/>
            <w:gridSpan w:val="3"/>
          </w:tcPr>
          <w:p>
            <w:pPr>
              <w:ind w:left="2100"/>
              <w:spacing w:after="0"/>
              <w:rPr>
                <w:sz w:val="20"/>
                <w:szCs w:val="20"/>
                <w:color w:val="auto"/>
              </w:rPr>
            </w:pPr>
            <w:r>
              <w:rPr>
                <w:rFonts w:ascii="Arial" w:cs="Arial" w:eastAsia="Arial" w:hAnsi="Arial"/>
                <w:sz w:val="18"/>
                <w:szCs w:val="18"/>
                <w:color w:val="auto"/>
              </w:rPr>
              <w:t>CASCADE INVESTMENT, L.L.C.(1)</w:t>
            </w:r>
          </w:p>
        </w:tc>
      </w:tr>
      <w:tr>
        <w:trPr>
          <w:trHeight w:val="432"/>
        </w:trPr>
        <w:tc>
          <w:tcPr>
            <w:tcW w:w="3880" w:type="dxa"/>
            <w:vAlign w:val="bottom"/>
          </w:tcPr>
          <w:p>
            <w:pPr>
              <w:spacing w:after="0"/>
              <w:rPr>
                <w:sz w:val="24"/>
                <w:szCs w:val="24"/>
                <w:color w:val="auto"/>
              </w:rPr>
            </w:pP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Heuberger(2)</w:t>
            </w:r>
          </w:p>
        </w:tc>
      </w:tr>
      <w:tr>
        <w:trPr>
          <w:trHeight w:val="216"/>
        </w:trPr>
        <w:tc>
          <w:tcPr>
            <w:tcW w:w="3880" w:type="dxa"/>
            <w:vAlign w:val="bottom"/>
          </w:tcPr>
          <w:p>
            <w:pPr>
              <w:spacing w:after="0"/>
              <w:rPr>
                <w:sz w:val="18"/>
                <w:szCs w:val="18"/>
                <w:color w:val="auto"/>
              </w:rPr>
            </w:pPr>
          </w:p>
        </w:tc>
        <w:tc>
          <w:tcPr>
            <w:tcW w:w="3180" w:type="dxa"/>
            <w:vAlign w:val="bottom"/>
            <w:gridSpan w:val="2"/>
          </w:tcPr>
          <w:p>
            <w:pPr>
              <w:ind w:left="26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Business Manager</w:t>
            </w:r>
          </w:p>
        </w:tc>
      </w:tr>
      <w:tr>
        <w:trPr>
          <w:trHeight w:val="432"/>
        </w:trPr>
        <w:tc>
          <w:tcPr>
            <w:tcW w:w="388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Arial" w:cs="Arial" w:eastAsia="Arial" w:hAnsi="Arial"/>
                <w:sz w:val="18"/>
                <w:szCs w:val="18"/>
                <w:color w:val="auto"/>
              </w:rPr>
              <w:t>BILL &amp; MELINDA GATES FOUNDATION TRUST(1)</w:t>
            </w:r>
          </w:p>
        </w:tc>
      </w:tr>
      <w:tr>
        <w:trPr>
          <w:trHeight w:val="432"/>
        </w:trPr>
        <w:tc>
          <w:tcPr>
            <w:tcW w:w="3880" w:type="dxa"/>
            <w:vAlign w:val="bottom"/>
          </w:tcPr>
          <w:p>
            <w:pPr>
              <w:spacing w:after="0"/>
              <w:rPr>
                <w:sz w:val="24"/>
                <w:szCs w:val="24"/>
                <w:color w:val="auto"/>
              </w:rPr>
            </w:pP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Heuberger (3)</w:t>
            </w:r>
          </w:p>
        </w:tc>
      </w:tr>
      <w:tr>
        <w:trPr>
          <w:trHeight w:val="216"/>
        </w:trPr>
        <w:tc>
          <w:tcPr>
            <w:tcW w:w="3880" w:type="dxa"/>
            <w:vAlign w:val="bottom"/>
          </w:tcPr>
          <w:p>
            <w:pPr>
              <w:spacing w:after="0"/>
              <w:rPr>
                <w:sz w:val="18"/>
                <w:szCs w:val="18"/>
                <w:color w:val="auto"/>
              </w:rPr>
            </w:pPr>
          </w:p>
        </w:tc>
        <w:tc>
          <w:tcPr>
            <w:tcW w:w="3180" w:type="dxa"/>
            <w:vAlign w:val="bottom"/>
            <w:gridSpan w:val="2"/>
          </w:tcPr>
          <w:p>
            <w:pPr>
              <w:ind w:left="26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w w:val="94"/>
              </w:rPr>
              <w:t>Attorney-in-fact for each of the Co- Trustees, William H.</w:t>
            </w:r>
          </w:p>
        </w:tc>
      </w:tr>
      <w:tr>
        <w:trPr>
          <w:trHeight w:val="230"/>
        </w:trPr>
        <w:tc>
          <w:tcPr>
            <w:tcW w:w="3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Gates III and Melinda French Gates</w:t>
            </w:r>
          </w:p>
        </w:tc>
      </w:tr>
      <w:tr>
        <w:trPr>
          <w:trHeight w:val="432"/>
        </w:trPr>
        <w:tc>
          <w:tcPr>
            <w:tcW w:w="388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Arial" w:cs="Arial" w:eastAsia="Arial" w:hAnsi="Arial"/>
                <w:sz w:val="18"/>
                <w:szCs w:val="18"/>
                <w:color w:val="auto"/>
              </w:rPr>
              <w:t>WILLIAM H. GATES III(1)</w:t>
            </w:r>
          </w:p>
        </w:tc>
      </w:tr>
      <w:tr>
        <w:trPr>
          <w:trHeight w:val="432"/>
        </w:trPr>
        <w:tc>
          <w:tcPr>
            <w:tcW w:w="3880" w:type="dxa"/>
            <w:vAlign w:val="bottom"/>
          </w:tcPr>
          <w:p>
            <w:pPr>
              <w:spacing w:after="0"/>
              <w:rPr>
                <w:sz w:val="24"/>
                <w:szCs w:val="24"/>
                <w:color w:val="auto"/>
              </w:rPr>
            </w:pP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Heuberger(3)(4)</w:t>
            </w:r>
          </w:p>
        </w:tc>
      </w:tr>
      <w:tr>
        <w:trPr>
          <w:trHeight w:val="230"/>
        </w:trPr>
        <w:tc>
          <w:tcPr>
            <w:tcW w:w="3880" w:type="dxa"/>
            <w:vAlign w:val="bottom"/>
          </w:tcPr>
          <w:p>
            <w:pPr>
              <w:spacing w:after="0"/>
              <w:rPr>
                <w:sz w:val="20"/>
                <w:szCs w:val="20"/>
                <w:color w:val="auto"/>
              </w:rPr>
            </w:pPr>
          </w:p>
        </w:tc>
        <w:tc>
          <w:tcPr>
            <w:tcW w:w="3180" w:type="dxa"/>
            <w:vAlign w:val="bottom"/>
            <w:gridSpan w:val="2"/>
          </w:tcPr>
          <w:p>
            <w:pPr>
              <w:ind w:left="26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Attorney-in-fact</w:t>
            </w:r>
          </w:p>
        </w:tc>
      </w:tr>
      <w:tr>
        <w:trPr>
          <w:trHeight w:val="432"/>
        </w:trPr>
        <w:tc>
          <w:tcPr>
            <w:tcW w:w="3880" w:type="dxa"/>
            <w:vAlign w:val="bottom"/>
          </w:tcPr>
          <w:p>
            <w:pPr>
              <w:spacing w:after="0"/>
              <w:rPr>
                <w:sz w:val="24"/>
                <w:szCs w:val="24"/>
                <w:color w:val="auto"/>
              </w:rPr>
            </w:pPr>
          </w:p>
        </w:tc>
        <w:tc>
          <w:tcPr>
            <w:tcW w:w="7480" w:type="dxa"/>
            <w:vAlign w:val="bottom"/>
            <w:gridSpan w:val="3"/>
          </w:tcPr>
          <w:p>
            <w:pPr>
              <w:ind w:left="2100"/>
              <w:spacing w:after="0"/>
              <w:rPr>
                <w:sz w:val="20"/>
                <w:szCs w:val="20"/>
                <w:color w:val="auto"/>
              </w:rPr>
            </w:pPr>
            <w:r>
              <w:rPr>
                <w:rFonts w:ascii="Arial" w:cs="Arial" w:eastAsia="Arial" w:hAnsi="Arial"/>
                <w:sz w:val="18"/>
                <w:szCs w:val="18"/>
                <w:color w:val="auto"/>
              </w:rPr>
              <w:t>MELINDA FRENCH GATES(1)</w:t>
            </w:r>
          </w:p>
        </w:tc>
      </w:tr>
      <w:tr>
        <w:trPr>
          <w:trHeight w:val="432"/>
        </w:trPr>
        <w:tc>
          <w:tcPr>
            <w:tcW w:w="3880" w:type="dxa"/>
            <w:vAlign w:val="bottom"/>
          </w:tcPr>
          <w:p>
            <w:pPr>
              <w:spacing w:after="0"/>
              <w:rPr>
                <w:sz w:val="24"/>
                <w:szCs w:val="24"/>
                <w:color w:val="auto"/>
              </w:rPr>
            </w:pP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195"/>
        </w:trPr>
        <w:tc>
          <w:tcPr>
            <w:tcW w:w="3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Heuberger (3)</w:t>
            </w:r>
          </w:p>
        </w:tc>
      </w:tr>
      <w:tr>
        <w:trPr>
          <w:trHeight w:val="230"/>
        </w:trPr>
        <w:tc>
          <w:tcPr>
            <w:tcW w:w="3880" w:type="dxa"/>
            <w:vAlign w:val="bottom"/>
          </w:tcPr>
          <w:p>
            <w:pPr>
              <w:spacing w:after="0"/>
              <w:rPr>
                <w:sz w:val="20"/>
                <w:szCs w:val="20"/>
                <w:color w:val="auto"/>
              </w:rPr>
            </w:pPr>
          </w:p>
        </w:tc>
        <w:tc>
          <w:tcPr>
            <w:tcW w:w="3180" w:type="dxa"/>
            <w:vAlign w:val="bottom"/>
            <w:gridSpan w:val="2"/>
          </w:tcPr>
          <w:p>
            <w:pPr>
              <w:ind w:left="260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60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/s/Alan Heuberger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(1)This Amendment No. 4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181" w:lineRule="exact"/>
        <w:rPr>
          <w:sz w:val="20"/>
          <w:szCs w:val="20"/>
          <w:color w:val="auto"/>
        </w:rPr>
      </w:pPr>
    </w:p>
    <w:p>
      <w:pPr>
        <w:ind w:right="520" w:firstLine="8"/>
        <w:spacing w:after="0" w:line="286"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w:t>
      </w:r>
      <w:r>
        <w:rPr>
          <w:rFonts w:ascii="Arial" w:cs="Arial" w:eastAsia="Arial" w:hAnsi="Arial"/>
          <w:sz w:val="17"/>
          <w:szCs w:val="17"/>
          <w:b w:val="1"/>
          <w:bCs w:val="1"/>
          <w:color w:val="auto"/>
        </w:rPr>
        <w:t>.</w:t>
      </w:r>
      <w:r>
        <w:rPr>
          <w:rFonts w:ascii="Arial" w:cs="Arial" w:eastAsia="Arial" w:hAnsi="Arial"/>
          <w:sz w:val="17"/>
          <w:szCs w:val="17"/>
          <w:color w:val="auto"/>
        </w:rPr>
        <w:t xml:space="preserve"> 005-81261, and incorporated by reference herein.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(3)Duly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05-60431 and incorporated by reference herein.</w:t>
      </w:r>
    </w:p>
    <w:p>
      <w:pPr>
        <w:spacing w:after="0" w:line="181" w:lineRule="exact"/>
        <w:rPr>
          <w:sz w:val="20"/>
          <w:szCs w:val="20"/>
          <w:color w:val="auto"/>
        </w:rPr>
      </w:pPr>
    </w:p>
    <w:p>
      <w:pPr>
        <w:ind w:right="300" w:firstLine="41"/>
        <w:spacing w:after="0" w:line="264" w:lineRule="auto"/>
        <w:rPr>
          <w:sz w:val="20"/>
          <w:szCs w:val="20"/>
          <w:color w:val="auto"/>
        </w:rPr>
      </w:pPr>
      <w:r>
        <w:rPr>
          <w:rFonts w:ascii="Arial" w:cs="Arial" w:eastAsia="Arial" w:hAnsi="Arial"/>
          <w:sz w:val="18"/>
          <w:szCs w:val="18"/>
          <w:color w:val="auto"/>
        </w:rPr>
        <w:t>(4)Duly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decimal"/>
      <w:start w:val="9"/>
    </w:lvl>
  </w:abstractNum>
  <w:abstractNum w:abstractNumId="3">
    <w:nsid w:val="3352255A"/>
    <w:multiLevelType w:val="hybridMultilevel"/>
    <w:lvl w:ilvl="0">
      <w:lvlJc w:val="left"/>
      <w:lvlText w:val="(%1)"/>
      <w:numFmt w:val="decimal"/>
      <w:start w:val="1"/>
    </w:lvl>
    <w:lvl w:ilvl="1">
      <w:lvlJc w:val="left"/>
      <w:lvlText w:val="%2"/>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decimal"/>
      <w:start w:val="9"/>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decimal"/>
      <w:start w:val="9"/>
    </w:lvl>
  </w:abstractNum>
  <w:abstractNum w:abstractNumId="12">
    <w:nsid w:val="519B500D"/>
    <w:multiLevelType w:val="hybridMultilevel"/>
    <w:lvl w:ilvl="0">
      <w:lvlJc w:val="left"/>
      <w:lvlText w:val="(%1)"/>
      <w:numFmt w:val="decimal"/>
      <w:start w:val="1"/>
    </w:lvl>
    <w:lvl w:ilvl="1">
      <w:lvlJc w:val="left"/>
      <w:lvlText w:val="%2"/>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lowerRoman"/>
      <w:start w:val="3"/>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2019-12-16T22:15:17Z</dcterms:created>
  <dcterms:modified xsi:type="dcterms:W3CDTF">2019-12-16T22:15:17Z</dcterms:modified>
</cp:coreProperties>
</file>