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440" w:right="401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SEPTEMBER 30, 1997</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93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ectPr>
          <w:pgSz w:w="11900" w:h="16838" w:orient="portrait"/>
          <w:cols w:equalWidth="0" w:num="1">
            <w:col w:w="10239"/>
          </w:cols>
          <w:pgMar w:left="220" w:top="225" w:right="1440" w:bottom="1440" w:gutter="0" w:footer="0" w:header="0"/>
        </w:sectPr>
      </w:pPr>
    </w:p>
    <w:p>
      <w:pPr>
        <w:spacing w:after="0" w:line="17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4100" w:space="720"/>
            <w:col w:w="5419"/>
          </w:cols>
          <w:pgMar w:left="220" w:top="225"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4740" w:space="340"/>
            <w:col w:w="5159"/>
          </w:cols>
          <w:pgMar w:left="220" w:top="225" w:right="1440" w:bottom="1440" w:gutter="0" w:footer="0" w:header="0"/>
          <w:type w:val="continuous"/>
        </w:sectPr>
      </w:pPr>
    </w:p>
    <w:p>
      <w:pPr>
        <w:ind w:left="2200"/>
        <w:spacing w:after="0"/>
        <w:rPr>
          <w:sz w:val="20"/>
          <w:szCs w:val="20"/>
          <w:color w:val="auto"/>
        </w:rPr>
      </w:pPr>
      <w:r>
        <w:rPr>
          <w:rFonts w:ascii="Courier New" w:cs="Courier New" w:eastAsia="Courier New" w:hAnsi="Courier New"/>
          <w:sz w:val="15"/>
          <w:szCs w:val="15"/>
          <w:color w:val="auto"/>
        </w:rPr>
        <w:t>COMMISSION FILE NUMBER: 1-12154</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25" w:right="1440" w:bottom="1440" w:gutter="0" w:footer="0" w:header="0"/>
          <w:type w:val="continuous"/>
        </w:sectPr>
      </w:pPr>
    </w:p>
    <w:p>
      <w:pPr>
        <w:spacing w:after="0" w:line="17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ind w:left="10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180" w:space="720"/>
            <w:col w:w="5339"/>
          </w:cols>
          <w:pgMar w:left="220" w:top="225"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5"/>
          <w:szCs w:val="15"/>
          <w:color w:val="auto"/>
        </w:rPr>
        <w:t>1001 FANNIN</w:t>
      </w:r>
    </w:p>
    <w:p>
      <w:pPr>
        <w:ind w:left="3080"/>
        <w:spacing w:after="0" w:line="237" w:lineRule="auto"/>
        <w:rPr>
          <w:sz w:val="20"/>
          <w:szCs w:val="20"/>
          <w:color w:val="auto"/>
        </w:rPr>
      </w:pPr>
      <w:r>
        <w:rPr>
          <w:rFonts w:ascii="Courier New" w:cs="Courier New" w:eastAsia="Courier New" w:hAnsi="Courier New"/>
          <w:sz w:val="15"/>
          <w:szCs w:val="15"/>
          <w:color w:val="auto"/>
        </w:rPr>
        <w:t>SUITE 4000</w:t>
      </w:r>
    </w:p>
    <w:p>
      <w:pPr>
        <w:ind w:left="2640"/>
        <w:spacing w:after="0" w:line="238" w:lineRule="auto"/>
        <w:rPr>
          <w:sz w:val="20"/>
          <w:szCs w:val="20"/>
          <w:color w:val="auto"/>
        </w:rPr>
      </w:pPr>
      <w:r>
        <w:rPr>
          <w:rFonts w:ascii="Courier New" w:cs="Courier New" w:eastAsia="Courier New" w:hAnsi="Courier New"/>
          <w:sz w:val="15"/>
          <w:szCs w:val="15"/>
          <w:color w:val="auto"/>
        </w:rPr>
        <w:t>HOUSTON, TEXAS 77002</w:t>
      </w:r>
    </w:p>
    <w:p>
      <w:pPr>
        <w:ind w:left="1760"/>
        <w:spacing w:after="0" w:line="237" w:lineRule="auto"/>
        <w:rPr>
          <w:sz w:val="20"/>
          <w:szCs w:val="20"/>
          <w:color w:val="auto"/>
        </w:rPr>
      </w:pPr>
      <w:r>
        <w:rPr>
          <w:rFonts w:ascii="Courier New" w:cs="Courier New" w:eastAsia="Courier New" w:hAnsi="Courier New"/>
          <w:sz w:val="15"/>
          <w:szCs w:val="15"/>
          <w:color w:val="auto"/>
        </w:rPr>
        <w:t>(Address of principal executive offices)</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(713) 512-6200</w:t>
      </w:r>
    </w:p>
    <w:p>
      <w:pPr>
        <w:jc w:val="center"/>
        <w:ind w:right="321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 CHANGE</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 changed</w:t>
      </w:r>
    </w:p>
    <w:p>
      <w:pPr>
        <w:jc w:val="center"/>
        <w:ind w:right="3219"/>
        <w:spacing w:after="0" w:line="238" w:lineRule="auto"/>
        <w:rPr>
          <w:sz w:val="20"/>
          <w:szCs w:val="20"/>
          <w:color w:val="auto"/>
        </w:rPr>
      </w:pPr>
      <w:r>
        <w:rPr>
          <w:rFonts w:ascii="Courier New" w:cs="Courier New" w:eastAsia="Courier New" w:hAnsi="Courier New"/>
          <w:sz w:val="15"/>
          <w:szCs w:val="15"/>
          <w:color w:val="auto"/>
        </w:rPr>
        <w:t>since last report)</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YES X NO</w:t>
      </w:r>
    </w:p>
    <w:p>
      <w:pPr>
        <w:ind w:left="3340"/>
        <w:spacing w:after="0" w:line="237" w:lineRule="auto"/>
        <w:tabs>
          <w:tab w:leader="none" w:pos="3760" w:val="left"/>
        </w:tabs>
        <w:rPr>
          <w:sz w:val="20"/>
          <w:szCs w:val="20"/>
          <w:color w:val="auto"/>
        </w:rPr>
      </w:pPr>
      <w:r>
        <w:rPr>
          <w:rFonts w:ascii="Courier New" w:cs="Courier New" w:eastAsia="Courier New" w:hAnsi="Courier New"/>
          <w:sz w:val="15"/>
          <w:szCs w:val="15"/>
          <w:color w:val="auto"/>
        </w:rPr>
        <w:t>---</w:t>
        <w:tab/>
        <w:t>---</w:t>
      </w:r>
    </w:p>
    <w:p>
      <w:pPr>
        <w:spacing w:after="0" w:line="173" w:lineRule="exact"/>
        <w:rPr>
          <w:sz w:val="24"/>
          <w:szCs w:val="24"/>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November 12, 1997, was 216,610,013.</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ind w:left="1940"/>
        <w:spacing w:after="0" w:line="237" w:lineRule="auto"/>
        <w:rPr>
          <w:sz w:val="20"/>
          <w:szCs w:val="20"/>
          <w:color w:val="auto"/>
        </w:rPr>
      </w:pPr>
      <w:r>
        <w:rPr>
          <w:rFonts w:ascii="Courier New" w:cs="Courier New" w:eastAsia="Courier New" w:hAnsi="Courier New"/>
          <w:sz w:val="15"/>
          <w:szCs w:val="15"/>
          <w:color w:val="auto"/>
        </w:rPr>
        <w:t>CONDENSED CONSOLIDATED BALANCE SHEETS</w:t>
      </w:r>
    </w:p>
    <w:p>
      <w:pPr>
        <w:ind w:left="1320"/>
        <w:spacing w:after="0" w:line="238" w:lineRule="auto"/>
        <w:rPr>
          <w:sz w:val="20"/>
          <w:szCs w:val="20"/>
          <w:color w:val="auto"/>
        </w:rPr>
      </w:pPr>
      <w:r>
        <w:rPr>
          <w:rFonts w:ascii="Courier New" w:cs="Courier New" w:eastAsia="Courier New" w:hAnsi="Courier New"/>
          <w:sz w:val="15"/>
          <w:szCs w:val="15"/>
          <w:color w:val="auto"/>
        </w:rPr>
        <w:t>(IN THOUSANDS, EXCEPT SHARE AND PAR VALUE AMOUNTS)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September 30,</w:t>
            </w:r>
          </w:p>
        </w:tc>
        <w:tc>
          <w:tcPr>
            <w:tcW w:w="14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88"/>
              </w:rPr>
              <w:t>1997</w:t>
            </w:r>
          </w:p>
        </w:tc>
        <w:tc>
          <w:tcPr>
            <w:tcW w:w="560" w:type="dxa"/>
            <w:vAlign w:val="bottom"/>
          </w:tcPr>
          <w:p>
            <w:pPr>
              <w:spacing w:after="0"/>
              <w:rPr>
                <w:sz w:val="14"/>
                <w:szCs w:val="14"/>
                <w:color w:val="auto"/>
              </w:rPr>
            </w:pPr>
          </w:p>
        </w:tc>
        <w:tc>
          <w:tcPr>
            <w:tcW w:w="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(restated)</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Current assets:</w:t>
            </w:r>
          </w:p>
        </w:tc>
        <w:tc>
          <w:tcPr>
            <w:tcW w:w="4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Cash and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63,240</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26,079</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Accounts</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receivable, net</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435,637</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265,002</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68,635</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38,495</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taxes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55,776</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48,561</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83,365</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49,365</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706,653</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427,502</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Notes and other</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receivables</w:t>
            </w:r>
          </w:p>
        </w:tc>
        <w:tc>
          <w:tcPr>
            <w:tcW w:w="13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55,963</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49,059</w:t>
            </w: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3,595,868</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2,198,231</w:t>
            </w: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 businesses, net</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1,316,027</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715,910</w:t>
            </w: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105,227</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88,341</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264,881</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152,504</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assets</w:t>
            </w: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$6,044,619</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$ 3,631,547</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LIABILITIES AND</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Accounts</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payable</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194,192</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118,823</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256,399</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206,591</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55,851</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35,640</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39,317</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34,606</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545,759</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395,660</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Long-term debt,</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less current maturities</w:t>
            </w:r>
          </w:p>
        </w:tc>
        <w:tc>
          <w:tcPr>
            <w:tcW w:w="132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2,440,879</w:t>
            </w:r>
          </w:p>
        </w:tc>
        <w:tc>
          <w:tcPr>
            <w:tcW w:w="5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1,470,282</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income</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187,842</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45,421</w:t>
            </w:r>
          </w:p>
        </w:tc>
      </w:tr>
      <w:tr>
        <w:trPr>
          <w:trHeight w:val="168"/>
        </w:trPr>
        <w:tc>
          <w:tcPr>
            <w:tcW w:w="6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369,784</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246,194</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3,544,264</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2,157,557</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Commitments and</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contingencies</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60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Preferred stock, $1.00 par value; 10,000,000</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shares authorized; none issued</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Common stock,  $.01 par value;</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500,000,000 shares authorized; 216,048,062 and</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0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181,630,519 shares issued, respectively</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2,160</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1,816</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2,363,732</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1,504,449</w:t>
            </w:r>
          </w:p>
        </w:tc>
      </w:tr>
      <w:tr>
        <w:trPr>
          <w:trHeight w:val="168"/>
        </w:trPr>
        <w:tc>
          <w:tcPr>
            <w:tcW w:w="13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Retained</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earnings (accumulated deficit)</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150,625</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(15,948)</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13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(15,678)</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(15,843)</w:t>
            </w:r>
          </w:p>
        </w:tc>
      </w:tr>
      <w:tr>
        <w:trPr>
          <w:trHeight w:val="168"/>
        </w:trPr>
        <w:tc>
          <w:tcPr>
            <w:tcW w:w="60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Less treasury stock at cost, 23,485 shares</w:t>
            </w:r>
          </w:p>
        </w:tc>
        <w:tc>
          <w:tcPr>
            <w:tcW w:w="132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(484)</w:t>
            </w:r>
          </w:p>
        </w:tc>
        <w:tc>
          <w:tcPr>
            <w:tcW w:w="5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2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2,500,355</w:t>
            </w:r>
          </w:p>
        </w:tc>
        <w:tc>
          <w:tcPr>
            <w:tcW w:w="5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1,473,990</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w:t>
            </w:r>
          </w:p>
        </w:tc>
        <w:tc>
          <w:tcPr>
            <w:tcW w:w="4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$6,044,619</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$ 3,631,547</w:t>
            </w:r>
          </w:p>
        </w:tc>
      </w:tr>
      <w:tr>
        <w:trPr>
          <w:trHeight w:val="168"/>
        </w:trPr>
        <w:tc>
          <w:tcPr>
            <w:tcW w:w="1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condensed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USA WASTE SERVICES, INC.</w:t>
      </w:r>
    </w:p>
    <w:p>
      <w:pPr>
        <w:ind w:left="150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314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Three months ended September 30,</w:t>
            </w:r>
          </w:p>
        </w:tc>
        <w:tc>
          <w:tcPr>
            <w:tcW w:w="2840" w:type="dxa"/>
            <w:vAlign w:val="bottom"/>
            <w:gridSpan w:val="4"/>
          </w:tcPr>
          <w:p>
            <w:pPr>
              <w:ind w:left="140"/>
              <w:spacing w:after="0"/>
              <w:rPr>
                <w:sz w:val="20"/>
                <w:szCs w:val="20"/>
                <w:color w:val="auto"/>
              </w:rPr>
            </w:pPr>
            <w:r>
              <w:rPr>
                <w:rFonts w:ascii="Courier New" w:cs="Courier New" w:eastAsia="Courier New" w:hAnsi="Courier New"/>
                <w:sz w:val="15"/>
                <w:szCs w:val="15"/>
                <w:color w:val="auto"/>
                <w:w w:val="96"/>
              </w:rPr>
              <w:t>Nine months ended September 30,</w:t>
            </w:r>
          </w:p>
        </w:tc>
      </w:tr>
      <w:tr>
        <w:trPr>
          <w:trHeight w:val="168"/>
        </w:trPr>
        <w:tc>
          <w:tcPr>
            <w:tcW w:w="4960" w:type="dxa"/>
            <w:vAlign w:val="bottom"/>
          </w:tcPr>
          <w:p>
            <w:pPr>
              <w:spacing w:after="0"/>
              <w:rPr>
                <w:sz w:val="14"/>
                <w:szCs w:val="14"/>
                <w:color w:val="auto"/>
              </w:rPr>
            </w:pPr>
          </w:p>
        </w:tc>
        <w:tc>
          <w:tcPr>
            <w:tcW w:w="314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136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1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(restated)</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(restated)</w:t>
            </w:r>
          </w:p>
        </w:tc>
      </w:tr>
      <w:tr>
        <w:trPr>
          <w:trHeight w:val="505"/>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$ 761,751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442,801</w:t>
            </w:r>
          </w:p>
        </w:tc>
        <w:tc>
          <w:tcPr>
            <w:tcW w:w="14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$ 1,878,460</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$ 1,204,906</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(exclusive of depreciation</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amortization shown below)</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388,908</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231,509</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970,373</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649,829</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81,945</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51,647</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207,352</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147,708</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87,671</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51,344</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219,255</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138,893</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Merger costs</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104,152</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84,751</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109,411</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125,047</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Unusual items</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24,720</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50,848</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24,720</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63,800</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687,396</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470,099</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1,531,111</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1,125,277</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74,355</w:t>
            </w:r>
          </w:p>
        </w:tc>
        <w:tc>
          <w:tcPr>
            <w:tcW w:w="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(27,298)</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347,349</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79,629</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(29,768)</w:t>
            </w:r>
          </w:p>
        </w:tc>
        <w:tc>
          <w:tcPr>
            <w:tcW w:w="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(15,417)</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(71,040)</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(45,080)</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other income, net</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4,071</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4,014</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15,508</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7,786</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(25,697)</w:t>
            </w:r>
          </w:p>
        </w:tc>
        <w:tc>
          <w:tcPr>
            <w:tcW w:w="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(11,403)</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(55,532)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(37,294)</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and</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48,658</w:t>
            </w:r>
          </w:p>
        </w:tc>
        <w:tc>
          <w:tcPr>
            <w:tcW w:w="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(38,701)</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291,817</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42,335</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(benefit from) income taxes</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23,463</w:t>
            </w:r>
          </w:p>
        </w:tc>
        <w:tc>
          <w:tcPr>
            <w:tcW w:w="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(11,230)</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121,364</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31,355</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25,195</w:t>
            </w:r>
          </w:p>
        </w:tc>
        <w:tc>
          <w:tcPr>
            <w:tcW w:w="34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(27,471)</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170,453</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10,980</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 related to early</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retirement of debt, net of tax benefit of $4,195</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(6,293)</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(6,293)</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18,902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(27,471)</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164,160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10,980</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(loss) per common share:</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earnings (loss) per common share:</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 (loss)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(0.16)</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weighted average number of common</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common equivalent shares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218,197</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176,392</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220,342</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180,675</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weighted average number of</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and common equivalent shares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outstanding</w:t>
            </w:r>
          </w:p>
        </w:tc>
        <w:tc>
          <w:tcPr>
            <w:tcW w:w="4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218,197</w:t>
            </w:r>
          </w:p>
        </w:tc>
        <w:tc>
          <w:tcPr>
            <w:tcW w:w="34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176,392</w:t>
            </w:r>
          </w:p>
        </w:tc>
        <w:tc>
          <w:tcPr>
            <w:tcW w:w="2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229,527</w:t>
            </w:r>
          </w:p>
        </w:tc>
        <w:tc>
          <w:tcPr>
            <w:tcW w:w="36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181,480</w:t>
            </w:r>
          </w:p>
        </w:tc>
      </w:tr>
      <w:tr>
        <w:trPr>
          <w:trHeight w:val="168"/>
        </w:trPr>
        <w:tc>
          <w:tcPr>
            <w:tcW w:w="496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920"/>
        <w:spacing w:after="0" w:line="237" w:lineRule="auto"/>
        <w:rPr>
          <w:sz w:val="20"/>
          <w:szCs w:val="20"/>
          <w:color w:val="auto"/>
        </w:rPr>
      </w:pPr>
      <w:r>
        <w:rPr>
          <w:rFonts w:ascii="Courier New" w:cs="Courier New" w:eastAsia="Courier New" w:hAnsi="Courier New"/>
          <w:sz w:val="15"/>
          <w:szCs w:val="15"/>
          <w:color w:val="auto"/>
        </w:rPr>
        <w:t>condensed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40"/>
          </w:cols>
          <w:pgMar w:left="220" w:top="281" w:right="739"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jc w:val="center"/>
        <w:ind w:right="4020"/>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4020"/>
        <w:spacing w:after="0" w:line="238" w:lineRule="auto"/>
        <w:rPr>
          <w:sz w:val="20"/>
          <w:szCs w:val="20"/>
          <w:color w:val="auto"/>
        </w:rPr>
      </w:pPr>
      <w:r>
        <w:rPr>
          <w:rFonts w:ascii="Courier New" w:cs="Courier New" w:eastAsia="Courier New" w:hAnsi="Courier New"/>
          <w:sz w:val="15"/>
          <w:szCs w:val="15"/>
          <w:color w:val="auto"/>
        </w:rPr>
        <w:t>CONDENSED CONSOLIDATED STATEMENT OF STOCKHOLDERS' EQUITY</w:t>
      </w:r>
    </w:p>
    <w:p>
      <w:pPr>
        <w:ind w:left="2900"/>
        <w:spacing w:after="0" w:line="237" w:lineRule="auto"/>
        <w:rPr>
          <w:sz w:val="20"/>
          <w:szCs w:val="20"/>
          <w:color w:val="auto"/>
        </w:rPr>
      </w:pPr>
      <w:r>
        <w:rPr>
          <w:rFonts w:ascii="Courier New" w:cs="Courier New" w:eastAsia="Courier New" w:hAnsi="Courier New"/>
          <w:sz w:val="15"/>
          <w:szCs w:val="15"/>
          <w:color w:val="auto"/>
        </w:rPr>
        <w:t>(IN THOUSANDS)</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7"/>
              </w:rPr>
              <w:t>Retained</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Foreign</w:t>
            </w:r>
          </w:p>
        </w:tc>
        <w:tc>
          <w:tcPr>
            <w:tcW w:w="7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Additional</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Earnings</w:t>
            </w:r>
          </w:p>
        </w:tc>
        <w:tc>
          <w:tcPr>
            <w:tcW w:w="1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Currency</w:t>
            </w:r>
          </w:p>
        </w:tc>
        <w:tc>
          <w:tcPr>
            <w:tcW w:w="70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Preferred</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Common</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(Accumulated</w:t>
            </w:r>
          </w:p>
        </w:tc>
        <w:tc>
          <w:tcPr>
            <w:tcW w:w="1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Translation Treasury</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Stock</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3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Deficit)</w:t>
            </w:r>
          </w:p>
        </w:tc>
        <w:tc>
          <w:tcPr>
            <w:tcW w:w="12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Adjustment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40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$ 1,816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$1,504,449</w:t>
            </w:r>
          </w:p>
        </w:tc>
        <w:tc>
          <w:tcPr>
            <w:tcW w:w="13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$(15,948)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$(15,843)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Common stock options and warrants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exercised, including tax benefits</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65,601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in purchase</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acquisitions and development projects</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225,078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for acquisitions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accounted for as poolings of interests</w:t>
            </w:r>
          </w:p>
        </w:tc>
        <w:tc>
          <w:tcPr>
            <w:tcW w:w="26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23,372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527</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Common stock issued in public offering</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506,196</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Common stock issued for United stock options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25,809</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Transactions of pooled companies</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(1,735)</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1,567</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14,962</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319</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164,160</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September 30, 1997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$ 2,160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$2,363,732</w:t>
            </w: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$150,625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$(15,678)</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$(484)</w:t>
            </w:r>
          </w:p>
        </w:tc>
      </w:tr>
      <w:tr>
        <w:trPr>
          <w:trHeight w:val="168"/>
        </w:trPr>
        <w:tc>
          <w:tcPr>
            <w:tcW w:w="4040" w:type="dxa"/>
            <w:vAlign w:val="bottom"/>
          </w:tcPr>
          <w:p>
            <w:pPr>
              <w:spacing w:after="0"/>
              <w:rPr>
                <w:sz w:val="14"/>
                <w:szCs w:val="14"/>
                <w:color w:val="auto"/>
              </w:rPr>
            </w:pP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5"/>
          <w:szCs w:val="15"/>
          <w:color w:val="auto"/>
        </w:rPr>
        <w:t>The accompanying notes are an integral part of these condensed</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040"/>
          </w:cols>
          <w:pgMar w:left="220" w:top="281" w:right="63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jc w:val="center"/>
        <w:ind w:right="321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tbl>
      <w:tblPr>
        <w:tblLayout w:type="fixed"/>
        <w:tblInd w:w="0" w:type="dxa"/>
        <w:tblCellMar>
          <w:top w:w="0" w:type="dxa"/>
          <w:left w:w="0" w:type="dxa"/>
          <w:bottom w:w="0" w:type="dxa"/>
          <w:right w:w="0" w:type="dxa"/>
        </w:tblCellMar>
      </w:tblPr>
      <w:tr>
        <w:trPr>
          <w:trHeight w:val="169"/>
        </w:trPr>
        <w:tc>
          <w:tcPr>
            <w:tcW w:w="544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(UNAUDITED)</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3"/>
        </w:trPr>
        <w:tc>
          <w:tcPr>
            <w:tcW w:w="5440" w:type="dxa"/>
            <w:vAlign w:val="bottom"/>
          </w:tcPr>
          <w:p>
            <w:pPr>
              <w:spacing w:after="0"/>
              <w:rPr>
                <w:sz w:val="24"/>
                <w:szCs w:val="24"/>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5440" w:type="dxa"/>
            <w:vAlign w:val="bottom"/>
          </w:tcPr>
          <w:p>
            <w:pPr>
              <w:spacing w:after="0"/>
              <w:rPr>
                <w:sz w:val="14"/>
                <w:szCs w:val="14"/>
                <w:color w:val="auto"/>
              </w:rPr>
            </w:pPr>
          </w:p>
        </w:tc>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(restated)</w:t>
            </w:r>
          </w:p>
        </w:tc>
      </w:tr>
      <w:tr>
        <w:trPr>
          <w:trHeight w:val="505"/>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$ 164,160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$ 10,980</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219,255</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138,893</w:t>
            </w: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35,678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(14,827)</w:t>
            </w: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Effect of nonrecurring charges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48,479</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61,444</w:t>
            </w: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 net of</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4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effects of acquisitions and divestitures</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(276,408)</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43,591</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191,164</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240,081</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(1,339,392)</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(330,760)</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(274,889)</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(287,532)</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Loans and advances to others</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(38,910)</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(13,856)</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Collection of loans to others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6,810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13,134</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sale of assets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112,564</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12,933</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restricted funds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9,198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(25,230)</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(1,524,619)</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(631,311)</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3,201,270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1,441,129</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(2,366,388)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(1,065,261)</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proceeds from issuance of common stock</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506,781</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from exercise of common stock</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options and warrants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32,753</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35,671</w:t>
            </w:r>
          </w:p>
        </w:tc>
      </w:tr>
      <w:tr>
        <w:trPr>
          <w:trHeight w:val="168"/>
        </w:trPr>
        <w:tc>
          <w:tcPr>
            <w:tcW w:w="5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(3,771)</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(1,260)</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1,370,645</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410,279</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 and</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4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equivalents</w:t>
            </w:r>
          </w:p>
        </w:tc>
        <w:tc>
          <w:tcPr>
            <w:tcW w:w="2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37,161</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19,058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26,079</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27,780</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63,240</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$ 46,838</w:t>
            </w:r>
          </w:p>
        </w:tc>
      </w:tr>
      <w:tr>
        <w:trPr>
          <w:trHeight w:val="168"/>
        </w:trPr>
        <w:tc>
          <w:tcPr>
            <w:tcW w:w="5440" w:type="dxa"/>
            <w:vAlign w:val="bottom"/>
          </w:tcPr>
          <w:p>
            <w:pPr>
              <w:spacing w:after="0"/>
              <w:rPr>
                <w:sz w:val="14"/>
                <w:szCs w:val="14"/>
                <w:color w:val="auto"/>
              </w:rPr>
            </w:pP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condensed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condensed consolidated balance sheets of USA Waste Services, Inc. and subsidiaries (the "Company") as of September 30, 1997 and December 31, 1996, the condensed consolidated statements of operations for the three and nine months ended September 30, 1997 and 1996, the condensed consolidated statement of stockholders' equity for the nine months ended September 30, 1997, and the condensed consolidated statements of cash flows for the nine months ended September 30, 1997 and 1996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as of December 31, 1996, and for the three and nine months ended September 30, 1996, to reflect the merger with United Waste Systems, Inc. ("United") consummated on August 26, 1997, accounted for using the pooling of interests method of accounting. The financial statements presented herein should be read in connection with the Company's Annual Report on Form 10-K for the year ended December 31, 1996, as amended on Form 10-K/A filed April 30, 1997, the Company's Joint Proxy Statement and Prospectus dated July 24, 1997, included in the Company's Registration Statement on Form S-4 filed in connection with the merger with United, and the supplemental consolidated financial statements and supplemental interim condensed consolidated financial statements and related notes thereto included in the Company's Current Report on Form 8-K dated November 12, 1997, filed in connection with the merger with United.</w:t>
      </w:r>
    </w:p>
    <w:p>
      <w:pPr>
        <w:spacing w:after="0" w:line="338" w:lineRule="exact"/>
        <w:rPr>
          <w:sz w:val="20"/>
          <w:szCs w:val="20"/>
          <w:color w:val="auto"/>
        </w:rPr>
      </w:pPr>
    </w:p>
    <w:p>
      <w:pPr>
        <w:ind w:left="360" w:hanging="350"/>
        <w:spacing w:after="0"/>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August 26, 1997, the Company consummated a merger agreement with United (the "United Merger") accounted for as a pooling of interests and, accordingly, the accompanying financial statements have been restated to include the accounts and operations of United for all prior periods presented. Under the terms of the United Merger, the Company issued 1.075 shares of its common stock for each share of United outstanding common stock. Additionally, at the effective date of the United Merger, all United stock options, whether or not such stock options had vested or had become exercisable, were cancelled in exchange for the Company's common stock equal in market value to the fair value of such United stock options, as determined by an independent third party. The United Merger increased the Company's outstanding shares of common stock by approximately 51,900,000 shares, which includes approximately 1,900,000 shares exchanged for the aforementioned United stock options. In the third quarter of 1997, the Company incurred approximately $89,152,000 in merger related costs associated with the United Merger.</w:t>
      </w:r>
    </w:p>
    <w:p>
      <w:pPr>
        <w:spacing w:after="0" w:line="33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Combined and separate results of operations of the Company prior to consummation of the merger ("USA Waste") and United for the restated periods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USA Waste</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United</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r>
      <w:tr>
        <w:trPr>
          <w:trHeight w:val="168"/>
        </w:trPr>
        <w:tc>
          <w:tcPr>
            <w:tcW w:w="4480" w:type="dxa"/>
            <w:vAlign w:val="bottom"/>
          </w:tcPr>
          <w:p>
            <w:pPr>
              <w:spacing w:after="0"/>
              <w:rPr>
                <w:sz w:val="14"/>
                <w:szCs w:val="14"/>
                <w:color w:val="auto"/>
              </w:rPr>
            </w:pPr>
          </w:p>
        </w:tc>
        <w:tc>
          <w:tcPr>
            <w:tcW w:w="1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480" w:type="dxa"/>
            <w:vAlign w:val="bottom"/>
          </w:tcPr>
          <w:p>
            <w:pPr>
              <w:spacing w:after="0"/>
              <w:rPr>
                <w:sz w:val="20"/>
                <w:szCs w:val="20"/>
                <w:color w:val="auto"/>
              </w:rPr>
            </w:pPr>
            <w:r>
              <w:rPr>
                <w:rFonts w:ascii="Courier New" w:cs="Courier New" w:eastAsia="Courier New" w:hAnsi="Courier New"/>
                <w:sz w:val="15"/>
                <w:szCs w:val="15"/>
                <w:color w:val="auto"/>
              </w:rPr>
              <w:t>Six months ended June 30, 1997 (unaudited):</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$ 900,090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$ 216,619</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$ 1,116,709</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202,349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40,810</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243,159</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121,409</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23,849</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145,258</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Six months ended June 30, 1996 (unaudited):</w:t>
            </w:r>
          </w:p>
        </w:tc>
        <w:tc>
          <w:tcPr>
            <w:tcW w:w="1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$ 610,267</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$ 151,838</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$ 762,105</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59,430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21,606</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81,036</w:t>
            </w: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25,584</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12,867</w:t>
            </w: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38,451</w:t>
            </w:r>
          </w:p>
        </w:tc>
      </w:tr>
    </w:tbl>
    <w:p>
      <w:pPr>
        <w:spacing w:after="0" w:line="34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The acquisition was accounted for as a purchase.</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April 1, 1997, the Company acquired substantially all of the assets of Mid-American Waste Systems, Inc. for approximately $201,000,000, consisting primarily of cash and a limited amount of debt assumption. The assets acquired include 11 collection businesses, 11 landfills, six transfer stations, and three recycling businesses. The acquisition was</w:t>
      </w:r>
    </w:p>
    <w:p>
      <w:pPr>
        <w:sectPr>
          <w:pgSz w:w="11900" w:h="16838" w:orient="portrait"/>
          <w:cols w:equalWidth="0" w:num="1">
            <w:col w:w="10239"/>
          </w:cols>
          <w:pgMar w:left="220" w:top="281" w:right="1440" w:bottom="144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39"/>
          </w:cols>
          <w:pgMar w:left="220" w:top="281"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237" w:lineRule="auto"/>
        <w:rPr>
          <w:sz w:val="20"/>
          <w:szCs w:val="20"/>
          <w:color w:val="auto"/>
        </w:rPr>
      </w:pPr>
      <w:r>
        <w:rPr>
          <w:rFonts w:ascii="Courier New" w:cs="Courier New" w:eastAsia="Courier New" w:hAnsi="Courier New"/>
          <w:sz w:val="15"/>
          <w:szCs w:val="15"/>
          <w:color w:val="auto"/>
        </w:rPr>
        <w:t>accounted for as a purchase.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June 10, 1997, the Company acquired the majority of the Waste Management, Inc. Canadian solid waste businesses for $124,000,000 in cash and 1,705,757 shares of the Company's common stock. The assets acquired include 13 collection businesses, one landfill, and three transfer stations in the provinces of Alberta, British Columbia, Ontario, and Quebec. The acquisition was accounted for as a purchase.</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the nine months ended September 30, 1997, in addition to the above described transactions, the Company acquired 14 landfills, 160 collection businesses, 19 transfer stations, and one recycling business for approximately $476,153,000 in cash, $37,974,000 in liabilities incurred or debt assumed, and 3,729,000 shares of the Company's common stock. These acquisitions were accounted for as purchases.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unaudited pro forma information set forth below assumes all first, second, and third quarter 1997 acquisitions accounted for as purchases and all 1996 acquisitions accounted for as purchases occurred at the beginning of 1996. The unaudited pro forma information is presented for informational purposes only and is not necessarily indicative of the results of operations that actually would have been achieved had the purchase acquisitions been consummated at that time (in thousands, except per share amounts):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1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Nine Months Ended September 30,</w:t>
            </w:r>
          </w:p>
        </w:tc>
      </w:tr>
      <w:tr>
        <w:trPr>
          <w:trHeight w:val="168"/>
        </w:trPr>
        <w:tc>
          <w:tcPr>
            <w:tcW w:w="3940" w:type="dxa"/>
            <w:vAlign w:val="bottom"/>
          </w:tcPr>
          <w:p>
            <w:pPr>
              <w:spacing w:after="0"/>
              <w:rPr>
                <w:sz w:val="14"/>
                <w:szCs w:val="14"/>
                <w:color w:val="auto"/>
              </w:rPr>
            </w:pPr>
          </w:p>
        </w:tc>
        <w:tc>
          <w:tcPr>
            <w:tcW w:w="3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940" w:type="dxa"/>
            <w:vAlign w:val="bottom"/>
          </w:tcPr>
          <w:p>
            <w:pPr>
              <w:spacing w:after="0"/>
              <w:rPr>
                <w:sz w:val="14"/>
                <w:szCs w:val="14"/>
                <w:color w:val="auto"/>
              </w:rPr>
            </w:pPr>
          </w:p>
        </w:tc>
        <w:tc>
          <w:tcPr>
            <w:tcW w:w="18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$ 2,223,410</w:t>
            </w: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$ 2,120,696</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186,875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58,171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180,582</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58,171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per common share:</w:t>
            </w: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0.88</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0.85</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earnings per common share:</w:t>
            </w:r>
          </w:p>
        </w:tc>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0.87</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0.84</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0.31</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addition to the above described transactions, the Company consummated 23 acquisitions accounted for as poolings of interests during the nine months ended September 30, 1997, pursuant to which the Company issued approximately 7,057,000 shares of its common stock. Periods prior to the date of consummation of these acquisitions were not restated to include the accounts and operations of the acquired companies as the combined results would not be materially different from the results as presented. Related to these poolings of interests, the Company recognized merger costs of $1,996,000, $3,263,000, and $15,000,000 during the first, second, and third quarters of 1997, respectively.</w:t>
      </w:r>
    </w:p>
    <w:p>
      <w:pPr>
        <w:spacing w:after="0" w:line="159"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Company's merger with Sanifill, Inc., consummated on August 30, 1996, the United States Department of Justice ordered the divestiture of certain solid waste collection and disposal assets and operations in Houston, Texas. On January 31, 1997, the Company sold these assets to TransAmerican Waste Industries, Inc. ("TransAmerican") for $13,600,000 in cash plus warrants to purchase 1,500,000 shares of TransAmerican's common stock at an exercise price of $1.50 per share. The warrants are exercisable for a period of five years.</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June 1, 1997, the Company sold eight collection businesses, eight landfills, and six transfer stations to Allied Waste Industries, Inc. for approximately $88,000,000.</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237" w:lineRule="auto"/>
        <w:tabs>
          <w:tab w:leader="none" w:pos="340" w:val="left"/>
        </w:tabs>
        <w:rPr>
          <w:sz w:val="20"/>
          <w:szCs w:val="20"/>
          <w:color w:val="auto"/>
        </w:rPr>
      </w:pPr>
      <w:r>
        <w:rPr>
          <w:rFonts w:ascii="Courier New" w:cs="Courier New" w:eastAsia="Courier New" w:hAnsi="Courier New"/>
          <w:sz w:val="15"/>
          <w:szCs w:val="15"/>
          <w:color w:val="auto"/>
        </w:rPr>
        <w:t>3.</w:t>
        <w:tab/>
        <w:t>LONG-TERM DEBT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705,000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credit facility</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interest at 7%, net of unamortized discount of $2,484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297,516</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interest at 7.125%, net of unamortized discount of $2,943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297,057</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maturing in varying annual installments through June</w:t>
            </w:r>
          </w:p>
        </w:tc>
        <w:tc>
          <w:tcPr>
            <w:tcW w:w="136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2005, interest ranging from 7.29% to 8.44%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interest at 4%</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535,275</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notes, interest at 4 1/2%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150,000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debentures, interest at 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115,000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debt, maturing in varying monthly installments,</w:t>
            </w:r>
          </w:p>
        </w:tc>
        <w:tc>
          <w:tcPr>
            <w:tcW w:w="136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through January 2008, interest ranging from 7.25% to 10%</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5,447</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Tax-exempt bonds, principal payable in periodic installments</w:t>
            </w:r>
          </w:p>
        </w:tc>
        <w:tc>
          <w:tcPr>
            <w:tcW w:w="136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maturing in 1997-2021, fixed and variable interest rates ranging</w:t>
            </w:r>
          </w:p>
        </w:tc>
        <w:tc>
          <w:tcPr>
            <w:tcW w:w="136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from 3.55% to 9.25% at September 30, 1997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262,456</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notes due September 2001, quarterly interest</w:t>
            </w:r>
          </w:p>
        </w:tc>
        <w:tc>
          <w:tcPr>
            <w:tcW w:w="136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at 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106,445</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2,480,196</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39,317</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$2,440,879</w:t>
            </w:r>
          </w:p>
        </w:tc>
      </w:tr>
      <w:tr>
        <w:trPr>
          <w:trHeight w:val="168"/>
        </w:trPr>
        <w:tc>
          <w:tcPr>
            <w:tcW w:w="644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1996, the Company had borrowed $637,000,000 and had letters of</w:t>
      </w:r>
    </w:p>
    <w:p>
      <w:pPr>
        <w:spacing w:after="0" w:line="237" w:lineRule="auto"/>
        <w:rPr>
          <w:sz w:val="20"/>
          <w:szCs w:val="20"/>
          <w:color w:val="auto"/>
        </w:rPr>
      </w:pPr>
      <w:r>
        <w:rPr>
          <w:rFonts w:ascii="Courier New" w:cs="Courier New" w:eastAsia="Courier New" w:hAnsi="Courier New"/>
          <w:sz w:val="15"/>
          <w:szCs w:val="15"/>
          <w:color w:val="auto"/>
        </w:rPr>
        <w:t>credit issued of $277,994,000 under its $1,200,000,000 senior revolving credit</w:t>
      </w:r>
    </w:p>
    <w:p>
      <w:pPr>
        <w:spacing w:after="0" w:line="238" w:lineRule="auto"/>
        <w:rPr>
          <w:sz w:val="20"/>
          <w:szCs w:val="20"/>
          <w:color w:val="auto"/>
        </w:rPr>
      </w:pPr>
      <w:r>
        <w:rPr>
          <w:rFonts w:ascii="Courier New" w:cs="Courier New" w:eastAsia="Courier New" w:hAnsi="Courier New"/>
          <w:sz w:val="15"/>
          <w:szCs w:val="15"/>
          <w:color w:val="auto"/>
        </w:rPr>
        <w:t>facility. The credit facility was used to refinance existing bank loans and</w:t>
      </w:r>
    </w:p>
    <w:p>
      <w:pPr>
        <w:spacing w:after="0" w:line="237" w:lineRule="auto"/>
        <w:rPr>
          <w:sz w:val="20"/>
          <w:szCs w:val="20"/>
          <w:color w:val="auto"/>
        </w:rPr>
      </w:pPr>
      <w:r>
        <w:rPr>
          <w:rFonts w:ascii="Courier New" w:cs="Courier New" w:eastAsia="Courier New" w:hAnsi="Courier New"/>
          <w:sz w:val="15"/>
          <w:szCs w:val="15"/>
          <w:color w:val="auto"/>
        </w:rPr>
        <w:t>letters of credit and to fund additional acquisitions and working capital. The</w:t>
      </w:r>
    </w:p>
    <w:p>
      <w:pPr>
        <w:spacing w:after="0" w:line="238" w:lineRule="auto"/>
        <w:rPr>
          <w:sz w:val="20"/>
          <w:szCs w:val="20"/>
          <w:color w:val="auto"/>
        </w:rPr>
      </w:pPr>
      <w:r>
        <w:rPr>
          <w:rFonts w:ascii="Courier New" w:cs="Courier New" w:eastAsia="Courier New" w:hAnsi="Courier New"/>
          <w:sz w:val="15"/>
          <w:szCs w:val="15"/>
          <w:color w:val="auto"/>
        </w:rPr>
        <w:t>credit facility was available for standby letters of credit of up to</w:t>
      </w:r>
    </w:p>
    <w:p>
      <w:pPr>
        <w:spacing w:after="0" w:line="237" w:lineRule="auto"/>
        <w:rPr>
          <w:sz w:val="20"/>
          <w:szCs w:val="20"/>
          <w:color w:val="auto"/>
        </w:rPr>
      </w:pPr>
      <w:r>
        <w:rPr>
          <w:rFonts w:ascii="Courier New" w:cs="Courier New" w:eastAsia="Courier New" w:hAnsi="Courier New"/>
          <w:sz w:val="15"/>
          <w:szCs w:val="15"/>
          <w:color w:val="auto"/>
        </w:rPr>
        <w:t>$400,000,000. Loans under the credit facility bore interest at a rate based on</w:t>
      </w:r>
    </w:p>
    <w:p>
      <w:pPr>
        <w:spacing w:after="0" w:line="238" w:lineRule="auto"/>
        <w:rPr>
          <w:sz w:val="20"/>
          <w:szCs w:val="20"/>
          <w:color w:val="auto"/>
        </w:rPr>
      </w:pPr>
      <w:r>
        <w:rPr>
          <w:rFonts w:ascii="Courier New" w:cs="Courier New" w:eastAsia="Courier New" w:hAnsi="Courier New"/>
          <w:sz w:val="15"/>
          <w:szCs w:val="15"/>
          <w:color w:val="auto"/>
        </w:rPr>
        <w:t>the Eurodollar rate plus a spread not to exceed 0.75% per annum (spread set at</w:t>
      </w:r>
    </w:p>
    <w:p>
      <w:pPr>
        <w:spacing w:after="0" w:line="237" w:lineRule="auto"/>
        <w:rPr>
          <w:sz w:val="20"/>
          <w:szCs w:val="20"/>
          <w:color w:val="auto"/>
        </w:rPr>
      </w:pPr>
      <w:r>
        <w:rPr>
          <w:rFonts w:ascii="Courier New" w:cs="Courier New" w:eastAsia="Courier New" w:hAnsi="Courier New"/>
          <w:sz w:val="15"/>
          <w:szCs w:val="15"/>
          <w:color w:val="auto"/>
        </w:rPr>
        <w:t>0.30% per annum, or an applicable interest rate of 5.87% per annum at December</w:t>
      </w:r>
    </w:p>
    <w:p>
      <w:pPr>
        <w:spacing w:after="0" w:line="238" w:lineRule="auto"/>
        <w:rPr>
          <w:sz w:val="20"/>
          <w:szCs w:val="20"/>
          <w:color w:val="auto"/>
        </w:rPr>
      </w:pPr>
      <w:r>
        <w:rPr>
          <w:rFonts w:ascii="Courier New" w:cs="Courier New" w:eastAsia="Courier New" w:hAnsi="Courier New"/>
          <w:sz w:val="15"/>
          <w:szCs w:val="15"/>
          <w:color w:val="auto"/>
        </w:rPr>
        <w:t>31, 1996). The credit facility required a facility fee not to exceed 0.375% per</w:t>
      </w:r>
    </w:p>
    <w:p>
      <w:pPr>
        <w:spacing w:after="0" w:line="238" w:lineRule="auto"/>
        <w:rPr>
          <w:sz w:val="20"/>
          <w:szCs w:val="20"/>
          <w:color w:val="auto"/>
        </w:rPr>
      </w:pPr>
      <w:r>
        <w:rPr>
          <w:rFonts w:ascii="Courier New" w:cs="Courier New" w:eastAsia="Courier New" w:hAnsi="Courier New"/>
          <w:sz w:val="15"/>
          <w:szCs w:val="15"/>
          <w:color w:val="auto"/>
        </w:rPr>
        <w:t>annum on the entire available credit facility (facility fee set at 0.15% per</w:t>
      </w:r>
    </w:p>
    <w:p>
      <w:pPr>
        <w:spacing w:after="0" w:line="237" w:lineRule="auto"/>
        <w:rPr>
          <w:sz w:val="20"/>
          <w:szCs w:val="20"/>
          <w:color w:val="auto"/>
        </w:rPr>
      </w:pPr>
      <w:r>
        <w:rPr>
          <w:rFonts w:ascii="Courier New" w:cs="Courier New" w:eastAsia="Courier New" w:hAnsi="Courier New"/>
          <w:sz w:val="15"/>
          <w:szCs w:val="15"/>
          <w:color w:val="auto"/>
        </w:rPr>
        <w:t>annum at December 31, 1996). The credit facility contained financial covenants</w:t>
      </w:r>
    </w:p>
    <w:p>
      <w:pPr>
        <w:spacing w:after="0" w:line="238" w:lineRule="auto"/>
        <w:rPr>
          <w:sz w:val="20"/>
          <w:szCs w:val="20"/>
          <w:color w:val="auto"/>
        </w:rPr>
      </w:pPr>
      <w:r>
        <w:rPr>
          <w:rFonts w:ascii="Courier New" w:cs="Courier New" w:eastAsia="Courier New" w:hAnsi="Courier New"/>
          <w:sz w:val="15"/>
          <w:szCs w:val="15"/>
          <w:color w:val="auto"/>
        </w:rPr>
        <w:t>with respect to interest coverage and debt capitalization ratios. The credit</w:t>
      </w:r>
    </w:p>
    <w:p>
      <w:pPr>
        <w:spacing w:after="0" w:line="237" w:lineRule="auto"/>
        <w:rPr>
          <w:sz w:val="20"/>
          <w:szCs w:val="20"/>
          <w:color w:val="auto"/>
        </w:rPr>
      </w:pPr>
      <w:r>
        <w:rPr>
          <w:rFonts w:ascii="Courier New" w:cs="Courier New" w:eastAsia="Courier New" w:hAnsi="Courier New"/>
          <w:sz w:val="15"/>
          <w:szCs w:val="15"/>
          <w:color w:val="auto"/>
        </w:rPr>
        <w:t>facility also contained limitations on dividends, additional indebtedness,</w:t>
      </w:r>
    </w:p>
    <w:p>
      <w:pPr>
        <w:spacing w:after="0" w:line="238" w:lineRule="auto"/>
        <w:rPr>
          <w:sz w:val="20"/>
          <w:szCs w:val="20"/>
          <w:color w:val="auto"/>
        </w:rPr>
      </w:pPr>
      <w:r>
        <w:rPr>
          <w:rFonts w:ascii="Courier New" w:cs="Courier New" w:eastAsia="Courier New" w:hAnsi="Courier New"/>
          <w:sz w:val="15"/>
          <w:szCs w:val="15"/>
          <w:color w:val="auto"/>
        </w:rPr>
        <w:t>liens, and asset sales. Principal reductions were not required during the</w:t>
      </w:r>
    </w:p>
    <w:p>
      <w:pPr>
        <w:spacing w:after="0" w:line="237" w:lineRule="auto"/>
        <w:rPr>
          <w:sz w:val="20"/>
          <w:szCs w:val="20"/>
          <w:color w:val="auto"/>
        </w:rPr>
      </w:pPr>
      <w:r>
        <w:rPr>
          <w:rFonts w:ascii="Courier New" w:cs="Courier New" w:eastAsia="Courier New" w:hAnsi="Courier New"/>
          <w:sz w:val="15"/>
          <w:szCs w:val="15"/>
          <w:color w:val="auto"/>
        </w:rPr>
        <w:t>five-year term of the credit facility. On March 5, 1997, the credit facility was</w:t>
      </w:r>
    </w:p>
    <w:p>
      <w:pPr>
        <w:spacing w:after="0" w:line="238" w:lineRule="auto"/>
        <w:rPr>
          <w:sz w:val="20"/>
          <w:szCs w:val="20"/>
          <w:color w:val="auto"/>
        </w:rPr>
      </w:pPr>
      <w:r>
        <w:rPr>
          <w:rFonts w:ascii="Courier New" w:cs="Courier New" w:eastAsia="Courier New" w:hAnsi="Courier New"/>
          <w:sz w:val="15"/>
          <w:szCs w:val="15"/>
          <w:color w:val="auto"/>
        </w:rPr>
        <w:t>replaced with a $1,600,000,000 senior revolving credit facility with the same</w:t>
      </w:r>
    </w:p>
    <w:p>
      <w:pPr>
        <w:spacing w:after="0" w:line="238" w:lineRule="auto"/>
        <w:rPr>
          <w:sz w:val="20"/>
          <w:szCs w:val="20"/>
          <w:color w:val="auto"/>
        </w:rPr>
      </w:pPr>
      <w:r>
        <w:rPr>
          <w:rFonts w:ascii="Courier New" w:cs="Courier New" w:eastAsia="Courier New" w:hAnsi="Courier New"/>
          <w:sz w:val="15"/>
          <w:szCs w:val="15"/>
          <w:color w:val="auto"/>
        </w:rPr>
        <w:t>general terms, covenants, and limitations, which was available for standby</w:t>
      </w:r>
    </w:p>
    <w:p>
      <w:pPr>
        <w:spacing w:after="0" w:line="237" w:lineRule="auto"/>
        <w:rPr>
          <w:sz w:val="20"/>
          <w:szCs w:val="20"/>
          <w:color w:val="auto"/>
        </w:rPr>
      </w:pPr>
      <w:r>
        <w:rPr>
          <w:rFonts w:ascii="Courier New" w:cs="Courier New" w:eastAsia="Courier New" w:hAnsi="Courier New"/>
          <w:sz w:val="15"/>
          <w:szCs w:val="15"/>
          <w:color w:val="auto"/>
        </w:rPr>
        <w:t>letters of credit of up to $500,000,000. On August 7, 1997, the credit facility</w:t>
      </w:r>
    </w:p>
    <w:p>
      <w:pPr>
        <w:spacing w:after="0" w:line="238" w:lineRule="auto"/>
        <w:rPr>
          <w:sz w:val="20"/>
          <w:szCs w:val="20"/>
          <w:color w:val="auto"/>
        </w:rPr>
      </w:pPr>
      <w:r>
        <w:rPr>
          <w:rFonts w:ascii="Courier New" w:cs="Courier New" w:eastAsia="Courier New" w:hAnsi="Courier New"/>
          <w:sz w:val="15"/>
          <w:szCs w:val="15"/>
          <w:color w:val="auto"/>
        </w:rPr>
        <w:t>was again replaced with a $2,000,000,000 senior revolving credit facility with</w:t>
      </w:r>
    </w:p>
    <w:p>
      <w:pPr>
        <w:spacing w:after="0" w:line="237" w:lineRule="auto"/>
        <w:rPr>
          <w:sz w:val="20"/>
          <w:szCs w:val="20"/>
          <w:color w:val="auto"/>
        </w:rPr>
      </w:pPr>
      <w:r>
        <w:rPr>
          <w:rFonts w:ascii="Courier New" w:cs="Courier New" w:eastAsia="Courier New" w:hAnsi="Courier New"/>
          <w:sz w:val="15"/>
          <w:szCs w:val="15"/>
          <w:color w:val="auto"/>
        </w:rPr>
        <w:t>the same general items, covenants, and limitations, which is available for</w:t>
      </w:r>
    </w:p>
    <w:p>
      <w:pPr>
        <w:spacing w:after="0" w:line="238" w:lineRule="auto"/>
        <w:rPr>
          <w:sz w:val="20"/>
          <w:szCs w:val="20"/>
          <w:color w:val="auto"/>
        </w:rPr>
      </w:pPr>
      <w:r>
        <w:rPr>
          <w:rFonts w:ascii="Courier New" w:cs="Courier New" w:eastAsia="Courier New" w:hAnsi="Courier New"/>
          <w:sz w:val="15"/>
          <w:szCs w:val="15"/>
          <w:color w:val="auto"/>
        </w:rPr>
        <w:t>standby letters of credit up to $650,000,000. At September 30, 1997, the Company</w:t>
      </w:r>
    </w:p>
    <w:p>
      <w:pPr>
        <w:spacing w:after="0" w:line="237" w:lineRule="auto"/>
        <w:rPr>
          <w:sz w:val="20"/>
          <w:szCs w:val="20"/>
          <w:color w:val="auto"/>
        </w:rPr>
      </w:pPr>
      <w:r>
        <w:rPr>
          <w:rFonts w:ascii="Courier New" w:cs="Courier New" w:eastAsia="Courier New" w:hAnsi="Courier New"/>
          <w:sz w:val="15"/>
          <w:szCs w:val="15"/>
          <w:color w:val="auto"/>
        </w:rPr>
        <w:t>had borrowed $705,000,000 and had letters of credit of $462,291,000 under its</w:t>
      </w:r>
    </w:p>
    <w:p>
      <w:pPr>
        <w:spacing w:after="0" w:line="238" w:lineRule="auto"/>
        <w:rPr>
          <w:sz w:val="20"/>
          <w:szCs w:val="20"/>
          <w:color w:val="auto"/>
        </w:rPr>
      </w:pPr>
      <w:r>
        <w:rPr>
          <w:rFonts w:ascii="Courier New" w:cs="Courier New" w:eastAsia="Courier New" w:hAnsi="Courier New"/>
          <w:sz w:val="15"/>
          <w:szCs w:val="15"/>
          <w:color w:val="auto"/>
        </w:rPr>
        <w:t>$2,000,000,000 senior revolving credit facility. The applicable interest rate</w:t>
      </w:r>
    </w:p>
    <w:p>
      <w:pPr>
        <w:spacing w:after="0" w:line="238" w:lineRule="auto"/>
        <w:rPr>
          <w:sz w:val="20"/>
          <w:szCs w:val="20"/>
          <w:color w:val="auto"/>
        </w:rPr>
      </w:pPr>
      <w:r>
        <w:rPr>
          <w:rFonts w:ascii="Courier New" w:cs="Courier New" w:eastAsia="Courier New" w:hAnsi="Courier New"/>
          <w:sz w:val="15"/>
          <w:szCs w:val="15"/>
          <w:color w:val="auto"/>
        </w:rPr>
        <w:t>and facility fee at September 30, 1997, was 5.975% per annum and 0.1125% per</w:t>
      </w:r>
    </w:p>
    <w:p>
      <w:pPr>
        <w:spacing w:after="0" w:line="237" w:lineRule="auto"/>
        <w:rPr>
          <w:sz w:val="20"/>
          <w:szCs w:val="20"/>
          <w:color w:val="auto"/>
        </w:rPr>
      </w:pPr>
      <w:r>
        <w:rPr>
          <w:rFonts w:ascii="Courier New" w:cs="Courier New" w:eastAsia="Courier New" w:hAnsi="Courier New"/>
          <w:sz w:val="15"/>
          <w:szCs w:val="15"/>
          <w:color w:val="auto"/>
        </w:rPr>
        <w:t>annum, respectively.</w:t>
      </w:r>
    </w:p>
    <w:p>
      <w:pPr>
        <w:spacing w:after="0" w:line="173" w:lineRule="exact"/>
        <w:rPr>
          <w:sz w:val="20"/>
          <w:szCs w:val="20"/>
          <w:color w:val="auto"/>
        </w:rPr>
      </w:pPr>
    </w:p>
    <w:p>
      <w:pPr>
        <w:ind w:right="800"/>
        <w:spacing w:after="0" w:line="255" w:lineRule="auto"/>
        <w:rPr>
          <w:sz w:val="20"/>
          <w:szCs w:val="20"/>
          <w:color w:val="auto"/>
        </w:rPr>
      </w:pPr>
      <w:r>
        <w:rPr>
          <w:rFonts w:ascii="Courier New" w:cs="Courier New" w:eastAsia="Courier New" w:hAnsi="Courier New"/>
          <w:sz w:val="14"/>
          <w:szCs w:val="14"/>
          <w:color w:val="auto"/>
        </w:rPr>
        <w:t>On February 7, 1997, the Company issued $535,275,000 of 4% convertible subordinated notes, due on February 1, 2002 ("Convertible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par, plus accrued interest. Deferred offering costs of approximately $14,000,000 were incurred and are being amortized ratably over the life of the notes. The proceeds were primarily used to repay debt under the Company's revolving credit facility, to fund acquisitions, and for general corporate purposes.</w:t>
      </w:r>
    </w:p>
    <w:p>
      <w:pPr>
        <w:spacing w:after="0" w:line="164" w:lineRule="exact"/>
        <w:rPr>
          <w:sz w:val="20"/>
          <w:szCs w:val="20"/>
          <w:color w:val="auto"/>
        </w:rPr>
      </w:pPr>
    </w:p>
    <w:p>
      <w:pPr>
        <w:jc w:val="both"/>
        <w:ind w:right="800"/>
        <w:spacing w:after="0" w:line="236" w:lineRule="auto"/>
        <w:rPr>
          <w:sz w:val="20"/>
          <w:szCs w:val="20"/>
          <w:color w:val="auto"/>
        </w:rPr>
      </w:pPr>
      <w:r>
        <w:rPr>
          <w:rFonts w:ascii="Courier New" w:cs="Courier New" w:eastAsia="Courier New" w:hAnsi="Courier New"/>
          <w:sz w:val="15"/>
          <w:szCs w:val="15"/>
          <w:color w:val="auto"/>
        </w:rPr>
        <w:t>On February 7, 1997, concurrent with the Convertible Notes Offering, the Company completed a public offering of 11,500,000 shares of its common stock, priced at $35.125 per share. The net proceeds of approximately $387,438,000 were primarily used to repay debt under the Company's revolving credit facility and for general corporate purposes.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December 31,</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1996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60" w:hanging="256"/>
        <w:spacing w:after="0"/>
        <w:tabs>
          <w:tab w:leader="none" w:pos="2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637,000</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31,450</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5"/>
          <w:szCs w:val="15"/>
          <w:color w:val="auto"/>
        </w:rPr>
        <w:t>182,500</w:t>
      </w:r>
    </w:p>
    <w:p>
      <w:pPr>
        <w:jc w:val="right"/>
        <w:ind w:right="1219"/>
        <w:spacing w:after="0" w:line="237" w:lineRule="auto"/>
        <w:rPr>
          <w:sz w:val="20"/>
          <w:szCs w:val="20"/>
          <w:color w:val="auto"/>
        </w:rPr>
      </w:pPr>
      <w:r>
        <w:rPr>
          <w:rFonts w:ascii="Courier New" w:cs="Courier New" w:eastAsia="Courier New" w:hAnsi="Courier New"/>
          <w:sz w:val="15"/>
          <w:szCs w:val="15"/>
          <w:color w:val="auto"/>
        </w:rPr>
        <w:t>--</w:t>
      </w:r>
    </w:p>
    <w:p>
      <w:pPr>
        <w:jc w:val="right"/>
        <w:ind w:right="1219"/>
        <w:spacing w:after="0" w:line="238" w:lineRule="auto"/>
        <w:rPr>
          <w:sz w:val="20"/>
          <w:szCs w:val="20"/>
          <w:color w:val="auto"/>
        </w:rPr>
      </w:pPr>
      <w:r>
        <w:rPr>
          <w:rFonts w:ascii="Courier New" w:cs="Courier New" w:eastAsia="Courier New" w:hAnsi="Courier New"/>
          <w:sz w:val="15"/>
          <w:szCs w:val="15"/>
          <w:color w:val="auto"/>
        </w:rPr>
        <w:t>150,000</w:t>
      </w:r>
    </w:p>
    <w:p>
      <w:pPr>
        <w:jc w:val="right"/>
        <w:ind w:right="1219"/>
        <w:spacing w:after="0" w:line="237" w:lineRule="auto"/>
        <w:rPr>
          <w:sz w:val="20"/>
          <w:szCs w:val="20"/>
          <w:color w:val="auto"/>
        </w:rPr>
      </w:pPr>
      <w:r>
        <w:rPr>
          <w:rFonts w:ascii="Courier New" w:cs="Courier New" w:eastAsia="Courier New" w:hAnsi="Courier New"/>
          <w:sz w:val="15"/>
          <w:szCs w:val="15"/>
          <w:color w:val="auto"/>
        </w:rPr>
        <w:t>115,000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5,589</w:t>
      </w: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196,439</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6,000</w:t>
      </w:r>
    </w:p>
    <w:p>
      <w:pPr>
        <w:ind w:left="260"/>
        <w:spacing w:after="0" w:line="237" w:lineRule="auto"/>
        <w:rPr>
          <w:sz w:val="20"/>
          <w:szCs w:val="20"/>
          <w:color w:val="auto"/>
        </w:rPr>
      </w:pPr>
      <w:r>
        <w:rPr>
          <w:rFonts w:ascii="Courier New" w:cs="Courier New" w:eastAsia="Courier New" w:hAnsi="Courier New"/>
          <w:sz w:val="15"/>
          <w:szCs w:val="15"/>
          <w:color w:val="auto"/>
        </w:rPr>
        <w:t>180,910</w:t>
      </w:r>
    </w:p>
    <w:p>
      <w:pPr>
        <w:spacing w:after="0" w:line="238" w:lineRule="auto"/>
        <w:rPr>
          <w:sz w:val="20"/>
          <w:szCs w:val="20"/>
          <w:color w:val="auto"/>
        </w:rPr>
      </w:pPr>
      <w:r>
        <w:rPr>
          <w:rFonts w:ascii="Courier New" w:cs="Courier New" w:eastAsia="Courier New" w:hAnsi="Courier New"/>
          <w:sz w:val="15"/>
          <w:szCs w:val="15"/>
          <w:color w:val="auto"/>
        </w:rPr>
        <w:t>----------</w:t>
      </w:r>
    </w:p>
    <w:p>
      <w:pPr>
        <w:jc w:val="right"/>
        <w:ind w:right="1219"/>
        <w:spacing w:after="0" w:line="237" w:lineRule="auto"/>
        <w:rPr>
          <w:sz w:val="20"/>
          <w:szCs w:val="20"/>
          <w:color w:val="auto"/>
        </w:rPr>
      </w:pPr>
      <w:r>
        <w:rPr>
          <w:rFonts w:ascii="Courier New" w:cs="Courier New" w:eastAsia="Courier New" w:hAnsi="Courier New"/>
          <w:sz w:val="15"/>
          <w:szCs w:val="15"/>
          <w:color w:val="auto"/>
        </w:rPr>
        <w:t>1,504,888</w:t>
      </w:r>
    </w:p>
    <w:p>
      <w:pPr>
        <w:jc w:val="right"/>
        <w:ind w:right="1219"/>
        <w:spacing w:after="0" w:line="238" w:lineRule="auto"/>
        <w:rPr>
          <w:sz w:val="20"/>
          <w:szCs w:val="20"/>
          <w:color w:val="auto"/>
        </w:rPr>
      </w:pPr>
      <w:r>
        <w:rPr>
          <w:rFonts w:ascii="Courier New" w:cs="Courier New" w:eastAsia="Courier New" w:hAnsi="Courier New"/>
          <w:sz w:val="15"/>
          <w:szCs w:val="15"/>
          <w:color w:val="auto"/>
        </w:rPr>
        <w:t>34,606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$1,470,282</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8105" w:lineRule="exact"/>
        <w:rPr>
          <w:sz w:val="20"/>
          <w:szCs w:val="20"/>
          <w:color w:val="auto"/>
        </w:rPr>
      </w:pPr>
    </w:p>
    <w:p>
      <w:pPr>
        <w:sectPr>
          <w:pgSz w:w="11900" w:h="16838" w:orient="portrait"/>
          <w:cols w:equalWidth="0" w:num="2">
            <w:col w:w="7800" w:space="340"/>
            <w:col w:w="2099"/>
          </w:cols>
          <w:pgMar w:left="220" w:top="281" w:right="1440" w:bottom="1440" w:gutter="0" w:footer="0" w:header="0"/>
        </w:sectPr>
      </w:pPr>
    </w:p>
    <w:p>
      <w:pPr>
        <w:spacing w:after="0" w:line="142"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39"/>
          </w:cols>
          <w:pgMar w:left="220" w:top="28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3, 1997, United completed a public offering in which it issued 3,450,000 shares of its common stock, priced at $36.50 per share (equivalent to 3,708,750 shares of the Company's common stock, priced at $33.95 per share). The net proceeds of approximately $119,000,000 were primarily used to repay approximately $47,000,000 of debt under United's credit facility, to fund acquisitions, and for general corporate purposes.</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During August 1997 and September 1997, the Company prepaid the holders of the two privately placed senior note issuances with proceeds from its senior revolving credit facility. Interest on these privately placed senior notes ranged from 7.29% to 8.44%. Accordingly, the Company recorded extraordinary losses of approximately $9,286,000 related to this transaction comprised of prepayment penalties of approximately $7,975,000 and unamortized deferred offering costs of approximately $1,311,000. Additionally, upon consummation of the United Merger, the Company retired amounts under United's credit facility, and accordingly, recorded extraordinary losses to write-off the related unamortized deferred financing costs.</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September 12, 1997, the Company issued $300,000,000 of 7% senior notes, due on October 1, 2004, and $300,000,000 of 7.125% senior notes, due on October 1, 2007 (the "Senior Notes"). The Senior Notes constitute senior and unsecured obligations of the Company, ranking equal in right of payment with all other senior and unsecured obligations of the Company, as defined. The Senior Notes are redeemable at the option of the Company at any time and from time to time at 100% of the principal amount of such notes, plus accrued interest. Deferred offering costs of approximately $4,125,000 were incurred and are being amortized ratably over the life of the Senior Notes. The proceeds were used to repay debt under the Company's revolving credit facility. In anticipation of this debt offering, the Company entered into interest rate locks on July 25, 1997, with various institutions as a hedging transaction to cover the future issuance of $600,000,000 of debt. The gain realized from this hedging transaction of approximately $5,632,000 will be amortized over the life of the Senior Notes using the effective interest method and has the effect of reducing the all-inclusive interest rate to 6.90% on the 7% senior notes, due on October 1, 2004, and to 7.06% on the 7.125% senior notes, due on October 1, 2007.</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Other long-term debt at September 30, 1997 and December 31, 1996 consists of miscellaneous notes payable and obligations under capital leases. Other long-term debt at December 31, 1996 also included $83,475,000 payable to the former owners of a landfill and collection operation acquired by the Company in December 1996. This amount was retired in January 1997 through additional borrowings from the Company's revolving credit facility.</w:t>
      </w:r>
    </w:p>
    <w:p>
      <w:pPr>
        <w:spacing w:after="0" w:line="168"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(benefit from) income taxes for the three and nine months ended September 30, 1997 and 1996, is primarily due to non-deductible merger costs and state and local income taxes.</w:t>
      </w:r>
    </w:p>
    <w:p>
      <w:pPr>
        <w:spacing w:after="0" w:line="169"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Litigation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Development Company, Inc. ("Chambers") stock and two of its general partners and asserted federal securities law and common law claims alleging that Chambers, in publicly disseminated materials, intentionally or negligently misstated its earnings and that Chambers' officers and directors committed mismanagement and breach of fiduciary duties. These plaintiffs alleged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continued as a separate lawsuit. In response to discovery on damages, the plaintiffs reduced their damages claim to $433,000 in alleged losses, plus interest and attorneys' fees, for a total damage claim of $658,000 as of August 21, 1995. Discovery was completed and a trial date was set for early 1997, then postponed by the court. The case was resolved</w:t>
      </w:r>
    </w:p>
    <w:p>
      <w:pPr>
        <w:sectPr>
          <w:pgSz w:w="11900" w:h="16838" w:orient="portrait"/>
          <w:cols w:equalWidth="0" w:num="1">
            <w:col w:w="10239"/>
          </w:cols>
          <w:pgMar w:left="220" w:top="281" w:right="1440" w:bottom="1440" w:gutter="0" w:footer="0" w:header="0"/>
        </w:sectPr>
      </w:pPr>
    </w:p>
    <w:p>
      <w:pPr>
        <w:spacing w:after="0" w:line="343"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39"/>
          </w:cols>
          <w:pgMar w:left="220" w:top="281"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through an alternative dispute resolution process in the federal court. Plaintiffs were awarded $260,000 plus interest in the alternative dispute resolution proceeding.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August 3, 1995, Frederick A. Moran and certain related persons and entities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a lawsuit against Chambers, certain former officers and directors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Chambers, and Grant Thornton, LLP, in the United States District Court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Southern District of New York under the caption Moran, et al. v. Chambers, et</w:t>
      </w:r>
    </w:p>
    <w:p>
      <w:pPr>
        <w:spacing w:after="0" w:line="237" w:lineRule="auto"/>
        <w:rPr>
          <w:sz w:val="20"/>
          <w:szCs w:val="20"/>
          <w:color w:val="auto"/>
        </w:rPr>
      </w:pPr>
      <w:r>
        <w:rPr>
          <w:rFonts w:ascii="Courier New" w:cs="Courier New" w:eastAsia="Courier New" w:hAnsi="Courier New"/>
          <w:sz w:val="15"/>
          <w:szCs w:val="15"/>
          <w:color w:val="auto"/>
        </w:rPr>
        <w:t>al., Civil Action No. 95-6034. Plaintiffs, who claimed to represent</w:t>
      </w:r>
    </w:p>
    <w:p>
      <w:pPr>
        <w:spacing w:after="0" w:line="238" w:lineRule="auto"/>
        <w:rPr>
          <w:sz w:val="20"/>
          <w:szCs w:val="20"/>
          <w:color w:val="auto"/>
        </w:rPr>
      </w:pPr>
      <w:r>
        <w:rPr>
          <w:rFonts w:ascii="Courier New" w:cs="Courier New" w:eastAsia="Courier New" w:hAnsi="Courier New"/>
          <w:sz w:val="15"/>
          <w:szCs w:val="15"/>
          <w:color w:val="auto"/>
        </w:rPr>
        <w:t>approximately 484,000 shares of Chambers stock, requested exclusion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settlement agreements which resulted in the resolution of the Class Action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asserted that they incurred losses attributable to shares purchased during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period and certain additional losses by reason of alleged management</w:t>
      </w:r>
    </w:p>
    <w:p>
      <w:pPr>
        <w:spacing w:after="0" w:line="237" w:lineRule="auto"/>
        <w:rPr>
          <w:sz w:val="20"/>
          <w:szCs w:val="20"/>
          <w:color w:val="auto"/>
        </w:rPr>
      </w:pPr>
      <w:r>
        <w:rPr>
          <w:rFonts w:ascii="Courier New" w:cs="Courier New" w:eastAsia="Courier New" w:hAnsi="Courier New"/>
          <w:sz w:val="15"/>
          <w:szCs w:val="15"/>
          <w:color w:val="auto"/>
        </w:rPr>
        <w:t>misstatements during and after the class period. The claimed losses included</w:t>
      </w:r>
    </w:p>
    <w:p>
      <w:pPr>
        <w:spacing w:after="0" w:line="238" w:lineRule="auto"/>
        <w:rPr>
          <w:sz w:val="20"/>
          <w:szCs w:val="20"/>
          <w:color w:val="auto"/>
        </w:rPr>
      </w:pPr>
      <w:r>
        <w:rPr>
          <w:rFonts w:ascii="Courier New" w:cs="Courier New" w:eastAsia="Courier New" w:hAnsi="Courier New"/>
          <w:sz w:val="15"/>
          <w:szCs w:val="15"/>
          <w:color w:val="auto"/>
        </w:rPr>
        <w:t>damages to Mr. Moran's business and reputation. The Judicial Panel on</w:t>
      </w:r>
    </w:p>
    <w:p>
      <w:pPr>
        <w:spacing w:after="0" w:line="237" w:lineRule="auto"/>
        <w:rPr>
          <w:sz w:val="20"/>
          <w:szCs w:val="20"/>
          <w:color w:val="auto"/>
        </w:rPr>
      </w:pPr>
      <w:r>
        <w:rPr>
          <w:rFonts w:ascii="Courier New" w:cs="Courier New" w:eastAsia="Courier New" w:hAnsi="Courier New"/>
          <w:sz w:val="15"/>
          <w:szCs w:val="15"/>
          <w:color w:val="auto"/>
        </w:rPr>
        <w:t>Multidistrict Litigation transferred this case to the United States District</w:t>
      </w:r>
    </w:p>
    <w:p>
      <w:pPr>
        <w:spacing w:after="0" w:line="238" w:lineRule="auto"/>
        <w:rPr>
          <w:sz w:val="20"/>
          <w:szCs w:val="20"/>
          <w:color w:val="auto"/>
        </w:rPr>
      </w:pPr>
      <w:r>
        <w:rPr>
          <w:rFonts w:ascii="Courier New" w:cs="Courier New" w:eastAsia="Courier New" w:hAnsi="Courier New"/>
          <w:sz w:val="15"/>
          <w:szCs w:val="15"/>
          <w:color w:val="auto"/>
        </w:rPr>
        <w:t>Court for the Western District of Pennsylvania. Discovery closed on June 30,</w:t>
      </w:r>
    </w:p>
    <w:p>
      <w:pPr>
        <w:spacing w:after="0" w:line="237" w:lineRule="auto"/>
        <w:rPr>
          <w:sz w:val="20"/>
          <w:szCs w:val="20"/>
          <w:color w:val="auto"/>
        </w:rPr>
      </w:pPr>
      <w:r>
        <w:rPr>
          <w:rFonts w:ascii="Courier New" w:cs="Courier New" w:eastAsia="Courier New" w:hAnsi="Courier New"/>
          <w:sz w:val="15"/>
          <w:szCs w:val="15"/>
          <w:color w:val="auto"/>
        </w:rPr>
        <w:t>1997, and the parties have agreed to a settlement in which Chambers will pay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$550,000 to settle all claims against it and its former officers and directors,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Grant Thornton will pay $50,000. A settlement agreement is in the process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being executed by the respective parties.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April 17, 1997, a purported class action on behalf of the public shareholders of United entitled Schipper v. United Waste et al., Civil Action No. 15664-NC, was filed in the Court of Chancery of the State of Delaware against United and each of the members of United's Board of Directors asserting, among other things, that defendants breached their fiduciary duties to stockholders of United in negotiating the Merger Agreement with the Company and in engaging in certain related alleged acts and omissions. The complaint seeks, among other things, injunctive and other equitable relief against consummation of the United Merger, and damages and costs in an unspecified amount. The United Merger was closed on August 26, 1997, and the Company believes this claim is without merit.</w:t>
      </w:r>
    </w:p>
    <w:p>
      <w:pPr>
        <w:spacing w:after="0" w:line="16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The Company is a party to various other litigation matters arising in the ordinary course of business. Management believes that the ultimate resolution of these matters will not have a material adverse effect to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$200,000,000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incident with a $10,000,000 aggregate limit.</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to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COMMON SHARE</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Primary and fully dilutive earnings (loss) per common share amounts are calculated as follows for the periods indicated: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September 30, 1997</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Primary - based on (i) net income and (ii) the primary weighted average number of common shares and dilutive common equivalent shares outstanding of 218,197,000.</w:t>
      </w:r>
    </w:p>
    <w:p>
      <w:pPr>
        <w:spacing w:after="0" w:line="174" w:lineRule="exact"/>
        <w:rPr>
          <w:sz w:val="20"/>
          <w:szCs w:val="20"/>
          <w:color w:val="auto"/>
        </w:rPr>
      </w:pPr>
    </w:p>
    <w:p>
      <w:pPr>
        <w:ind w:left="440" w:right="3839"/>
        <w:spacing w:after="0" w:line="235" w:lineRule="auto"/>
        <w:rPr>
          <w:sz w:val="20"/>
          <w:szCs w:val="20"/>
          <w:color w:val="auto"/>
        </w:rPr>
      </w:pPr>
      <w:r>
        <w:rPr>
          <w:rFonts w:ascii="Courier New" w:cs="Courier New" w:eastAsia="Courier New" w:hAnsi="Courier New"/>
          <w:sz w:val="15"/>
          <w:szCs w:val="15"/>
          <w:color w:val="auto"/>
        </w:rPr>
        <w:t>Fully dilutive - based on (i) net income and (ii) the fully dilutive weighted average number of common shares, dilutive common equivalent shares, and other potentially dilutive securities outstanding of 218,197,000.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three months ended September 30, 1996</w:t>
      </w:r>
    </w:p>
    <w:p>
      <w:pPr>
        <w:spacing w:after="0" w:line="173"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Primary - based on (i) net loss and (ii) the primary weighted average number of common shares and dilutive common equivalent shares outstanding of 176,392,000.</w:t>
      </w:r>
    </w:p>
    <w:p>
      <w:pPr>
        <w:spacing w:after="0" w:line="174" w:lineRule="exact"/>
        <w:rPr>
          <w:sz w:val="20"/>
          <w:szCs w:val="20"/>
          <w:color w:val="auto"/>
        </w:rPr>
      </w:pPr>
    </w:p>
    <w:p>
      <w:pPr>
        <w:ind w:left="440" w:right="3499"/>
        <w:spacing w:after="0" w:line="261" w:lineRule="auto"/>
        <w:rPr>
          <w:sz w:val="20"/>
          <w:szCs w:val="20"/>
          <w:color w:val="auto"/>
        </w:rPr>
      </w:pPr>
      <w:r>
        <w:rPr>
          <w:rFonts w:ascii="Courier New" w:cs="Courier New" w:eastAsia="Courier New" w:hAnsi="Courier New"/>
          <w:sz w:val="14"/>
          <w:szCs w:val="14"/>
          <w:color w:val="auto"/>
        </w:rPr>
        <w:t>Fully dilutive - antidilutive for the three months ended September 30, 1996, and therefore presented as equal to primary loss per common share.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1997</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Primary - based on (i) net income plus the after-tax interest expense of approximately $8,271,000 on the Company's 4% convertible subordinated notes that are considered to be common stock equivalents, and (ii) the primary weighted average number of common and dilutive common equivalent shares outstanding of 220,342,000.</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Fully diluted - based on (i) net income plus (a) the after-tax interest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 of approximately $8,271,000 on the above mentioned 4% convertible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notes, (b) the after-tax interest expense of approximately</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$3,029,000 on the Company's 4 1/2% convertible subordinated notes, and (c)</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after-tax interest expense of approximately $2,581,000 on the Company's</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 convertible subordinated debentures, and (ii) the fully diluted weighted</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average number of common, dilutive common equivalent, and other potentially</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dilutive securities outstanding of 229,527,000.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1996</w:t>
      </w:r>
    </w:p>
    <w:p>
      <w:pPr>
        <w:spacing w:after="0" w:line="173" w:lineRule="exact"/>
        <w:rPr>
          <w:sz w:val="20"/>
          <w:szCs w:val="20"/>
          <w:color w:val="auto"/>
        </w:rPr>
      </w:pPr>
    </w:p>
    <w:p>
      <w:pPr>
        <w:ind w:left="440" w:right="3499"/>
        <w:spacing w:after="0" w:line="235" w:lineRule="auto"/>
        <w:rPr>
          <w:sz w:val="20"/>
          <w:szCs w:val="20"/>
          <w:color w:val="auto"/>
        </w:rPr>
      </w:pPr>
      <w:r>
        <w:rPr>
          <w:rFonts w:ascii="Courier New" w:cs="Courier New" w:eastAsia="Courier New" w:hAnsi="Courier New"/>
          <w:sz w:val="15"/>
          <w:szCs w:val="15"/>
          <w:color w:val="auto"/>
        </w:rPr>
        <w:t>Primary - based on net income and the primary weighted average number of common shares and dilutive common equivalent shares outstanding of 180,675,000.</w:t>
      </w:r>
    </w:p>
    <w:p>
      <w:pPr>
        <w:spacing w:after="0" w:line="174"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Fully dilutive - based on (i) net income and (ii) the fully diluted weighted average number of common shares and dilutive common equivalent shares outstanding and other potentially dilutive securities of 181,480,000.</w:t>
      </w:r>
    </w:p>
    <w:p>
      <w:pPr>
        <w:spacing w:after="0" w:line="169"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October 1996, the Accounting Standards Executive Committee of the American Institute of Certified Public Accountants issued Statement of Position No. 96-1, Environmental Remediation Liabilities ("SOP No. 96-1"). SOP No. 96-1 provides authoritative guidance on the recognition, measurement, presentation, and disclosure of environmental remediation liabilities. The adoption of SOP No.</w:t>
      </w:r>
    </w:p>
    <w:p>
      <w:pPr>
        <w:spacing w:after="0" w:line="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96-1 did not have a material effect to the Company's financial position, results of operations, or cash flows.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No. 128, Earnings Per Share ("SFAS No. 128"). SFAS No. 128 specifies the computation, presentation, and disclosure requirements of earnings per share and supersedes Accounting Principles Board Opinion No. 15, Earnings Per Share. SFAS No. 128 requires a dual presentation of basic and diluted earnings per share. Basic 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fully-diluted earnings per share. SFAS No. 128 is effective for both interim and annual periods ending after December 15, 1997. The following pro forma earnings per common share information assumes the Company adopted SFAS No. 128 in 1996 (in thousands, except per share amounts):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640" w:type="dxa"/>
            <w:vAlign w:val="bottom"/>
          </w:tcPr>
          <w:p>
            <w:pPr>
              <w:ind w:left="280"/>
              <w:spacing w:after="0"/>
              <w:rPr>
                <w:sz w:val="20"/>
                <w:szCs w:val="20"/>
                <w:color w:val="auto"/>
              </w:rPr>
            </w:pPr>
            <w:r>
              <w:rPr>
                <w:rFonts w:ascii="Courier New" w:cs="Courier New" w:eastAsia="Courier New" w:hAnsi="Courier New"/>
                <w:sz w:val="15"/>
                <w:szCs w:val="15"/>
                <w:color w:val="auto"/>
              </w:rPr>
              <w:t>12</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4640" w:type="dxa"/>
            <w:vAlign w:val="bottom"/>
          </w:tcPr>
          <w:p>
            <w:pPr>
              <w:spacing w:after="0"/>
              <w:rPr>
                <w:sz w:val="24"/>
                <w:szCs w:val="24"/>
                <w:color w:val="auto"/>
              </w:rPr>
            </w:pPr>
          </w:p>
        </w:tc>
        <w:tc>
          <w:tcPr>
            <w:tcW w:w="29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9"/>
              </w:rPr>
              <w:t>Three Months Ended September 30,</w:t>
            </w:r>
          </w:p>
        </w:tc>
        <w:tc>
          <w:tcPr>
            <w:tcW w:w="28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Nine Months Ended September 30,</w:t>
            </w:r>
          </w:p>
        </w:tc>
      </w:tr>
      <w:tr>
        <w:trPr>
          <w:trHeight w:val="168"/>
        </w:trPr>
        <w:tc>
          <w:tcPr>
            <w:tcW w:w="4640" w:type="dxa"/>
            <w:vAlign w:val="bottom"/>
          </w:tcPr>
          <w:p>
            <w:pPr>
              <w:spacing w:after="0"/>
              <w:rPr>
                <w:sz w:val="14"/>
                <w:szCs w:val="14"/>
                <w:color w:val="auto"/>
              </w:rPr>
            </w:pPr>
          </w:p>
        </w:tc>
        <w:tc>
          <w:tcPr>
            <w:tcW w:w="298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Primary earnings (loss) per common share:</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0.78</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number of common and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6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218,197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176,392</w:t>
            </w:r>
          </w:p>
        </w:tc>
        <w:tc>
          <w:tcPr>
            <w:tcW w:w="40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220,342</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180,675</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w w:val="98"/>
              </w:rPr>
              <w:t>Fully diluted earnings (loss) per common share:</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0.78</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number of common and</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6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218,197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176,392</w:t>
            </w:r>
          </w:p>
        </w:tc>
        <w:tc>
          <w:tcPr>
            <w:tcW w:w="40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229,527</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181,480</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0.83</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0.80</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Basic weighted average shares</w:t>
            </w:r>
          </w:p>
        </w:tc>
        <w:tc>
          <w:tcPr>
            <w:tcW w:w="6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213,510</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176,392</w:t>
            </w:r>
          </w:p>
        </w:tc>
        <w:tc>
          <w:tcPr>
            <w:tcW w:w="40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205,356</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172,158</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ind w:left="440"/>
              <w:spacing w:after="0"/>
              <w:rPr>
                <w:sz w:val="20"/>
                <w:szCs w:val="20"/>
                <w:color w:val="auto"/>
              </w:rPr>
            </w:pPr>
            <w:r>
              <w:rPr>
                <w:rFonts w:ascii="Courier New" w:cs="Courier New" w:eastAsia="Courier New" w:hAnsi="Courier New"/>
                <w:sz w:val="15"/>
                <w:szCs w:val="15"/>
                <w:color w:val="auto"/>
              </w:rPr>
              <w:t>Diluted earnings (loss) per common share:</w:t>
            </w: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0.81</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6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 (loss)</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0.78</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Diluted weighted average shares</w:t>
            </w:r>
          </w:p>
        </w:tc>
        <w:tc>
          <w:tcPr>
            <w:tcW w:w="66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218,197</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176,392</w:t>
            </w:r>
          </w:p>
        </w:tc>
        <w:tc>
          <w:tcPr>
            <w:tcW w:w="40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229,366</w:t>
            </w: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180,675</w:t>
            </w:r>
          </w:p>
        </w:tc>
      </w:tr>
      <w:tr>
        <w:trPr>
          <w:trHeight w:val="168"/>
        </w:trPr>
        <w:tc>
          <w:tcPr>
            <w:tcW w:w="464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June 1997, the Financial Accounting Standards Board issued Statement of</w:t>
      </w:r>
    </w:p>
    <w:p>
      <w:pPr>
        <w:spacing w:after="0" w:line="237" w:lineRule="auto"/>
        <w:rPr>
          <w:sz w:val="20"/>
          <w:szCs w:val="20"/>
          <w:color w:val="auto"/>
        </w:rPr>
      </w:pPr>
      <w:r>
        <w:rPr>
          <w:rFonts w:ascii="Courier New" w:cs="Courier New" w:eastAsia="Courier New" w:hAnsi="Courier New"/>
          <w:sz w:val="15"/>
          <w:szCs w:val="15"/>
          <w:color w:val="auto"/>
        </w:rPr>
        <w:t>Financial Accounting Standards No. 130, Reporting Comprehensive Income ("SFAS</w:t>
      </w:r>
    </w:p>
    <w:p>
      <w:pPr>
        <w:spacing w:after="0" w:line="238" w:lineRule="auto"/>
        <w:rPr>
          <w:sz w:val="20"/>
          <w:szCs w:val="20"/>
          <w:color w:val="auto"/>
        </w:rPr>
      </w:pPr>
      <w:r>
        <w:rPr>
          <w:rFonts w:ascii="Courier New" w:cs="Courier New" w:eastAsia="Courier New" w:hAnsi="Courier New"/>
          <w:sz w:val="15"/>
          <w:szCs w:val="15"/>
          <w:color w:val="auto"/>
        </w:rPr>
        <w:t>No. 130"). SFAS No. 130 establishes standards for reporting and presentation of</w:t>
      </w:r>
    </w:p>
    <w:p>
      <w:pPr>
        <w:spacing w:after="0" w:line="237" w:lineRule="auto"/>
        <w:rPr>
          <w:sz w:val="20"/>
          <w:szCs w:val="20"/>
          <w:color w:val="auto"/>
        </w:rPr>
      </w:pPr>
      <w:r>
        <w:rPr>
          <w:rFonts w:ascii="Courier New" w:cs="Courier New" w:eastAsia="Courier New" w:hAnsi="Courier New"/>
          <w:sz w:val="15"/>
          <w:szCs w:val="15"/>
          <w:color w:val="auto"/>
        </w:rPr>
        <w:t>comprehensive income and its components. Comprehensive income is defined as the</w:t>
      </w:r>
    </w:p>
    <w:p>
      <w:pPr>
        <w:spacing w:after="0" w:line="238" w:lineRule="auto"/>
        <w:rPr>
          <w:sz w:val="20"/>
          <w:szCs w:val="20"/>
          <w:color w:val="auto"/>
        </w:rPr>
      </w:pPr>
      <w:r>
        <w:rPr>
          <w:rFonts w:ascii="Courier New" w:cs="Courier New" w:eastAsia="Courier New" w:hAnsi="Courier New"/>
          <w:sz w:val="15"/>
          <w:szCs w:val="15"/>
          <w:color w:val="auto"/>
        </w:rPr>
        <w:t>change in equity of a business enterprise during a period from transactions and</w:t>
      </w:r>
    </w:p>
    <w:p>
      <w:pPr>
        <w:spacing w:after="0" w:line="237" w:lineRule="auto"/>
        <w:rPr>
          <w:sz w:val="20"/>
          <w:szCs w:val="20"/>
          <w:color w:val="auto"/>
        </w:rPr>
      </w:pPr>
      <w:r>
        <w:rPr>
          <w:rFonts w:ascii="Courier New" w:cs="Courier New" w:eastAsia="Courier New" w:hAnsi="Courier New"/>
          <w:sz w:val="15"/>
          <w:szCs w:val="15"/>
          <w:color w:val="auto"/>
        </w:rPr>
        <w:t>other events and circumstances from nonowner sources and includes all changes in</w:t>
      </w:r>
    </w:p>
    <w:p>
      <w:pPr>
        <w:spacing w:after="0" w:line="238" w:lineRule="auto"/>
        <w:rPr>
          <w:sz w:val="20"/>
          <w:szCs w:val="20"/>
          <w:color w:val="auto"/>
        </w:rPr>
      </w:pPr>
      <w:r>
        <w:rPr>
          <w:rFonts w:ascii="Courier New" w:cs="Courier New" w:eastAsia="Courier New" w:hAnsi="Courier New"/>
          <w:sz w:val="15"/>
          <w:szCs w:val="15"/>
          <w:color w:val="auto"/>
        </w:rPr>
        <w:t>equity during a period except those resulting from investments by owners and</w:t>
      </w:r>
    </w:p>
    <w:p>
      <w:pPr>
        <w:spacing w:after="0" w:line="237" w:lineRule="auto"/>
        <w:rPr>
          <w:sz w:val="20"/>
          <w:szCs w:val="20"/>
          <w:color w:val="auto"/>
        </w:rPr>
      </w:pPr>
      <w:r>
        <w:rPr>
          <w:rFonts w:ascii="Courier New" w:cs="Courier New" w:eastAsia="Courier New" w:hAnsi="Courier New"/>
          <w:sz w:val="15"/>
          <w:szCs w:val="15"/>
          <w:color w:val="auto"/>
        </w:rPr>
        <w:t>distributions to owners. SFAS No. 130 is effective for both interim and annual</w:t>
      </w:r>
    </w:p>
    <w:p>
      <w:pPr>
        <w:spacing w:after="0" w:line="238" w:lineRule="auto"/>
        <w:rPr>
          <w:sz w:val="20"/>
          <w:szCs w:val="20"/>
          <w:color w:val="auto"/>
        </w:rPr>
      </w:pPr>
      <w:r>
        <w:rPr>
          <w:rFonts w:ascii="Courier New" w:cs="Courier New" w:eastAsia="Courier New" w:hAnsi="Courier New"/>
          <w:sz w:val="15"/>
          <w:szCs w:val="15"/>
          <w:color w:val="auto"/>
        </w:rPr>
        <w:t>periods beginning after December 15, 1997. Assuming the Company adopted SFAS No.</w:t>
      </w:r>
    </w:p>
    <w:p>
      <w:pPr>
        <w:spacing w:after="0" w:line="238" w:lineRule="auto"/>
        <w:rPr>
          <w:sz w:val="20"/>
          <w:szCs w:val="20"/>
          <w:color w:val="auto"/>
        </w:rPr>
      </w:pPr>
      <w:r>
        <w:rPr>
          <w:rFonts w:ascii="Courier New" w:cs="Courier New" w:eastAsia="Courier New" w:hAnsi="Courier New"/>
          <w:sz w:val="15"/>
          <w:szCs w:val="15"/>
          <w:color w:val="auto"/>
        </w:rPr>
        <w:t>130 in 1996, comprehensive income would have been $19,082,000 and $164,325,000</w:t>
      </w:r>
    </w:p>
    <w:p>
      <w:pPr>
        <w:spacing w:after="0" w:line="237" w:lineRule="auto"/>
        <w:rPr>
          <w:sz w:val="20"/>
          <w:szCs w:val="20"/>
          <w:color w:val="auto"/>
        </w:rPr>
      </w:pPr>
      <w:r>
        <w:rPr>
          <w:rFonts w:ascii="Courier New" w:cs="Courier New" w:eastAsia="Courier New" w:hAnsi="Courier New"/>
          <w:sz w:val="15"/>
          <w:szCs w:val="15"/>
          <w:color w:val="auto"/>
        </w:rPr>
        <w:t>for the three and nine months ended September 30, 1997, respectively, and</w:t>
      </w:r>
    </w:p>
    <w:p>
      <w:pPr>
        <w:spacing w:after="0" w:line="238" w:lineRule="auto"/>
        <w:rPr>
          <w:sz w:val="20"/>
          <w:szCs w:val="20"/>
          <w:color w:val="auto"/>
        </w:rPr>
      </w:pPr>
      <w:r>
        <w:rPr>
          <w:rFonts w:ascii="Courier New" w:cs="Courier New" w:eastAsia="Courier New" w:hAnsi="Courier New"/>
          <w:sz w:val="15"/>
          <w:szCs w:val="15"/>
          <w:color w:val="auto"/>
        </w:rPr>
        <w:t>$11,132,000 for the nine months ended September 30, 1996. Comprehensive loss</w:t>
      </w:r>
    </w:p>
    <w:p>
      <w:pPr>
        <w:spacing w:after="0" w:line="237" w:lineRule="auto"/>
        <w:rPr>
          <w:sz w:val="20"/>
          <w:szCs w:val="20"/>
          <w:color w:val="auto"/>
        </w:rPr>
      </w:pPr>
      <w:r>
        <w:rPr>
          <w:rFonts w:ascii="Courier New" w:cs="Courier New" w:eastAsia="Courier New" w:hAnsi="Courier New"/>
          <w:sz w:val="15"/>
          <w:szCs w:val="15"/>
          <w:color w:val="auto"/>
        </w:rPr>
        <w:t>would have been $27,450,000 for the three months ended September 30, 1996.</w:t>
      </w:r>
    </w:p>
    <w:p>
      <w:pPr>
        <w:spacing w:after="0" w:line="167" w:lineRule="exact"/>
        <w:rPr>
          <w:sz w:val="20"/>
          <w:szCs w:val="20"/>
          <w:color w:val="auto"/>
        </w:rPr>
      </w:pPr>
    </w:p>
    <w:p>
      <w:pPr>
        <w:ind w:left="360" w:hanging="350"/>
        <w:spacing w:after="0"/>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3"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5"/>
          <w:szCs w:val="15"/>
          <w:color w:val="auto"/>
        </w:rPr>
        <w:t>From October 1, 1997 through November 3, 1997, the Company acquired 11 collection businesses and one landfill for approximately $56,044,000 in cash, $1,300,000 in liabilities incurred or debt assumed, and approximately 86,000 shares of the Company's common stock. These acquisitions were accounted for as purchases.</w:t>
      </w:r>
    </w:p>
    <w:p>
      <w:pPr>
        <w:spacing w:after="0" w:line="174"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The unaudited pro forma information set forth below assumes all 1997 acquisitions through November 3, 1997, accounted for as purchases and all 1996 acquisitions accounted for as purchases occurred at the beginning of 1996.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ectPr>
          <w:pgSz w:w="11900" w:h="16838" w:orient="portrait"/>
          <w:cols w:equalWidth="0" w:num="1">
            <w:col w:w="10420"/>
          </w:cols>
          <w:pgMar w:left="220" w:top="281" w:right="1259" w:bottom="1440" w:gutter="0" w:footer="0" w:header="0"/>
        </w:sectPr>
      </w:pP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420"/>
          </w:cols>
          <w:pgMar w:left="220" w:top="281" w:right="12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72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05"/>
        </w:trPr>
        <w:tc>
          <w:tcPr>
            <w:tcW w:w="3720" w:type="dxa"/>
            <w:vAlign w:val="bottom"/>
          </w:tcPr>
          <w:p>
            <w:pPr>
              <w:spacing w:after="0"/>
              <w:rPr>
                <w:sz w:val="24"/>
                <w:szCs w:val="24"/>
                <w:color w:val="auto"/>
              </w:rPr>
            </w:pPr>
          </w:p>
        </w:tc>
        <w:tc>
          <w:tcPr>
            <w:tcW w:w="32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3720" w:type="dxa"/>
            <w:vAlign w:val="bottom"/>
          </w:tcPr>
          <w:p>
            <w:pPr>
              <w:spacing w:after="0"/>
              <w:rPr>
                <w:sz w:val="14"/>
                <w:szCs w:val="14"/>
                <w:color w:val="auto"/>
              </w:rPr>
            </w:pPr>
          </w:p>
        </w:tc>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17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720" w:type="dxa"/>
            <w:vAlign w:val="bottom"/>
          </w:tcPr>
          <w:p>
            <w:pPr>
              <w:spacing w:after="0"/>
              <w:rPr>
                <w:sz w:val="14"/>
                <w:szCs w:val="14"/>
                <w:color w:val="auto"/>
              </w:rPr>
            </w:pP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$ 2,257,103</w:t>
            </w:r>
          </w:p>
        </w:tc>
        <w:tc>
          <w:tcPr>
            <w:tcW w:w="1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$ 2,154,389</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189,318</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60,613</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 earnings per common share:</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0.89</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0.86</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diluted earnings per common share:</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0.88</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3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0.85</w:t>
            </w:r>
          </w:p>
        </w:tc>
        <w:tc>
          <w:tcPr>
            <w:tcW w:w="1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841"/>
        </w:trPr>
        <w:tc>
          <w:tcPr>
            <w:tcW w:w="3720" w:type="dxa"/>
            <w:vAlign w:val="bottom"/>
          </w:tcPr>
          <w:p>
            <w:pPr>
              <w:ind w:left="3420"/>
              <w:spacing w:after="0"/>
              <w:rPr>
                <w:sz w:val="20"/>
                <w:szCs w:val="20"/>
                <w:color w:val="auto"/>
              </w:rPr>
            </w:pPr>
            <w:r>
              <w:rPr>
                <w:rFonts w:ascii="Courier New" w:cs="Courier New" w:eastAsia="Courier New" w:hAnsi="Courier New"/>
                <w:sz w:val="15"/>
                <w:szCs w:val="15"/>
                <w:color w:val="auto"/>
              </w:rPr>
              <w:t>13</w:t>
            </w: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following discussion reviews the Company's operations for the three and nine months ended September 30, 1997 and 1996,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1996, as amended on Form</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10-K/A filed April 30, 1997, the Company's Joint Proxy Statement and Prospectus dated July 24, 1997, included in the Company's Registration Statement on Form S-4 filed in connection with the merger with United, and the supplemental consolidated financial statements and supplemental interim condensed consolidated financial statements and related notes thereto included in the Company's Current Report on Form 8-K dated November 12, 1997, filed in connection with the merger with United.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Since August 1990, the Company has experienced significant growth principally through the acquisition and integration of solid waste businesses and is the third largest nonhazardous solid waste management company in North America, as measured by 1996 revenues. The Company conducts operations in various locations throughout the United States, Canada, Puerto Rico, and Mexico. As of September 30, 1997, the Company owned or operated 381 collection businesses, 159 transfer stations, 164 landfills, and 21 recycling businesses serving more than 7,500,000 customers.</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operating revenues consist primarily of fees charged for its collection and disposal services. Operating revenues for collection services include fees from commercial, industrial, and municipal and residential collection customers. A portion of these fees are billed in advance; and upon receipt of payment a liability for future service is recorded and operating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178"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operating revenues from its landfill operations consist of disposal fees (known as tipping fees) charged to third parties and are normally billed monthly. Tipping fees are based on the volume or weight of solid waste disposed of at the Company's landfill sites. Fees are charged at transfer stations based on the volume or weight of solid waste deposited, taking into account the Company's cost of loading, transporting, and disposing of the solid waste at a landfill. Intercompany operating revenues between the Company's collection, transfer, and landfill operations have been eliminated in the condensed consolidated financial statements presented elsewhere herein.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depreciated over the estimated useful life of a site as capacity is consumed, and include acquisition, engineering, upgrading, construction, capitalized interest, and permitting costs. All indirect development expenses, such as administrative salaries and general corporate overhead, are charged to expense in the period incurred.</w:t>
      </w:r>
    </w:p>
    <w:p>
      <w:pPr>
        <w:spacing w:after="0" w:line="178"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Condensed Consolidated Statement of Operations line items and for certain supplementary data.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720" w:type="dxa"/>
            <w:vAlign w:val="bottom"/>
            <w:gridSpan w:val="2"/>
          </w:tcPr>
          <w:p>
            <w:pPr>
              <w:jc w:val="center"/>
              <w:ind w:left="287"/>
              <w:spacing w:after="0"/>
              <w:rPr>
                <w:sz w:val="20"/>
                <w:szCs w:val="20"/>
                <w:color w:val="auto"/>
              </w:rPr>
            </w:pPr>
            <w:r>
              <w:rPr>
                <w:rFonts w:ascii="Courier New" w:cs="Courier New" w:eastAsia="Courier New" w:hAnsi="Courier New"/>
                <w:sz w:val="15"/>
                <w:szCs w:val="15"/>
                <w:color w:val="auto"/>
                <w:w w:val="97"/>
              </w:rPr>
              <w:t>Period to Period</w:t>
            </w:r>
          </w:p>
        </w:tc>
        <w:tc>
          <w:tcPr>
            <w:tcW w:w="23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Period to Period</w:t>
            </w:r>
          </w:p>
        </w:tc>
      </w:tr>
      <w:tr>
        <w:trPr>
          <w:trHeight w:val="168"/>
        </w:trPr>
        <w:tc>
          <w:tcPr>
            <w:tcW w:w="3900" w:type="dxa"/>
            <w:vAlign w:val="bottom"/>
          </w:tcPr>
          <w:p>
            <w:pPr>
              <w:spacing w:after="0"/>
              <w:rPr>
                <w:sz w:val="14"/>
                <w:szCs w:val="14"/>
                <w:color w:val="auto"/>
              </w:rPr>
            </w:pPr>
          </w:p>
        </w:tc>
        <w:tc>
          <w:tcPr>
            <w:tcW w:w="272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Change for the</w:t>
            </w:r>
          </w:p>
        </w:tc>
        <w:tc>
          <w:tcPr>
            <w:tcW w:w="2320" w:type="dxa"/>
            <w:vAlign w:val="bottom"/>
            <w:gridSpan w:val="2"/>
          </w:tcPr>
          <w:p>
            <w:pPr>
              <w:ind w:left="640"/>
              <w:spacing w:after="0" w:line="168" w:lineRule="exact"/>
              <w:rPr>
                <w:sz w:val="20"/>
                <w:szCs w:val="20"/>
                <w:color w:val="auto"/>
              </w:rPr>
            </w:pPr>
            <w:r>
              <w:rPr>
                <w:rFonts w:ascii="Courier New" w:cs="Courier New" w:eastAsia="Courier New" w:hAnsi="Courier New"/>
                <w:sz w:val="15"/>
                <w:szCs w:val="15"/>
                <w:color w:val="auto"/>
              </w:rPr>
              <w:t>Change for the</w:t>
            </w:r>
          </w:p>
        </w:tc>
      </w:tr>
      <w:tr>
        <w:trPr>
          <w:trHeight w:val="168"/>
        </w:trPr>
        <w:tc>
          <w:tcPr>
            <w:tcW w:w="3900" w:type="dxa"/>
            <w:vAlign w:val="bottom"/>
          </w:tcPr>
          <w:p>
            <w:pPr>
              <w:spacing w:after="0"/>
              <w:rPr>
                <w:sz w:val="14"/>
                <w:szCs w:val="14"/>
                <w:color w:val="auto"/>
              </w:rPr>
            </w:pPr>
          </w:p>
        </w:tc>
        <w:tc>
          <w:tcPr>
            <w:tcW w:w="272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Three Months Ended</w:t>
            </w:r>
          </w:p>
        </w:tc>
        <w:tc>
          <w:tcPr>
            <w:tcW w:w="23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3900" w:type="dxa"/>
            <w:vAlign w:val="bottom"/>
          </w:tcPr>
          <w:p>
            <w:pPr>
              <w:spacing w:after="0"/>
              <w:rPr>
                <w:sz w:val="14"/>
                <w:szCs w:val="14"/>
                <w:color w:val="auto"/>
              </w:rPr>
            </w:pPr>
          </w:p>
        </w:tc>
        <w:tc>
          <w:tcPr>
            <w:tcW w:w="27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September 30,</w:t>
            </w:r>
          </w:p>
        </w:tc>
        <w:tc>
          <w:tcPr>
            <w:tcW w:w="2320" w:type="dxa"/>
            <w:vAlign w:val="bottom"/>
            <w:gridSpan w:val="2"/>
          </w:tcPr>
          <w:p>
            <w:pPr>
              <w:ind w:left="64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900" w:type="dxa"/>
            <w:vAlign w:val="bottom"/>
          </w:tcPr>
          <w:p>
            <w:pPr>
              <w:spacing w:after="0"/>
              <w:rPr>
                <w:sz w:val="14"/>
                <w:szCs w:val="14"/>
                <w:color w:val="auto"/>
              </w:rPr>
            </w:pPr>
          </w:p>
        </w:tc>
        <w:tc>
          <w:tcPr>
            <w:tcW w:w="2720" w:type="dxa"/>
            <w:vAlign w:val="bottom"/>
            <w:gridSpan w:val="2"/>
          </w:tcPr>
          <w:p>
            <w:pPr>
              <w:jc w:val="right"/>
              <w:ind w:right="687"/>
              <w:spacing w:after="0" w:line="168" w:lineRule="exact"/>
              <w:rPr>
                <w:sz w:val="20"/>
                <w:szCs w:val="20"/>
                <w:color w:val="auto"/>
              </w:rPr>
            </w:pPr>
            <w:r>
              <w:rPr>
                <w:rFonts w:ascii="Courier New" w:cs="Courier New" w:eastAsia="Courier New" w:hAnsi="Courier New"/>
                <w:sz w:val="15"/>
                <w:szCs w:val="15"/>
                <w:color w:val="auto"/>
              </w:rPr>
              <w:t>1997 and 1996</w:t>
            </w:r>
          </w:p>
        </w:tc>
        <w:tc>
          <w:tcPr>
            <w:tcW w:w="2320" w:type="dxa"/>
            <w:vAlign w:val="bottom"/>
            <w:gridSpan w:val="2"/>
          </w:tcPr>
          <w:p>
            <w:pPr>
              <w:ind w:left="640"/>
              <w:spacing w:after="0" w:line="168" w:lineRule="exact"/>
              <w:rPr>
                <w:sz w:val="20"/>
                <w:szCs w:val="20"/>
                <w:color w:val="auto"/>
              </w:rPr>
            </w:pPr>
            <w:r>
              <w:rPr>
                <w:rFonts w:ascii="Courier New" w:cs="Courier New" w:eastAsia="Courier New" w:hAnsi="Courier New"/>
                <w:sz w:val="15"/>
                <w:szCs w:val="15"/>
                <w:color w:val="auto"/>
              </w:rPr>
              <w:t>1997 and 1996</w:t>
            </w:r>
          </w:p>
        </w:tc>
      </w:tr>
      <w:tr>
        <w:trPr>
          <w:trHeight w:val="168"/>
        </w:trPr>
        <w:tc>
          <w:tcPr>
            <w:tcW w:w="3900" w:type="dxa"/>
            <w:vAlign w:val="bottom"/>
          </w:tcPr>
          <w:p>
            <w:pPr>
              <w:spacing w:after="0"/>
              <w:rPr>
                <w:sz w:val="14"/>
                <w:szCs w:val="14"/>
                <w:color w:val="auto"/>
              </w:rPr>
            </w:pPr>
          </w:p>
        </w:tc>
        <w:tc>
          <w:tcPr>
            <w:tcW w:w="2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$ 318,950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$ 673,554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Operating (exclusive of depreciation</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amortization shown below)</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157,399</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68.0</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320,544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30,298</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59,644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36,327</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70.8</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80,362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57.9</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Merger costs</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19,401</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(15,636)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Unusual items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(26,128)</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(39,080)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217,297</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46.2</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405,834</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101,653</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372.4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267,720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336.2</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(14,351)</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(25,960)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and other income, net</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7,722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99.2</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168"/>
        </w:trPr>
        <w:tc>
          <w:tcPr>
            <w:tcW w:w="390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(14,294)</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125.4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(18,238)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87,359</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225.7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249,482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589.3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(benefit from) income taxes</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34,693</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308.9</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90,009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287.1</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52,666</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191.7</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159,473</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1,452.4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(6,293)</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(6,293)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46,373</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168.8%</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$ 153,180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1,395.1%</w:t>
            </w:r>
          </w:p>
        </w:tc>
      </w:tr>
      <w:tr>
        <w:trPr>
          <w:trHeight w:val="168"/>
        </w:trPr>
        <w:tc>
          <w:tcPr>
            <w:tcW w:w="3900" w:type="dxa"/>
            <w:vAlign w:val="bottom"/>
          </w:tcPr>
          <w:p>
            <w:pPr>
              <w:spacing w:after="0"/>
              <w:rPr>
                <w:sz w:val="14"/>
                <w:szCs w:val="14"/>
                <w:color w:val="auto"/>
              </w:rPr>
            </w:pP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SUPPLEMENTARY DATA</w:t>
            </w: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(1)</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$ 137,980</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573.8%</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$ 348,082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 excluding merger costs</w:t>
            </w: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 unusual items (1)</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131,253</w:t>
            </w:r>
          </w:p>
        </w:tc>
        <w:tc>
          <w:tcPr>
            <w:tcW w:w="12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82.2</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293,366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72.0</w:t>
            </w:r>
          </w:p>
        </w:tc>
      </w:tr>
    </w:tbl>
    <w:p>
      <w:pPr>
        <w:spacing w:after="0" w:line="341" w:lineRule="exact"/>
        <w:rPr>
          <w:sz w:val="20"/>
          <w:szCs w:val="20"/>
          <w:color w:val="auto"/>
        </w:rPr>
      </w:pPr>
    </w:p>
    <w:p>
      <w:pPr>
        <w:ind w:right="3239" w:firstLine="10"/>
        <w:spacing w:after="0" w:line="236"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4380"/>
        <w:spacing w:after="0" w:line="258" w:lineRule="auto"/>
        <w:rPr>
          <w:sz w:val="20"/>
          <w:szCs w:val="20"/>
          <w:color w:val="auto"/>
        </w:rPr>
      </w:pPr>
      <w:r>
        <w:rPr>
          <w:rFonts w:ascii="Courier New" w:cs="Courier New" w:eastAsia="Courier New" w:hAnsi="Courier New"/>
          <w:sz w:val="14"/>
          <w:szCs w:val="14"/>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Three Months Ended September 30,</w:t>
            </w:r>
          </w:p>
        </w:tc>
        <w:tc>
          <w:tcPr>
            <w:tcW w:w="3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1996</w:t>
            </w:r>
          </w:p>
        </w:tc>
        <w:tc>
          <w:tcPr>
            <w:tcW w:w="17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1997</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c>
          <w:tcPr>
            <w:tcW w:w="1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2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Collection</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62.7%</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Transfer station</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Disposal</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24.3</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Costs and expenses:</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Operating (exclusive of depreciation</w:t>
            </w:r>
          </w:p>
        </w:tc>
        <w:tc>
          <w:tcPr>
            <w:tcW w:w="2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amortization shown below)</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51.1</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52.3</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51.7</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10.8</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Merger costs</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13.6</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19.1</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Unusual items</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11.5</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90.2</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106.2</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81.5</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9.8</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Interest and other income, net</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0.8</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(benefit from) income taxes</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0.8</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DATA</w:t>
            </w:r>
          </w:p>
        </w:tc>
        <w:tc>
          <w:tcPr>
            <w:tcW w:w="2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EBITDA</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w:t>
            </w:r>
          </w:p>
        </w:tc>
        <w:tc>
          <w:tcPr>
            <w:tcW w:w="2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21.3%</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EBITDA excluding merger costs</w:t>
            </w:r>
          </w:p>
        </w:tc>
        <w:tc>
          <w:tcPr>
            <w:tcW w:w="2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8"/>
        </w:trPr>
        <w:tc>
          <w:tcPr>
            <w:tcW w:w="4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and unusual items (1)</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38.2</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36.1</w:t>
            </w:r>
          </w:p>
        </w:tc>
        <w:tc>
          <w:tcPr>
            <w:tcW w:w="1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37.3</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w:t>
            </w:r>
          </w:p>
        </w:tc>
      </w:tr>
    </w:tbl>
    <w:p>
      <w:pPr>
        <w:spacing w:after="0" w:line="200" w:lineRule="exact"/>
        <w:rPr>
          <w:sz w:val="20"/>
          <w:szCs w:val="20"/>
          <w:color w:val="auto"/>
        </w:rPr>
      </w:pPr>
    </w:p>
    <w:p>
      <w:pPr>
        <w:spacing w:after="0" w:line="309" w:lineRule="exact"/>
        <w:rPr>
          <w:sz w:val="20"/>
          <w:szCs w:val="20"/>
          <w:color w:val="auto"/>
        </w:rPr>
      </w:pPr>
    </w:p>
    <w:p>
      <w:pPr>
        <w:ind w:left="440" w:right="4120" w:hanging="430"/>
        <w:spacing w:after="0" w:line="256"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1120"/>
          </w:cols>
          <w:pgMar w:left="220" w:top="281" w:right="559"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237" w:lineRule="auto"/>
        <w:rPr>
          <w:sz w:val="20"/>
          <w:szCs w:val="20"/>
          <w:color w:val="auto"/>
        </w:rPr>
      </w:pPr>
      <w:r>
        <w:rPr>
          <w:rFonts w:ascii="Courier New" w:cs="Courier New" w:eastAsia="Courier New" w:hAnsi="Courier New"/>
          <w:sz w:val="15"/>
          <w:szCs w:val="15"/>
          <w:color w:val="auto"/>
        </w:rPr>
        <w:t>RESULTS OF OPERATIONS FOR THE THREE AND NINE MONTHS ENDED SEPTEMBER 30, 1997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 increased $318,950,000 or 72.0% and $673,554,000 or 55.9%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three and nine months ended September 30, 1997, respectively, as compared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corresponding prior year periods. The increase in operating revenues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effect of acquisitions of domestic and Canadian solid waste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businesses, less dispositions, and the internal growth of comparable operations.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of domestic solid waste businesses consummated during 1997 and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such acquisitions consummated during 1996 accounted for increases in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 of $214,400,000 and $423,300,000, or 48.4% and 35.1%, for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and nine months ended September 30, 1997, respectively. Acquisitions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solid waste businesses consummated during 1997 and the effect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 consummated during 1996 accounted for increases in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$103,800,000 and $217,200,000, or 23.4% and 18.0%, for the three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1997, respectively. Internal growth of</w:t>
      </w:r>
    </w:p>
    <w:p>
      <w:pPr>
        <w:spacing w:after="0" w:line="237" w:lineRule="auto"/>
        <w:rPr>
          <w:sz w:val="20"/>
          <w:szCs w:val="20"/>
          <w:color w:val="auto"/>
        </w:rPr>
      </w:pPr>
      <w:r>
        <w:rPr>
          <w:rFonts w:ascii="Courier New" w:cs="Courier New" w:eastAsia="Courier New" w:hAnsi="Courier New"/>
          <w:sz w:val="15"/>
          <w:szCs w:val="15"/>
          <w:color w:val="auto"/>
        </w:rPr>
        <w:t>comparable operations resulted in an increase in operating revenues of</w:t>
      </w:r>
    </w:p>
    <w:p>
      <w:pPr>
        <w:spacing w:after="0" w:line="238" w:lineRule="auto"/>
        <w:rPr>
          <w:sz w:val="20"/>
          <w:szCs w:val="20"/>
          <w:color w:val="auto"/>
        </w:rPr>
      </w:pPr>
      <w:r>
        <w:rPr>
          <w:rFonts w:ascii="Courier New" w:cs="Courier New" w:eastAsia="Courier New" w:hAnsi="Courier New"/>
          <w:sz w:val="15"/>
          <w:szCs w:val="15"/>
          <w:color w:val="auto"/>
        </w:rPr>
        <w:t>$41,600,000, consisting of increases of 3.6% due to pricing and 5.8% due to</w:t>
      </w:r>
    </w:p>
    <w:p>
      <w:pPr>
        <w:spacing w:after="0" w:line="237" w:lineRule="auto"/>
        <w:rPr>
          <w:sz w:val="20"/>
          <w:szCs w:val="20"/>
          <w:color w:val="auto"/>
        </w:rPr>
      </w:pPr>
      <w:r>
        <w:rPr>
          <w:rFonts w:ascii="Courier New" w:cs="Courier New" w:eastAsia="Courier New" w:hAnsi="Courier New"/>
          <w:sz w:val="15"/>
          <w:szCs w:val="15"/>
          <w:color w:val="auto"/>
        </w:rPr>
        <w:t>volumes for the three months ended September 30, 1997, and an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 of $115,900,000, consisting of 3.2% due to pricing and 6.4%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volumes for the nine months ended September 30, 1997. These increases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offset by a decrease in operating revenues of 9.2% and 6.8% for the three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nine months ended September 30, 1997, respectively, primarily as a result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disposition of certain Houston, Texas, solid waste collection and disposal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in January 1997, which was ordered by the United States Department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Justice in connection with the Company's August 30, 1996, merger with Sanifill,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the disposition of certain nonstrategically located solid waste collection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in June 1997, and the disposition of other non-core businesses in</w:t>
      </w:r>
    </w:p>
    <w:p>
      <w:pPr>
        <w:spacing w:after="0" w:line="237" w:lineRule="auto"/>
        <w:rPr>
          <w:sz w:val="20"/>
          <w:szCs w:val="20"/>
          <w:color w:val="auto"/>
        </w:rPr>
      </w:pPr>
      <w:r>
        <w:rPr>
          <w:rFonts w:ascii="Courier New" w:cs="Courier New" w:eastAsia="Courier New" w:hAnsi="Courier New"/>
          <w:sz w:val="15"/>
          <w:szCs w:val="15"/>
          <w:color w:val="auto"/>
        </w:rPr>
        <w:t>1997 and 1996.</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Although the Company operates one line of business, integrated nonhazardous solid waste management which encompasses the entire waste stream from collection to transfer station to landfill, the Company's mix of operating revenues reflects an increase in collection revenues as a percentage of total revenues from 52.8% and 53.7% for the three and nine months ended September 30, 1996, respectively, to 62.7% and 61.5% for the three and nine months ended September 30, 1997, respectively. The change in the Company's mix of operating revenues is primarily the result of acquisitions of certain solid waste businesses in the first and second quarters of 1997 with large collection operations. Such acquired businesses include the Canadian solid waste subsidiaries of Allied Waste Industries, Inc., and a majority of the Canadian solid waste businesses of Waste Management, Inc.</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Operating Costs and Expenses (Exclusive of Depreciation and Amortization Shown Below)</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Operating costs and expenses increased $157,399,000, or 68.0%, and $320,544,000, or 49.3% for the three and nine months ended September 30, 1997, respectively, as compared to the corresponding prior year periods. The net increase in operating costs and expenses was primarily attributable to the effect of new acquisitions, net of dispositions, however, was offset by the increased utilization of internal disposal capacity and the cost reductions in comparable operations. The effect of new acquisitions, net of dispositions, resulted in an increase to operating costs and expenses of $172,301,000 and $351,214,000 for the three and nine months ended September 30, 1997, respectively. A decrease in operating costs and expenses related to comparable operations of $14,902,000 and $30,670,00 for the three and nine months ended September 30, 1997, respectively, primarily resulted from the increased utilization of internal disposal capacity and operating synergies realized from tuck-in acquisitions and the Company's mergers with United, Sanifill, Inc., and Western Waste Industries in August 1997, August 1996, and May 1996, respectively.</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costs and expenses decreased as a percentage of operating revenues from 52.3% to 51.1% for the three months ended September 30, 1996 and 1997, respectively, and from 53.9% to 51.7% for nine months ended September 30, 1996 and 1997, respectively. The improvements in operating costs as a percentage of revenues were slightly offset by the change in revenue mix, as discussed above, as collection operations typically have higher operating costs and expenses than disposal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 expenses increased $30,298,000 or 58.7% and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$59,644,000 or 40.4% for the three and nine months ended September 30, 1997, respectively, as compared to the corresponding prior year periods. However, as a percentage of operating revenues, general and administrative expenses decreased from 11.7% and 12.3% for the three and nine months ended September 30, 1996, respectively, to 10.8% and 11.0% for the three and nine months ended September 30, 1997, respectively. The decrease in general and administrative expenses as a percentage of operating revenues is primarily the result of the Company's ability to integrate new business acquisitions without a proportionate increase in general and administrative</w:t>
      </w:r>
    </w:p>
    <w:p>
      <w:pPr>
        <w:sectPr>
          <w:pgSz w:w="11900" w:h="16838" w:orient="portrait"/>
          <w:cols w:equalWidth="0" w:num="1">
            <w:col w:w="10239"/>
          </w:cols>
          <w:pgMar w:left="220" w:top="281" w:right="1440" w:bottom="1440" w:gutter="0" w:footer="0" w:header="0"/>
        </w:sectPr>
      </w:pP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expenses as well as synergies resulting from the Company's mergers with United, Sanifill, Inc., and Western Waste Industries in August 1997, August 1996, and May 1996,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Depreciation and amortization increased $36,327,000, or 70.8%, and $80,362,000, or 57.9% for the three and nine months ended September 30, 1997, as compared to the corresponding periods of 1996. The increase in depreciation and amortization is primarily related to new acquisitions, increased landfill disposal volumes, and upgrades to existing operations. However, as a percentage of operating revenues, deprecation and amortization for the three and nine months ended September 30, 1997, was consistent with such percentages for the corresponding periods of the prior year. The increase in depreciation and amortization due to the increased utilization of internal disposal capacity was offset by the improved utilization of equipment through internal growth in collection and disposal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Costs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the third quarter of 1997, the Company recognized $89,152,000 related to the United Merger and $15,000,000 related to the acquisition of other businesses accounted for as poolings of interests. The $89,152,000 of merger costs related to United include $17,566,000 of transaction costs, $26,198,000 of severance and other termination benefits, $21,629,000 of costs related to integrating operations, and $23,759,000 of estimated losses related to the disposition of a Pennsylvania landfill ordered by the United States Department of Justice in connection with the United Merger and the disposition of other duplicative facilities. The Company recognized $1,996,000 and $3,263,000 in the first and second quarters of 1997, respectively, related to other acquisitions of businesses accounted for as poolings of interests. In the third quarter of 1996, the Company recognized $80,000,000 related to the merger with Sanifill, Inc. and $4,751,000 related to the acquisition of other businesses accounted for as poolings of interests. The $80,000,000 of merger costs related to Sanifill, Inc. include $9,500,000 of transaction costs, $20,000,000 of relocation, severance, and other termination benefits, $13,000,000 of costs related to integrating operations, and $37,500,000 of disposal of duplicative facilities. In the second quarter of 1996, the Company recognized $35,000,000 related to the merger with Western Waste Industries and $5,296,000 related to the acquisition of three other companies accounted for as poolings of interests. The $35,000,000 of merger costs related to Western Waste Industries include $6,800,000 of transaction costs, $15,000,000 of severance and other termination benefits, and $13,200,000 of costs related to integrating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 Items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third quarter of 1997, the Company recognized unusual items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$24,720,000, including estimated losses of $10,400,000 related to the closure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two transfer stations in Minnesota, $8,400,000 of estimated losses related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closure and abandonment of two landfills in Massachusetts, and $5,920,000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reserves for various terminated projects. In the third quarter of 1996, the</w:t>
      </w:r>
    </w:p>
    <w:p>
      <w:pPr>
        <w:spacing w:after="0" w:line="237" w:lineRule="auto"/>
        <w:rPr>
          <w:sz w:val="20"/>
          <w:szCs w:val="20"/>
          <w:color w:val="auto"/>
        </w:rPr>
      </w:pPr>
      <w:r>
        <w:rPr>
          <w:rFonts w:ascii="Courier New" w:cs="Courier New" w:eastAsia="Courier New" w:hAnsi="Courier New"/>
          <w:sz w:val="15"/>
          <w:szCs w:val="15"/>
          <w:color w:val="auto"/>
        </w:rPr>
        <w:t>Company recognized unusual items of $50,848,000, including $28,900,000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losses related to the disposition of certain non-core business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$15,000,000 of project reserves related to certain operations in Mexico,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$6,948,000 of various other terminated projects. In the second quarter of 1996,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unusual items included $4,824,000 of retirement benefits associated with Western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Industries' pre-merger retirement and severance plans and $8,128,000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future losses related to municipal solid waste contracts in California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 result of the continuing decline in prices of recyclable materials.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(Loss) from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(loss) from operations as a percentage of operating revenues was 9.8% and 18.5% for the three and nine months ended September 30, 1997, respectively, as compared to (6.2)% and 6.6% for the corresponding prior year periods. Exclusive of nonrecurring charges, income from operations was 26.7% and 25.6% as a percentage of operating revenues for the three and nine months ended September 30, 1997, as compared to 24.4% and 22.3% for the corresponding prior year periods. The improvement in recurring operations is the result of synergies and economies of scale realized by the Company as a result of recent mergers and acquisitions, increased utilization of internal disposal capacity, and improvements in comparable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Other income and expense consists of interest expense, interest income, and other income. Interest expense, gross of amounts capitalized, increased due to an increase in the Company's outstanding indebtedness. Interest capitalized for the three and nine</w:t>
      </w:r>
    </w:p>
    <w:p>
      <w:pPr>
        <w:sectPr>
          <w:pgSz w:w="11900" w:h="16838" w:orient="portrait"/>
          <w:cols w:equalWidth="0" w:num="1">
            <w:col w:w="10239"/>
          </w:cols>
          <w:pgMar w:left="220" w:top="281"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months ended September 30, 1997, was $6,145,000 and $17,772,000, respectively, as compared to $5,490,000 and $14,429,000 for the corresponding prior year periods. The increase in other income for the nine months ended September 30, 1997, as compared to the corresponding period of the prior year, primarily relates to the realization of a portion of the deferred gain recorded in connection with the 1996 sale of certain nonhazardous oilfield waste disposal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(Benefit From) Income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provision for (benefit from) income taxes increased $34,693,000 and $90,009,000 for the three and nine months ended September 30, 1997, respectively, as compared to the corresponding prior year periods. The difference in federal income taxes at the statutory rate and the provision for (benefit from) income taxes for the three and nine months ended September 30, 1997 and 1996, is primarily due to non-deductible merger costs and state and local income taxes.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(Loss) Before Extraordinary Item</w:t>
      </w:r>
    </w:p>
    <w:p>
      <w:pPr>
        <w:spacing w:after="0" w:line="17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For reasons discussed above, income (loss) before extraordinary item increased $87,359,000 and $249,482,000 during the three and nine months ended September 30, 1997, respectively, as compared to the corresponding prior year periods.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Extraordinary Item</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third quarter of 1997, the Company recorded extraordinary losses related to the early retirement of the two privately placed senior note issuances of approximately $9,286,000 comprised of prepayment penalties of approximately $7,975,000 and unamortized deferred offering costs of approximately $1,311,000. Additionally, during the third quarter of 1997, the Company recorded extraordinary losses of approximately $1,206,000 primarily related to the write-off of the unamortized deferred financing costs related to the United credit facility which was retired upon consummation of the United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173" w:lineRule="exact"/>
        <w:rPr>
          <w:sz w:val="20"/>
          <w:szCs w:val="20"/>
          <w:color w:val="auto"/>
        </w:rPr>
      </w:pPr>
    </w:p>
    <w:p>
      <w:pPr>
        <w:jc w:val="both"/>
        <w:ind w:right="3939"/>
        <w:spacing w:after="0" w:line="258" w:lineRule="auto"/>
        <w:rPr>
          <w:sz w:val="20"/>
          <w:szCs w:val="20"/>
          <w:color w:val="auto"/>
        </w:rPr>
      </w:pPr>
      <w:r>
        <w:rPr>
          <w:rFonts w:ascii="Courier New" w:cs="Courier New" w:eastAsia="Courier New" w:hAnsi="Courier New"/>
          <w:sz w:val="14"/>
          <w:szCs w:val="14"/>
          <w:color w:val="auto"/>
        </w:rPr>
        <w:t>For reasons discussed above, net income (loss) increased $46,373,000 and $153,180,000 during the three and nine months ended September 30, 1997, respectively, as compared to the corresponding prior year periods.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September 30, 1997, the Company had working capital of $160,894,000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current assets to current liabilities of 1.29:1) and a cash balance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$63,249,000, which compares to working capital of $31,842,000 (a ratio of</w:t>
      </w:r>
    </w:p>
    <w:p>
      <w:pPr>
        <w:spacing w:after="0" w:line="237" w:lineRule="auto"/>
        <w:rPr>
          <w:sz w:val="20"/>
          <w:szCs w:val="20"/>
          <w:color w:val="auto"/>
        </w:rPr>
      </w:pPr>
      <w:r>
        <w:rPr>
          <w:rFonts w:ascii="Courier New" w:cs="Courier New" w:eastAsia="Courier New" w:hAnsi="Courier New"/>
          <w:sz w:val="15"/>
          <w:szCs w:val="15"/>
          <w:color w:val="auto"/>
        </w:rPr>
        <w:t>current assets to current liabilities of 1.08:1) and a cash balance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$26,079,000 as of December 31, 1996. For the first nine months of 1997, net cash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operating activities was approximately $191,164,000 and net cash from</w:t>
      </w:r>
    </w:p>
    <w:p>
      <w:pPr>
        <w:spacing w:after="0" w:line="237" w:lineRule="auto"/>
        <w:rPr>
          <w:sz w:val="20"/>
          <w:szCs w:val="20"/>
          <w:color w:val="auto"/>
        </w:rPr>
      </w:pPr>
      <w:r>
        <w:rPr>
          <w:rFonts w:ascii="Courier New" w:cs="Courier New" w:eastAsia="Courier New" w:hAnsi="Courier New"/>
          <w:sz w:val="15"/>
          <w:szCs w:val="15"/>
          <w:color w:val="auto"/>
        </w:rPr>
        <w:t>financing activities was approximately $1,370,645,000. These funds were used</w:t>
      </w:r>
    </w:p>
    <w:p>
      <w:pPr>
        <w:spacing w:after="0" w:line="238" w:lineRule="auto"/>
        <w:rPr>
          <w:sz w:val="20"/>
          <w:szCs w:val="20"/>
          <w:color w:val="auto"/>
        </w:rPr>
      </w:pPr>
      <w:r>
        <w:rPr>
          <w:rFonts w:ascii="Courier New" w:cs="Courier New" w:eastAsia="Courier New" w:hAnsi="Courier New"/>
          <w:sz w:val="15"/>
          <w:szCs w:val="15"/>
          <w:color w:val="auto"/>
        </w:rPr>
        <w:t>primarily to fund investments in other businesses of $1,339,392,000 and for</w:t>
      </w:r>
    </w:p>
    <w:p>
      <w:pPr>
        <w:spacing w:after="0" w:line="237" w:lineRule="auto"/>
        <w:rPr>
          <w:sz w:val="20"/>
          <w:szCs w:val="20"/>
          <w:color w:val="auto"/>
        </w:rPr>
      </w:pPr>
      <w:r>
        <w:rPr>
          <w:rFonts w:ascii="Courier New" w:cs="Courier New" w:eastAsia="Courier New" w:hAnsi="Courier New"/>
          <w:sz w:val="15"/>
          <w:szCs w:val="15"/>
          <w:color w:val="auto"/>
        </w:rPr>
        <w:t>capital expenditures of approximately $274,889,000.</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Company's capital expenditure and working capital requirements have increased reflecting the Company's business strategy of growth through acquisitions and development projects. The Company intends to finance the remainder of its 1997 capital expenditures through internally generated cash flow and amounts available under its revolving credit facility.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1996, the Company had borrowed $637,000,000 and had letters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issued of $277,994,000 under its $1,200,000,000 senior revolving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credit facility was used to refinance existing bank loans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letters of credit and to fund additional acquisitions and working capital.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was available for standby letters of credit of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$400,000,000. Loans under the credit facility bore interest at a rate based 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Eurodollar rate plus a spread not to exceed 0.75% per annum (spread set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0.30% per annum, or an applicable interest rate of 5.87% per annum at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1996). The credit facility required a facility fee not to exceed 0.375%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on the entire available credit facility (facility fee set at 0.15%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annum at December 31, 1996). The credit facility contained financial covenants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respect to interest</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coverage and debt capitalization ratios. The credit facility also contained</w:t>
      </w:r>
    </w:p>
    <w:p>
      <w:pPr>
        <w:spacing w:after="0" w:line="238" w:lineRule="auto"/>
        <w:rPr>
          <w:sz w:val="20"/>
          <w:szCs w:val="20"/>
          <w:color w:val="auto"/>
        </w:rPr>
      </w:pPr>
      <w:r>
        <w:rPr>
          <w:rFonts w:ascii="Courier New" w:cs="Courier New" w:eastAsia="Courier New" w:hAnsi="Courier New"/>
          <w:sz w:val="15"/>
          <w:szCs w:val="15"/>
          <w:color w:val="auto"/>
        </w:rPr>
        <w:t>limitations on dividends, additional indebtedness, liens, and asset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reductions were not required during the five-year term of the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On March 5, 1997, the credit facility was replaced with a</w:t>
      </w:r>
    </w:p>
    <w:p>
      <w:pPr>
        <w:spacing w:after="0" w:line="237" w:lineRule="auto"/>
        <w:rPr>
          <w:sz w:val="20"/>
          <w:szCs w:val="20"/>
          <w:color w:val="auto"/>
        </w:rPr>
      </w:pPr>
      <w:r>
        <w:rPr>
          <w:rFonts w:ascii="Courier New" w:cs="Courier New" w:eastAsia="Courier New" w:hAnsi="Courier New"/>
          <w:sz w:val="15"/>
          <w:szCs w:val="15"/>
          <w:color w:val="auto"/>
        </w:rPr>
        <w:t>$1,600,000,000 senior revolving credit facility with the same general terms,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and limitations, which was available for standby letters of credit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$500,000,000. On August 7, 1997, the credit facility was again replaced</w:t>
      </w:r>
    </w:p>
    <w:p>
      <w:pPr>
        <w:spacing w:after="0" w:line="237" w:lineRule="auto"/>
        <w:rPr>
          <w:sz w:val="20"/>
          <w:szCs w:val="20"/>
          <w:color w:val="auto"/>
        </w:rPr>
      </w:pPr>
      <w:r>
        <w:rPr>
          <w:rFonts w:ascii="Courier New" w:cs="Courier New" w:eastAsia="Courier New" w:hAnsi="Courier New"/>
          <w:sz w:val="15"/>
          <w:szCs w:val="15"/>
          <w:color w:val="auto"/>
        </w:rPr>
        <w:t>with a $2,000,000,000 senior revolving credit facility with the same general</w:t>
      </w:r>
    </w:p>
    <w:p>
      <w:pPr>
        <w:spacing w:after="0" w:line="238" w:lineRule="auto"/>
        <w:rPr>
          <w:sz w:val="20"/>
          <w:szCs w:val="20"/>
          <w:color w:val="auto"/>
        </w:rPr>
      </w:pPr>
      <w:r>
        <w:rPr>
          <w:rFonts w:ascii="Courier New" w:cs="Courier New" w:eastAsia="Courier New" w:hAnsi="Courier New"/>
          <w:sz w:val="15"/>
          <w:szCs w:val="15"/>
          <w:color w:val="auto"/>
        </w:rPr>
        <w:t>items, covenants, and limitations, which is available for standby letters of</w:t>
      </w:r>
    </w:p>
    <w:p>
      <w:pPr>
        <w:spacing w:after="0" w:line="237" w:lineRule="auto"/>
        <w:rPr>
          <w:sz w:val="20"/>
          <w:szCs w:val="20"/>
          <w:color w:val="auto"/>
        </w:rPr>
      </w:pPr>
      <w:r>
        <w:rPr>
          <w:rFonts w:ascii="Courier New" w:cs="Courier New" w:eastAsia="Courier New" w:hAnsi="Courier New"/>
          <w:sz w:val="15"/>
          <w:szCs w:val="15"/>
          <w:color w:val="auto"/>
        </w:rPr>
        <w:t>credit up to $650,000,000. At September 30, 1997, the Company had borrowed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$705,000,000 and had letters of credit of $462,291,000 under its $2,000,000,000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revolving credit facility. The applicable interest rate and facility fee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September 30, 1997, was 5.975% per annum and 0.1125% per annum, respectively.</w:t>
      </w:r>
    </w:p>
    <w:p>
      <w:pPr>
        <w:spacing w:after="0" w:line="178"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("Convertible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par, plus accrued interest. Deferred offering costs of approximately $14,000,000 were incurred and are being amortized ratably over the life of the notes. The proceeds were primarily used to repay debt under the Company's credit facility and for general corporate purposes.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February 7, 1997, concurrent with the Convertible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March 3, 1997, United completed a public offering in which it issued 3,450,000 shares of its common stock, priced at $36.50 per share (equivalent to 3,708,750 shares of the Company's common stock, priced at $33.95 per share). The net proceeds of approximately $119,000,000 were primarily used to repay approximately $47,000,000 of debt under United's credit facility and for general corporate purposes.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August and September 1997, the Company prepaid the holders of the two privately placed senior note issuances with proceeds from its senior revolving credit facility. Interest on these privately placed senior notes ranged from 7.29% to 8.44%. Accordingly, the Company recorded extraordinary losses of approximately $9,286,000 related to this transaction comprised of prepayment penalties of approximately $7,975,000 and unamortized deferred offering costs of approximately $1,311,000. Additionally, upon consummation of the United Merger, the Company retired amounts under United's credit facility, and accordingly, recorded extraordinary losses to write-off the related unamortized deferred financing costs.</w:t>
      </w:r>
    </w:p>
    <w:p>
      <w:pPr>
        <w:spacing w:after="0" w:line="179"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September 12, 1997, the Company issued $300,000,000 of 7% senior notes, due on October 1, 2004, and $300,000,000 of 7.125% senior notes, due on October 1, 2007 (the "Senior Notes"). The Senior Notes constitute senior and unsecured obligations of the Company, ranking equal in right of payment with all other senior and unsecured obligations of the Company, as defined. The Senior Notes are redeemable at the option of the Company at any time and from time to time at par, plus accrued interest. Deferred offering costs of approximately $4,125,000 were incurred and are being amortized ratably over the life of the Senior Notes. The proceeds were used to repay debt under the Company's revolving credit facility. In anticipation of this debt offering, the Company entered into interest rate locks on July 25, 1997, with various institutions as a hedging transaction to cover the future issuance of $600,000,000 of debt. The gain realized from this hedging transaction of approximately $5,632,000 will be amortized over the life of the Senior Notes using the effective interest method and has the effect of reducing the all-inclusive interest rate to 6.90% on the 7% senior notes, due on October 1, 2004, and 7.06% on the 7.125% senior notes, due on October 1, 2007.</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August 4, 1997, the Company filed a shelf registration statement with the Securities and Exchange Commission to provide for the issuance of up to 20,000,000 shares of the Company's common stock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w:t>
      </w:r>
    </w:p>
    <w:p>
      <w:pPr>
        <w:sectPr>
          <w:pgSz w:w="11900" w:h="16838" w:orient="portrait"/>
          <w:cols w:equalWidth="0" w:num="1">
            <w:col w:w="10239"/>
          </w:cols>
          <w:pgMar w:left="220" w:top="281" w:right="1440" w:bottom="685"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685"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warrants, options, convertible notes, or other similar instruments issued by the Company from time to time in connection with any such acquisitions. As of November 7, 1997, the Company had approximately 19,487,000 shares of its common stock available for future offerings and issuances under this shelf registration.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and fourth quarter results of operations. This is primarily attributable to the fact that (i) the volume of waste relating to construction and demolition activities tends to increase in the spring and summer months and (ii) the volume of industrial and residential waste in certain regions where the Company operates tends to decrease during the winter months.</w:t>
      </w:r>
    </w:p>
    <w:p>
      <w:pPr>
        <w:spacing w:after="0" w:line="176"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a party to various litigation matters arising in the ordinary course of business. Management believes that the ultimate resolution of these matters will not have a material adverse effect to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At the Company's Annual Meeting of Stockholders held on August 26, 1997, a proposal to elect the nominees listed in the following table as directors of the Company was submitted to a vote of the Company's stockholders. The following table also shows the results of voting as to each nominee: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NOMINEE</w:t>
            </w:r>
          </w:p>
        </w:tc>
        <w:tc>
          <w:tcPr>
            <w:tcW w:w="2320" w:type="dxa"/>
            <w:vAlign w:val="bottom"/>
          </w:tcPr>
          <w:p>
            <w:pPr>
              <w:ind w:left="920"/>
              <w:spacing w:after="0"/>
              <w:rPr>
                <w:sz w:val="20"/>
                <w:szCs w:val="20"/>
                <w:color w:val="auto"/>
              </w:rPr>
            </w:pPr>
            <w:r>
              <w:rPr>
                <w:rFonts w:ascii="Courier New" w:cs="Courier New" w:eastAsia="Courier New" w:hAnsi="Courier New"/>
                <w:sz w:val="15"/>
                <w:szCs w:val="15"/>
                <w:color w:val="auto"/>
              </w:rPr>
              <w:t>VOTES FOR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VOTES WITHHELD</w:t>
            </w:r>
          </w:p>
        </w:tc>
      </w:tr>
      <w:tr>
        <w:trPr>
          <w:trHeight w:val="168"/>
        </w:trPr>
        <w:tc>
          <w:tcPr>
            <w:tcW w:w="2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0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23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125,752,212</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rPr>
              <w:t>1,323,737</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E. Moffett</w:t>
            </w:r>
          </w:p>
        </w:tc>
        <w:tc>
          <w:tcPr>
            <w:tcW w:w="23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125,860,069</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1,215,880</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G. Rangos, Sr.</w:t>
            </w:r>
          </w:p>
        </w:tc>
        <w:tc>
          <w:tcPr>
            <w:tcW w:w="23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125,601,860</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1,474,089</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Jerome B. York</w:t>
            </w:r>
          </w:p>
        </w:tc>
        <w:tc>
          <w:tcPr>
            <w:tcW w:w="23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125,696,072</w:t>
            </w:r>
          </w:p>
        </w:tc>
        <w:tc>
          <w:tcPr>
            <w:tcW w:w="17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1,379,877</w:t>
            </w:r>
          </w:p>
        </w:tc>
      </w:tr>
    </w:tbl>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At the same meeting, proposals to (i) approve and adopt an Agreement and Plan of Merger dated as of April 13, 1997, by and among the Company, Riviera Acquisition Corp. and United Waste Systems, Inc., (ii) approve and adopt the USA Waste Services, Inc. 1997 Employee Stock Purchase Plan, (iii) approve an amendment to the Restated Certificate of Incorporation of the Company to increase the number of authorized shares of the Company from 300,000,000 to 500,000,000, and (iv) ratify the appointment of Coopers &amp; Lybrand L.L.P. as independent accountants for the ensuing year were submitted to a vote of the Company's stockholders. All proposals were adopted by the stockholders. The voting was as follows: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VOTES</w:t>
            </w:r>
          </w:p>
        </w:tc>
        <w:tc>
          <w:tcPr>
            <w:tcW w:w="13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BROKER</w:t>
            </w:r>
          </w:p>
        </w:tc>
      </w:tr>
      <w:tr>
        <w:trPr>
          <w:trHeight w:val="168"/>
        </w:trPr>
        <w:tc>
          <w:tcPr>
            <w:tcW w:w="4300" w:type="dxa"/>
            <w:vAlign w:val="bottom"/>
          </w:tcPr>
          <w:p>
            <w:pPr>
              <w:spacing w:after="0"/>
              <w:rPr>
                <w:sz w:val="14"/>
                <w:szCs w:val="14"/>
                <w:color w:val="auto"/>
              </w:rPr>
            </w:pPr>
          </w:p>
        </w:tc>
        <w:tc>
          <w:tcPr>
            <w:tcW w:w="1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VOTES FOR</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AGAINST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ABSTENTIONS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NON-VOTES</w:t>
            </w:r>
          </w:p>
        </w:tc>
      </w:tr>
      <w:tr>
        <w:trPr>
          <w:trHeight w:val="168"/>
        </w:trPr>
        <w:tc>
          <w:tcPr>
            <w:tcW w:w="4300" w:type="dxa"/>
            <w:vAlign w:val="bottom"/>
          </w:tcPr>
          <w:p>
            <w:pPr>
              <w:spacing w:after="0"/>
              <w:rPr>
                <w:sz w:val="14"/>
                <w:szCs w:val="14"/>
                <w:color w:val="auto"/>
              </w:rPr>
            </w:pPr>
          </w:p>
        </w:tc>
        <w:tc>
          <w:tcPr>
            <w:tcW w:w="16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0"/>
                <w:szCs w:val="20"/>
                <w:color w:val="auto"/>
              </w:rPr>
            </w:pPr>
            <w:r>
              <w:rPr>
                <w:rFonts w:ascii="Courier New" w:cs="Courier New" w:eastAsia="Courier New" w:hAnsi="Courier New"/>
                <w:sz w:val="15"/>
                <w:szCs w:val="15"/>
                <w:color w:val="auto"/>
              </w:rPr>
              <w:t>United Merger</w:t>
            </w:r>
          </w:p>
        </w:tc>
        <w:tc>
          <w:tcPr>
            <w:tcW w:w="16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112,189,663</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92,664</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228,053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14,565,569</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1997 Employee Stock Purchase Plan</w:t>
            </w:r>
          </w:p>
        </w:tc>
        <w:tc>
          <w:tcPr>
            <w:tcW w:w="16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126,038,501</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756,409</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281,039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Restated Certificate of Incorporation Amendment</w:t>
            </w:r>
          </w:p>
        </w:tc>
        <w:tc>
          <w:tcPr>
            <w:tcW w:w="16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111,656,537</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911,880</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142,554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14,364,978</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Ratification of Independent Accountants</w:t>
            </w:r>
          </w:p>
        </w:tc>
        <w:tc>
          <w:tcPr>
            <w:tcW w:w="16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126,770,581</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58,752</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246,616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exhibits to this report are listed in the Exhibit Index included elsewhere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A report on Form 8-K (Amendment No. 2) dated March 12, 1997, was filed July 23, 1997, to amend the Company's previously filed Form 8-K regarding its acquisition of the Canadian solid waste subsidiaries of Allied Waste Industries, Inc.</w:t>
      </w:r>
    </w:p>
    <w:p>
      <w:pPr>
        <w:spacing w:after="0" w:line="16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 report on Form 8-K dated August 26, 1997, was filed September 3, 1997, to report the consummation of the Company's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merger with United Waste Systems, Inc. and to file the historical financial statements of United Waste Systems, Inc. and the required pro forma financial information.</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 report on Form 8-K dated September 10, 1997, was filed September 24, 1997, to report the Company's sale of $300,000,000 of 7% Senior Notes due 2004, and $300,000,000 of 7.125% Senior Notes due 2007, in an underwritten public offering.</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USA WASTE SERVICES, INC.</w:t>
      </w:r>
    </w:p>
    <w:p>
      <w:pPr>
        <w:ind w:left="368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14,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Earl E. DeFrates,</w:t>
      </w:r>
    </w:p>
    <w:p>
      <w:pPr>
        <w:spacing w:after="0" w:line="237" w:lineRule="auto"/>
        <w:rPr>
          <w:sz w:val="20"/>
          <w:szCs w:val="20"/>
          <w:color w:val="auto"/>
        </w:rPr>
      </w:pPr>
      <w:r>
        <w:rPr>
          <w:rFonts w:ascii="Courier New" w:cs="Courier New" w:eastAsia="Courier New" w:hAnsi="Courier New"/>
          <w:sz w:val="15"/>
          <w:szCs w:val="15"/>
          <w:color w:val="auto"/>
        </w:rPr>
        <w:t>Executive Vice President and</w:t>
      </w:r>
    </w:p>
    <w:p>
      <w:pPr>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167" w:lineRule="exact"/>
        <w:rPr>
          <w:sz w:val="20"/>
          <w:szCs w:val="20"/>
          <w:color w:val="auto"/>
        </w:rPr>
      </w:pPr>
    </w:p>
    <w:p>
      <w:pPr>
        <w:sectPr>
          <w:pgSz w:w="11900" w:h="16838" w:orient="portrait"/>
          <w:cols w:equalWidth="0" w:num="2">
            <w:col w:w="2960" w:space="720"/>
            <w:col w:w="65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November 14,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Bruce E. Snyder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E. Snyder,</w:t>
      </w:r>
    </w:p>
    <w:p>
      <w:pPr>
        <w:spacing w:after="0" w:line="237" w:lineRule="auto"/>
        <w:rPr>
          <w:sz w:val="20"/>
          <w:szCs w:val="20"/>
          <w:color w:val="auto"/>
        </w:rPr>
      </w:pPr>
      <w:r>
        <w:rPr>
          <w:rFonts w:ascii="Courier New" w:cs="Courier New" w:eastAsia="Courier New" w:hAnsi="Courier New"/>
          <w:sz w:val="15"/>
          <w:szCs w:val="15"/>
          <w:color w:val="auto"/>
        </w:rPr>
        <w:t>Vice President and</w:t>
      </w:r>
    </w:p>
    <w:p>
      <w:pPr>
        <w:spacing w:after="0" w:line="238" w:lineRule="auto"/>
        <w:rPr>
          <w:sz w:val="20"/>
          <w:szCs w:val="20"/>
          <w:color w:val="auto"/>
        </w:rPr>
      </w:pPr>
      <w:r>
        <w:rPr>
          <w:rFonts w:ascii="Courier New" w:cs="Courier New" w:eastAsia="Courier New" w:hAnsi="Courier New"/>
          <w:sz w:val="15"/>
          <w:szCs w:val="15"/>
          <w:color w:val="auto"/>
        </w:rPr>
        <w:t>Chief Accounting Officer</w:t>
      </w:r>
    </w:p>
    <w:p>
      <w:pPr>
        <w:spacing w:after="0" w:line="237" w:lineRule="auto"/>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ectPr>
          <w:pgSz w:w="11900" w:h="16838" w:orient="portrait"/>
          <w:cols w:equalWidth="0" w:num="2">
            <w:col w:w="2960" w:space="720"/>
            <w:col w:w="655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and Description of Exhibit (*)</w:t>
      </w:r>
    </w:p>
    <w:p>
      <w:pPr>
        <w:spacing w:after="0" w:line="335" w:lineRule="exact"/>
        <w:rPr>
          <w:sz w:val="20"/>
          <w:szCs w:val="20"/>
          <w:color w:val="auto"/>
        </w:rPr>
      </w:pPr>
    </w:p>
    <w:p>
      <w:pPr>
        <w:ind w:left="2380" w:hanging="1408"/>
        <w:spacing w:after="0"/>
        <w:tabs>
          <w:tab w:leader="none" w:pos="2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86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w w:val="98"/>
              </w:rPr>
              <w:t>Amendment</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to Registrant's Restated Certificate of Incorporation</w:t>
            </w:r>
          </w:p>
        </w:tc>
      </w:tr>
      <w:tr>
        <w:trPr>
          <w:trHeight w:val="336"/>
        </w:trPr>
        <w:tc>
          <w:tcPr>
            <w:tcW w:w="86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w w:val="98"/>
              </w:rPr>
              <w:t>Conformed</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w w:val="96"/>
              </w:rPr>
              <w:t>Copy of Registrant's Restated Certificate of Incorporation</w:t>
            </w:r>
          </w:p>
        </w:tc>
      </w:tr>
    </w:tbl>
    <w:p>
      <w:pPr>
        <w:spacing w:after="0" w:line="166" w:lineRule="exact"/>
        <w:rPr>
          <w:sz w:val="20"/>
          <w:szCs w:val="20"/>
          <w:color w:val="auto"/>
        </w:rPr>
      </w:pPr>
    </w:p>
    <w:p>
      <w:pPr>
        <w:ind w:left="2380" w:hanging="1408"/>
        <w:spacing w:after="0"/>
        <w:tabs>
          <w:tab w:leader="none" w:pos="23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2380" w:hanging="1408"/>
        <w:spacing w:after="0"/>
        <w:tabs>
          <w:tab w:leader="none" w:pos="23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rFonts w:ascii="Courier New" w:cs="Courier New" w:eastAsia="Courier New" w:hAnsi="Courier New"/>
          <w:sz w:val="15"/>
          <w:szCs w:val="15"/>
          <w:color w:val="auto"/>
        </w:rPr>
      </w:pPr>
    </w:p>
    <w:p>
      <w:pPr>
        <w:ind w:left="2380" w:hanging="1408"/>
        <w:spacing w:after="0"/>
        <w:tabs>
          <w:tab w:leader="none" w:pos="23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(Loss) Per Common Share</w:t>
      </w:r>
    </w:p>
    <w:p>
      <w:pPr>
        <w:spacing w:after="0" w:line="166" w:lineRule="exact"/>
        <w:rPr>
          <w:rFonts w:ascii="Courier New" w:cs="Courier New" w:eastAsia="Courier New" w:hAnsi="Courier New"/>
          <w:sz w:val="15"/>
          <w:szCs w:val="15"/>
          <w:color w:val="auto"/>
        </w:rPr>
      </w:pPr>
    </w:p>
    <w:p>
      <w:pPr>
        <w:ind w:left="2380" w:hanging="1408"/>
        <w:spacing w:after="0"/>
        <w:tabs>
          <w:tab w:leader="none" w:pos="23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200" w:lineRule="exact"/>
        <w:rPr>
          <w:sz w:val="20"/>
          <w:szCs w:val="20"/>
          <w:color w:val="auto"/>
        </w:rPr>
      </w:pPr>
    </w:p>
    <w:p>
      <w:pPr>
        <w:spacing w:after="0" w:line="303" w:lineRule="exact"/>
        <w:rPr>
          <w:sz w:val="20"/>
          <w:szCs w:val="20"/>
          <w:color w:val="auto"/>
        </w:rPr>
      </w:pPr>
    </w:p>
    <w:p>
      <w:pPr>
        <w:ind w:left="2380" w:hanging="1408"/>
        <w:spacing w:after="0"/>
        <w:tabs>
          <w:tab w:leader="none" w:pos="23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rFonts w:ascii="Courier New" w:cs="Courier New" w:eastAsia="Courier New" w:hAnsi="Courier New"/>
          <w:sz w:val="15"/>
          <w:szCs w:val="15"/>
          <w:color w:val="auto"/>
        </w:rPr>
      </w:pPr>
    </w:p>
    <w:p>
      <w:pPr>
        <w:ind w:left="2380" w:hanging="1408"/>
        <w:spacing w:after="0"/>
        <w:tabs>
          <w:tab w:leader="none" w:pos="23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2380" w:hanging="1408"/>
        <w:spacing w:after="0"/>
        <w:tabs>
          <w:tab w:leader="none" w:pos="23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rFonts w:ascii="Courier New" w:cs="Courier New" w:eastAsia="Courier New" w:hAnsi="Courier New"/>
          <w:sz w:val="15"/>
          <w:szCs w:val="15"/>
          <w:color w:val="auto"/>
        </w:rPr>
      </w:pPr>
    </w:p>
    <w:p>
      <w:pPr>
        <w:ind w:left="2380" w:hanging="1408"/>
        <w:spacing w:after="0"/>
        <w:tabs>
          <w:tab w:leader="none" w:pos="23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166" w:lineRule="exact"/>
        <w:rPr>
          <w:rFonts w:ascii="Courier New" w:cs="Courier New" w:eastAsia="Courier New" w:hAnsi="Courier New"/>
          <w:sz w:val="15"/>
          <w:szCs w:val="15"/>
          <w:color w:val="auto"/>
        </w:rPr>
      </w:pPr>
    </w:p>
    <w:p>
      <w:pPr>
        <w:ind w:left="2380" w:hanging="1408"/>
        <w:spacing w:after="0"/>
        <w:tabs>
          <w:tab w:leader="none" w:pos="23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03" w:lineRule="exact"/>
        <w:rPr>
          <w:sz w:val="20"/>
          <w:szCs w:val="20"/>
          <w:color w:val="auto"/>
        </w:rPr>
      </w:pPr>
    </w:p>
    <w:p>
      <w:pPr>
        <w:ind w:left="2380" w:hanging="1408"/>
        <w:spacing w:after="0"/>
        <w:tabs>
          <w:tab w:leader="none" w:pos="238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33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Exhibits not listed are inapplicable.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3(a)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CERTIFICATE OF AMENDMENT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RESTATED CERTIFICATE OF INCORPORATION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USA WASTE SERVICES, INC.</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USA WASTE SERVICES, INC., a corporation organized and existing under and by virtue of the General Corporation Law of the State of Delaware (the "Company"), DOES HEREBY CERTIFY:</w:t>
      </w:r>
    </w:p>
    <w:p>
      <w:pPr>
        <w:spacing w:after="0" w:line="174" w:lineRule="exact"/>
        <w:rPr>
          <w:sz w:val="20"/>
          <w:szCs w:val="20"/>
          <w:color w:val="auto"/>
        </w:rPr>
      </w:pPr>
    </w:p>
    <w:p>
      <w:pPr>
        <w:jc w:val="both"/>
        <w:ind w:right="3679" w:firstLine="447"/>
        <w:spacing w:after="0" w:line="258" w:lineRule="auto"/>
        <w:tabs>
          <w:tab w:leader="none" w:pos="7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Board of Directors of the Company has approved resolutions recommending to the stockholders of the Company that the Company's Restated Certificate of Incorporation be amended in the following respect:</w:t>
      </w:r>
    </w:p>
    <w:p>
      <w:pPr>
        <w:spacing w:after="0" w:line="161"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That the first sentence of Article Fourth of the Company's Restated Certificate of Incorporation be deleted in its entirety, and the following be inserted in its place:</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Fourth: The total number of shares of capital stock which the Corporation shall have authority to issue is five hundred ten million (510,000,000), divided into five hundred million (500,000,000) shares of Common Stock of the par value of one cent ($0.01) per share and ten million (10,000,000) shares of Preferred Stock of the par value of one cent ($0.01) per share."</w:t>
      </w:r>
    </w:p>
    <w:p>
      <w:pPr>
        <w:spacing w:after="0" w:line="175" w:lineRule="exact"/>
        <w:rPr>
          <w:sz w:val="20"/>
          <w:szCs w:val="20"/>
          <w:color w:val="auto"/>
        </w:rPr>
      </w:pPr>
    </w:p>
    <w:p>
      <w:pPr>
        <w:ind w:right="3239" w:firstLine="447"/>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said resolutions were duly approved by the stockholders of the Company at the 1997 annual meeting of the stockholders of the Company, notice of which was given in accordance with the provisions of Section 222 of the General Corporation Law of the State of Delaware.</w:t>
      </w:r>
    </w:p>
    <w:p>
      <w:pPr>
        <w:spacing w:after="0" w:line="175" w:lineRule="exact"/>
        <w:rPr>
          <w:rFonts w:ascii="Courier New" w:cs="Courier New" w:eastAsia="Courier New" w:hAnsi="Courier New"/>
          <w:sz w:val="15"/>
          <w:szCs w:val="15"/>
          <w:color w:val="auto"/>
        </w:rPr>
      </w:pPr>
    </w:p>
    <w:p>
      <w:pPr>
        <w:ind w:right="3839" w:firstLine="447"/>
        <w:spacing w:after="0" w:line="235"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amendment to the Company's Restated Certificate of Incorporation has been duly adopted in accordance with Section 242 of the General Corporation Law of the State of Delaware.</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WITNESS WHEREOF, this Certificate of Amendment of the Company's Restated Certificate of Incorporation has been executed as of this 26th day of August, 1997.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 /s/ GREGORY T. SANGALIS</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Gregory T. Sangalis</w:t>
      </w:r>
    </w:p>
    <w:p>
      <w:pPr>
        <w:ind w:left="3780"/>
        <w:spacing w:after="0" w:line="237" w:lineRule="auto"/>
        <w:rPr>
          <w:sz w:val="20"/>
          <w:szCs w:val="20"/>
          <w:color w:val="auto"/>
        </w:rPr>
      </w:pPr>
      <w:r>
        <w:rPr>
          <w:rFonts w:ascii="Courier New" w:cs="Courier New" w:eastAsia="Courier New" w:hAnsi="Courier New"/>
          <w:sz w:val="15"/>
          <w:szCs w:val="15"/>
          <w:color w:val="auto"/>
        </w:rPr>
        <w:t>Vice President and Secretary</w:t>
      </w:r>
    </w:p>
    <w:p>
      <w:pPr>
        <w:spacing w:after="0" w:line="238" w:lineRule="auto"/>
        <w:rPr>
          <w:sz w:val="20"/>
          <w:szCs w:val="20"/>
          <w:color w:val="auto"/>
        </w:rPr>
      </w:pPr>
      <w:r>
        <w:rPr>
          <w:rFonts w:ascii="Courier New" w:cs="Courier New" w:eastAsia="Courier New" w:hAnsi="Courier New"/>
          <w:sz w:val="15"/>
          <w:szCs w:val="15"/>
          <w:color w:val="auto"/>
        </w:rPr>
        <w:t>ATTEST: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BRYAN J. BLANKFIELD</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Bryan J. Blankfield</w:t>
      </w:r>
    </w:p>
    <w:p>
      <w:pPr>
        <w:ind w:left="360"/>
        <w:spacing w:after="0" w:line="237" w:lineRule="auto"/>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1">
            <w:col w:w="10239"/>
          </w:cols>
          <w:pgMar w:left="220" w:top="135"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3(b)</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RESTATED CERTIFICATE OF INCORPORATION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USA WASTE SERVICES,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(Conformed Copy - As Amended As Of August 26, 1997)</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original Certificate of Incorporation of USA Waste Services, Inc. was filed with the Secretary of State of the State of Delaware on April 28, 1995. The original Certificate of Incorporation is hereby amended and restated pursuant to 8 De1. C. s.245 to read in its entirety as follows: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The name of the Corporation is USA Waste Services,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Third: The nature of the business, objects and purposes to be transacted, promoted or carried on by the Corporation is:</w:t>
      </w:r>
    </w:p>
    <w:p>
      <w:pPr>
        <w:spacing w:after="0" w:line="173" w:lineRule="exact"/>
        <w:rPr>
          <w:sz w:val="20"/>
          <w:szCs w:val="20"/>
          <w:color w:val="auto"/>
        </w:rPr>
      </w:pPr>
    </w:p>
    <w:p>
      <w:pPr>
        <w:ind w:left="440" w:right="3939" w:firstLine="437"/>
        <w:spacing w:after="0" w:line="234" w:lineRule="auto"/>
        <w:rPr>
          <w:sz w:val="20"/>
          <w:szCs w:val="20"/>
          <w:color w:val="auto"/>
        </w:rPr>
      </w:pPr>
      <w:r>
        <w:rPr>
          <w:rFonts w:ascii="Courier New" w:cs="Courier New" w:eastAsia="Courier New" w:hAnsi="Courier New"/>
          <w:sz w:val="15"/>
          <w:szCs w:val="15"/>
          <w:color w:val="auto"/>
        </w:rPr>
        <w:t>To engage in any lawful activity for which corporations may be organized under the General Corporation Law of Delaware.</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Fourth: The total number of shares of capital stock which the Corporation shall have authority to issue is five hundred ten million (510,000,000), divided into five hundred million (500,000,000) shares of Common Stock of the par value of one cent ($0.01) per share and ten million (10,000,000) shares of Preferred Stock of the par value of one cent ($0.01) per share.</w:t>
      </w:r>
    </w:p>
    <w:p>
      <w:pPr>
        <w:spacing w:after="0" w:line="16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 No holder of Common Stock or Preferred Stock of the 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16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B. The holders of Common Stock shall have the right to one vote per share on all questions to the exclusion of all other classes of stock, except as by law expressly provided, as otherwise herein expressly provided or as contained within a certificate of designation, with respect to the holders of any other class or classes of stock.</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C. 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78" w:lineRule="exact"/>
        <w:rPr>
          <w:sz w:val="20"/>
          <w:szCs w:val="20"/>
          <w:color w:val="auto"/>
        </w:rPr>
      </w:pPr>
    </w:p>
    <w:p>
      <w:pPr>
        <w:ind w:right="3319" w:firstLine="884"/>
        <w:spacing w:after="0" w:line="234" w:lineRule="auto"/>
        <w:tabs>
          <w:tab w:leader="none" w:pos="122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constituting that series and the distinctive designation of that series;</w:t>
      </w:r>
    </w:p>
    <w:p>
      <w:pPr>
        <w:spacing w:after="0" w:line="173" w:lineRule="exact"/>
        <w:rPr>
          <w:rFonts w:ascii="Courier New" w:cs="Courier New" w:eastAsia="Courier New" w:hAnsi="Courier New"/>
          <w:sz w:val="15"/>
          <w:szCs w:val="15"/>
          <w:color w:val="auto"/>
        </w:rPr>
      </w:pPr>
    </w:p>
    <w:p>
      <w:pPr>
        <w:ind w:right="3399" w:firstLine="884"/>
        <w:spacing w:after="0" w:line="235" w:lineRule="auto"/>
        <w:tabs>
          <w:tab w:leader="none" w:pos="122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75" w:lineRule="exact"/>
        <w:rPr>
          <w:rFonts w:ascii="Courier New" w:cs="Courier New" w:eastAsia="Courier New" w:hAnsi="Courier New"/>
          <w:sz w:val="15"/>
          <w:szCs w:val="15"/>
          <w:color w:val="auto"/>
        </w:rPr>
      </w:pPr>
    </w:p>
    <w:p>
      <w:pPr>
        <w:ind w:right="3399" w:firstLine="884"/>
        <w:spacing w:after="0" w:line="261" w:lineRule="auto"/>
        <w:tabs>
          <w:tab w:leader="none" w:pos="122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that series shall have voting rights, in addition to the voting rights provided by law, and, if so, the terms of such voting rights;</w:t>
      </w:r>
    </w:p>
    <w:p>
      <w:pPr>
        <w:spacing w:after="0" w:line="159" w:lineRule="exact"/>
        <w:rPr>
          <w:rFonts w:ascii="Courier New" w:cs="Courier New" w:eastAsia="Courier New" w:hAnsi="Courier New"/>
          <w:sz w:val="14"/>
          <w:szCs w:val="14"/>
          <w:color w:val="auto"/>
        </w:rPr>
      </w:pPr>
    </w:p>
    <w:p>
      <w:pPr>
        <w:ind w:right="3319" w:firstLine="884"/>
        <w:spacing w:after="0" w:line="235" w:lineRule="auto"/>
        <w:tabs>
          <w:tab w:leader="none" w:pos="122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ectPr>
          <w:pgSz w:w="11900" w:h="16838" w:orient="portrait"/>
          <w:cols w:equalWidth="0" w:num="1">
            <w:col w:w="10239"/>
          </w:cols>
          <w:pgMar w:left="220" w:top="135"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239" w:firstLine="884"/>
        <w:spacing w:after="0" w:line="236" w:lineRule="auto"/>
        <w:tabs>
          <w:tab w:leader="none" w:pos="122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73" w:lineRule="exact"/>
        <w:rPr>
          <w:rFonts w:ascii="Courier New" w:cs="Courier New" w:eastAsia="Courier New" w:hAnsi="Courier New"/>
          <w:sz w:val="15"/>
          <w:szCs w:val="15"/>
          <w:color w:val="auto"/>
        </w:rPr>
      </w:pPr>
    </w:p>
    <w:p>
      <w:pPr>
        <w:jc w:val="both"/>
        <w:ind w:right="3399" w:firstLine="884"/>
        <w:spacing w:after="0" w:line="235" w:lineRule="auto"/>
        <w:tabs>
          <w:tab w:leader="none" w:pos="122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that series shall have a sinking fund for the redemption or purchase of shares of that series, and, if so, the terms and amount of such sinking fund;</w:t>
      </w:r>
    </w:p>
    <w:p>
      <w:pPr>
        <w:spacing w:after="0" w:line="173" w:lineRule="exact"/>
        <w:rPr>
          <w:rFonts w:ascii="Courier New" w:cs="Courier New" w:eastAsia="Courier New" w:hAnsi="Courier New"/>
          <w:sz w:val="15"/>
          <w:szCs w:val="15"/>
          <w:color w:val="auto"/>
        </w:rPr>
      </w:pPr>
    </w:p>
    <w:p>
      <w:pPr>
        <w:ind w:right="3319" w:firstLine="884"/>
        <w:spacing w:after="0" w:line="258" w:lineRule="auto"/>
        <w:tabs>
          <w:tab w:leader="none" w:pos="122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54" w:lineRule="exact"/>
        <w:rPr>
          <w:rFonts w:ascii="Courier New" w:cs="Courier New" w:eastAsia="Courier New" w:hAnsi="Courier New"/>
          <w:sz w:val="14"/>
          <w:szCs w:val="14"/>
          <w:color w:val="auto"/>
        </w:rPr>
      </w:pPr>
    </w:p>
    <w:p>
      <w:pPr>
        <w:ind w:left="1240" w:hanging="356"/>
        <w:spacing w:after="0"/>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relative rights, preferences and limitations of that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series;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or all of the foregoing terms.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D. 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78"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E. 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Fifth: The Corporation is to have perpetual existence.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Sixth: Elections of directors need not be by written ballot unless the bylaws of the Corporation shall so provide. Meetings of stockholders may be held within or without the State of Delaware, as the bylaws may provide. The books of the Corporation may be kept (subject to any provision contained in the statutes of the State of Delaware) outside the State of Delaware at such place or places as may be designated from tine to time by the Board of Directors or in the bylaws of the Corporation.</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2" w:lineRule="exact"/>
        <w:rPr>
          <w:sz w:val="20"/>
          <w:szCs w:val="20"/>
          <w:color w:val="auto"/>
        </w:rPr>
      </w:pPr>
    </w:p>
    <w:p>
      <w:pPr>
        <w:ind w:right="3239" w:firstLine="10"/>
        <w:spacing w:after="0" w:line="237" w:lineRule="auto"/>
        <w:tabs>
          <w:tab w:leader="none" w:pos="52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affect,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Eighth: This Corporation shall, to the maximum extent permitted from time to time under the law of the State of Delaware, indemnify an upon request shall advance expenses to any person who is or was a party or is threatened to be made a</w:t>
      </w:r>
    </w:p>
    <w:p>
      <w:pPr>
        <w:sectPr>
          <w:pgSz w:w="11900" w:h="16838" w:orient="portrait"/>
          <w:cols w:equalWidth="0" w:num="1">
            <w:col w:w="10239"/>
          </w:cols>
          <w:pgMar w:left="220" w:top="281" w:right="1440" w:bottom="144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un1ess the contrary shall be established.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Ninth: (A) Except as otherwise provided in is Restated Certificate of Corporation or the Bylaws of the Corporation relating to the rights of the holders of any class or series of Preferred Stock, voting separately by class or series, to elect additional directors under specified circumstances, the number of directors of the Corporation shall be as fined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78" w:lineRule="exact"/>
        <w:rPr>
          <w:sz w:val="20"/>
          <w:szCs w:val="20"/>
          <w:color w:val="auto"/>
        </w:rPr>
      </w:pPr>
    </w:p>
    <w:p>
      <w:pPr>
        <w:ind w:right="3239" w:firstLine="884"/>
        <w:spacing w:after="0" w:line="237" w:lineRule="auto"/>
        <w:tabs>
          <w:tab w:leader="none" w:pos="122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individual director of Class I shall hold office for a term expiring at the 1996 annual meeting of stockholders. Notwithstanding the foregoing provision of this Article, each director shall serve until his successor is duly elected and qualified or until his earlier death, resignation or removal. At each annual meeting of stockholders following the l996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76" w:lineRule="exact"/>
        <w:rPr>
          <w:rFonts w:ascii="Courier New" w:cs="Courier New" w:eastAsia="Courier New" w:hAnsi="Courier New"/>
          <w:sz w:val="15"/>
          <w:szCs w:val="15"/>
          <w:color w:val="auto"/>
        </w:rPr>
      </w:pPr>
    </w:p>
    <w:p>
      <w:pPr>
        <w:ind w:right="3239" w:firstLine="884"/>
        <w:spacing w:after="0" w:line="255" w:lineRule="auto"/>
        <w:tabs>
          <w:tab w:leader="none" w:pos="1224"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64" w:lineRule="exact"/>
        <w:rPr>
          <w:rFonts w:ascii="Courier New" w:cs="Courier New" w:eastAsia="Courier New" w:hAnsi="Courier New"/>
          <w:sz w:val="14"/>
          <w:szCs w:val="14"/>
          <w:color w:val="auto"/>
        </w:rPr>
      </w:pPr>
    </w:p>
    <w:p>
      <w:pPr>
        <w:ind w:right="3319" w:firstLine="884"/>
        <w:spacing w:after="0" w:line="236" w:lineRule="auto"/>
        <w:tabs>
          <w:tab w:leader="none" w:pos="122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increase or decrease in the authorized number of directors, the newly created or eliminated directorships resulting from such increase or decrease shall be appointed or determine by the Board of Directors among the three classes of directors so as to maintain such classes as nearly equal as possible. No decrease in the authorized number of directors constituting the Board of Directors shall shorten the term of any incumbent director.</w:t>
      </w:r>
    </w:p>
    <w:p>
      <w:pPr>
        <w:spacing w:after="0" w:line="169"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Vacancies in the Board of Directors however caused, and</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66" w:lineRule="exact"/>
        <w:rPr>
          <w:sz w:val="20"/>
          <w:szCs w:val="20"/>
          <w:color w:val="auto"/>
        </w:rPr>
      </w:pPr>
    </w:p>
    <w:p>
      <w:pPr>
        <w:ind w:right="3239" w:firstLine="884"/>
        <w:spacing w:after="0" w:line="236" w:lineRule="auto"/>
        <w:tabs>
          <w:tab w:leader="none" w:pos="122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ectPr>
          <w:pgSz w:w="11900" w:h="16838" w:orient="portrait"/>
          <w:cols w:equalWidth="0" w:num="1">
            <w:col w:w="10239"/>
          </w:cols>
          <w:pgMar w:left="220" w:top="281" w:right="1440" w:bottom="376" w:gutter="0" w:footer="0" w:header="0"/>
        </w:sectPr>
      </w:pPr>
    </w:p>
    <w:p>
      <w:pPr>
        <w:spacing w:after="0" w:line="34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10239"/>
          </w:cols>
          <w:pgMar w:left="220" w:top="281" w:right="1440" w:bottom="376"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19" w:firstLine="884"/>
        <w:spacing w:after="0" w:line="255" w:lineRule="auto"/>
        <w:tabs>
          <w:tab w:leader="none" w:pos="122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 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Eleventh: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elected.</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w:t>
      </w:r>
    </w:p>
    <w:p>
      <w:pPr>
        <w:ind w:left="6140"/>
        <w:spacing w:after="0" w:line="237" w:lineRule="auto"/>
        <w:rPr>
          <w:sz w:val="20"/>
          <w:szCs w:val="20"/>
          <w:color w:val="auto"/>
        </w:rPr>
      </w:pPr>
      <w:r>
        <w:rPr>
          <w:rFonts w:ascii="Courier New" w:cs="Courier New" w:eastAsia="Courier New" w:hAnsi="Courier New"/>
          <w:sz w:val="15"/>
          <w:szCs w:val="15"/>
          <w:color w:val="auto"/>
        </w:rPr>
        <w:t>EXHIBIT 11</w:t>
      </w:r>
    </w:p>
    <w:p>
      <w:pPr>
        <w:spacing w:after="0" w:line="167"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USA WASTE SERVICES, INC.</w:t>
      </w:r>
    </w:p>
    <w:p>
      <w:pPr>
        <w:ind w:left="1500"/>
        <w:spacing w:after="0" w:line="237" w:lineRule="auto"/>
        <w:rPr>
          <w:sz w:val="20"/>
          <w:szCs w:val="20"/>
          <w:color w:val="auto"/>
        </w:rPr>
      </w:pPr>
      <w:r>
        <w:rPr>
          <w:rFonts w:ascii="Courier New" w:cs="Courier New" w:eastAsia="Courier New" w:hAnsi="Courier New"/>
          <w:sz w:val="15"/>
          <w:szCs w:val="15"/>
          <w:color w:val="auto"/>
        </w:rPr>
        <w:t>COMPUTATION OF EARNINGS (LOSS) PER COMMON SHARE</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PER SHARE AMOUNTS)</w:t>
      </w:r>
    </w:p>
    <w:tbl>
      <w:tblPr>
        <w:tblLayout w:type="fixed"/>
        <w:tblInd w:w="0" w:type="dxa"/>
        <w:tblCellMar>
          <w:top w:w="0" w:type="dxa"/>
          <w:left w:w="0" w:type="dxa"/>
          <w:bottom w:w="0" w:type="dxa"/>
          <w:right w:w="0" w:type="dxa"/>
        </w:tblCellMar>
      </w:tblPr>
      <w:tr>
        <w:trPr>
          <w:trHeight w:val="168"/>
        </w:trPr>
        <w:tc>
          <w:tcPr>
            <w:tcW w:w="582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rPr>
              <w:t>(UNAUDITED)</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5820" w:type="dxa"/>
            <w:vAlign w:val="bottom"/>
          </w:tcPr>
          <w:p>
            <w:pPr>
              <w:spacing w:after="0"/>
              <w:rPr>
                <w:sz w:val="24"/>
                <w:szCs w:val="24"/>
                <w:color w:val="auto"/>
              </w:rPr>
            </w:pPr>
          </w:p>
        </w:tc>
        <w:tc>
          <w:tcPr>
            <w:tcW w:w="29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7"/>
              </w:rPr>
              <w:t>Three Months Ended September 30,</w:t>
            </w:r>
          </w:p>
        </w:tc>
        <w:tc>
          <w:tcPr>
            <w:tcW w:w="278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Nine Months Ended September 30,</w:t>
            </w:r>
          </w:p>
        </w:tc>
      </w:tr>
      <w:tr>
        <w:trPr>
          <w:trHeight w:val="168"/>
        </w:trPr>
        <w:tc>
          <w:tcPr>
            <w:tcW w:w="5820" w:type="dxa"/>
            <w:vAlign w:val="bottom"/>
          </w:tcPr>
          <w:p>
            <w:pPr>
              <w:spacing w:after="0"/>
              <w:rPr>
                <w:sz w:val="14"/>
                <w:szCs w:val="14"/>
                <w:color w:val="auto"/>
              </w:rPr>
            </w:pPr>
          </w:p>
        </w:tc>
        <w:tc>
          <w:tcPr>
            <w:tcW w:w="29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2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1997</w:t>
            </w:r>
          </w:p>
        </w:tc>
        <w:tc>
          <w:tcPr>
            <w:tcW w:w="4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1996</w:t>
            </w:r>
          </w:p>
        </w:tc>
        <w:tc>
          <w:tcPr>
            <w:tcW w:w="38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w:t>
            </w:r>
          </w:p>
        </w:tc>
        <w:tc>
          <w:tcPr>
            <w:tcW w:w="4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spacing w:after="0"/>
              <w:rPr>
                <w:sz w:val="14"/>
                <w:szCs w:val="14"/>
                <w:color w:val="auto"/>
              </w:rPr>
            </w:pPr>
          </w:p>
        </w:tc>
        <w:tc>
          <w:tcPr>
            <w:tcW w:w="10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(restated)</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(restated)</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Primary</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Income (loss) before extraordinary item</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25,195</w:t>
            </w:r>
          </w:p>
        </w:tc>
        <w:tc>
          <w:tcPr>
            <w:tcW w:w="14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(27,471)</w:t>
            </w:r>
          </w:p>
        </w:tc>
        <w:tc>
          <w:tcPr>
            <w:tcW w:w="14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$ 170,453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10,980</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(6,293)</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(6,293)</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7"/>
              </w:rPr>
              <w:t>Interest on convertible subordinated notes, net of taxes (2)</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8,271</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 - primary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18,902</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(27,471)</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$ 172,431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10,980</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Number of common shares outstanding</w:t>
            </w:r>
          </w:p>
        </w:tc>
        <w:tc>
          <w:tcPr>
            <w:tcW w:w="4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216,048</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178,374</w:t>
            </w:r>
          </w:p>
        </w:tc>
        <w:tc>
          <w:tcPr>
            <w:tcW w:w="38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216,048</w:t>
            </w:r>
          </w:p>
        </w:tc>
        <w:tc>
          <w:tcPr>
            <w:tcW w:w="34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178,374</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 of using weighted average common shares outstanding</w:t>
            </w:r>
          </w:p>
        </w:tc>
        <w:tc>
          <w:tcPr>
            <w:tcW w:w="4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(2,538)</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(1,982)</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(10,692)</w:t>
            </w:r>
          </w:p>
        </w:tc>
        <w:tc>
          <w:tcPr>
            <w:tcW w:w="34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(6,216)</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stock equivalents: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stock options and warrants (1)</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4,687</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4,408</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8,517</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 Convertible subordinated notes (2)</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10,578</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218,197</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176,392</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220,342</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180,675</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Primary earnings (loss) per common share:</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(0.03)</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25,195</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(27,471)</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$ 170,453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10,980</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(6,293)</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(6,293)</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on 4% convertible subordinated notes, net of</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taxes (2)</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8,271</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on 4 1/2% convertible subordinated notes, net</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taxes (3)</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3,029</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 on 5% convertible subordinated debentures,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of taxes (3)</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2,581</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 - fully diluted</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18,902</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(27,471)</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$ 178,041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10,980</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Number of common shares outstanding</w:t>
            </w:r>
          </w:p>
        </w:tc>
        <w:tc>
          <w:tcPr>
            <w:tcW w:w="48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216,048</w:t>
            </w:r>
          </w:p>
        </w:tc>
        <w:tc>
          <w:tcPr>
            <w:tcW w:w="440" w:type="dxa"/>
            <w:vAlign w:val="bottom"/>
          </w:tcPr>
          <w:p>
            <w:pPr>
              <w:spacing w:after="0"/>
              <w:rPr>
                <w:sz w:val="24"/>
                <w:szCs w:val="24"/>
                <w:color w:val="auto"/>
              </w:rPr>
            </w:pP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8"/>
              </w:rPr>
              <w:t>178,374</w:t>
            </w:r>
          </w:p>
        </w:tc>
        <w:tc>
          <w:tcPr>
            <w:tcW w:w="38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216,048</w:t>
            </w:r>
          </w:p>
        </w:tc>
        <w:tc>
          <w:tcPr>
            <w:tcW w:w="34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178,374</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Effect of using weighted average common shares outstanding</w:t>
            </w:r>
          </w:p>
        </w:tc>
        <w:tc>
          <w:tcPr>
            <w:tcW w:w="4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(2,538)</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(1,982)</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(10,692)</w:t>
            </w:r>
          </w:p>
        </w:tc>
        <w:tc>
          <w:tcPr>
            <w:tcW w:w="340" w:type="dxa"/>
            <w:vAlign w:val="bottom"/>
          </w:tcPr>
          <w:p>
            <w:pPr>
              <w:spacing w:after="0"/>
              <w:rPr>
                <w:sz w:val="14"/>
                <w:szCs w:val="14"/>
                <w:color w:val="auto"/>
              </w:rPr>
            </w:pPr>
          </w:p>
        </w:tc>
        <w:tc>
          <w:tcPr>
            <w:tcW w:w="10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(6,216)</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Common stock equivalents: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Common stock options and warrants (1)</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4,687</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4,569</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8,517</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4% Convertible subordinated notes (2)</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10,578</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 1/2% Convertible subordinated notes (3)</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4,962</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 Convertible subordinated debentures (3)</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4,062</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218,197</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176,392</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229,527</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180,675</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ind w:left="540"/>
              <w:spacing w:after="0"/>
              <w:rPr>
                <w:sz w:val="20"/>
                <w:szCs w:val="20"/>
                <w:color w:val="auto"/>
              </w:rPr>
            </w:pPr>
            <w:r>
              <w:rPr>
                <w:rFonts w:ascii="Courier New" w:cs="Courier New" w:eastAsia="Courier New" w:hAnsi="Courier New"/>
                <w:sz w:val="15"/>
                <w:szCs w:val="15"/>
                <w:color w:val="auto"/>
              </w:rPr>
              <w:t>Fully diluted earnings (loss) per common share:</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Income (loss) before extraordinary item</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0.81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(0.03)</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c>
          <w:tcPr>
            <w:tcW w:w="34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income (loss)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0.09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5820" w:type="dxa"/>
            <w:vAlign w:val="bottom"/>
          </w:tcPr>
          <w:p>
            <w:pPr>
              <w:spacing w:after="0"/>
              <w:rPr>
                <w:sz w:val="14"/>
                <w:szCs w:val="14"/>
                <w:color w:val="auto"/>
              </w:rPr>
            </w:pP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135" w:right="139"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left="430" w:right="3239" w:hanging="430"/>
        <w:spacing w:after="0" w:line="236" w:lineRule="auto"/>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dilutive impact of common stock options and warrants were determined based on the "Treasury Stock Method", as set forth in Accounting Principles Board Opinion No. 15. For the three months ended September 30, 1996, common stock equivalents from common stock options and warrants of 9,238,000 and 9,818,000 were not included in the primary and fully diluted earnings per share calculation, respectively, due to their antidilutive nature for this period.</w:t>
      </w:r>
    </w:p>
    <w:p>
      <w:pPr>
        <w:spacing w:after="0" w:line="175" w:lineRule="exact"/>
        <w:rPr>
          <w:rFonts w:ascii="Courier New" w:cs="Courier New" w:eastAsia="Courier New" w:hAnsi="Courier New"/>
          <w:sz w:val="15"/>
          <w:szCs w:val="15"/>
          <w:color w:val="auto"/>
        </w:rPr>
      </w:pPr>
    </w:p>
    <w:p>
      <w:pPr>
        <w:ind w:left="430" w:right="3239" w:hanging="430"/>
        <w:spacing w:after="0" w:line="237" w:lineRule="auto"/>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Accounting Principles Board Opinion No. 15, convertible subordinated notes that are deemed to be common stock equivalents are considered in computing both primary and fully diluted earnings per common share if inclusion of such convertible subordinated notes is dilutive based on the "If-Converted Method". The Company's 4% convertible subordinated notes, issued February 7, 1997, are considered to be common stock equivalents based upon the yield test at the time of issuance. The 4% convertible subordinated notes are dilutive for both primary and fully diluted earnings per common share for the nine months ended September 30, 1997. For the three months ended September 30, 1997, interest net of taxes of $3,238,000 and common stock equivalents of 12,288,000 were not included in the primary and fully dilutive earnings per share calculation due to their antidilutive nature for this period.</w:t>
      </w:r>
    </w:p>
    <w:p>
      <w:pPr>
        <w:spacing w:after="0" w:line="173" w:lineRule="exact"/>
        <w:rPr>
          <w:rFonts w:ascii="Courier New" w:cs="Courier New" w:eastAsia="Courier New" w:hAnsi="Courier New"/>
          <w:sz w:val="15"/>
          <w:szCs w:val="15"/>
          <w:color w:val="auto"/>
        </w:rPr>
      </w:pPr>
    </w:p>
    <w:p>
      <w:pPr>
        <w:ind w:left="430" w:right="3239" w:hanging="430"/>
        <w:spacing w:after="0" w:line="237" w:lineRule="auto"/>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Accounting Principles Board Opinion No. 15, convertible subordinated notes and debentures are considered in computing fully diluted earnings per common share if inclusion of such items is dilutive based on the "If-Converted Method". The Company's 4 1/2% convertible subordinated notes, issued June 5, 1996, and 5% convertible subordinated debentures, issued March 4, 1996, are dilutive for the nine months ended September 30, 1997. For the three months ended September 30, 1997 and 1996,and the months ended September 30, 1996, interest net of taxes of $1,890,000 and $4,051,000, respectively, and the related addback to shares of 9,024,000 and 5,324,000, respectively, were not included in the fully diluted earnings per share calculation due to their antidilutive nature for these periods.</w:t>
      </w:r>
    </w:p>
    <w:p>
      <w:pPr>
        <w:spacing w:after="0" w:line="200" w:lineRule="exact"/>
        <w:rPr>
          <w:sz w:val="20"/>
          <w:szCs w:val="20"/>
          <w:color w:val="auto"/>
        </w:rPr>
      </w:pPr>
    </w:p>
    <w:p>
      <w:pPr>
        <w:spacing w:after="0" w:line="30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w:t>
      </w:r>
    </w:p>
    <w:p>
      <w:pPr>
        <w:ind w:left="6140"/>
        <w:spacing w:after="0" w:line="237" w:lineRule="auto"/>
        <w:rPr>
          <w:sz w:val="20"/>
          <w:szCs w:val="20"/>
          <w:color w:val="auto"/>
        </w:rPr>
      </w:pPr>
      <w:r>
        <w:rPr>
          <w:rFonts w:ascii="Courier New" w:cs="Courier New" w:eastAsia="Courier New" w:hAnsi="Courier New"/>
          <w:sz w:val="15"/>
          <w:szCs w:val="15"/>
          <w:color w:val="auto"/>
        </w:rPr>
        <w:t>EXHIBIT 12</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COMPUTATION OF RATIO OF EARNINGS TO FIXED CHARGES</w:t>
      </w:r>
    </w:p>
    <w:p>
      <w:pPr>
        <w:jc w:val="center"/>
        <w:ind w:right="3139"/>
        <w:spacing w:after="0" w:line="238" w:lineRule="auto"/>
        <w:rPr>
          <w:sz w:val="20"/>
          <w:szCs w:val="20"/>
          <w:color w:val="auto"/>
        </w:rPr>
      </w:pPr>
      <w:r>
        <w:rPr>
          <w:rFonts w:ascii="Courier New" w:cs="Courier New" w:eastAsia="Courier New" w:hAnsi="Courier New"/>
          <w:sz w:val="15"/>
          <w:szCs w:val="15"/>
          <w:color w:val="auto"/>
        </w:rPr>
        <w:t>(IN THOUSANDS, EXCEPT RATIOS)</w:t>
      </w:r>
    </w:p>
    <w:p>
      <w:pPr>
        <w:jc w:val="center"/>
        <w:ind w:right="313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3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4080" w:type="dxa"/>
            <w:vAlign w:val="bottom"/>
          </w:tcPr>
          <w:p>
            <w:pPr>
              <w:spacing w:after="0"/>
              <w:rPr>
                <w:sz w:val="14"/>
                <w:szCs w:val="14"/>
                <w:color w:val="auto"/>
              </w:rPr>
            </w:pPr>
          </w:p>
        </w:tc>
        <w:tc>
          <w:tcPr>
            <w:tcW w:w="33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1996 (2)</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taxes and extraordinary item</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291,817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42,335</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Fixed charges deducted from income:</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71,040</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45,080</w:t>
            </w: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Implicit interest in rents</w:t>
            </w:r>
          </w:p>
        </w:tc>
        <w:tc>
          <w:tcPr>
            <w:tcW w:w="9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5,110</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5,595</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76,150</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50,675</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Earnings available for fixed charges</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367,967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93,010</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71,040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45,080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9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17,772</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14,429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Implicit interest in rents</w:t>
            </w:r>
          </w:p>
        </w:tc>
        <w:tc>
          <w:tcPr>
            <w:tcW w:w="9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5,110</w:t>
            </w:r>
          </w:p>
        </w:tc>
        <w:tc>
          <w:tcPr>
            <w:tcW w:w="4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5,595</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fixed charges</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93,922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65,104</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Ratio of earnings to fixed charges</w:t>
            </w:r>
          </w:p>
        </w:tc>
        <w:tc>
          <w:tcPr>
            <w:tcW w:w="9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3.9x</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1.4x</w:t>
            </w:r>
          </w:p>
        </w:tc>
      </w:tr>
      <w:tr>
        <w:trPr>
          <w:trHeight w:val="168"/>
        </w:trPr>
        <w:tc>
          <w:tcPr>
            <w:tcW w:w="40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319" w:hanging="430"/>
        <w:spacing w:after="0" w:line="236"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taxes and extraordinary item for the nine months ended September 30, 1997, includes merger costs and unusual items of $109,411,000, and $24,720,000, respectively. Excluding the effect of these nonrecurring charges, the ratio of earnings to fixed charges would have been 5.4x for the nine months ended September 30, 1997.</w:t>
      </w:r>
    </w:p>
    <w:p>
      <w:pPr>
        <w:spacing w:after="0" w:line="173" w:lineRule="exact"/>
        <w:rPr>
          <w:rFonts w:ascii="Courier New" w:cs="Courier New" w:eastAsia="Courier New" w:hAnsi="Courier New"/>
          <w:sz w:val="15"/>
          <w:szCs w:val="15"/>
          <w:color w:val="auto"/>
        </w:rPr>
      </w:pPr>
    </w:p>
    <w:p>
      <w:pPr>
        <w:ind w:left="440" w:right="3239" w:hanging="430"/>
        <w:spacing w:after="0" w:line="236" w:lineRule="auto"/>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taxes and extraordinary item for the nine months ended September 30, 1996, includes merger costs and unusual items of $125,047,000 and $63,800,000, respectively. Excluding the effect of these nonrecurring charges, the ratio of earnings to fixed charges would have been 4.3x for the nine months ended September 30, 1996.</w:t>
      </w:r>
    </w:p>
    <w:p>
      <w:pPr>
        <w:sectPr>
          <w:pgSz w:w="11900" w:h="16838" w:orient="portrait"/>
          <w:cols w:equalWidth="0" w:num="1">
            <w:col w:w="10239"/>
          </w:cols>
          <w:pgMar w:left="220" w:top="135" w:right="1440" w:bottom="1440" w:gutter="0" w:footer="0" w:header="0"/>
        </w:sectPr>
      </w:pPr>
    </w:p>
    <w:bookmarkStart w:id="33" w:name="page34"/>
    <w:bookmarkEnd w:id="33"/>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73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SERVICES, INC. FOR THE NINE MONTHS ENDED SEPTEMBER 30, 1997 AND IS QUALIFIED IN ITS ENTIRETY BY REFERENCE TO SUCH FINANCIAL STATEMENTS.</w:t>
      </w:r>
    </w:p>
    <w:p>
      <w:pPr>
        <w:spacing w:after="0" w:line="200" w:lineRule="exact"/>
        <w:rPr>
          <w:sz w:val="20"/>
          <w:szCs w:val="20"/>
          <w:color w:val="auto"/>
        </w:rPr>
      </w:pPr>
    </w:p>
    <w:p>
      <w:pPr>
        <w:spacing w:after="0" w:line="30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9-MOS</w:t>
      </w:r>
    </w:p>
    <w:p>
      <w:pPr>
        <w:ind w:left="2240"/>
        <w:spacing w:after="0" w:line="237" w:lineRule="auto"/>
        <w:rPr>
          <w:sz w:val="20"/>
          <w:szCs w:val="20"/>
          <w:color w:val="auto"/>
        </w:rPr>
      </w:pPr>
      <w:r>
        <w:rPr>
          <w:rFonts w:ascii="Courier New" w:cs="Courier New" w:eastAsia="Courier New" w:hAnsi="Courier New"/>
          <w:sz w:val="15"/>
          <w:szCs w:val="15"/>
          <w:color w:val="auto"/>
        </w:rPr>
        <w:t>DEC-31-1997</w:t>
      </w:r>
    </w:p>
    <w:p>
      <w:pPr>
        <w:ind w:left="2500"/>
        <w:spacing w:after="0" w:line="238" w:lineRule="auto"/>
        <w:rPr>
          <w:sz w:val="20"/>
          <w:szCs w:val="20"/>
          <w:color w:val="auto"/>
        </w:rPr>
      </w:pPr>
      <w:r>
        <w:rPr>
          <w:rFonts w:ascii="Courier New" w:cs="Courier New" w:eastAsia="Courier New" w:hAnsi="Courier New"/>
          <w:sz w:val="15"/>
          <w:szCs w:val="15"/>
          <w:color w:val="auto"/>
        </w:rPr>
        <w:t>JAN-01-1997</w:t>
      </w:r>
    </w:p>
    <w:p>
      <w:pPr>
        <w:ind w:left="2680"/>
        <w:spacing w:after="0" w:line="237" w:lineRule="auto"/>
        <w:rPr>
          <w:sz w:val="20"/>
          <w:szCs w:val="20"/>
          <w:color w:val="auto"/>
        </w:rPr>
      </w:pPr>
      <w:r>
        <w:rPr>
          <w:rFonts w:ascii="Courier New" w:cs="Courier New" w:eastAsia="Courier New" w:hAnsi="Courier New"/>
          <w:sz w:val="15"/>
          <w:szCs w:val="15"/>
          <w:color w:val="auto"/>
        </w:rPr>
        <w:t>SEP-30-1997</w:t>
      </w:r>
    </w:p>
    <w:p>
      <w:pPr>
        <w:ind w:left="3300"/>
        <w:spacing w:after="0" w:line="238" w:lineRule="auto"/>
        <w:rPr>
          <w:sz w:val="20"/>
          <w:szCs w:val="20"/>
          <w:color w:val="auto"/>
        </w:rPr>
      </w:pPr>
      <w:r>
        <w:rPr>
          <w:rFonts w:ascii="Courier New" w:cs="Courier New" w:eastAsia="Courier New" w:hAnsi="Courier New"/>
          <w:sz w:val="15"/>
          <w:szCs w:val="15"/>
          <w:color w:val="auto"/>
        </w:rPr>
        <w:t>63,249,000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600"/>
        <w:spacing w:after="0" w:line="238" w:lineRule="auto"/>
        <w:rPr>
          <w:sz w:val="20"/>
          <w:szCs w:val="20"/>
          <w:color w:val="auto"/>
        </w:rPr>
      </w:pPr>
      <w:r>
        <w:rPr>
          <w:rFonts w:ascii="Courier New" w:cs="Courier New" w:eastAsia="Courier New" w:hAnsi="Courier New"/>
          <w:sz w:val="15"/>
          <w:szCs w:val="15"/>
          <w:color w:val="auto"/>
        </w:rPr>
        <w:t>464,385,000</w:t>
      </w:r>
    </w:p>
    <w:p>
      <w:pPr>
        <w:ind w:left="2680"/>
        <w:spacing w:after="0" w:line="237" w:lineRule="auto"/>
        <w:rPr>
          <w:sz w:val="20"/>
          <w:szCs w:val="20"/>
          <w:color w:val="auto"/>
        </w:rPr>
      </w:pPr>
      <w:r>
        <w:rPr>
          <w:rFonts w:ascii="Courier New" w:cs="Courier New" w:eastAsia="Courier New" w:hAnsi="Courier New"/>
          <w:sz w:val="15"/>
          <w:szCs w:val="15"/>
          <w:color w:val="auto"/>
        </w:rPr>
        <w:t>(28,748,000)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2340"/>
        <w:spacing w:after="0" w:line="238" w:lineRule="auto"/>
        <w:rPr>
          <w:sz w:val="20"/>
          <w:szCs w:val="20"/>
          <w:color w:val="auto"/>
        </w:rPr>
      </w:pPr>
      <w:r>
        <w:rPr>
          <w:rFonts w:ascii="Courier New" w:cs="Courier New" w:eastAsia="Courier New" w:hAnsi="Courier New"/>
          <w:sz w:val="15"/>
          <w:szCs w:val="15"/>
          <w:color w:val="auto"/>
        </w:rPr>
        <w:t>706,653,000</w:t>
      </w:r>
    </w:p>
    <w:p>
      <w:pPr>
        <w:ind w:left="3040"/>
        <w:spacing w:after="0" w:line="237" w:lineRule="auto"/>
        <w:rPr>
          <w:sz w:val="20"/>
          <w:szCs w:val="20"/>
          <w:color w:val="auto"/>
        </w:rPr>
      </w:pPr>
      <w:r>
        <w:rPr>
          <w:rFonts w:ascii="Courier New" w:cs="Courier New" w:eastAsia="Courier New" w:hAnsi="Courier New"/>
          <w:sz w:val="15"/>
          <w:szCs w:val="15"/>
          <w:color w:val="auto"/>
        </w:rPr>
        <w:t>4,423,592,000</w:t>
      </w:r>
    </w:p>
    <w:p>
      <w:pPr>
        <w:ind w:left="2420"/>
        <w:spacing w:after="0" w:line="238" w:lineRule="auto"/>
        <w:rPr>
          <w:sz w:val="20"/>
          <w:szCs w:val="20"/>
          <w:color w:val="auto"/>
        </w:rPr>
      </w:pPr>
      <w:r>
        <w:rPr>
          <w:rFonts w:ascii="Courier New" w:cs="Courier New" w:eastAsia="Courier New" w:hAnsi="Courier New"/>
          <w:sz w:val="15"/>
          <w:szCs w:val="15"/>
          <w:color w:val="auto"/>
        </w:rPr>
        <w:t>(827,724,000)</w:t>
      </w:r>
    </w:p>
    <w:p>
      <w:pPr>
        <w:ind w:left="2340"/>
        <w:spacing w:after="0" w:line="237" w:lineRule="auto"/>
        <w:rPr>
          <w:sz w:val="20"/>
          <w:szCs w:val="20"/>
          <w:color w:val="auto"/>
        </w:rPr>
      </w:pPr>
      <w:r>
        <w:rPr>
          <w:rFonts w:ascii="Courier New" w:cs="Courier New" w:eastAsia="Courier New" w:hAnsi="Courier New"/>
          <w:sz w:val="15"/>
          <w:szCs w:val="15"/>
          <w:color w:val="auto"/>
        </w:rPr>
        <w:t>6,044,619,000</w:t>
      </w:r>
    </w:p>
    <w:p>
      <w:pPr>
        <w:ind w:left="1900"/>
        <w:spacing w:after="0" w:line="238" w:lineRule="auto"/>
        <w:rPr>
          <w:sz w:val="20"/>
          <w:szCs w:val="20"/>
          <w:color w:val="auto"/>
        </w:rPr>
      </w:pPr>
      <w:r>
        <w:rPr>
          <w:rFonts w:ascii="Courier New" w:cs="Courier New" w:eastAsia="Courier New" w:hAnsi="Courier New"/>
          <w:sz w:val="15"/>
          <w:szCs w:val="15"/>
          <w:color w:val="auto"/>
        </w:rPr>
        <w:t>545,759,000</w:t>
      </w:r>
    </w:p>
    <w:p>
      <w:pPr>
        <w:ind w:left="2940"/>
        <w:spacing w:after="0" w:line="237" w:lineRule="auto"/>
        <w:rPr>
          <w:sz w:val="20"/>
          <w:szCs w:val="20"/>
          <w:color w:val="auto"/>
        </w:rPr>
      </w:pPr>
      <w:r>
        <w:rPr>
          <w:rFonts w:ascii="Courier New" w:cs="Courier New" w:eastAsia="Courier New" w:hAnsi="Courier New"/>
          <w:sz w:val="15"/>
          <w:szCs w:val="15"/>
          <w:color w:val="auto"/>
        </w:rPr>
        <w:t>2,440,879,000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2,160,000</w:t>
      </w:r>
    </w:p>
    <w:p>
      <w:pPr>
        <w:ind w:left="2680"/>
        <w:spacing w:after="0" w:line="238" w:lineRule="auto"/>
        <w:rPr>
          <w:sz w:val="20"/>
          <w:szCs w:val="20"/>
          <w:color w:val="auto"/>
        </w:rPr>
      </w:pPr>
      <w:r>
        <w:rPr>
          <w:rFonts w:ascii="Courier New" w:cs="Courier New" w:eastAsia="Courier New" w:hAnsi="Courier New"/>
          <w:sz w:val="15"/>
          <w:szCs w:val="15"/>
          <w:color w:val="auto"/>
        </w:rPr>
        <w:t>2,498,195,000</w:t>
      </w:r>
    </w:p>
    <w:p>
      <w:pPr>
        <w:ind w:left="1100"/>
        <w:spacing w:after="0" w:line="237" w:lineRule="auto"/>
        <w:rPr>
          <w:sz w:val="20"/>
          <w:szCs w:val="20"/>
          <w:color w:val="auto"/>
        </w:rPr>
      </w:pPr>
      <w:r>
        <w:rPr>
          <w:rFonts w:ascii="Courier New" w:cs="Courier New" w:eastAsia="Courier New" w:hAnsi="Courier New"/>
          <w:sz w:val="15"/>
          <w:szCs w:val="15"/>
          <w:color w:val="auto"/>
        </w:rPr>
        <w:t>6,044,619,000</w:t>
      </w:r>
    </w:p>
    <w:p>
      <w:pPr>
        <w:ind w:left="2940"/>
        <w:spacing w:after="0" w:line="238" w:lineRule="auto"/>
        <w:rPr>
          <w:sz w:val="20"/>
          <w:szCs w:val="20"/>
          <w:color w:val="auto"/>
        </w:rPr>
      </w:pPr>
      <w:r>
        <w:rPr>
          <w:rFonts w:ascii="Courier New" w:cs="Courier New" w:eastAsia="Courier New" w:hAnsi="Courier New"/>
          <w:sz w:val="15"/>
          <w:szCs w:val="15"/>
          <w:color w:val="auto"/>
        </w:rPr>
        <w:t>1,878,460,000</w:t>
      </w:r>
    </w:p>
    <w:p>
      <w:pPr>
        <w:ind w:left="2160"/>
        <w:spacing w:after="0" w:line="237" w:lineRule="auto"/>
        <w:rPr>
          <w:sz w:val="20"/>
          <w:szCs w:val="20"/>
          <w:color w:val="auto"/>
        </w:rPr>
      </w:pPr>
      <w:r>
        <w:rPr>
          <w:rFonts w:ascii="Courier New" w:cs="Courier New" w:eastAsia="Courier New" w:hAnsi="Courier New"/>
          <w:sz w:val="15"/>
          <w:szCs w:val="15"/>
          <w:color w:val="auto"/>
        </w:rPr>
        <w:t>1,878,460,000</w:t>
      </w:r>
    </w:p>
    <w:p>
      <w:pPr>
        <w:ind w:left="3300"/>
        <w:spacing w:after="0" w:line="238" w:lineRule="auto"/>
        <w:rPr>
          <w:sz w:val="20"/>
          <w:szCs w:val="20"/>
          <w:color w:val="auto"/>
        </w:rPr>
      </w:pPr>
      <w:r>
        <w:rPr>
          <w:rFonts w:ascii="Courier New" w:cs="Courier New" w:eastAsia="Courier New" w:hAnsi="Courier New"/>
          <w:sz w:val="15"/>
          <w:szCs w:val="15"/>
          <w:color w:val="auto"/>
        </w:rPr>
        <w:t>970,373,000</w:t>
      </w:r>
    </w:p>
    <w:p>
      <w:pPr>
        <w:ind w:left="2420"/>
        <w:spacing w:after="0" w:line="238" w:lineRule="auto"/>
        <w:rPr>
          <w:sz w:val="20"/>
          <w:szCs w:val="20"/>
          <w:color w:val="auto"/>
        </w:rPr>
      </w:pPr>
      <w:r>
        <w:rPr>
          <w:rFonts w:ascii="Courier New" w:cs="Courier New" w:eastAsia="Courier New" w:hAnsi="Courier New"/>
          <w:sz w:val="15"/>
          <w:szCs w:val="15"/>
          <w:color w:val="auto"/>
        </w:rPr>
        <w:t>1,531,111,000</w:t>
      </w:r>
    </w:p>
    <w:p>
      <w:pPr>
        <w:ind w:left="2340"/>
        <w:spacing w:after="0" w:line="237" w:lineRule="auto"/>
        <w:rPr>
          <w:sz w:val="20"/>
          <w:szCs w:val="20"/>
          <w:color w:val="auto"/>
        </w:rPr>
      </w:pPr>
      <w:r>
        <w:rPr>
          <w:rFonts w:ascii="Courier New" w:cs="Courier New" w:eastAsia="Courier New" w:hAnsi="Courier New"/>
          <w:sz w:val="15"/>
          <w:szCs w:val="15"/>
          <w:color w:val="auto"/>
        </w:rPr>
        <w:t>(15,508,000)</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240"/>
        <w:spacing w:after="0" w:line="237" w:lineRule="auto"/>
        <w:rPr>
          <w:sz w:val="20"/>
          <w:szCs w:val="20"/>
          <w:color w:val="auto"/>
        </w:rPr>
      </w:pPr>
      <w:r>
        <w:rPr>
          <w:rFonts w:ascii="Courier New" w:cs="Courier New" w:eastAsia="Courier New" w:hAnsi="Courier New"/>
          <w:sz w:val="15"/>
          <w:szCs w:val="15"/>
          <w:color w:val="auto"/>
        </w:rPr>
        <w:t>71,040,000</w:t>
      </w:r>
    </w:p>
    <w:p>
      <w:pPr>
        <w:ind w:left="2420"/>
        <w:spacing w:after="0" w:line="238" w:lineRule="auto"/>
        <w:rPr>
          <w:sz w:val="20"/>
          <w:szCs w:val="20"/>
          <w:color w:val="auto"/>
        </w:rPr>
      </w:pPr>
      <w:r>
        <w:rPr>
          <w:rFonts w:ascii="Courier New" w:cs="Courier New" w:eastAsia="Courier New" w:hAnsi="Courier New"/>
          <w:sz w:val="15"/>
          <w:szCs w:val="15"/>
          <w:color w:val="auto"/>
        </w:rPr>
        <w:t>291,817,000</w:t>
      </w:r>
    </w:p>
    <w:p>
      <w:pPr>
        <w:ind w:left="2680"/>
        <w:spacing w:after="0" w:line="237" w:lineRule="auto"/>
        <w:rPr>
          <w:sz w:val="20"/>
          <w:szCs w:val="20"/>
          <w:color w:val="auto"/>
        </w:rPr>
      </w:pPr>
      <w:r>
        <w:rPr>
          <w:rFonts w:ascii="Courier New" w:cs="Courier New" w:eastAsia="Courier New" w:hAnsi="Courier New"/>
          <w:sz w:val="15"/>
          <w:szCs w:val="15"/>
          <w:color w:val="auto"/>
        </w:rPr>
        <w:t>121,364,000</w:t>
      </w:r>
    </w:p>
    <w:p>
      <w:pPr>
        <w:ind w:left="2060"/>
        <w:spacing w:after="0" w:line="238" w:lineRule="auto"/>
        <w:rPr>
          <w:sz w:val="20"/>
          <w:szCs w:val="20"/>
          <w:color w:val="auto"/>
        </w:rPr>
      </w:pPr>
      <w:r>
        <w:rPr>
          <w:rFonts w:ascii="Courier New" w:cs="Courier New" w:eastAsia="Courier New" w:hAnsi="Courier New"/>
          <w:sz w:val="15"/>
          <w:szCs w:val="15"/>
          <w:color w:val="auto"/>
        </w:rPr>
        <w:t>170,453,000</w:t>
      </w:r>
    </w:p>
    <w:p>
      <w:pPr>
        <w:jc w:val="right"/>
        <w:ind w:right="6739"/>
        <w:spacing w:after="0" w:line="238" w:lineRule="auto"/>
        <w:rPr>
          <w:sz w:val="20"/>
          <w:szCs w:val="20"/>
          <w:color w:val="auto"/>
        </w:rPr>
      </w:pPr>
      <w:r>
        <w:rPr>
          <w:rFonts w:ascii="Courier New" w:cs="Courier New" w:eastAsia="Courier New" w:hAnsi="Courier New"/>
          <w:sz w:val="15"/>
          <w:szCs w:val="15"/>
          <w:color w:val="auto"/>
        </w:rPr>
        <w:t>0</w:t>
      </w:r>
    </w:p>
    <w:p>
      <w:pPr>
        <w:jc w:val="right"/>
        <w:ind w:right="6739"/>
        <w:spacing w:after="0" w:line="237" w:lineRule="auto"/>
        <w:rPr>
          <w:sz w:val="20"/>
          <w:szCs w:val="20"/>
          <w:color w:val="auto"/>
        </w:rPr>
      </w:pPr>
      <w:r>
        <w:rPr>
          <w:rFonts w:ascii="Courier New" w:cs="Courier New" w:eastAsia="Courier New" w:hAnsi="Courier New"/>
          <w:sz w:val="15"/>
          <w:szCs w:val="15"/>
          <w:color w:val="auto"/>
        </w:rPr>
        <w:t>(6,293,000)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2680"/>
        <w:spacing w:after="0" w:line="237" w:lineRule="auto"/>
        <w:rPr>
          <w:sz w:val="20"/>
          <w:szCs w:val="20"/>
          <w:color w:val="auto"/>
        </w:rPr>
      </w:pPr>
      <w:r>
        <w:rPr>
          <w:rFonts w:ascii="Courier New" w:cs="Courier New" w:eastAsia="Courier New" w:hAnsi="Courier New"/>
          <w:sz w:val="15"/>
          <w:szCs w:val="15"/>
          <w:color w:val="auto"/>
        </w:rPr>
        <w:t>164,160,000</w:t>
      </w:r>
    </w:p>
    <w:p>
      <w:pPr>
        <w:ind w:left="3200"/>
        <w:spacing w:after="0" w:line="238" w:lineRule="auto"/>
        <w:rPr>
          <w:sz w:val="20"/>
          <w:szCs w:val="20"/>
          <w:color w:val="auto"/>
        </w:rPr>
      </w:pPr>
      <w:r>
        <w:rPr>
          <w:rFonts w:ascii="Courier New" w:cs="Courier New" w:eastAsia="Courier New" w:hAnsi="Courier New"/>
          <w:sz w:val="15"/>
          <w:szCs w:val="15"/>
          <w:color w:val="auto"/>
        </w:rPr>
        <w:t>0.78</w:t>
      </w:r>
    </w:p>
    <w:p>
      <w:pPr>
        <w:ind w:left="3200"/>
        <w:spacing w:after="0" w:line="237" w:lineRule="auto"/>
        <w:rPr>
          <w:sz w:val="20"/>
          <w:szCs w:val="20"/>
          <w:color w:val="auto"/>
        </w:rPr>
      </w:pPr>
      <w:r>
        <w:rPr>
          <w:rFonts w:ascii="Courier New" w:cs="Courier New" w:eastAsia="Courier New" w:hAnsi="Courier New"/>
          <w:sz w:val="15"/>
          <w:szCs w:val="15"/>
          <w:color w:val="auto"/>
        </w:rPr>
        <w:t>0.78</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2"/>
      <w:numFmt w:val="bullet"/>
      <w:start w:val="1"/>
    </w:lvl>
  </w:abstractNum>
  <w:abstractNum w:abstractNumId="13">
    <w:nsid w:val="628C895D"/>
    <w:multiLevelType w:val="hybridMultilevel"/>
    <w:lvl w:ilvl="0">
      <w:lvlJc w:val="left"/>
      <w:lvlText w:val="4"/>
      <w:numFmt w:val="bullet"/>
      <w:start w:val="1"/>
    </w:lvl>
  </w:abstractNum>
  <w:abstractNum w:abstractNumId="14">
    <w:nsid w:val="333AB105"/>
    <w:multiLevelType w:val="hybridMultilevel"/>
    <w:lvl w:ilvl="0">
      <w:lvlJc w:val="left"/>
      <w:lvlText w:val="%1"/>
      <w:numFmt w:val="decimal"/>
      <w:start w:val="10"/>
    </w:lvl>
  </w:abstractNum>
  <w:abstractNum w:abstractNumId="15">
    <w:nsid w:val="721DA317"/>
    <w:multiLevelType w:val="hybridMultilevel"/>
    <w:lvl w:ilvl="0">
      <w:lvlJc w:val="left"/>
      <w:lvlText w:val="%1"/>
      <w:numFmt w:val="decimal"/>
      <w:start w:val="18"/>
    </w:lvl>
  </w:abstractNum>
  <w:abstractNum w:abstractNumId="16">
    <w:nsid w:val="2443A858"/>
    <w:multiLevelType w:val="hybridMultilevel"/>
    <w:lvl w:ilvl="0">
      <w:lvlJc w:val="left"/>
      <w:lvlText w:val="%1"/>
      <w:numFmt w:val="decimal"/>
      <w:start w:val="22"/>
    </w:lvl>
  </w:abstractNum>
  <w:abstractNum w:abstractNumId="17">
    <w:nsid w:val="2D1D5AE9"/>
    <w:multiLevelType w:val="hybridMultilevel"/>
    <w:lvl w:ilvl="0">
      <w:lvlJc w:val="left"/>
      <w:lvlText w:val="-"/>
      <w:numFmt w:val="bullet"/>
      <w:start w:val="1"/>
    </w:lvl>
    <w:lvl w:ilvl="1">
      <w:lvlJc w:val="left"/>
      <w:lvlText w:val="%2"/>
      <w:numFmt w:val="decimal"/>
      <w:start w:val="99"/>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5"/>
    </w:lvl>
  </w:abstractNum>
  <w:abstractNum w:abstractNumId="22">
    <w:nsid w:val="4353D0CD"/>
    <w:multiLevelType w:val="hybridMultilevel"/>
    <w:lvl w:ilvl="0">
      <w:lvlJc w:val="left"/>
      <w:lvlText w:val="(%1)"/>
      <w:numFmt w:val="lowerRoman"/>
      <w:start w:val="3"/>
    </w:lvl>
  </w:abstractNum>
  <w:abstractNum w:abstractNumId="23">
    <w:nsid w:val="B03E0C6"/>
    <w:multiLevelType w:val="hybridMultilevel"/>
    <w:lvl w:ilvl="0">
      <w:lvlJc w:val="left"/>
      <w:lvlText w:val="(%1)"/>
      <w:numFmt w:val="upperLetter"/>
      <w:start w:val="2"/>
    </w:lvl>
  </w:abstractNum>
  <w:abstractNum w:abstractNumId="24">
    <w:nsid w:val="189A769B"/>
    <w:multiLevelType w:val="hybridMultilevel"/>
    <w:lvl w:ilvl="0">
      <w:lvlJc w:val="left"/>
      <w:lvlText w:val="(%1)"/>
      <w:numFmt w:val="upperLetter"/>
      <w:start w:val="6"/>
    </w:lvl>
  </w:abstractNum>
  <w:abstractNum w:abstractNumId="25">
    <w:nsid w:val="54E49EB4"/>
    <w:multiLevelType w:val="hybridMultilevel"/>
    <w:lvl w:ilvl="0">
      <w:lvlJc w:val="left"/>
      <w:lvlText w:val="(%1)"/>
      <w:numFmt w:val="upperLetter"/>
      <w:start w:val="7"/>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2019-12-20T04:10:16Z</dcterms:created>
  <dcterms:modified xsi:type="dcterms:W3CDTF">2019-12-20T04:10:16Z</dcterms:modified>
</cp:coreProperties>
</file>