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Waste Management,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w:t>
      </w:r>
    </w:p>
    <w:p>
      <w:pPr>
        <w:spacing w:after="0"/>
        <w:rPr>
          <w:sz w:val="20"/>
          <w:szCs w:val="20"/>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rPr>
          <w:sz w:val="20"/>
          <w:szCs w:val="20"/>
          <w:color w:val="auto"/>
        </w:rPr>
      </w:pPr>
      <w:r>
        <w:rPr>
          <w:rFonts w:ascii="Courier New" w:cs="Courier New" w:eastAsia="Courier New" w:hAnsi="Courier New"/>
          <w:sz w:val="18"/>
          <w:szCs w:val="18"/>
          <w:color w:val="auto"/>
        </w:rPr>
        <w:t>(Title of Class and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94106L109</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gridSpan w:val="2"/>
          </w:tcPr>
          <w:p>
            <w:pPr>
              <w:spacing w:after="0"/>
              <w:rPr>
                <w:sz w:val="20"/>
                <w:szCs w:val="20"/>
                <w:color w:val="auto"/>
              </w:rPr>
            </w:pPr>
            <w:r>
              <w:rPr>
                <w:rFonts w:ascii="Courier New" w:cs="Courier New" w:eastAsia="Courier New" w:hAnsi="Courier New"/>
                <w:sz w:val="18"/>
                <w:szCs w:val="18"/>
                <w:color w:val="auto"/>
              </w:rPr>
              <w:t>/X/</w:t>
            </w:r>
          </w:p>
        </w:tc>
        <w:tc>
          <w:tcPr>
            <w:tcW w:w="1640" w:type="dxa"/>
            <w:vAlign w:val="bottom"/>
            <w:gridSpan w:val="2"/>
          </w:tcPr>
          <w:p>
            <w:pPr>
              <w:ind w:left="280"/>
              <w:spacing w:after="0"/>
              <w:rPr>
                <w:sz w:val="20"/>
                <w:szCs w:val="20"/>
                <w:color w:val="auto"/>
              </w:rPr>
            </w:pPr>
            <w:r>
              <w:rPr>
                <w:rFonts w:ascii="Courier New" w:cs="Courier New" w:eastAsia="Courier New" w:hAnsi="Courier New"/>
                <w:sz w:val="18"/>
                <w:szCs w:val="18"/>
                <w:color w:val="auto"/>
                <w:w w:val="95"/>
              </w:rPr>
              <w:t>Rule 13d-1(b)</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96"/>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13d-1(d)</w:t>
            </w:r>
          </w:p>
        </w:tc>
      </w:tr>
    </w:tbl>
    <w:p>
      <w:pPr>
        <w:spacing w:after="0" w:line="311" w:lineRule="exact"/>
        <w:rPr>
          <w:sz w:val="24"/>
          <w:szCs w:val="24"/>
          <w:color w:val="auto"/>
        </w:rPr>
      </w:pPr>
    </w:p>
    <w:p>
      <w:pPr>
        <w:ind w:right="3259" w:firstLine="8"/>
        <w:spacing w:after="0" w:line="504"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information required in the remainder of this cover page shall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be deemed to be "filed" for the purpose of Section 18 of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Exchange Act of 1934 ("Act") or otherwise subject to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liabilities of that section of the Act but shall be subject to 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provisions of the Act (however, see the Notes).</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380" w:type="dxa"/>
            <w:vAlign w:val="bottom"/>
          </w:tcPr>
          <w:p>
            <w:pPr>
              <w:spacing w:after="0"/>
              <w:rPr>
                <w:sz w:val="20"/>
                <w:szCs w:val="20"/>
                <w:color w:val="auto"/>
              </w:rPr>
            </w:pPr>
            <w:r>
              <w:rPr>
                <w:rFonts w:ascii="Courier New" w:cs="Courier New" w:eastAsia="Courier New" w:hAnsi="Courier New"/>
                <w:sz w:val="18"/>
                <w:szCs w:val="18"/>
                <w:color w:val="auto"/>
              </w:rPr>
              <w:t>CUSIP No. 94106L109</w:t>
            </w:r>
          </w:p>
        </w:tc>
        <w:tc>
          <w:tcPr>
            <w:tcW w:w="2680" w:type="dxa"/>
            <w:vAlign w:val="bottom"/>
          </w:tcPr>
          <w:p>
            <w:pPr>
              <w:ind w:left="2360"/>
              <w:spacing w:after="0"/>
              <w:rPr>
                <w:sz w:val="20"/>
                <w:szCs w:val="20"/>
                <w:color w:val="auto"/>
              </w:rPr>
            </w:pPr>
            <w:r>
              <w:rPr>
                <w:rFonts w:ascii="Courier New" w:cs="Courier New" w:eastAsia="Courier New" w:hAnsi="Courier New"/>
                <w:sz w:val="18"/>
                <w:szCs w:val="18"/>
                <w:color w:val="auto"/>
                <w:w w:val="92"/>
              </w:rPr>
              <w:t>13G</w:t>
            </w:r>
          </w:p>
        </w:tc>
      </w:tr>
    </w:tbl>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Southeastern Asset Management, Inc.</w:t>
      </w:r>
      <w:r>
        <w:rPr>
          <w:sz w:val="20"/>
          <w:szCs w:val="20"/>
          <w:color w:val="auto"/>
        </w:rPr>
        <w:tab/>
      </w:r>
      <w:r>
        <w:rPr>
          <w:rFonts w:ascii="Courier New" w:cs="Courier New" w:eastAsia="Courier New" w:hAnsi="Courier New"/>
          <w:sz w:val="16"/>
          <w:szCs w:val="16"/>
          <w:color w:val="auto"/>
        </w:rPr>
        <w:t>I.D. No. 62-0951781</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tabs>
          <w:tab w:leader="none" w:pos="0" w:val="left"/>
        </w:tabs>
        <w:numPr>
          <w:ilvl w:val="1"/>
          <w:numId w:val="3"/>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Tennessee</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:(5) SOLE VOTING POWER</w:t>
      </w:r>
    </w:p>
    <w:tbl>
      <w:tblPr>
        <w:tblLayout w:type="fixed"/>
        <w:tblInd w:w="0" w:type="dxa"/>
        <w:tblCellMar>
          <w:top w:w="0" w:type="dxa"/>
          <w:left w:w="0" w:type="dxa"/>
          <w:bottom w:w="0" w:type="dxa"/>
          <w:right w:w="0" w:type="dxa"/>
        </w:tblCellMar>
      </w:tblPr>
      <w:tr>
        <w:trPr>
          <w:trHeight w:val="171"/>
        </w:trPr>
        <w:tc>
          <w:tcPr>
            <w:tcW w:w="344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 SHARES BENEFICIALLY</w:t>
            </w:r>
          </w:p>
        </w:tc>
        <w:tc>
          <w:tcPr>
            <w:tcW w:w="520" w:type="dxa"/>
            <w:vAlign w:val="bottom"/>
          </w:tcPr>
          <w:p>
            <w:pPr>
              <w:ind w:left="260"/>
              <w:spacing w:after="0" w:line="170"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160"/>
              <w:spacing w:after="0" w:line="170" w:lineRule="exact"/>
              <w:rPr>
                <w:sz w:val="20"/>
                <w:szCs w:val="20"/>
                <w:color w:val="auto"/>
              </w:rPr>
            </w:pPr>
            <w:r>
              <w:rPr>
                <w:rFonts w:ascii="Courier New" w:cs="Courier New" w:eastAsia="Courier New" w:hAnsi="Courier New"/>
                <w:sz w:val="18"/>
                <w:szCs w:val="18"/>
                <w:color w:val="auto"/>
              </w:rPr>
              <w:t>(Discretionary Accounts)</w:t>
            </w:r>
          </w:p>
        </w:tc>
        <w:tc>
          <w:tcPr>
            <w:tcW w:w="0" w:type="dxa"/>
            <w:vAlign w:val="bottom"/>
          </w:tcPr>
          <w:p>
            <w:pPr>
              <w:spacing w:after="0"/>
              <w:rPr>
                <w:sz w:val="1"/>
                <w:szCs w:val="1"/>
                <w:color w:val="auto"/>
              </w:rPr>
            </w:pPr>
          </w:p>
        </w:tc>
      </w:tr>
      <w:tr>
        <w:trPr>
          <w:trHeight w:val="203"/>
        </w:trPr>
        <w:tc>
          <w:tcPr>
            <w:tcW w:w="3440" w:type="dxa"/>
            <w:vAlign w:val="bottom"/>
            <w:vMerge w:val="continue"/>
          </w:tcPr>
          <w:p>
            <w:pPr>
              <w:spacing w:after="0"/>
              <w:rPr>
                <w:sz w:val="17"/>
                <w:szCs w:val="17"/>
                <w:color w:val="auto"/>
              </w:rPr>
            </w:pP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15,968,218</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c>
          <w:tcPr>
            <w:tcW w:w="0" w:type="dxa"/>
            <w:vAlign w:val="bottom"/>
          </w:tcPr>
          <w:p>
            <w:pPr>
              <w:spacing w:after="0"/>
              <w:rPr>
                <w:sz w:val="1"/>
                <w:szCs w:val="1"/>
                <w:color w:val="auto"/>
              </w:rPr>
            </w:pPr>
          </w:p>
        </w:tc>
      </w:tr>
      <w:tr>
        <w:trPr>
          <w:trHeight w:val="296"/>
        </w:trPr>
        <w:tc>
          <w:tcPr>
            <w:tcW w:w="344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21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:(6) SHARED OR NO</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0" w:type="dxa"/>
            <w:vAlign w:val="bottom"/>
          </w:tcPr>
          <w:p>
            <w:pPr>
              <w:spacing w:after="0"/>
              <w:rPr>
                <w:sz w:val="1"/>
                <w:szCs w:val="1"/>
                <w:color w:val="auto"/>
              </w:rPr>
            </w:pPr>
          </w:p>
        </w:tc>
      </w:tr>
    </w:tbl>
    <w:p>
      <w:pPr>
        <w:spacing w:after="0" w:line="109" w:lineRule="exact"/>
        <w:rPr>
          <w:sz w:val="24"/>
          <w:szCs w:val="24"/>
          <w:color w:val="auto"/>
        </w:rPr>
      </w:pPr>
    </w:p>
    <w:p>
      <w:pPr>
        <w:ind w:left="4320"/>
        <w:spacing w:after="0"/>
        <w:rPr>
          <w:sz w:val="20"/>
          <w:szCs w:val="20"/>
          <w:color w:val="auto"/>
        </w:rPr>
      </w:pPr>
      <w:r>
        <w:rPr>
          <w:rFonts w:ascii="Courier New" w:cs="Courier New" w:eastAsia="Courier New" w:hAnsi="Courier New"/>
          <w:sz w:val="18"/>
          <w:szCs w:val="18"/>
          <w:color w:val="auto"/>
        </w:rPr>
        <w:t>9,960,100 shares (shared)</w:t>
      </w:r>
    </w:p>
    <w:p>
      <w:pPr>
        <w:sectPr>
          <w:pgSz w:w="11900" w:h="16838" w:orient="portrait"/>
          <w:cols w:equalWidth="0" w:num="1">
            <w:col w:w="10219"/>
          </w:cols>
          <w:pgMar w:left="240" w:top="218" w:right="1440" w:bottom="0" w:gutter="0" w:footer="0" w:header="0"/>
        </w:sectPr>
      </w:pPr>
    </w:p>
    <w:bookmarkStart w:id="1" w:name="page2"/>
    <w:bookmarkEnd w:id="1"/>
    <w:p>
      <w:pPr>
        <w:ind w:left="4640"/>
        <w:spacing w:after="0"/>
        <w:rPr>
          <w:sz w:val="20"/>
          <w:szCs w:val="20"/>
          <w:color w:val="auto"/>
        </w:rPr>
      </w:pPr>
      <w:r>
        <w:rPr>
          <w:rFonts w:ascii="Courier New" w:cs="Courier New" w:eastAsia="Courier New" w:hAnsi="Courier New"/>
          <w:sz w:val="18"/>
          <w:szCs w:val="18"/>
          <w:color w:val="auto"/>
        </w:rPr>
        <w:t>3,959,800 shares (No Vote)</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2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:(7) SOLE DISPOSITIVE POWER</w:t>
      </w:r>
    </w:p>
    <w:p>
      <w:pPr>
        <w:ind w:left="4220"/>
        <w:spacing w:after="0" w:line="238" w:lineRule="auto"/>
        <w:rPr>
          <w:sz w:val="20"/>
          <w:szCs w:val="20"/>
          <w:color w:val="auto"/>
        </w:rPr>
      </w:pPr>
      <w:r>
        <w:rPr>
          <w:rFonts w:ascii="Courier New" w:cs="Courier New" w:eastAsia="Courier New" w:hAnsi="Courier New"/>
          <w:sz w:val="18"/>
          <w:szCs w:val="18"/>
          <w:color w:val="auto"/>
        </w:rPr>
        <w:t>(Discretionary Accounts)</w:t>
      </w:r>
    </w:p>
    <w:p>
      <w:pPr>
        <w:ind w:left="4540" w:hanging="845"/>
        <w:spacing w:after="0"/>
        <w:tabs>
          <w:tab w:leader="none" w:pos="4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19,857,093 shares</w:t>
      </w: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21"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OR NO DISPOSITIVE POWER</w:t>
      </w:r>
    </w:p>
    <w:p>
      <w:pPr>
        <w:spacing w:after="0" w:line="169" w:lineRule="exact"/>
        <w:rPr>
          <w:rFonts w:ascii="Courier New" w:cs="Courier New" w:eastAsia="Courier New" w:hAnsi="Courier New"/>
          <w:sz w:val="18"/>
          <w:szCs w:val="18"/>
          <w:color w:val="auto"/>
        </w:rPr>
      </w:pPr>
    </w:p>
    <w:p>
      <w:pPr>
        <w:ind w:left="4320" w:hanging="625"/>
        <w:spacing w:after="0"/>
        <w:tabs>
          <w:tab w:leader="none" w:pos="4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9,960,100 shares (Shared)</w:t>
      </w:r>
    </w:p>
    <w:p>
      <w:pPr>
        <w:spacing w:after="0" w:line="29"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70,925 shares (None)</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29,888,118 shares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68" w:lineRule="auto"/>
        <w:tabs>
          <w:tab w:leader="none" w:pos="6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-X- See Items 4(c)(ii) and (iv)</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740" w:right="4619" w:hanging="732"/>
        <w:spacing w:after="0" w:line="238"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4.8 %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7059" w:hanging="632"/>
        <w:spacing w:after="0" w:line="309"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60" w:type="dxa"/>
            <w:vAlign w:val="bottom"/>
          </w:tcPr>
          <w:p>
            <w:pPr>
              <w:spacing w:after="0"/>
              <w:rPr>
                <w:sz w:val="20"/>
                <w:szCs w:val="20"/>
                <w:color w:val="auto"/>
              </w:rPr>
            </w:pPr>
            <w:r>
              <w:rPr>
                <w:rFonts w:ascii="Courier New" w:cs="Courier New" w:eastAsia="Courier New" w:hAnsi="Courier New"/>
                <w:sz w:val="18"/>
                <w:szCs w:val="18"/>
                <w:color w:val="auto"/>
              </w:rPr>
              <w:t>CUSIP No.  94106L109</w:t>
            </w:r>
          </w:p>
        </w:tc>
        <w:tc>
          <w:tcPr>
            <w:tcW w:w="2260" w:type="dxa"/>
            <w:vAlign w:val="bottom"/>
          </w:tcPr>
          <w:p>
            <w:pPr>
              <w:ind w:left="1960"/>
              <w:spacing w:after="0"/>
              <w:rPr>
                <w:sz w:val="20"/>
                <w:szCs w:val="20"/>
                <w:color w:val="auto"/>
              </w:rPr>
            </w:pPr>
            <w:r>
              <w:rPr>
                <w:rFonts w:ascii="Courier New" w:cs="Courier New" w:eastAsia="Courier New" w:hAnsi="Courier New"/>
                <w:sz w:val="18"/>
                <w:szCs w:val="18"/>
                <w:color w:val="auto"/>
                <w:w w:val="86"/>
              </w:rPr>
              <w:t>13G</w:t>
            </w:r>
          </w:p>
        </w:tc>
      </w:tr>
    </w:tbl>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O. Mason Hawkins</w:t>
      </w:r>
      <w:r>
        <w:rPr>
          <w:sz w:val="20"/>
          <w:szCs w:val="20"/>
          <w:color w:val="auto"/>
        </w:rPr>
        <w:tab/>
      </w:r>
      <w:r>
        <w:rPr>
          <w:rFonts w:ascii="Courier New" w:cs="Courier New" w:eastAsia="Courier New" w:hAnsi="Courier New"/>
          <w:sz w:val="16"/>
          <w:szCs w:val="16"/>
          <w:color w:val="auto"/>
        </w:rPr>
        <w:t>I.D. No. ###-##-####</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tabs>
          <w:tab w:leader="none" w:pos="0" w:val="left"/>
        </w:tabs>
        <w:numPr>
          <w:ilvl w:val="1"/>
          <w:numId w:val="10"/>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68"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Citizen of United States</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680" w:type="dxa"/>
            <w:vAlign w:val="bottom"/>
          </w:tcPr>
          <w:p>
            <w:pPr>
              <w:ind w:left="260"/>
              <w:spacing w:after="0" w:line="192" w:lineRule="exact"/>
              <w:rPr>
                <w:sz w:val="20"/>
                <w:szCs w:val="20"/>
                <w:color w:val="auto"/>
              </w:rPr>
            </w:pPr>
            <w:r>
              <w:rPr>
                <w:rFonts w:ascii="Courier New" w:cs="Courier New" w:eastAsia="Courier New" w:hAnsi="Courier New"/>
                <w:sz w:val="18"/>
                <w:szCs w:val="18"/>
                <w:color w:val="auto"/>
                <w:w w:val="92"/>
              </w:rPr>
              <w:t>:(5)</w:t>
            </w:r>
          </w:p>
        </w:tc>
        <w:tc>
          <w:tcPr>
            <w:tcW w:w="4000" w:type="dxa"/>
            <w:vAlign w:val="bottom"/>
          </w:tcPr>
          <w:p>
            <w:pPr>
              <w:ind w:left="100"/>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344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 SHARES BENEFICIALLY</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(Discretionary Accounts)</w:t>
            </w:r>
          </w:p>
        </w:tc>
        <w:tc>
          <w:tcPr>
            <w:tcW w:w="0" w:type="dxa"/>
            <w:vAlign w:val="bottom"/>
          </w:tcPr>
          <w:p>
            <w:pPr>
              <w:spacing w:after="0"/>
              <w:rPr>
                <w:sz w:val="1"/>
                <w:szCs w:val="1"/>
                <w:color w:val="auto"/>
              </w:rPr>
            </w:pPr>
          </w:p>
        </w:tc>
      </w:tr>
      <w:tr>
        <w:trPr>
          <w:trHeight w:val="203"/>
        </w:trPr>
        <w:tc>
          <w:tcPr>
            <w:tcW w:w="3440" w:type="dxa"/>
            <w:vAlign w:val="bottom"/>
            <w:vMerge w:val="continue"/>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c>
          <w:tcPr>
            <w:tcW w:w="0" w:type="dxa"/>
            <w:vAlign w:val="bottom"/>
          </w:tcPr>
          <w:p>
            <w:pPr>
              <w:spacing w:after="0"/>
              <w:rPr>
                <w:sz w:val="1"/>
                <w:szCs w:val="1"/>
                <w:color w:val="auto"/>
              </w:rPr>
            </w:pPr>
          </w:p>
        </w:tc>
      </w:tr>
      <w:tr>
        <w:trPr>
          <w:trHeight w:val="296"/>
        </w:trPr>
        <w:tc>
          <w:tcPr>
            <w:tcW w:w="344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46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:(6) SHARED VOTING POWER</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30"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21"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 SOLE DISPOSITIVE POWER</w:t>
      </w:r>
    </w:p>
    <w:p>
      <w:pPr>
        <w:spacing w:after="0" w:line="169"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30"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21"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169"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69" w:lineRule="exact"/>
        <w:rPr>
          <w:sz w:val="20"/>
          <w:szCs w:val="20"/>
          <w:color w:val="auto"/>
        </w:rPr>
      </w:pPr>
    </w:p>
    <w:p>
      <w:pPr>
        <w:ind w:left="740"/>
        <w:spacing w:after="0"/>
        <w:tabs>
          <w:tab w:leader="none" w:pos="1360" w:val="left"/>
        </w:tabs>
        <w:rPr>
          <w:sz w:val="20"/>
          <w:szCs w:val="20"/>
          <w:color w:val="auto"/>
        </w:rPr>
      </w:pP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6"/>
          <w:szCs w:val="16"/>
          <w:color w:val="auto"/>
        </w:rPr>
        <w:t>(See Item 3 )</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 w:lineRule="exact"/>
        <w:rPr>
          <w:sz w:val="20"/>
          <w:szCs w:val="20"/>
          <w:color w:val="auto"/>
        </w:rPr>
      </w:pPr>
    </w:p>
    <w:p>
      <w:pPr>
        <w:ind w:left="640" w:hanging="632"/>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w:t>
      </w:r>
    </w:p>
    <w:p>
      <w:pPr>
        <w:ind w:left="640"/>
        <w:spacing w:after="0" w:line="238" w:lineRule="auto"/>
        <w:rPr>
          <w:sz w:val="20"/>
          <w:szCs w:val="20"/>
          <w:color w:val="auto"/>
        </w:rPr>
      </w:pPr>
      <w:r>
        <w:rPr>
          <w:rFonts w:ascii="Courier New" w:cs="Courier New" w:eastAsia="Courier New" w:hAnsi="Courier New"/>
          <w:sz w:val="18"/>
          <w:szCs w:val="18"/>
          <w:color w:val="auto"/>
        </w:rPr>
        <w:t>CERTAIN SHARES</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619" w:hanging="632"/>
        <w:spacing w:after="0" w:line="238"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7059" w:hanging="632"/>
        <w:spacing w:after="0" w:line="238"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Name of Issuer: Waste Management, Inc.</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("Issuer")</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ectPr>
          <w:pgSz w:w="11900" w:h="16838" w:orient="portrait"/>
          <w:cols w:equalWidth="0" w:num="1">
            <w:col w:w="10219"/>
          </w:cols>
          <w:pgMar w:left="240" w:top="110" w:right="1440" w:bottom="0" w:gutter="0" w:footer="0" w:header="0"/>
        </w:sectPr>
      </w:pPr>
    </w:p>
    <w:bookmarkStart w:id="2" w:name="page3"/>
    <w:bookmarkEnd w:id="2"/>
    <w:p>
      <w:pPr>
        <w:ind w:left="1060"/>
        <w:spacing w:after="0"/>
        <w:rPr>
          <w:sz w:val="20"/>
          <w:szCs w:val="20"/>
          <w:color w:val="auto"/>
        </w:rPr>
      </w:pPr>
      <w:r>
        <w:rPr>
          <w:rFonts w:ascii="Courier New" w:cs="Courier New" w:eastAsia="Courier New" w:hAnsi="Courier New"/>
          <w:sz w:val="18"/>
          <w:szCs w:val="18"/>
          <w:color w:val="auto"/>
        </w:rPr>
        <w:t>1001 Fannin, Suite 4000</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Houston, Texas 77002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right="3159" w:hanging="425"/>
        <w:spacing w:after="0" w:line="347" w:lineRule="auto"/>
        <w:tabs>
          <w:tab w:leader="none" w:pos="9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Names and Principal Business Addresses of Persons Filing:</w:t>
      </w:r>
    </w:p>
    <w:p>
      <w:pPr>
        <w:spacing w:after="0" w:line="18" w:lineRule="exact"/>
        <w:rPr>
          <w:rFonts w:ascii="Courier New" w:cs="Courier New" w:eastAsia="Courier New" w:hAnsi="Courier New"/>
          <w:sz w:val="18"/>
          <w:szCs w:val="18"/>
          <w:color w:val="auto"/>
        </w:rPr>
      </w:pPr>
    </w:p>
    <w:p>
      <w:pPr>
        <w:ind w:left="1700" w:right="4839" w:hanging="1692"/>
        <w:spacing w:after="0" w:line="292" w:lineRule="auto"/>
        <w:tabs>
          <w:tab w:leader="none" w:pos="17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Southeastern Asset Management, Inc. 6410 Poplar Ave., Suite 900 Memphis, TN 38119</w:t>
      </w:r>
    </w:p>
    <w:p>
      <w:pPr>
        <w:spacing w:after="0" w:line="66" w:lineRule="exact"/>
        <w:rPr>
          <w:rFonts w:ascii="Courier New" w:cs="Courier New" w:eastAsia="Courier New" w:hAnsi="Courier New"/>
          <w:sz w:val="18"/>
          <w:szCs w:val="18"/>
          <w:color w:val="auto"/>
        </w:rPr>
      </w:pPr>
    </w:p>
    <w:p>
      <w:pPr>
        <w:ind w:left="1700" w:hanging="1692"/>
        <w:spacing w:after="0"/>
        <w:tabs>
          <w:tab w:leader="none" w:pos="17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O. Mason Hawkins</w:t>
      </w:r>
    </w:p>
    <w:p>
      <w:pPr>
        <w:spacing w:after="0" w:line="30" w:lineRule="exact"/>
        <w:rPr>
          <w:rFonts w:ascii="Courier New" w:cs="Courier New" w:eastAsia="Courier New" w:hAnsi="Courier New"/>
          <w:sz w:val="18"/>
          <w:szCs w:val="18"/>
          <w:color w:val="auto"/>
        </w:rPr>
      </w:pPr>
    </w:p>
    <w:p>
      <w:pPr>
        <w:ind w:left="1700" w:right="4839"/>
        <w:spacing w:after="0" w:line="26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 and C.E.O. Southeastern Asset Management, Inc. 6410 Poplar Ave., Suite 900 Memphis, TN 38119</w:t>
      </w:r>
    </w:p>
    <w:p>
      <w:pPr>
        <w:spacing w:after="0" w:line="29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Southeastern Asset Management, Inc. - A Tennessee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O. Mason Hawkins - U.S. Citizen</w:t>
      </w:r>
    </w:p>
    <w:p>
      <w:pPr>
        <w:spacing w:after="0" w:line="201" w:lineRule="exact"/>
        <w:rPr>
          <w:sz w:val="20"/>
          <w:szCs w:val="20"/>
          <w:color w:val="auto"/>
        </w:rPr>
      </w:pPr>
    </w:p>
    <w:p>
      <w:pPr>
        <w:ind w:left="1280" w:right="4099" w:hanging="736"/>
        <w:spacing w:after="0" w:line="293" w:lineRule="auto"/>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 xml:space="preserve"> </w:t>
      </w:r>
      <w:r>
        <w:rPr>
          <w:rFonts w:ascii="Courier New" w:cs="Courier New" w:eastAsia="Courier New" w:hAnsi="Courier New"/>
          <w:sz w:val="18"/>
          <w:szCs w:val="18"/>
          <w:color w:val="auto"/>
        </w:rPr>
        <w:t>Common Stock (the "Securities").</w:t>
      </w:r>
    </w:p>
    <w:p>
      <w:pPr>
        <w:spacing w:after="0" w:line="311"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94106L109</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 (b) or</w:t>
      </w:r>
    </w:p>
    <w:p>
      <w:pPr>
        <w:spacing w:after="0" w:line="3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13d-2 (b), check whether the person filing is 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(e.)</w:t>
            </w:r>
          </w:p>
        </w:tc>
        <w:tc>
          <w:tcPr>
            <w:tcW w:w="20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Investment Adviser</w:t>
            </w:r>
          </w:p>
        </w:tc>
        <w:tc>
          <w:tcPr>
            <w:tcW w:w="180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9"/>
              </w:rPr>
              <w:t>registered under</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Section</w:t>
            </w:r>
          </w:p>
        </w:tc>
        <w:tc>
          <w:tcPr>
            <w:tcW w:w="14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203 of the</w:t>
            </w:r>
          </w:p>
        </w:tc>
      </w:tr>
      <w:tr>
        <w:trPr>
          <w:trHeight w:val="203"/>
        </w:trPr>
        <w:tc>
          <w:tcPr>
            <w:tcW w:w="1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Investment</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Advisers Act of</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1940.  This</w:t>
            </w:r>
          </w:p>
        </w:tc>
        <w:tc>
          <w:tcPr>
            <w:tcW w:w="13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statement is</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being</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filed</w:t>
            </w:r>
          </w:p>
        </w:tc>
      </w:tr>
      <w:tr>
        <w:trPr>
          <w:trHeight w:val="203"/>
        </w:trPr>
        <w:tc>
          <w:tcPr>
            <w:tcW w:w="40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by Southeastern Asset Management, Inc.</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2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6"/>
              </w:rPr>
              <w:t>registered investment</w:t>
            </w:r>
          </w:p>
        </w:tc>
      </w:tr>
      <w:tr>
        <w:trPr>
          <w:trHeight w:val="203"/>
        </w:trPr>
        <w:tc>
          <w:tcPr>
            <w:tcW w:w="40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adviser. All of the securities covered</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w:t>
            </w:r>
          </w:p>
        </w:tc>
        <w:tc>
          <w:tcPr>
            <w:tcW w:w="16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this report are</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owned</w:t>
            </w:r>
          </w:p>
        </w:tc>
      </w:tr>
      <w:tr>
        <w:trPr>
          <w:trHeight w:val="235"/>
        </w:trPr>
        <w:tc>
          <w:tcPr>
            <w:tcW w:w="800" w:type="dxa"/>
            <w:vAlign w:val="bottom"/>
          </w:tcPr>
          <w:p>
            <w:pPr>
              <w:spacing w:after="0"/>
              <w:rPr>
                <w:sz w:val="20"/>
                <w:szCs w:val="20"/>
                <w:color w:val="auto"/>
              </w:rPr>
            </w:pPr>
            <w:r>
              <w:rPr>
                <w:rFonts w:ascii="Courier New" w:cs="Courier New" w:eastAsia="Courier New" w:hAnsi="Courier New"/>
                <w:sz w:val="18"/>
                <w:szCs w:val="18"/>
                <w:color w:val="auto"/>
              </w:rPr>
              <w:t>legally</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by</w:t>
            </w:r>
          </w:p>
        </w:tc>
        <w:tc>
          <w:tcPr>
            <w:tcW w:w="4940" w:type="dxa"/>
            <w:vAlign w:val="bottom"/>
            <w:gridSpan w:val="6"/>
          </w:tcPr>
          <w:p>
            <w:pPr>
              <w:jc w:val="right"/>
              <w:spacing w:after="0"/>
              <w:rPr>
                <w:sz w:val="20"/>
                <w:szCs w:val="20"/>
                <w:color w:val="auto"/>
              </w:rPr>
            </w:pPr>
            <w:r>
              <w:rPr>
                <w:rFonts w:ascii="Courier New" w:cs="Courier New" w:eastAsia="Courier New" w:hAnsi="Courier New"/>
                <w:sz w:val="18"/>
                <w:szCs w:val="18"/>
                <w:color w:val="auto"/>
                <w:w w:val="98"/>
              </w:rPr>
              <w:t>Southeastern's investment advisory clients and</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none</w:t>
            </w:r>
          </w:p>
        </w:tc>
      </w:tr>
    </w:tbl>
    <w:p>
      <w:pPr>
        <w:ind w:right="3259"/>
        <w:spacing w:after="0" w:line="268" w:lineRule="auto"/>
        <w:rPr>
          <w:sz w:val="20"/>
          <w:szCs w:val="20"/>
          <w:color w:val="auto"/>
        </w:rPr>
      </w:pPr>
      <w:r>
        <w:rPr>
          <w:rFonts w:ascii="Courier New" w:cs="Courier New" w:eastAsia="Courier New" w:hAnsi="Courier New"/>
          <w:sz w:val="16"/>
          <w:szCs w:val="16"/>
          <w:color w:val="auto"/>
        </w:rPr>
        <w:t>are owned directly or indirectly by Southeastern. As permitted by Rule 13d-4, the filing of this statement shall not be construed as an admission that Southeastern Asset Management, Inc. is the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beneficial owner of any of the</w:t>
            </w:r>
          </w:p>
        </w:tc>
        <w:tc>
          <w:tcPr>
            <w:tcW w:w="1100" w:type="dxa"/>
            <w:vAlign w:val="bottom"/>
            <w:gridSpan w:val="3"/>
          </w:tcPr>
          <w:p>
            <w:pPr>
              <w:spacing w:after="0"/>
              <w:rPr>
                <w:sz w:val="20"/>
                <w:szCs w:val="20"/>
                <w:color w:val="auto"/>
              </w:rPr>
            </w:pPr>
            <w:r>
              <w:rPr>
                <w:rFonts w:ascii="Courier New" w:cs="Courier New" w:eastAsia="Courier New" w:hAnsi="Courier New"/>
                <w:sz w:val="18"/>
                <w:szCs w:val="18"/>
                <w:color w:val="auto"/>
                <w:w w:val="99"/>
              </w:rPr>
              <w:t>securities</w:t>
            </w:r>
          </w:p>
        </w:tc>
        <w:tc>
          <w:tcPr>
            <w:tcW w:w="16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covered by this</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statement.</w:t>
            </w:r>
          </w:p>
        </w:tc>
        <w:tc>
          <w:tcPr>
            <w:tcW w:w="0" w:type="dxa"/>
            <w:vAlign w:val="bottom"/>
          </w:tcPr>
          <w:p>
            <w:pPr>
              <w:spacing w:after="0"/>
              <w:rPr>
                <w:sz w:val="1"/>
                <w:szCs w:val="1"/>
                <w:color w:val="auto"/>
              </w:rPr>
            </w:pPr>
          </w:p>
        </w:tc>
      </w:tr>
      <w:tr>
        <w:trPr>
          <w:trHeight w:val="279"/>
        </w:trPr>
        <w:tc>
          <w:tcPr>
            <w:tcW w:w="640" w:type="dxa"/>
            <w:vAlign w:val="bottom"/>
          </w:tcPr>
          <w:p>
            <w:pPr>
              <w:spacing w:after="0"/>
              <w:rPr>
                <w:sz w:val="20"/>
                <w:szCs w:val="20"/>
                <w:color w:val="auto"/>
              </w:rPr>
            </w:pPr>
            <w:r>
              <w:rPr>
                <w:rFonts w:ascii="Courier New" w:cs="Courier New" w:eastAsia="Courier New" w:hAnsi="Courier New"/>
                <w:sz w:val="18"/>
                <w:szCs w:val="18"/>
                <w:color w:val="auto"/>
              </w:rPr>
              <w:t>(g.)</w:t>
            </w:r>
          </w:p>
        </w:tc>
        <w:tc>
          <w:tcPr>
            <w:tcW w:w="2640" w:type="dxa"/>
            <w:vAlign w:val="bottom"/>
          </w:tcPr>
          <w:p>
            <w:pPr>
              <w:ind w:left="220"/>
              <w:spacing w:after="0"/>
              <w:rPr>
                <w:sz w:val="20"/>
                <w:szCs w:val="20"/>
                <w:color w:val="auto"/>
              </w:rPr>
            </w:pPr>
            <w:r>
              <w:rPr>
                <w:rFonts w:ascii="Courier New" w:cs="Courier New" w:eastAsia="Courier New" w:hAnsi="Courier New"/>
                <w:sz w:val="18"/>
                <w:szCs w:val="18"/>
                <w:color w:val="auto"/>
                <w:w w:val="96"/>
              </w:rPr>
              <w:t>Parent Holding Company.</w:t>
            </w:r>
          </w:p>
        </w:tc>
        <w:tc>
          <w:tcPr>
            <w:tcW w:w="200" w:type="dxa"/>
            <w:vAlign w:val="bottom"/>
            <w:vMerge w:val="restart"/>
          </w:tcPr>
          <w:p>
            <w:pPr>
              <w:spacing w:after="0"/>
              <w:rPr>
                <w:sz w:val="20"/>
                <w:szCs w:val="20"/>
                <w:color w:val="auto"/>
              </w:rPr>
            </w:pPr>
            <w:r>
              <w:rPr>
                <w:rFonts w:ascii="Courier New" w:cs="Courier New" w:eastAsia="Courier New" w:hAnsi="Courier New"/>
                <w:sz w:val="18"/>
                <w:szCs w:val="18"/>
                <w:color w:val="auto"/>
                <w:w w:val="83"/>
              </w:rPr>
              <w:t>of</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This</w:t>
            </w:r>
          </w:p>
        </w:tc>
        <w:tc>
          <w:tcPr>
            <w:tcW w:w="1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statement</w:t>
            </w:r>
          </w:p>
        </w:tc>
        <w:tc>
          <w:tcPr>
            <w:tcW w:w="236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6"/>
              </w:rPr>
              <w:t>is also being filed by</w:t>
            </w:r>
          </w:p>
        </w:tc>
        <w:tc>
          <w:tcPr>
            <w:tcW w:w="0" w:type="dxa"/>
            <w:vAlign w:val="bottom"/>
          </w:tcPr>
          <w:p>
            <w:pPr>
              <w:spacing w:after="0"/>
              <w:rPr>
                <w:sz w:val="1"/>
                <w:szCs w:val="1"/>
                <w:color w:val="auto"/>
              </w:rPr>
            </w:pP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Mr. O. Mason Hawkins, Chairman</w:t>
            </w:r>
          </w:p>
        </w:tc>
        <w:tc>
          <w:tcPr>
            <w:tcW w:w="200" w:type="dxa"/>
            <w:vAlign w:val="bottom"/>
            <w:vMerge w:val="continue"/>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Board and</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C.E.O. of</w:t>
            </w:r>
          </w:p>
        </w:tc>
        <w:tc>
          <w:tcPr>
            <w:tcW w:w="132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be</w:t>
            </w:r>
          </w:p>
        </w:tc>
        <w:tc>
          <w:tcPr>
            <w:tcW w:w="0" w:type="dxa"/>
            <w:vAlign w:val="bottom"/>
          </w:tcPr>
          <w:p>
            <w:pPr>
              <w:spacing w:after="0"/>
              <w:rPr>
                <w:sz w:val="1"/>
                <w:szCs w:val="1"/>
                <w:color w:val="auto"/>
              </w:rPr>
            </w:pP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Southeastern Asset Management,</w:t>
            </w:r>
          </w:p>
        </w:tc>
        <w:tc>
          <w:tcPr>
            <w:tcW w:w="27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6"/>
              </w:rPr>
              <w:t>Inc. in the event he could</w:t>
            </w: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480" w:type="dxa"/>
            <w:vAlign w:val="bottom"/>
            <w:gridSpan w:val="3"/>
          </w:tcPr>
          <w:p>
            <w:pPr>
              <w:spacing w:after="0"/>
              <w:rPr>
                <w:sz w:val="20"/>
                <w:szCs w:val="20"/>
                <w:color w:val="auto"/>
              </w:rPr>
            </w:pPr>
            <w:r>
              <w:rPr>
                <w:rFonts w:ascii="Courier New" w:cs="Courier New" w:eastAsia="Courier New" w:hAnsi="Courier New"/>
                <w:sz w:val="18"/>
                <w:szCs w:val="18"/>
                <w:color w:val="auto"/>
                <w:w w:val="97"/>
              </w:rPr>
              <w:t>deemed to be a controlling person</w:t>
            </w:r>
          </w:p>
        </w:tc>
        <w:tc>
          <w:tcPr>
            <w:tcW w:w="9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of that</w:t>
            </w:r>
          </w:p>
        </w:tc>
        <w:tc>
          <w:tcPr>
            <w:tcW w:w="30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firm as the result of</w:t>
            </w:r>
          </w:p>
        </w:tc>
        <w:tc>
          <w:tcPr>
            <w:tcW w:w="0" w:type="dxa"/>
            <w:vAlign w:val="bottom"/>
          </w:tcPr>
          <w:p>
            <w:pPr>
              <w:spacing w:after="0"/>
              <w:rPr>
                <w:sz w:val="1"/>
                <w:szCs w:val="1"/>
                <w:color w:val="auto"/>
              </w:rPr>
            </w:pPr>
          </w:p>
        </w:tc>
      </w:tr>
    </w:tbl>
    <w:p>
      <w:pPr>
        <w:ind w:right="3159"/>
        <w:spacing w:after="0" w:line="250" w:lineRule="auto"/>
        <w:rPr>
          <w:sz w:val="20"/>
          <w:szCs w:val="20"/>
          <w:color w:val="auto"/>
        </w:rPr>
      </w:pPr>
      <w:r>
        <w:rPr>
          <w:rFonts w:ascii="Courier New" w:cs="Courier New" w:eastAsia="Courier New" w:hAnsi="Courier New"/>
          <w:sz w:val="18"/>
          <w:szCs w:val="18"/>
          <w:color w:val="auto"/>
        </w:rPr>
        <w:t>his official positions with or ownership of its voting securities. The existence of such control is expressly disclaimed. Mr. Hawkins does not own directly or indirectly any securities covered by this statement for his own account. As permitted by Rule 13d-4, the filing of this statement shall not be construed as an admission that Mr. Hawkins is the beneficial owner of any of the securities covered by this statement.</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Amount Beneficially Owned: (At 10/31/01)</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29,888,118 shares</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Percent of Class:</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4.8 %</w:t>
      </w:r>
    </w:p>
    <w:p>
      <w:pPr>
        <w:spacing w:after="0" w:line="169" w:lineRule="exact"/>
        <w:rPr>
          <w:sz w:val="20"/>
          <w:szCs w:val="20"/>
          <w:color w:val="auto"/>
        </w:rPr>
      </w:pPr>
    </w:p>
    <w:p>
      <w:pPr>
        <w:ind w:left="1060" w:right="3159"/>
        <w:spacing w:after="0" w:line="347" w:lineRule="auto"/>
        <w:rPr>
          <w:sz w:val="20"/>
          <w:szCs w:val="20"/>
          <w:color w:val="auto"/>
        </w:rPr>
      </w:pPr>
      <w:r>
        <w:rPr>
          <w:rFonts w:ascii="Courier New" w:cs="Courier New" w:eastAsia="Courier New" w:hAnsi="Courier New"/>
          <w:sz w:val="18"/>
          <w:szCs w:val="18"/>
          <w:color w:val="auto"/>
        </w:rPr>
        <w:t>Above percentage is based on 626,300,880 shares of Common Stock outstanding.</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15,968,218 shares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or no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- 9,960,100 shares.</w:t>
      </w:r>
    </w:p>
    <w:p>
      <w:pPr>
        <w:spacing w:after="0" w:line="31" w:lineRule="exact"/>
        <w:rPr>
          <w:sz w:val="20"/>
          <w:szCs w:val="20"/>
          <w:color w:val="auto"/>
        </w:rPr>
      </w:pPr>
    </w:p>
    <w:p>
      <w:pPr>
        <w:ind w:left="1800" w:right="2939"/>
        <w:spacing w:after="0" w:line="262"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ectPr>
          <w:pgSz w:w="11900" w:h="16838" w:orient="portrait"/>
          <w:cols w:equalWidth="0" w:num="1">
            <w:col w:w="10219"/>
          </w:cols>
          <w:pgMar w:left="240" w:top="110" w:right="1440" w:bottom="0" w:gutter="0" w:footer="0" w:header="0"/>
        </w:sectPr>
      </w:pPr>
    </w:p>
    <w:bookmarkStart w:id="3" w:name="page4"/>
    <w:bookmarkEnd w:id="3"/>
    <w:p>
      <w:pPr>
        <w:ind w:left="2120"/>
        <w:spacing w:after="0"/>
        <w:rPr>
          <w:sz w:val="20"/>
          <w:szCs w:val="20"/>
          <w:color w:val="auto"/>
        </w:rPr>
      </w:pPr>
      <w:r>
        <w:rPr>
          <w:rFonts w:ascii="Courier New" w:cs="Courier New" w:eastAsia="Courier New" w:hAnsi="Courier New"/>
          <w:sz w:val="18"/>
          <w:szCs w:val="18"/>
          <w:color w:val="auto"/>
        </w:rPr>
        <w:t>Longleaf Partners Fund - 9,960,100</w:t>
      </w:r>
    </w:p>
    <w:p>
      <w:pPr>
        <w:spacing w:after="0" w:line="201" w:lineRule="exact"/>
        <w:rPr>
          <w:sz w:val="20"/>
          <w:szCs w:val="20"/>
          <w:color w:val="auto"/>
        </w:rPr>
      </w:pPr>
    </w:p>
    <w:p>
      <w:pPr>
        <w:ind w:right="3159"/>
        <w:spacing w:after="0" w:line="318" w:lineRule="auto"/>
        <w:rPr>
          <w:sz w:val="20"/>
          <w:szCs w:val="20"/>
          <w:color w:val="auto"/>
        </w:rPr>
      </w:pPr>
      <w:r>
        <w:rPr>
          <w:rFonts w:ascii="Courier New" w:cs="Courier New" w:eastAsia="Courier New" w:hAnsi="Courier New"/>
          <w:sz w:val="16"/>
          <w:szCs w:val="16"/>
          <w:color w:val="auto"/>
        </w:rPr>
        <w:t>No Power to Vote - 3,959,800. This figure does not include 535,000 shares held by completely non-discretionary accounts over which the filing parties have neither voting nor dispositive power and for which the filing parties disclaim beneficial ownership.</w:t>
      </w:r>
    </w:p>
    <w:p>
      <w:pPr>
        <w:spacing w:after="0" w:line="255" w:lineRule="exact"/>
        <w:rPr>
          <w:sz w:val="20"/>
          <w:szCs w:val="20"/>
          <w:color w:val="auto"/>
        </w:rPr>
      </w:pPr>
    </w:p>
    <w:p>
      <w:pPr>
        <w:ind w:left="1800" w:right="3159" w:hanging="736"/>
        <w:spacing w:after="0" w:line="347" w:lineRule="auto"/>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18"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19,857,093 shares</w:t>
      </w:r>
    </w:p>
    <w:p>
      <w:pPr>
        <w:spacing w:after="0" w:line="201" w:lineRule="exact"/>
        <w:rPr>
          <w:sz w:val="20"/>
          <w:szCs w:val="20"/>
          <w:color w:val="auto"/>
        </w:rPr>
      </w:pPr>
    </w:p>
    <w:p>
      <w:pPr>
        <w:ind w:left="1800" w:right="3579" w:hanging="736"/>
        <w:spacing w:after="0" w:line="347" w:lineRule="auto"/>
        <w:tabs>
          <w:tab w:leader="none" w:pos="1780" w:val="left"/>
        </w:tabs>
        <w:rPr>
          <w:sz w:val="20"/>
          <w:szCs w:val="20"/>
          <w:color w:val="auto"/>
        </w:rPr>
      </w:pPr>
      <w:r>
        <w:rPr>
          <w:rFonts w:ascii="Courier New" w:cs="Courier New" w:eastAsia="Courier New" w:hAnsi="Courier New"/>
          <w:sz w:val="18"/>
          <w:szCs w:val="18"/>
          <w:color w:val="auto"/>
        </w:rPr>
        <w:t>(iv).</w:t>
        <w:tab/>
        <w:t>shared or no power to dispose or to direct the disposition of:</w:t>
      </w:r>
    </w:p>
    <w:p>
      <w:pPr>
        <w:spacing w:after="0" w:line="18"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- 9,960,100 shares</w:t>
      </w:r>
    </w:p>
    <w:p>
      <w:pPr>
        <w:spacing w:after="0" w:line="31" w:lineRule="exact"/>
        <w:rPr>
          <w:sz w:val="20"/>
          <w:szCs w:val="20"/>
          <w:color w:val="auto"/>
        </w:rPr>
      </w:pPr>
    </w:p>
    <w:p>
      <w:pPr>
        <w:ind w:left="1800" w:right="2939"/>
        <w:spacing w:after="0" w:line="262"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90"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Longleaf Partners Fund - 9,960,100</w:t>
      </w:r>
    </w:p>
    <w:p>
      <w:pPr>
        <w:spacing w:after="0" w:line="200" w:lineRule="exact"/>
        <w:rPr>
          <w:sz w:val="20"/>
          <w:szCs w:val="20"/>
          <w:color w:val="auto"/>
        </w:rPr>
      </w:pPr>
    </w:p>
    <w:p>
      <w:pPr>
        <w:spacing w:after="0" w:line="204" w:lineRule="exact"/>
        <w:rPr>
          <w:sz w:val="20"/>
          <w:szCs w:val="20"/>
          <w:color w:val="auto"/>
        </w:rPr>
      </w:pPr>
    </w:p>
    <w:p>
      <w:pPr>
        <w:ind w:right="3479"/>
        <w:spacing w:after="0" w:line="318" w:lineRule="auto"/>
        <w:rPr>
          <w:sz w:val="20"/>
          <w:szCs w:val="20"/>
          <w:color w:val="auto"/>
        </w:rPr>
      </w:pPr>
      <w:r>
        <w:rPr>
          <w:rFonts w:ascii="Courier New" w:cs="Courier New" w:eastAsia="Courier New" w:hAnsi="Courier New"/>
          <w:sz w:val="16"/>
          <w:szCs w:val="16"/>
          <w:color w:val="auto"/>
        </w:rPr>
        <w:t>No Power - 70,925 shares. This figure does not include 535,000 shares held by completely non-discretionary accounts over which the filing parties have neither voting nor dispositive power and for which the filing parties disclaim beneficial ownership.</w:t>
      </w:r>
    </w:p>
    <w:p>
      <w:pPr>
        <w:spacing w:after="0" w:line="255" w:lineRule="exact"/>
        <w:rPr>
          <w:sz w:val="20"/>
          <w:szCs w:val="20"/>
          <w:color w:val="auto"/>
        </w:rPr>
      </w:pPr>
    </w:p>
    <w:p>
      <w:pPr>
        <w:ind w:right="3039"/>
        <w:spacing w:after="0" w:line="292" w:lineRule="auto"/>
        <w:rPr>
          <w:sz w:val="20"/>
          <w:szCs w:val="20"/>
          <w:color w:val="auto"/>
        </w:rPr>
      </w:pPr>
      <w:r>
        <w:rPr>
          <w:rFonts w:ascii="Courier New" w:cs="Courier New" w:eastAsia="Courier New" w:hAnsi="Courier New"/>
          <w:sz w:val="18"/>
          <w:szCs w:val="18"/>
          <w:color w:val="auto"/>
        </w:rPr>
        <w:t>Item 5. Ownership of Five Percent or Less of a Class: This filing indicates that the filing parties no longer own as much as 5% of the Securities of the Issuer.</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w:t>
      </w:r>
    </w:p>
    <w:p>
      <w:pPr>
        <w:spacing w:after="0" w:line="31" w:lineRule="exact"/>
        <w:rPr>
          <w:sz w:val="20"/>
          <w:szCs w:val="20"/>
          <w:color w:val="auto"/>
        </w:rPr>
      </w:pPr>
    </w:p>
    <w:p>
      <w:pPr>
        <w:ind w:left="860"/>
        <w:spacing w:after="0"/>
        <w:tabs>
          <w:tab w:leader="none" w:pos="178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6"/>
          <w:szCs w:val="16"/>
          <w:color w:val="auto"/>
        </w:rPr>
        <w:t>N/A</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the Subsidiary Which</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Acquired the Security Being Reported on By the Parent</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Holding Company:</w:t>
      </w:r>
      <w:r>
        <w:rPr>
          <w:sz w:val="20"/>
          <w:szCs w:val="20"/>
          <w:color w:val="auto"/>
        </w:rPr>
        <w:tab/>
      </w:r>
      <w:r>
        <w:rPr>
          <w:rFonts w:ascii="Courier New" w:cs="Courier New" w:eastAsia="Courier New" w:hAnsi="Courier New"/>
          <w:sz w:val="16"/>
          <w:szCs w:val="16"/>
          <w:color w:val="auto"/>
        </w:rPr>
        <w:t>N/A</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372"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9. 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4" w:lineRule="exact"/>
        <w:rPr>
          <w:sz w:val="20"/>
          <w:szCs w:val="20"/>
          <w:color w:val="auto"/>
        </w:rPr>
      </w:pPr>
    </w:p>
    <w:p>
      <w:pPr>
        <w:ind w:right="3259"/>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3679"/>
        <w:spacing w:after="0" w:line="274" w:lineRule="auto"/>
        <w:rPr>
          <w:sz w:val="20"/>
          <w:szCs w:val="20"/>
          <w:color w:val="auto"/>
        </w:rPr>
      </w:pPr>
      <w:r>
        <w:rPr>
          <w:rFonts w:ascii="Courier New" w:cs="Courier New" w:eastAsia="Courier New" w:hAnsi="Courier New"/>
          <w:sz w:val="18"/>
          <w:szCs w:val="18"/>
          <w:color w:val="auto"/>
        </w:rPr>
        <w:t>After reasonable inquiry and to the best of the knowledge and belief of the undersigned, the undersigned certifies that the information set forth in this statement is true, complete, and correct.</w:t>
      </w:r>
    </w:p>
    <w:p>
      <w:pPr>
        <w:spacing w:after="0" w:line="8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November 7, 2001</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Charles D. Reaves</w:t>
      </w:r>
    </w:p>
    <w:p>
      <w:pPr>
        <w:spacing w:after="0" w:line="3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D. Reaves</w:t>
      </w:r>
    </w:p>
    <w:p>
      <w:pPr>
        <w:jc w:val="center"/>
        <w:ind w:right="299"/>
        <w:spacing w:after="0"/>
        <w:rPr>
          <w:sz w:val="20"/>
          <w:szCs w:val="20"/>
          <w:color w:val="auto"/>
        </w:rPr>
      </w:pPr>
      <w:r>
        <w:rPr>
          <w:rFonts w:ascii="Courier New" w:cs="Courier New" w:eastAsia="Courier New" w:hAnsi="Courier New"/>
          <w:sz w:val="18"/>
          <w:szCs w:val="18"/>
          <w:color w:val="auto"/>
        </w:rPr>
        <w:t>Vice President and General Counsel</w:t>
      </w:r>
    </w:p>
    <w:p>
      <w:pPr>
        <w:sectPr>
          <w:pgSz w:w="11900" w:h="16838" w:orient="portrait"/>
          <w:cols w:equalWidth="0" w:num="1">
            <w:col w:w="10219"/>
          </w:cols>
          <w:pgMar w:left="240" w:top="110" w:right="1440" w:bottom="0" w:gutter="0" w:footer="0" w:header="0"/>
        </w:sectPr>
      </w:pPr>
    </w:p>
    <w:bookmarkStart w:id="4" w:name="page5"/>
    <w:bookmarkEnd w:id="4"/>
    <w:p>
      <w:pPr>
        <w:ind w:left="3280"/>
        <w:spacing w:after="0"/>
        <w:rPr>
          <w:sz w:val="20"/>
          <w:szCs w:val="20"/>
          <w:color w:val="auto"/>
        </w:rPr>
      </w:pPr>
      <w:r>
        <w:rPr>
          <w:rFonts w:ascii="Courier New" w:cs="Courier New" w:eastAsia="Courier New" w:hAnsi="Courier New"/>
          <w:sz w:val="18"/>
          <w:szCs w:val="18"/>
          <w:color w:val="auto"/>
        </w:rPr>
        <w:t>O. Mason Hawkins, Individually</w:t>
      </w:r>
    </w:p>
    <w:p>
      <w:pPr>
        <w:spacing w:after="0" w:line="2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 O. Mason Hawkins</w:t>
      </w:r>
    </w:p>
    <w:p>
      <w:pPr>
        <w:ind w:left="3160"/>
        <w:spacing w:after="0"/>
        <w:rPr>
          <w:sz w:val="20"/>
          <w:szCs w:val="20"/>
          <w:color w:val="auto"/>
        </w:rPr>
      </w:pPr>
      <w:r>
        <w:rPr>
          <w:rFonts w:ascii="Courier New" w:cs="Courier New" w:eastAsia="Courier New" w:hAnsi="Courier New"/>
          <w:sz w:val="18"/>
          <w:szCs w:val="18"/>
          <w:color w:val="auto"/>
        </w:rPr>
        <w:t>_______________________________________________</w:t>
      </w:r>
    </w:p>
    <w:p>
      <w:pPr>
        <w:spacing w:after="0" w:line="169"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Joint Filing Agreement</w:t>
      </w:r>
    </w:p>
    <w:p>
      <w:pPr>
        <w:spacing w:after="0" w:line="201" w:lineRule="exact"/>
        <w:rPr>
          <w:sz w:val="20"/>
          <w:szCs w:val="20"/>
          <w:color w:val="auto"/>
        </w:rPr>
      </w:pPr>
    </w:p>
    <w:p>
      <w:pPr>
        <w:ind w:right="3159"/>
        <w:spacing w:after="0" w:line="256" w:lineRule="auto"/>
        <w:rPr>
          <w:sz w:val="20"/>
          <w:szCs w:val="20"/>
          <w:color w:val="auto"/>
        </w:rPr>
      </w:pPr>
      <w:r>
        <w:rPr>
          <w:rFonts w:ascii="Courier New" w:cs="Courier New" w:eastAsia="Courier New" w:hAnsi="Courier New"/>
          <w:sz w:val="18"/>
          <w:szCs w:val="18"/>
          <w:color w:val="auto"/>
        </w:rPr>
        <w:t>In accordance with Rule 13d-1(f)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Agreement as of November 7, 2001.</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Charles D. Reaves</w:t>
      </w:r>
    </w:p>
    <w:p>
      <w:pPr>
        <w:spacing w:after="0" w:line="3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D. Reaves</w:t>
      </w:r>
    </w:p>
    <w:p>
      <w:pPr>
        <w:jc w:val="center"/>
        <w:ind w:right="299"/>
        <w:spacing w:after="0"/>
        <w:rPr>
          <w:sz w:val="20"/>
          <w:szCs w:val="20"/>
          <w:color w:val="auto"/>
        </w:rPr>
      </w:pPr>
      <w:r>
        <w:rPr>
          <w:rFonts w:ascii="Courier New" w:cs="Courier New" w:eastAsia="Courier New" w:hAnsi="Courier New"/>
          <w:sz w:val="18"/>
          <w:szCs w:val="18"/>
          <w:color w:val="auto"/>
        </w:rPr>
        <w:t>Vice President and General Counsel</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3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_______________________________________________</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WMI13G2.doc</w:t>
      </w:r>
    </w:p>
    <w:p>
      <w:pPr>
        <w:spacing w:after="0" w:line="238" w:lineRule="auto"/>
        <w:rPr>
          <w:sz w:val="20"/>
          <w:szCs w:val="20"/>
          <w:color w:val="auto"/>
        </w:rPr>
      </w:pPr>
      <w:r>
        <w:rPr>
          <w:rFonts w:ascii="Courier New" w:cs="Courier New" w:eastAsia="Courier New" w:hAnsi="Courier New"/>
          <w:sz w:val="18"/>
          <w:szCs w:val="18"/>
          <w:color w:val="auto"/>
        </w:rPr>
        <w:t>SCHEDULE 13G - Waste Management, Inc. ("Issuer")</w:t>
      </w: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7</w:t>
      </w:r>
    </w:p>
    <w:p>
      <w:pPr>
        <w:spacing w:after="0"/>
        <w:rPr>
          <w:sz w:val="20"/>
          <w:szCs w:val="20"/>
          <w:color w:val="auto"/>
        </w:rPr>
      </w:pPr>
      <w:r>
        <w:rPr>
          <w:rFonts w:ascii="Courier New" w:cs="Courier New" w:eastAsia="Courier New" w:hAnsi="Courier New"/>
          <w:sz w:val="18"/>
          <w:szCs w:val="18"/>
          <w:color w:val="auto"/>
        </w:rPr>
        <w:t>WMI13G2.doc</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2"/>
    </w:lvl>
    <w:lvl w:ilvl="1">
      <w:lvlJc w:val="left"/>
      <w:lvlText w:val="(%2)"/>
      <w:numFmt w:val="lowerLetter"/>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9"/>
    </w:lvl>
  </w:abstractNum>
  <w:abstractNum w:abstractNumId="5">
    <w:nsid w:val="1F16E9E8"/>
    <w:multiLevelType w:val="hybridMultilevel"/>
    <w:lvl w:ilvl="0">
      <w:lvlJc w:val="left"/>
      <w:lvlText w:val="(%1)"/>
      <w:numFmt w:val="decimal"/>
      <w:start w:val="10"/>
    </w:lvl>
  </w:abstractNum>
  <w:abstractNum w:abstractNumId="6">
    <w:nsid w:val="1190CDE7"/>
    <w:multiLevelType w:val="hybridMultilevel"/>
    <w:lvl w:ilvl="0">
      <w:lvlJc w:val="left"/>
      <w:lvlText w:val="(%1)"/>
      <w:numFmt w:val="decimal"/>
      <w:start w:val="11"/>
    </w:lvl>
  </w:abstractNum>
  <w:abstractNum w:abstractNumId="7">
    <w:nsid w:val="66EF438D"/>
    <w:multiLevelType w:val="hybridMultilevel"/>
    <w:lvl w:ilvl="0">
      <w:lvlJc w:val="left"/>
      <w:lvlText w:val="(%1)"/>
      <w:numFmt w:val="decimal"/>
      <w:start w:val="12"/>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2"/>
    </w:lvl>
    <w:lvl w:ilvl="1">
      <w:lvlJc w:val="left"/>
      <w:lvlText w:val="(%2)"/>
      <w:numFmt w:val="lowerLetter"/>
      <w:start w:val="1"/>
    </w:lvl>
  </w:abstractNum>
  <w:abstractNum w:abstractNumId="10">
    <w:nsid w:val="109CF92E"/>
    <w:multiLevelType w:val="hybridMultilevel"/>
    <w:lvl w:ilvl="0">
      <w:lvlJc w:val="left"/>
      <w:lvlText w:val="(%1)"/>
      <w:numFmt w:val="decimal"/>
      <w:start w:val="8"/>
    </w:lvl>
    <w:lvl w:ilvl="1">
      <w:lvlJc w:val="left"/>
      <w:lvlText w:val=":"/>
      <w:numFmt w:val="bullet"/>
      <w:start w:val="1"/>
    </w:lvl>
  </w:abstractNum>
  <w:abstractNum w:abstractNumId="11">
    <w:nsid w:val="DED7263"/>
    <w:multiLevelType w:val="hybridMultilevel"/>
    <w:lvl w:ilvl="0">
      <w:lvlJc w:val="left"/>
      <w:lvlText w:val="(%1)"/>
      <w:numFmt w:val="decimal"/>
      <w:start w:val="10"/>
    </w:lvl>
  </w:abstractNum>
  <w:abstractNum w:abstractNumId="12">
    <w:nsid w:val="7FDCC233"/>
    <w:multiLevelType w:val="hybridMultilevel"/>
    <w:lvl w:ilvl="0">
      <w:lvlJc w:val="left"/>
      <w:lvlText w:val="(%1)"/>
      <w:numFmt w:val="decimal"/>
      <w:start w:val="11"/>
    </w:lvl>
  </w:abstractNum>
  <w:abstractNum w:abstractNumId="13">
    <w:nsid w:val="1BEFD79F"/>
    <w:multiLevelType w:val="hybridMultilevel"/>
    <w:lvl w:ilvl="0">
      <w:lvlJc w:val="left"/>
      <w:lvlText w:val="(%1)"/>
      <w:numFmt w:val="decimal"/>
      <w:start w:val="12"/>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2019-12-19T21:51:08Z</dcterms:created>
  <dcterms:modified xsi:type="dcterms:W3CDTF">2019-12-19T21:51:08Z</dcterms:modified>
</cp:coreProperties>
</file>