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ind w:left="4820" w:right="3579" w:hanging="4372"/>
        <w:spacing w:after="0" w:line="254" w:lineRule="auto"/>
        <w:rPr>
          <w:sz w:val="20"/>
          <w:szCs w:val="20"/>
          <w:color w:val="auto"/>
        </w:rPr>
      </w:pPr>
      <w:r>
        <w:rPr>
          <w:rFonts w:ascii="Courier New" w:cs="Courier New" w:eastAsia="Courier New" w:hAnsi="Courier New"/>
          <w:sz w:val="14"/>
          <w:szCs w:val="14"/>
          <w:color w:val="auto"/>
        </w:rPr>
        <w:t>AS FILED WITH THE SECURITIES AND EXCHANGE COMMISSION ON JULY 15, 1996 REGISTRATION NO. 333-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S-4</w:t>
      </w:r>
    </w:p>
    <w:p>
      <w:pPr>
        <w:ind w:left="2460"/>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160"/>
        <w:spacing w:after="0" w:line="238" w:lineRule="auto"/>
        <w:rPr>
          <w:sz w:val="20"/>
          <w:szCs w:val="20"/>
          <w:color w:val="auto"/>
        </w:rPr>
      </w:pPr>
      <w:r>
        <w:rPr>
          <w:rFonts w:ascii="Courier New" w:cs="Courier New" w:eastAsia="Courier New" w:hAnsi="Courier New"/>
          <w:sz w:val="15"/>
          <w:szCs w:val="15"/>
          <w:color w:val="auto"/>
        </w:rPr>
        <w:t>UNDER</w:t>
      </w:r>
    </w:p>
    <w:p>
      <w:pPr>
        <w:ind w:left="2280"/>
        <w:spacing w:after="0" w:line="237" w:lineRule="auto"/>
        <w:rPr>
          <w:sz w:val="20"/>
          <w:szCs w:val="20"/>
          <w:color w:val="auto"/>
        </w:rPr>
      </w:pPr>
      <w:r>
        <w:rPr>
          <w:rFonts w:ascii="Courier New" w:cs="Courier New" w:eastAsia="Courier New" w:hAnsi="Courier New"/>
          <w:sz w:val="15"/>
          <w:szCs w:val="15"/>
          <w:color w:val="auto"/>
        </w:rPr>
        <w:t>THE SECURITIES ACT OF 1933</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USA WASTE SERVICES, INC.</w:t>
      </w:r>
    </w:p>
    <w:p>
      <w:pPr>
        <w:jc w:val="center"/>
        <w:ind w:right="339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69" w:gutter="0" w:footer="0" w:header="0"/>
        </w:sectPr>
      </w:pPr>
    </w:p>
    <w:p>
      <w:pPr>
        <w:spacing w:after="0" w:line="200" w:lineRule="exact"/>
        <w:rPr>
          <w:sz w:val="24"/>
          <w:szCs w:val="24"/>
          <w:color w:val="auto"/>
        </w:rPr>
      </w:pPr>
    </w:p>
    <w:p>
      <w:pPr>
        <w:spacing w:after="0" w:line="303"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540"/>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5"/>
          <w:szCs w:val="15"/>
          <w:color w:val="auto"/>
        </w:rPr>
        <w:t>4953</w:t>
      </w:r>
    </w:p>
    <w:p>
      <w:pPr>
        <w:spacing w:after="0" w:line="5"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4"/>
          <w:szCs w:val="14"/>
          <w:color w:val="auto"/>
        </w:rPr>
        <w:t>(Primary Standard Industrial</w:t>
      </w:r>
    </w:p>
    <w:p>
      <w:pPr>
        <w:spacing w:after="0" w:line="3"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5"/>
          <w:szCs w:val="15"/>
          <w:color w:val="auto"/>
        </w:rPr>
        <w:t>Classification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5"/>
          <w:szCs w:val="15"/>
          <w:color w:val="auto"/>
        </w:rPr>
        <w:t>73-1309529</w:t>
      </w:r>
    </w:p>
    <w:p>
      <w:pPr>
        <w:jc w:val="center"/>
        <w:ind w:right="1139"/>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4"/>
          <w:szCs w:val="14"/>
          <w:color w:val="auto"/>
        </w:rPr>
        <w:t>Identification Number)</w:t>
      </w:r>
    </w:p>
    <w:p>
      <w:pPr>
        <w:spacing w:after="0" w:line="170" w:lineRule="exact"/>
        <w:rPr>
          <w:sz w:val="24"/>
          <w:szCs w:val="24"/>
          <w:color w:val="auto"/>
        </w:rPr>
      </w:pPr>
    </w:p>
    <w:p>
      <w:pPr>
        <w:sectPr>
          <w:pgSz w:w="11900" w:h="16838" w:orient="portrait"/>
          <w:cols w:equalWidth="0" w:num="3">
            <w:col w:w="3240" w:space="700"/>
            <w:col w:w="2520" w:space="720"/>
            <w:col w:w="3059"/>
          </w:cols>
          <w:pgMar w:left="220" w:top="225" w:right="1440" w:bottom="69" w:gutter="0" w:footer="0" w:header="0"/>
          <w:type w:val="continuous"/>
        </w:sectPr>
      </w:pPr>
    </w:p>
    <w:p>
      <w:pPr>
        <w:ind w:left="6840"/>
        <w:spacing w:after="0"/>
        <w:rPr>
          <w:sz w:val="20"/>
          <w:szCs w:val="20"/>
          <w:color w:val="auto"/>
        </w:rPr>
      </w:pPr>
      <w:r>
        <w:rPr>
          <w:rFonts w:ascii="Courier New" w:cs="Courier New" w:eastAsia="Courier New" w:hAnsi="Courier New"/>
          <w:sz w:val="15"/>
          <w:szCs w:val="15"/>
          <w:color w:val="auto"/>
        </w:rPr>
        <w:t>GREGORY T. SANGALIS</w:t>
      </w:r>
    </w:p>
    <w:p>
      <w:pPr>
        <w:ind w:left="980"/>
        <w:spacing w:after="0"/>
        <w:tabs>
          <w:tab w:leader="none" w:pos="6540" w:val="left"/>
        </w:tabs>
        <w:rPr>
          <w:sz w:val="20"/>
          <w:szCs w:val="20"/>
          <w:color w:val="auto"/>
        </w:rPr>
      </w:pPr>
      <w:r>
        <w:rPr>
          <w:rFonts w:ascii="Courier New" w:cs="Courier New" w:eastAsia="Courier New" w:hAnsi="Courier New"/>
          <w:sz w:val="15"/>
          <w:szCs w:val="15"/>
          <w:color w:val="auto"/>
        </w:rPr>
        <w:t>USA WASTE SERVICES, INC.</w:t>
      </w:r>
      <w:r>
        <w:rPr>
          <w:sz w:val="20"/>
          <w:szCs w:val="20"/>
          <w:color w:val="auto"/>
        </w:rPr>
        <w:tab/>
      </w:r>
      <w:r>
        <w:rPr>
          <w:rFonts w:ascii="Courier New" w:cs="Courier New" w:eastAsia="Courier New" w:hAnsi="Courier New"/>
          <w:sz w:val="14"/>
          <w:szCs w:val="14"/>
          <w:color w:val="auto"/>
        </w:rPr>
        <w:t>USA WASTE SERVICES, INC.</w:t>
      </w:r>
    </w:p>
    <w:p>
      <w:pPr>
        <w:ind w:left="1320"/>
        <w:spacing w:after="0"/>
        <w:tabs>
          <w:tab w:leader="none" w:pos="6900" w:val="left"/>
        </w:tabs>
        <w:rPr>
          <w:sz w:val="20"/>
          <w:szCs w:val="20"/>
          <w:color w:val="auto"/>
        </w:rPr>
      </w:pPr>
      <w:r>
        <w:rPr>
          <w:rFonts w:ascii="Courier New" w:cs="Courier New" w:eastAsia="Courier New" w:hAnsi="Courier New"/>
          <w:sz w:val="15"/>
          <w:szCs w:val="15"/>
          <w:color w:val="auto"/>
        </w:rPr>
        <w:t>5400 LBJ FREEWAY</w:t>
      </w:r>
      <w:r>
        <w:rPr>
          <w:sz w:val="20"/>
          <w:szCs w:val="20"/>
          <w:color w:val="auto"/>
        </w:rPr>
        <w:tab/>
      </w:r>
      <w:r>
        <w:rPr>
          <w:rFonts w:ascii="Courier New" w:cs="Courier New" w:eastAsia="Courier New" w:hAnsi="Courier New"/>
          <w:sz w:val="14"/>
          <w:szCs w:val="14"/>
          <w:color w:val="auto"/>
        </w:rPr>
        <w:t>5400 LBJ FREEWAY</w:t>
      </w:r>
    </w:p>
    <w:p>
      <w:pPr>
        <w:ind w:left="1240"/>
        <w:spacing w:after="0"/>
        <w:tabs>
          <w:tab w:leader="none" w:pos="6820" w:val="left"/>
        </w:tabs>
        <w:rPr>
          <w:sz w:val="20"/>
          <w:szCs w:val="20"/>
          <w:color w:val="auto"/>
        </w:rPr>
      </w:pPr>
      <w:r>
        <w:rPr>
          <w:rFonts w:ascii="Courier New" w:cs="Courier New" w:eastAsia="Courier New" w:hAnsi="Courier New"/>
          <w:sz w:val="15"/>
          <w:szCs w:val="15"/>
          <w:color w:val="auto"/>
        </w:rPr>
        <w:t>SUITE 300-TOWER ONE</w:t>
      </w:r>
      <w:r>
        <w:rPr>
          <w:sz w:val="20"/>
          <w:szCs w:val="20"/>
          <w:color w:val="auto"/>
        </w:rPr>
        <w:tab/>
      </w:r>
      <w:r>
        <w:rPr>
          <w:rFonts w:ascii="Courier New" w:cs="Courier New" w:eastAsia="Courier New" w:hAnsi="Courier New"/>
          <w:sz w:val="14"/>
          <w:szCs w:val="14"/>
          <w:color w:val="auto"/>
        </w:rPr>
        <w:t>SUITE 300-TOWER ONE</w:t>
      </w:r>
    </w:p>
    <w:p>
      <w:pPr>
        <w:ind w:left="1240"/>
        <w:spacing w:after="0"/>
        <w:tabs>
          <w:tab w:leader="none" w:pos="6820" w:val="left"/>
        </w:tabs>
        <w:rPr>
          <w:sz w:val="20"/>
          <w:szCs w:val="20"/>
          <w:color w:val="auto"/>
        </w:rPr>
      </w:pPr>
      <w:r>
        <w:rPr>
          <w:rFonts w:ascii="Courier New" w:cs="Courier New" w:eastAsia="Courier New" w:hAnsi="Courier New"/>
          <w:sz w:val="15"/>
          <w:szCs w:val="15"/>
          <w:color w:val="auto"/>
        </w:rPr>
        <w:t>DALLAS, TEXAS 75240</w:t>
      </w:r>
      <w:r>
        <w:rPr>
          <w:sz w:val="20"/>
          <w:szCs w:val="20"/>
          <w:color w:val="auto"/>
        </w:rPr>
        <w:tab/>
      </w:r>
      <w:r>
        <w:rPr>
          <w:rFonts w:ascii="Courier New" w:cs="Courier New" w:eastAsia="Courier New" w:hAnsi="Courier New"/>
          <w:sz w:val="14"/>
          <w:szCs w:val="14"/>
          <w:color w:val="auto"/>
        </w:rPr>
        <w:t>DALLAS, TEXAS 75240</w:t>
      </w:r>
    </w:p>
    <w:p>
      <w:pPr>
        <w:ind w:left="1400"/>
        <w:spacing w:after="0"/>
        <w:tabs>
          <w:tab w:leader="none" w:pos="6980" w:val="left"/>
        </w:tabs>
        <w:rPr>
          <w:sz w:val="20"/>
          <w:szCs w:val="20"/>
          <w:color w:val="auto"/>
        </w:rPr>
      </w:pPr>
      <w:r>
        <w:rPr>
          <w:rFonts w:ascii="Courier New" w:cs="Courier New" w:eastAsia="Courier New" w:hAnsi="Courier New"/>
          <w:sz w:val="15"/>
          <w:szCs w:val="15"/>
          <w:color w:val="auto"/>
        </w:rPr>
        <w:t>(214) 383-7900</w:t>
      </w:r>
      <w:r>
        <w:rPr>
          <w:sz w:val="20"/>
          <w:szCs w:val="20"/>
          <w:color w:val="auto"/>
        </w:rPr>
        <w:tab/>
      </w:r>
      <w:r>
        <w:rPr>
          <w:rFonts w:ascii="Courier New" w:cs="Courier New" w:eastAsia="Courier New" w:hAnsi="Courier New"/>
          <w:sz w:val="14"/>
          <w:szCs w:val="14"/>
          <w:color w:val="auto"/>
        </w:rPr>
        <w:t>(214) 383-7900</w:t>
      </w:r>
    </w:p>
    <w:p>
      <w:pPr>
        <w:sectPr>
          <w:pgSz w:w="11900" w:h="16838" w:orient="portrait"/>
          <w:cols w:equalWidth="0" w:num="1">
            <w:col w:w="10239"/>
          </w:cols>
          <w:pgMar w:left="220" w:top="225" w:right="1440" w:bottom="69"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5080" w:type="dxa"/>
            <w:vAlign w:val="bottom"/>
          </w:tcPr>
          <w:p>
            <w:pPr>
              <w:spacing w:after="0" w:line="169" w:lineRule="exact"/>
              <w:rPr>
                <w:sz w:val="20"/>
                <w:szCs w:val="20"/>
                <w:color w:val="auto"/>
              </w:rPr>
            </w:pPr>
            <w:r>
              <w:rPr>
                <w:rFonts w:ascii="Courier New" w:cs="Courier New" w:eastAsia="Courier New" w:hAnsi="Courier New"/>
                <w:sz w:val="15"/>
                <w:szCs w:val="15"/>
                <w:color w:val="auto"/>
                <w:w w:val="98"/>
              </w:rPr>
              <w:t>(Name, address, including zip code, and telephone number,</w:t>
            </w:r>
          </w:p>
        </w:tc>
        <w:tc>
          <w:tcPr>
            <w:tcW w:w="50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8"/>
              </w:rPr>
              <w:t>(Name, address, including zip code, and telephone number,</w:t>
            </w:r>
          </w:p>
        </w:tc>
      </w:tr>
      <w:tr>
        <w:trPr>
          <w:trHeight w:val="168"/>
        </w:trPr>
        <w:tc>
          <w:tcPr>
            <w:tcW w:w="5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including area code, of registrant)</w:t>
            </w:r>
          </w:p>
        </w:tc>
        <w:tc>
          <w:tcPr>
            <w:tcW w:w="50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including area code, of agent for service)</w:t>
            </w:r>
          </w:p>
        </w:tc>
      </w:tr>
      <w:tr>
        <w:trPr>
          <w:trHeight w:val="168"/>
        </w:trPr>
        <w:tc>
          <w:tcPr>
            <w:tcW w:w="10160" w:type="dxa"/>
            <w:vAlign w:val="bottom"/>
            <w:gridSpan w:val="2"/>
          </w:tcPr>
          <w:p>
            <w:pPr>
              <w:jc w:val="right"/>
              <w:ind w:right="40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160" w:type="dxa"/>
            <w:vAlign w:val="bottom"/>
            <w:gridSpan w:val="2"/>
          </w:tcPr>
          <w:p>
            <w:pPr>
              <w:jc w:val="right"/>
              <w:ind w:right="4307"/>
              <w:spacing w:after="0"/>
              <w:rPr>
                <w:sz w:val="20"/>
                <w:szCs w:val="20"/>
                <w:color w:val="auto"/>
              </w:rPr>
            </w:pPr>
            <w:r>
              <w:rPr>
                <w:rFonts w:ascii="Courier New" w:cs="Courier New" w:eastAsia="Courier New" w:hAnsi="Courier New"/>
                <w:sz w:val="15"/>
                <w:szCs w:val="15"/>
                <w:color w:val="auto"/>
              </w:rPr>
              <w:t>Copies to:</w:t>
            </w:r>
          </w:p>
        </w:tc>
      </w:tr>
      <w:tr>
        <w:trPr>
          <w:trHeight w:val="168"/>
        </w:trPr>
        <w:tc>
          <w:tcPr>
            <w:tcW w:w="50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STEPHEN A. MASSAD</w:t>
            </w:r>
          </w:p>
        </w:tc>
        <w:tc>
          <w:tcPr>
            <w:tcW w:w="508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6"/>
              </w:rPr>
              <w:t>WILLIAM N. FINNEGAN, IV</w:t>
            </w:r>
          </w:p>
        </w:tc>
      </w:tr>
      <w:tr>
        <w:trPr>
          <w:trHeight w:val="168"/>
        </w:trPr>
        <w:tc>
          <w:tcPr>
            <w:tcW w:w="50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BAKER &amp; BOTTS, L.L.P.</w:t>
            </w:r>
          </w:p>
        </w:tc>
        <w:tc>
          <w:tcPr>
            <w:tcW w:w="508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ANDREWS &amp; KURTH L.L.P.</w:t>
            </w:r>
          </w:p>
        </w:tc>
      </w:tr>
      <w:tr>
        <w:trPr>
          <w:trHeight w:val="168"/>
        </w:trPr>
        <w:tc>
          <w:tcPr>
            <w:tcW w:w="5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910 LOUISIANA STREET, 31ST FLOOR</w:t>
            </w:r>
          </w:p>
        </w:tc>
        <w:tc>
          <w:tcPr>
            <w:tcW w:w="508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7"/>
              </w:rPr>
              <w:t>4200 TEXAS COMMERCE TOWER</w:t>
            </w:r>
          </w:p>
        </w:tc>
      </w:tr>
      <w:tr>
        <w:trPr>
          <w:trHeight w:val="168"/>
        </w:trPr>
        <w:tc>
          <w:tcPr>
            <w:tcW w:w="5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HOUSTON, TEXAS 77002</w:t>
            </w:r>
          </w:p>
        </w:tc>
        <w:tc>
          <w:tcPr>
            <w:tcW w:w="5080" w:type="dxa"/>
            <w:vAlign w:val="bottom"/>
          </w:tcPr>
          <w:p>
            <w:pPr>
              <w:jc w:val="center"/>
              <w:ind w:left="1667"/>
              <w:spacing w:after="0" w:line="168" w:lineRule="exact"/>
              <w:rPr>
                <w:sz w:val="20"/>
                <w:szCs w:val="20"/>
                <w:color w:val="auto"/>
              </w:rPr>
            </w:pPr>
            <w:r>
              <w:rPr>
                <w:rFonts w:ascii="Courier New" w:cs="Courier New" w:eastAsia="Courier New" w:hAnsi="Courier New"/>
                <w:sz w:val="15"/>
                <w:szCs w:val="15"/>
                <w:color w:val="auto"/>
                <w:w w:val="96"/>
              </w:rPr>
              <w:t>HOUSTON, TEXAS 77002</w:t>
            </w:r>
          </w:p>
        </w:tc>
      </w:tr>
      <w:tr>
        <w:trPr>
          <w:trHeight w:val="168"/>
        </w:trPr>
        <w:tc>
          <w:tcPr>
            <w:tcW w:w="5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(713) 229-1234</w:t>
            </w:r>
          </w:p>
        </w:tc>
        <w:tc>
          <w:tcPr>
            <w:tcW w:w="5080" w:type="dxa"/>
            <w:vAlign w:val="bottom"/>
          </w:tcPr>
          <w:p>
            <w:pPr>
              <w:jc w:val="center"/>
              <w:ind w:left="1667"/>
              <w:spacing w:after="0" w:line="168" w:lineRule="exact"/>
              <w:rPr>
                <w:sz w:val="20"/>
                <w:szCs w:val="20"/>
                <w:color w:val="auto"/>
              </w:rPr>
            </w:pPr>
            <w:r>
              <w:rPr>
                <w:rFonts w:ascii="Courier New" w:cs="Courier New" w:eastAsia="Courier New" w:hAnsi="Courier New"/>
                <w:sz w:val="15"/>
                <w:szCs w:val="15"/>
                <w:color w:val="auto"/>
                <w:w w:val="96"/>
              </w:rPr>
              <w:t>(713) 220-4200</w:t>
            </w:r>
          </w:p>
        </w:tc>
      </w:tr>
    </w:tbl>
    <w:p>
      <w:pPr>
        <w:spacing w:after="0" w:line="341" w:lineRule="exact"/>
        <w:rPr>
          <w:sz w:val="24"/>
          <w:szCs w:val="24"/>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 and the satisfaction or waiver of all other conditions to the merger (the "Merger") of Quatro Acquisition Corp. ("Acquisition") with and into Sanifill, Inc. ("Sanifill") pursuant to the Agreement and Plan of Merger dated as of June 22, 1996, among USA Waste Services, Inc., Acquisition and Sanifill, described in the enclosed Joint Proxy Statement/Prospectus.</w:t>
      </w:r>
    </w:p>
    <w:p>
      <w:pPr>
        <w:spacing w:after="0" w:line="176" w:lineRule="exact"/>
        <w:rPr>
          <w:sz w:val="24"/>
          <w:szCs w:val="24"/>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If the securities being registered on the Form are to be offered in connection with the formation of a holding company and there is compliance with General Instruction G, check the following box. [ ]</w:t>
      </w:r>
    </w:p>
    <w:p>
      <w:pPr>
        <w:spacing w:after="0" w:line="174" w:lineRule="exact"/>
        <w:rPr>
          <w:sz w:val="24"/>
          <w:szCs w:val="24"/>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880" w:type="dxa"/>
        <w:tblCellMar>
          <w:top w:w="0" w:type="dxa"/>
          <w:left w:w="0" w:type="dxa"/>
          <w:bottom w:w="0" w:type="dxa"/>
          <w:right w:w="0" w:type="dxa"/>
        </w:tblCellMar>
      </w:tblPr>
      <w:tr>
        <w:trPr>
          <w:trHeight w:val="168"/>
        </w:trPr>
        <w:tc>
          <w:tcPr>
            <w:tcW w:w="2840" w:type="dxa"/>
            <w:vAlign w:val="bottom"/>
          </w:tcPr>
          <w:p>
            <w:pPr>
              <w:spacing w:after="0"/>
              <w:rPr>
                <w:sz w:val="14"/>
                <w:szCs w:val="14"/>
                <w:color w:val="auto"/>
              </w:rPr>
            </w:pPr>
          </w:p>
        </w:tc>
        <w:tc>
          <w:tcPr>
            <w:tcW w:w="14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Amount</w:t>
            </w:r>
          </w:p>
        </w:tc>
        <w:tc>
          <w:tcPr>
            <w:tcW w:w="3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Proposed Maximum Proposed Maximum</w:t>
            </w:r>
          </w:p>
        </w:tc>
        <w:tc>
          <w:tcPr>
            <w:tcW w:w="118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Amount of</w:t>
            </w:r>
          </w:p>
        </w:tc>
      </w:tr>
      <w:tr>
        <w:trPr>
          <w:trHeight w:val="168"/>
        </w:trPr>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Title of Each Class of</w:t>
            </w:r>
          </w:p>
        </w:tc>
        <w:tc>
          <w:tcPr>
            <w:tcW w:w="14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to be</w:t>
            </w:r>
          </w:p>
        </w:tc>
        <w:tc>
          <w:tcPr>
            <w:tcW w:w="1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Offering Price</w:t>
            </w:r>
          </w:p>
        </w:tc>
        <w:tc>
          <w:tcPr>
            <w:tcW w:w="1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Aggregate</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Registration</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to be Registered</w:t>
            </w:r>
          </w:p>
        </w:tc>
        <w:tc>
          <w:tcPr>
            <w:tcW w:w="1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Registered</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Per Share</w:t>
            </w:r>
          </w:p>
        </w:tc>
        <w:tc>
          <w:tcPr>
            <w:tcW w:w="1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Offering Price</w:t>
            </w:r>
          </w:p>
        </w:tc>
        <w:tc>
          <w:tcPr>
            <w:tcW w:w="118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Fee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w w:val="97"/>
              </w:rPr>
              <w:t>Common Stock, $.01 par value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54,656,422(1)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$27.28(2)</w:t>
            </w:r>
          </w:p>
        </w:tc>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rPr>
              <w:t>$1,490,995,020(2)  $ 514,137(2)(3)</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620" w:right="3939" w:hanging="610"/>
        <w:spacing w:after="0" w:line="234"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the maximum number of shares of USA Waste Common Stock expected to be issued in connection with the Merger.</w:t>
      </w:r>
    </w:p>
    <w:p>
      <w:pPr>
        <w:spacing w:after="0" w:line="173" w:lineRule="exact"/>
        <w:rPr>
          <w:rFonts w:ascii="Courier New" w:cs="Courier New" w:eastAsia="Courier New" w:hAnsi="Courier New"/>
          <w:sz w:val="15"/>
          <w:szCs w:val="15"/>
          <w:color w:val="auto"/>
        </w:rPr>
      </w:pPr>
    </w:p>
    <w:p>
      <w:pPr>
        <w:ind w:left="620" w:right="3399" w:hanging="610"/>
        <w:spacing w:after="0" w:line="235"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pursuant to Rule 457(f) based upon the value, as of July 11, 1996, of the shares of Sanifill Common Stock to be canceled in the Merger and the maximum number of shares of USA Waste Common Stock expected to be issued in connection with the Merger.</w:t>
      </w:r>
    </w:p>
    <w:p>
      <w:pPr>
        <w:spacing w:after="0" w:line="175" w:lineRule="exact"/>
        <w:rPr>
          <w:rFonts w:ascii="Courier New" w:cs="Courier New" w:eastAsia="Courier New" w:hAnsi="Courier New"/>
          <w:sz w:val="15"/>
          <w:szCs w:val="15"/>
          <w:color w:val="auto"/>
        </w:rPr>
      </w:pPr>
    </w:p>
    <w:p>
      <w:pPr>
        <w:ind w:left="620" w:right="3319" w:hanging="610"/>
        <w:spacing w:after="0" w:line="235"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amount, a fee of $509,018 was previously paid in connection with the filing of preliminary confidential proxy materials by USA Waste and Sanifill on June 28, 1996.</w:t>
      </w:r>
    </w:p>
    <w:p>
      <w:pPr>
        <w:spacing w:after="0" w:line="167"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w:t>
      </w:r>
    </w:p>
    <w:p>
      <w:pPr>
        <w:spacing w:after="0" w:line="237" w:lineRule="auto"/>
        <w:rPr>
          <w:sz w:val="20"/>
          <w:szCs w:val="20"/>
          <w:color w:val="auto"/>
        </w:rPr>
      </w:pPr>
      <w:r>
        <w:rPr>
          <w:rFonts w:ascii="Courier New" w:cs="Courier New" w:eastAsia="Courier New" w:hAnsi="Courier New"/>
          <w:sz w:val="15"/>
          <w:szCs w:val="15"/>
          <w:color w:val="auto"/>
        </w:rPr>
        <w:t>DATES AS MAY BE NECESSARY TO DELAY ITS EFFECTIVE DATE UNTIL THE REGISTRANT</w:t>
      </w:r>
    </w:p>
    <w:p>
      <w:pPr>
        <w:spacing w:after="0" w:line="238" w:lineRule="auto"/>
        <w:rPr>
          <w:sz w:val="20"/>
          <w:szCs w:val="20"/>
          <w:color w:val="auto"/>
        </w:rPr>
      </w:pPr>
      <w:r>
        <w:rPr>
          <w:rFonts w:ascii="Courier New" w:cs="Courier New" w:eastAsia="Courier New" w:hAnsi="Courier New"/>
          <w:sz w:val="15"/>
          <w:szCs w:val="15"/>
          <w:color w:val="auto"/>
        </w:rPr>
        <w:t>SHALL FILE A FURTHER AMENDMENT WHICH SPECIFICALLY STATES THAT THIS REGISTRATION</w:t>
      </w:r>
    </w:p>
    <w:p>
      <w:pPr>
        <w:spacing w:after="0" w:line="237" w:lineRule="auto"/>
        <w:rPr>
          <w:sz w:val="20"/>
          <w:szCs w:val="20"/>
          <w:color w:val="auto"/>
        </w:rPr>
      </w:pPr>
      <w:r>
        <w:rPr>
          <w:rFonts w:ascii="Courier New" w:cs="Courier New" w:eastAsia="Courier New" w:hAnsi="Courier New"/>
          <w:sz w:val="15"/>
          <w:szCs w:val="15"/>
          <w:color w:val="auto"/>
        </w:rPr>
        <w:t>STATEMENT SHALL THEREAFTER BECOME EFFECTIVE IN ACCORDANCE WITH SECTION 8(A) OF</w:t>
      </w:r>
    </w:p>
    <w:p>
      <w:pPr>
        <w:spacing w:after="0" w:line="238" w:lineRule="auto"/>
        <w:rPr>
          <w:sz w:val="20"/>
          <w:szCs w:val="20"/>
          <w:color w:val="auto"/>
        </w:rPr>
      </w:pPr>
      <w:r>
        <w:rPr>
          <w:rFonts w:ascii="Courier New" w:cs="Courier New" w:eastAsia="Courier New" w:hAnsi="Courier New"/>
          <w:sz w:val="15"/>
          <w:szCs w:val="15"/>
          <w:color w:val="auto"/>
        </w:rPr>
        <w:t>THE SECURITIES ACT OF 1933 OR UNTIL THIS REGISTRATION STATEMENT SHALL BECOME</w:t>
      </w:r>
    </w:p>
    <w:p>
      <w:pPr>
        <w:spacing w:after="0" w:line="237" w:lineRule="auto"/>
        <w:rPr>
          <w:sz w:val="20"/>
          <w:szCs w:val="20"/>
          <w:color w:val="auto"/>
        </w:rPr>
      </w:pPr>
      <w:r>
        <w:rPr>
          <w:rFonts w:ascii="Courier New" w:cs="Courier New" w:eastAsia="Courier New" w:hAnsi="Courier New"/>
          <w:sz w:val="15"/>
          <w:szCs w:val="15"/>
          <w:color w:val="auto"/>
        </w:rPr>
        <w:t>EFFECTIVE ON SUCH DATE AS THE COMMISSION, ACTING PURSUANT TO SAID SECTION 8(A),</w:t>
      </w:r>
    </w:p>
    <w:p>
      <w:pPr>
        <w:spacing w:after="0" w:line="238" w:lineRule="auto"/>
        <w:rPr>
          <w:sz w:val="20"/>
          <w:szCs w:val="20"/>
          <w:color w:val="auto"/>
        </w:rPr>
      </w:pPr>
      <w:r>
        <w:rPr>
          <w:rFonts w:ascii="Courier New" w:cs="Courier New" w:eastAsia="Courier New" w:hAnsi="Courier New"/>
          <w:sz w:val="15"/>
          <w:szCs w:val="15"/>
          <w:color w:val="auto"/>
        </w:rPr>
        <w:t>MAY DETERMINE.</w:t>
      </w:r>
    </w:p>
    <w:p>
      <w:pPr>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25" w:right="1440" w:bottom="69"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jc w:val="right"/>
        <w:spacing w:after="0" w:line="237" w:lineRule="auto"/>
        <w:rPr>
          <w:sz w:val="20"/>
          <w:szCs w:val="20"/>
          <w:color w:val="auto"/>
        </w:rPr>
      </w:pPr>
      <w:r>
        <w:rPr>
          <w:rFonts w:ascii="Courier New" w:cs="Courier New" w:eastAsia="Courier New" w:hAnsi="Courier New"/>
          <w:sz w:val="15"/>
          <w:szCs w:val="15"/>
          <w:color w:val="auto"/>
        </w:rPr>
        <w:t>CROSS-REFERENCE SHEET</w:t>
      </w:r>
    </w:p>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ITEM NUMBER IN FORM S-4</w:t>
      </w:r>
    </w:p>
    <w:p>
      <w:pPr>
        <w:spacing w:after="0" w:line="335"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About the Transaction</w:t>
      </w:r>
    </w:p>
    <w:p>
      <w:pPr>
        <w:spacing w:after="0" w:line="172" w:lineRule="exact"/>
        <w:rPr>
          <w:rFonts w:ascii="Courier New" w:cs="Courier New" w:eastAsia="Courier New" w:hAnsi="Courier New"/>
          <w:sz w:val="15"/>
          <w:szCs w:val="15"/>
          <w:color w:val="auto"/>
        </w:rPr>
      </w:pPr>
    </w:p>
    <w:p>
      <w:pPr>
        <w:jc w:val="both"/>
        <w:ind w:left="880" w:right="180" w:hanging="433"/>
        <w:spacing w:after="0" w:line="261" w:lineRule="auto"/>
        <w:tabs>
          <w:tab w:leader="none" w:pos="8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Forepart of Registration Statement and Outside Front Cover Page of Prospectus</w:t>
      </w:r>
    </w:p>
    <w:p>
      <w:pPr>
        <w:spacing w:after="0" w:line="159" w:lineRule="exact"/>
        <w:rPr>
          <w:rFonts w:ascii="Courier New" w:cs="Courier New" w:eastAsia="Courier New" w:hAnsi="Courier New"/>
          <w:sz w:val="14"/>
          <w:szCs w:val="14"/>
          <w:color w:val="auto"/>
        </w:rPr>
      </w:pPr>
    </w:p>
    <w:p>
      <w:pPr>
        <w:ind w:left="880" w:right="80" w:hanging="433"/>
        <w:spacing w:after="0" w:line="234" w:lineRule="auto"/>
        <w:tabs>
          <w:tab w:leader="none" w:pos="88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Inside Front and Outside Back Cover Pages of Prospectus . . . . . . . . .</w:t>
      </w:r>
    </w:p>
    <w:p>
      <w:pPr>
        <w:spacing w:after="0" w:line="173"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 Factors, Ratio of Earnings to Fixed</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3540" w:type="dxa"/>
            <w:vAlign w:val="bottom"/>
          </w:tcPr>
          <w:p>
            <w:pPr>
              <w:ind w:left="120"/>
              <w:spacing w:after="0"/>
              <w:rPr>
                <w:sz w:val="20"/>
                <w:szCs w:val="20"/>
                <w:color w:val="auto"/>
              </w:rPr>
            </w:pPr>
            <w:r>
              <w:rPr>
                <w:rFonts w:ascii="Courier New" w:cs="Courier New" w:eastAsia="Courier New" w:hAnsi="Courier New"/>
                <w:sz w:val="15"/>
                <w:szCs w:val="15"/>
                <w:color w:val="auto"/>
                <w:w w:val="96"/>
              </w:rPr>
              <w:t>Charges and Other Information   . . . .</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4.</w:t>
            </w:r>
          </w:p>
        </w:tc>
        <w:tc>
          <w:tcPr>
            <w:tcW w:w="3540" w:type="dxa"/>
            <w:vAlign w:val="bottom"/>
          </w:tcPr>
          <w:p>
            <w:pPr>
              <w:ind w:left="120"/>
              <w:spacing w:after="0"/>
              <w:rPr>
                <w:sz w:val="20"/>
                <w:szCs w:val="20"/>
                <w:color w:val="auto"/>
              </w:rPr>
            </w:pPr>
            <w:r>
              <w:rPr>
                <w:rFonts w:ascii="Courier New" w:cs="Courier New" w:eastAsia="Courier New" w:hAnsi="Courier New"/>
                <w:sz w:val="15"/>
                <w:szCs w:val="15"/>
                <w:color w:val="auto"/>
                <w:w w:val="96"/>
              </w:rPr>
              <w:t>Terms of the Transaction  . . . . . . .</w:t>
            </w:r>
          </w:p>
        </w:tc>
      </w:tr>
      <w:tr>
        <w:trPr>
          <w:trHeight w:val="841"/>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5.</w:t>
            </w:r>
          </w:p>
        </w:tc>
        <w:tc>
          <w:tcPr>
            <w:tcW w:w="3540" w:type="dxa"/>
            <w:vAlign w:val="bottom"/>
          </w:tcPr>
          <w:p>
            <w:pPr>
              <w:ind w:left="120"/>
              <w:spacing w:after="0"/>
              <w:rPr>
                <w:sz w:val="20"/>
                <w:szCs w:val="20"/>
                <w:color w:val="auto"/>
              </w:rPr>
            </w:pPr>
            <w:r>
              <w:rPr>
                <w:rFonts w:ascii="Courier New" w:cs="Courier New" w:eastAsia="Courier New" w:hAnsi="Courier New"/>
                <w:sz w:val="15"/>
                <w:szCs w:val="15"/>
                <w:color w:val="auto"/>
                <w:w w:val="96"/>
              </w:rPr>
              <w:t>Pro forma Financial Information   . . .</w:t>
            </w:r>
          </w:p>
        </w:tc>
      </w:tr>
    </w:tbl>
    <w:p>
      <w:pPr>
        <w:spacing w:after="0" w:line="341" w:lineRule="exact"/>
        <w:rPr>
          <w:sz w:val="20"/>
          <w:szCs w:val="20"/>
          <w:color w:val="auto"/>
        </w:rPr>
      </w:pPr>
    </w:p>
    <w:p>
      <w:pPr>
        <w:ind w:left="880" w:hanging="433"/>
        <w:spacing w:after="0" w:line="261" w:lineRule="auto"/>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Contacts with the Company Being Acquired . . . . . . . . . . . . . . .</w:t>
      </w:r>
    </w:p>
    <w:p>
      <w:pPr>
        <w:spacing w:after="0" w:line="159" w:lineRule="exact"/>
        <w:rPr>
          <w:rFonts w:ascii="Courier New" w:cs="Courier New" w:eastAsia="Courier New" w:hAnsi="Courier New"/>
          <w:sz w:val="14"/>
          <w:szCs w:val="14"/>
          <w:color w:val="auto"/>
        </w:rPr>
      </w:pPr>
    </w:p>
    <w:p>
      <w:pPr>
        <w:ind w:left="880" w:hanging="433"/>
        <w:spacing w:after="0" w:line="258" w:lineRule="auto"/>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Information Required for Reoffering by Persons and Parties Deemed to be Underwriters . . . . . . . . . .</w:t>
      </w:r>
    </w:p>
    <w:p>
      <w:pPr>
        <w:spacing w:after="0" w:line="154"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of Named Experts and Counsel</w:t>
      </w:r>
    </w:p>
    <w:p>
      <w:pPr>
        <w:spacing w:after="0" w:line="172" w:lineRule="exact"/>
        <w:rPr>
          <w:rFonts w:ascii="Courier New" w:cs="Courier New" w:eastAsia="Courier New" w:hAnsi="Courier New"/>
          <w:sz w:val="15"/>
          <w:szCs w:val="15"/>
          <w:color w:val="auto"/>
        </w:rPr>
      </w:pPr>
    </w:p>
    <w:p>
      <w:pPr>
        <w:ind w:left="880" w:right="80" w:hanging="433"/>
        <w:spacing w:after="0" w:line="235"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of Commission Position on Indemnification for Securities Act Liabilities . . . . . . . . . . . . .</w:t>
      </w:r>
    </w:p>
    <w:p>
      <w:pPr>
        <w:spacing w:after="0" w:line="16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Information About the Registrant</w:t>
      </w:r>
    </w:p>
    <w:p>
      <w:pPr>
        <w:spacing w:after="0" w:line="172" w:lineRule="exact"/>
        <w:rPr>
          <w:rFonts w:ascii="Courier New" w:cs="Courier New" w:eastAsia="Courier New" w:hAnsi="Courier New"/>
          <w:sz w:val="15"/>
          <w:szCs w:val="15"/>
          <w:color w:val="auto"/>
        </w:rPr>
      </w:pPr>
    </w:p>
    <w:p>
      <w:pPr>
        <w:ind w:left="880" w:right="80" w:hanging="433"/>
        <w:spacing w:after="0" w:line="234"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S-3 Registrants . . . . . . . . . . . . .</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jc w:val="both"/>
        <w:ind w:left="880" w:right="80" w:hanging="433"/>
        <w:spacing w:after="0" w:line="261" w:lineRule="auto"/>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of Certain Information by Reference . . . . . . . . . . . . . .</w:t>
      </w:r>
    </w:p>
    <w:p>
      <w:pPr>
        <w:spacing w:after="0" w:line="159" w:lineRule="exact"/>
        <w:rPr>
          <w:rFonts w:ascii="Courier New" w:cs="Courier New" w:eastAsia="Courier New" w:hAnsi="Courier New"/>
          <w:sz w:val="14"/>
          <w:szCs w:val="14"/>
          <w:color w:val="auto"/>
        </w:rPr>
      </w:pPr>
    </w:p>
    <w:p>
      <w:pPr>
        <w:ind w:left="880" w:right="80" w:hanging="433"/>
        <w:spacing w:after="0" w:line="261" w:lineRule="auto"/>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S-2 or S-3 Registrants . . . . . . . . . . . . .</w:t>
      </w:r>
    </w:p>
    <w:p>
      <w:pPr>
        <w:spacing w:after="0" w:line="159" w:lineRule="exact"/>
        <w:rPr>
          <w:rFonts w:ascii="Courier New" w:cs="Courier New" w:eastAsia="Courier New" w:hAnsi="Courier New"/>
          <w:sz w:val="14"/>
          <w:szCs w:val="14"/>
          <w:color w:val="auto"/>
        </w:rPr>
      </w:pPr>
    </w:p>
    <w:p>
      <w:pPr>
        <w:jc w:val="both"/>
        <w:ind w:left="880" w:right="80" w:hanging="433"/>
        <w:spacing w:after="0" w:line="261" w:lineRule="auto"/>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of Certain Information by Reference . . . . . . . . . . . . . .</w:t>
      </w:r>
    </w:p>
    <w:p>
      <w:pPr>
        <w:spacing w:after="0" w:line="159"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Registrants</w:t>
      </w:r>
    </w:p>
    <w:p>
      <w:pPr>
        <w:spacing w:after="0" w:line="3" w:lineRule="exact"/>
        <w:rPr>
          <w:sz w:val="20"/>
          <w:szCs w:val="20"/>
          <w:color w:val="auto"/>
        </w:rPr>
      </w:pPr>
    </w:p>
    <w:p>
      <w:pPr>
        <w:ind w:left="880"/>
        <w:spacing w:after="0"/>
        <w:tabs>
          <w:tab w:leader="none" w:pos="4020" w:val="left"/>
        </w:tabs>
        <w:rPr>
          <w:sz w:val="20"/>
          <w:szCs w:val="20"/>
          <w:color w:val="auto"/>
        </w:rPr>
      </w:pPr>
      <w:r>
        <w:rPr>
          <w:rFonts w:ascii="Courier New" w:cs="Courier New" w:eastAsia="Courier New" w:hAnsi="Courier New"/>
          <w:sz w:val="15"/>
          <w:szCs w:val="15"/>
          <w:color w:val="auto"/>
        </w:rPr>
        <w:t>Other Than S-2 or S-3 Registrants</w:t>
      </w:r>
      <w:r>
        <w:rPr>
          <w:sz w:val="20"/>
          <w:szCs w:val="20"/>
          <w:color w:val="auto"/>
        </w:rPr>
        <w:tab/>
      </w:r>
      <w:r>
        <w:rPr>
          <w:rFonts w:ascii="Courier New" w:cs="Courier New" w:eastAsia="Courier New" w:hAnsi="Courier New"/>
          <w:sz w:val="14"/>
          <w:szCs w:val="14"/>
          <w:color w:val="auto"/>
        </w:rPr>
        <w:t>. .</w:t>
      </w:r>
    </w:p>
    <w:p>
      <w:pPr>
        <w:spacing w:after="0" w:line="173"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the Company Being Acquired</w:t>
      </w:r>
    </w:p>
    <w:p>
      <w:pPr>
        <w:spacing w:after="0" w:line="177" w:lineRule="exact"/>
        <w:rPr>
          <w:rFonts w:ascii="Courier New" w:cs="Courier New" w:eastAsia="Courier New" w:hAnsi="Courier New"/>
          <w:sz w:val="14"/>
          <w:szCs w:val="14"/>
          <w:color w:val="auto"/>
        </w:rPr>
      </w:pPr>
    </w:p>
    <w:p>
      <w:pPr>
        <w:ind w:left="880" w:right="80" w:hanging="433"/>
        <w:spacing w:after="0" w:line="234"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S-3 Companies . . . . . . . . . . . . . .</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80" w:hanging="433"/>
        <w:spacing w:after="0" w:line="261" w:lineRule="auto"/>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S-2 or S-3 Companies . . . . . . . . . . . . . .</w:t>
      </w:r>
    </w:p>
    <w:p>
      <w:pPr>
        <w:spacing w:after="0" w:line="153"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Companies</w:t>
      </w: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Other than S-2 or S-3 Companies</w:t>
      </w:r>
      <w:r>
        <w:rPr>
          <w:sz w:val="20"/>
          <w:szCs w:val="20"/>
          <w:color w:val="auto"/>
        </w:rPr>
        <w:tab/>
      </w:r>
      <w:r>
        <w:rPr>
          <w:rFonts w:ascii="Courier New" w:cs="Courier New" w:eastAsia="Courier New" w:hAnsi="Courier New"/>
          <w:sz w:val="14"/>
          <w:szCs w:val="14"/>
          <w:color w:val="auto"/>
        </w:rPr>
        <w:t>. . .</w:t>
      </w:r>
    </w:p>
    <w:p>
      <w:pPr>
        <w:spacing w:after="0" w:line="335"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and Management Information</w:t>
      </w:r>
    </w:p>
    <w:p>
      <w:pPr>
        <w:spacing w:after="0" w:line="172" w:lineRule="exact"/>
        <w:rPr>
          <w:rFonts w:ascii="Courier New" w:cs="Courier New" w:eastAsia="Courier New" w:hAnsi="Courier New"/>
          <w:sz w:val="15"/>
          <w:szCs w:val="15"/>
          <w:color w:val="auto"/>
        </w:rPr>
      </w:pPr>
    </w:p>
    <w:p>
      <w:pPr>
        <w:ind w:left="880" w:right="80" w:hanging="433"/>
        <w:spacing w:after="0" w:line="261" w:lineRule="auto"/>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if Proxies, Consents or Authorizations are to be Solicited . .</w:t>
      </w:r>
    </w:p>
    <w:p>
      <w:pPr>
        <w:spacing w:after="0" w:line="327" w:lineRule="exact"/>
        <w:rPr>
          <w:rFonts w:ascii="Courier New" w:cs="Courier New" w:eastAsia="Courier New" w:hAnsi="Courier New"/>
          <w:sz w:val="14"/>
          <w:szCs w:val="14"/>
          <w:color w:val="auto"/>
        </w:rPr>
      </w:pPr>
    </w:p>
    <w:p>
      <w:pPr>
        <w:ind w:left="880" w:right="80" w:hanging="433"/>
        <w:spacing w:after="0" w:line="258" w:lineRule="auto"/>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if Proxies, Consents or Authorizations are not to be Solicited or in an Exchange Offer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LOCATION IN JOINT PROXY STATEMENT AND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Facing Page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 Page; Available Information; Table of Contents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The Merger and Related Transactions</w:t>
      </w:r>
    </w:p>
    <w:p>
      <w:pPr>
        <w:spacing w:after="0" w:line="173" w:lineRule="exact"/>
        <w:rPr>
          <w:sz w:val="20"/>
          <w:szCs w:val="20"/>
          <w:color w:val="auto"/>
        </w:rPr>
      </w:pPr>
    </w:p>
    <w:p>
      <w:pPr>
        <w:ind w:right="779"/>
        <w:spacing w:after="0" w:line="235" w:lineRule="auto"/>
        <w:rPr>
          <w:sz w:val="20"/>
          <w:szCs w:val="20"/>
          <w:color w:val="auto"/>
        </w:rPr>
      </w:pPr>
      <w:r>
        <w:rPr>
          <w:rFonts w:ascii="Courier New" w:cs="Courier New" w:eastAsia="Courier New" w:hAnsi="Courier New"/>
          <w:sz w:val="15"/>
          <w:szCs w:val="15"/>
          <w:color w:val="auto"/>
        </w:rPr>
        <w:t>The Meetings; The Merger and Related Transactions; The Plan of Merger and Terms of the Merger; Description of USA Waste Capital Stock; Comparison of Rights of Stockholders of USA Waste and Sanifill</w:t>
      </w:r>
    </w:p>
    <w:p>
      <w:pPr>
        <w:spacing w:after="0" w:line="175" w:lineRule="exact"/>
        <w:rPr>
          <w:sz w:val="20"/>
          <w:szCs w:val="20"/>
          <w:color w:val="auto"/>
        </w:rPr>
      </w:pPr>
    </w:p>
    <w:p>
      <w:pPr>
        <w:ind w:right="779"/>
        <w:spacing w:after="0" w:line="234" w:lineRule="auto"/>
        <w:rPr>
          <w:sz w:val="20"/>
          <w:szCs w:val="20"/>
          <w:color w:val="auto"/>
        </w:rPr>
      </w:pPr>
      <w:r>
        <w:rPr>
          <w:rFonts w:ascii="Courier New" w:cs="Courier New" w:eastAsia="Courier New" w:hAnsi="Courier New"/>
          <w:sz w:val="15"/>
          <w:szCs w:val="15"/>
          <w:color w:val="auto"/>
        </w:rPr>
        <w:t>Summary; USA Waste and Sanifill Combined Unaudited Pro Forma Condensed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79"/>
        <w:spacing w:after="0" w:line="235" w:lineRule="auto"/>
        <w:rPr>
          <w:sz w:val="20"/>
          <w:szCs w:val="20"/>
          <w:color w:val="auto"/>
        </w:rPr>
      </w:pPr>
      <w:r>
        <w:rPr>
          <w:rFonts w:ascii="Courier New" w:cs="Courier New" w:eastAsia="Courier New" w:hAnsi="Courier New"/>
          <w:sz w:val="15"/>
          <w:szCs w:val="15"/>
          <w:color w:val="auto"/>
        </w:rPr>
        <w:t>Incorporation of Certain Information by Reference; Summary; Risk Factors; The Merger and Related Transactions; Description of USA Waste Capital Stock; The Plan of Merger and Terms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79"/>
        <w:spacing w:after="0" w:line="235" w:lineRule="auto"/>
        <w:rPr>
          <w:sz w:val="20"/>
          <w:szCs w:val="20"/>
          <w:color w:val="auto"/>
        </w:rPr>
      </w:pPr>
      <w:r>
        <w:rPr>
          <w:rFonts w:ascii="Courier New" w:cs="Courier New" w:eastAsia="Courier New" w:hAnsi="Courier New"/>
          <w:sz w:val="15"/>
          <w:szCs w:val="15"/>
          <w:color w:val="auto"/>
        </w:rPr>
        <w:t>Incorporation of Certain Information by Reference; Summary; The Merger and Related Transactions; Comparison of Rights of Stockholders of USA Waste and Sanifill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The Merger and Related Transactions; The Meetings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1" w:lineRule="exact"/>
        <w:rPr>
          <w:sz w:val="20"/>
          <w:szCs w:val="20"/>
          <w:color w:val="auto"/>
        </w:rPr>
      </w:pPr>
    </w:p>
    <w:p>
      <w:pPr>
        <w:sectPr>
          <w:pgSz w:w="11900" w:h="16838" w:orient="portrait"/>
          <w:cols w:equalWidth="0" w:num="2">
            <w:col w:w="4380" w:space="360"/>
            <w:col w:w="5499"/>
          </w:cols>
          <w:pgMar w:left="220" w:top="281" w:right="1440" w:bottom="1440" w:gutter="0" w:footer="0" w:header="0"/>
        </w:sectPr>
      </w:pP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w:t>
      </w:r>
    </w:p>
    <w:p>
      <w:pPr>
        <w:spacing w:after="0" w:line="5" w:lineRule="exact"/>
        <w:rPr>
          <w:sz w:val="20"/>
          <w:szCs w:val="20"/>
          <w:color w:val="auto"/>
        </w:rPr>
      </w:pPr>
    </w:p>
    <w:p>
      <w:pPr>
        <w:ind w:left="440" w:right="409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Omitted because the item is inapplicable or the answer thereto is negative.</w:t>
      </w:r>
    </w:p>
    <w:p>
      <w:pPr>
        <w:sectPr>
          <w:pgSz w:w="11900" w:h="16838" w:orient="portrait"/>
          <w:cols w:equalWidth="0" w:num="1">
            <w:col w:w="10239"/>
          </w:cols>
          <w:pgMar w:left="220" w:top="281"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ind w:left="2460"/>
        <w:spacing w:after="0" w:line="237" w:lineRule="auto"/>
        <w:rPr>
          <w:sz w:val="20"/>
          <w:szCs w:val="20"/>
          <w:color w:val="auto"/>
        </w:rPr>
      </w:pPr>
      <w:r>
        <w:rPr>
          <w:rFonts w:ascii="Courier New" w:cs="Courier New" w:eastAsia="Courier New" w:hAnsi="Courier New"/>
          <w:sz w:val="15"/>
          <w:szCs w:val="15"/>
          <w:color w:val="auto"/>
        </w:rPr>
        <w:t>USA WASTE SERVICES, INC.</w:t>
      </w:r>
    </w:p>
    <w:p>
      <w:pPr>
        <w:ind w:left="2800"/>
        <w:spacing w:after="0" w:line="238" w:lineRule="auto"/>
        <w:rPr>
          <w:sz w:val="20"/>
          <w:szCs w:val="20"/>
          <w:color w:val="auto"/>
        </w:rPr>
      </w:pPr>
      <w:r>
        <w:rPr>
          <w:rFonts w:ascii="Courier New" w:cs="Courier New" w:eastAsia="Courier New" w:hAnsi="Courier New"/>
          <w:sz w:val="15"/>
          <w:szCs w:val="15"/>
          <w:color w:val="auto"/>
        </w:rPr>
        <w:t>5400 LBJ FREEWAY</w:t>
      </w:r>
    </w:p>
    <w:p>
      <w:pPr>
        <w:ind w:left="2540"/>
        <w:spacing w:after="0" w:line="237" w:lineRule="auto"/>
        <w:rPr>
          <w:sz w:val="20"/>
          <w:szCs w:val="20"/>
          <w:color w:val="auto"/>
        </w:rPr>
      </w:pPr>
      <w:r>
        <w:rPr>
          <w:rFonts w:ascii="Courier New" w:cs="Courier New" w:eastAsia="Courier New" w:hAnsi="Courier New"/>
          <w:sz w:val="15"/>
          <w:szCs w:val="15"/>
          <w:color w:val="auto"/>
        </w:rPr>
        <w:t>SUITE 300 - TOWER ONE</w:t>
      </w:r>
    </w:p>
    <w:p>
      <w:pPr>
        <w:ind w:left="2640"/>
        <w:spacing w:after="0" w:line="238" w:lineRule="auto"/>
        <w:rPr>
          <w:sz w:val="20"/>
          <w:szCs w:val="20"/>
          <w:color w:val="auto"/>
        </w:rPr>
      </w:pPr>
      <w:r>
        <w:rPr>
          <w:rFonts w:ascii="Courier New" w:cs="Courier New" w:eastAsia="Courier New" w:hAnsi="Courier New"/>
          <w:sz w:val="15"/>
          <w:szCs w:val="15"/>
          <w:color w:val="auto"/>
        </w:rPr>
        <w:t>DALLAS, TEXAS 75240</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 of USA Waste Services, Inc.:</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You are invited to attend a Special Meeting of Stockholders (the "Special Meeting") of USA Waste Services, Inc. ("USA Waste") to be held on August 27, 1996 at 2:00 p.m., Central time. The Special Meeting will be held at</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the Special Meeting, you will be asked to consider and vote upon a proposal to approve and adopt the Agreement and Plan of Merger dated as of June 22, 1996 (the "Merger Agreement"), by and among USA Waste, Quatro Acquisition Corp., a wholly owned subsidiary of USA Waste ("Acquisition"), and Sanifill, Inc. ("Sanifill") and a proposal to approve an amendment to USA Waste's Restated Certificate of Incorporation to increase the number of authorized shares of USA Waste common stock, par value $.01 per share ("USA Waste Common Stock"), to 300,000,000 shares.</w:t>
      </w:r>
    </w:p>
    <w:p>
      <w:pPr>
        <w:spacing w:after="0" w:line="177"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The Merger Agreement provides, among other things, for the merger of Acquisition with and into Sanifill (the "Merger"), pursuant to which Sanifill</w:t>
      </w:r>
    </w:p>
    <w:tbl>
      <w:tblPr>
        <w:tblLayout w:type="fixed"/>
        <w:tblInd w:w="0" w:type="dxa"/>
        <w:tblCellMar>
          <w:top w:w="0" w:type="dxa"/>
          <w:left w:w="0" w:type="dxa"/>
          <w:bottom w:w="0" w:type="dxa"/>
          <w:right w:w="0" w:type="dxa"/>
        </w:tblCellMar>
      </w:tblPr>
      <w:tr>
        <w:trPr>
          <w:trHeight w:val="164"/>
        </w:trPr>
        <w:tc>
          <w:tcPr>
            <w:tcW w:w="1100" w:type="dxa"/>
            <w:vAlign w:val="bottom"/>
            <w:gridSpan w:val="2"/>
          </w:tcPr>
          <w:p>
            <w:pPr>
              <w:spacing w:after="0" w:line="164" w:lineRule="exact"/>
              <w:rPr>
                <w:sz w:val="20"/>
                <w:szCs w:val="20"/>
                <w:color w:val="auto"/>
              </w:rPr>
            </w:pPr>
            <w:r>
              <w:rPr>
                <w:rFonts w:ascii="Courier New" w:cs="Courier New" w:eastAsia="Courier New" w:hAnsi="Courier New"/>
                <w:sz w:val="15"/>
                <w:szCs w:val="15"/>
                <w:color w:val="auto"/>
                <w:w w:val="99"/>
              </w:rPr>
              <w:t>would become</w:t>
            </w:r>
          </w:p>
        </w:tc>
        <w:tc>
          <w:tcPr>
            <w:tcW w:w="358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rPr>
              <w:t>a wholly owned subsidiary of USA Waste.</w:t>
            </w:r>
          </w:p>
        </w:tc>
        <w:tc>
          <w:tcPr>
            <w:tcW w:w="1500" w:type="dxa"/>
            <w:vAlign w:val="bottom"/>
          </w:tcPr>
          <w:p>
            <w:pPr>
              <w:ind w:left="60"/>
              <w:spacing w:after="0" w:line="164" w:lineRule="exact"/>
              <w:rPr>
                <w:sz w:val="20"/>
                <w:szCs w:val="20"/>
                <w:color w:val="auto"/>
              </w:rPr>
            </w:pPr>
            <w:r>
              <w:rPr>
                <w:rFonts w:ascii="Courier New" w:cs="Courier New" w:eastAsia="Courier New" w:hAnsi="Courier New"/>
                <w:sz w:val="15"/>
                <w:szCs w:val="15"/>
                <w:color w:val="auto"/>
                <w:w w:val="98"/>
              </w:rPr>
              <w:t>Each outstanding</w:t>
            </w:r>
          </w:p>
        </w:tc>
        <w:tc>
          <w:tcPr>
            <w:tcW w:w="74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w w:val="94"/>
              </w:rPr>
              <w:t>share of</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of Sanifill would be converted into 1.70</w:t>
            </w:r>
          </w:p>
        </w:tc>
        <w:tc>
          <w:tcPr>
            <w:tcW w:w="22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shares of USA Waste</w:t>
            </w:r>
          </w:p>
        </w:tc>
      </w:tr>
      <w:tr>
        <w:trPr>
          <w:trHeight w:val="0"/>
        </w:trPr>
        <w:tc>
          <w:tcPr>
            <w:tcW w:w="58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(the "Exchange Ratio").  Upon consummation of the Merger,</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USA</w:t>
            </w:r>
          </w:p>
        </w:tc>
      </w:tr>
    </w:tbl>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Waste would issue approximately million shares of USA Waste Common Stock to the stockholders of Sanifill. These shares would represent approximately % of the total shares of USA Waste Common Stock outstanding</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immediately after the Merger. The Merger is subject to a number of conditions, including obtaining the approval of the stockholders of USA Waste and Sanifill and obtaining any necessary regulatory waivers or approvals. The Merger is also conditioned on the approval of the proposal to increase the number of authorized shares of USA Waste Common Stock. A summary of the basic terms and conditions of the Merger, certain financial and other information relating to USA Waste and Sanifill and a copy of the Merger Agreement are set forth in the accompanying Joint Proxy Statement and Prospectus. Please review and consider the enclosed materials carefully.</w:t>
      </w:r>
    </w:p>
    <w:p>
      <w:pPr>
        <w:spacing w:after="0" w:line="178"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Your Board of Directors has approved the Merger Agreement. In addition, the Board of Directors of USA Waste has received an opinion dated June 21, 1996 from Donaldson, Lufkin &amp; Jenrette Securities Corporation (a copy of which is included in the accompanying Joint Proxy Statement and Prospectus) that the Exchange Ratio is fair to USA Waste from a financial point of view.</w:t>
      </w:r>
    </w:p>
    <w:p>
      <w:pPr>
        <w:spacing w:after="0" w:line="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BOARD OF DIRECTORS OF USA WASTE BELIEVES THAT THE PROPOSED MERGER AND THE OTHER PROPOSAL DESCRIBED ABOVE ARE IN THE BEST INTERESTS OF USA WASTE AND ITS STOCKHOLDERS AND RECOMMENDS THAT YOU VOTE FOR APPROVAL AND ADOPTION OF THE MERGER AGREEMENT AND THE OTHER PROPOSAL SET FORTH IN THE JOINT PROXY STATEMENT AND PROSPECTUS.</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Regardless of the number of shares you hold or whether you plan to attend the Special Meeting, we urge you to complete, sign, date and return the enclosed proxy card immediately. If you attend the Special Meeting, you may vote in person if you wish, even if you have previously returned your proxy card.</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Sincerely,</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John E. Drury</w:t>
      </w:r>
    </w:p>
    <w:p>
      <w:pPr>
        <w:ind w:left="3780"/>
        <w:spacing w:after="0" w:line="237" w:lineRule="auto"/>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ind w:left="2460"/>
        <w:spacing w:after="0" w:line="237" w:lineRule="auto"/>
        <w:rPr>
          <w:sz w:val="20"/>
          <w:szCs w:val="20"/>
          <w:color w:val="auto"/>
        </w:rPr>
      </w:pPr>
      <w:r>
        <w:rPr>
          <w:rFonts w:ascii="Courier New" w:cs="Courier New" w:eastAsia="Courier New" w:hAnsi="Courier New"/>
          <w:sz w:val="15"/>
          <w:szCs w:val="15"/>
          <w:color w:val="auto"/>
        </w:rPr>
        <w:t>USA WASTE SERVICES, INC.</w:t>
      </w:r>
    </w:p>
    <w:p>
      <w:pPr>
        <w:ind w:left="2800"/>
        <w:spacing w:after="0" w:line="238" w:lineRule="auto"/>
        <w:rPr>
          <w:sz w:val="20"/>
          <w:szCs w:val="20"/>
          <w:color w:val="auto"/>
        </w:rPr>
      </w:pPr>
      <w:r>
        <w:rPr>
          <w:rFonts w:ascii="Courier New" w:cs="Courier New" w:eastAsia="Courier New" w:hAnsi="Courier New"/>
          <w:sz w:val="15"/>
          <w:szCs w:val="15"/>
          <w:color w:val="auto"/>
        </w:rPr>
        <w:t>5400 LBJ FREEWAY</w:t>
      </w:r>
    </w:p>
    <w:p>
      <w:pPr>
        <w:ind w:left="2540"/>
        <w:spacing w:after="0" w:line="237" w:lineRule="auto"/>
        <w:rPr>
          <w:sz w:val="20"/>
          <w:szCs w:val="20"/>
          <w:color w:val="auto"/>
        </w:rPr>
      </w:pPr>
      <w:r>
        <w:rPr>
          <w:rFonts w:ascii="Courier New" w:cs="Courier New" w:eastAsia="Courier New" w:hAnsi="Courier New"/>
          <w:sz w:val="15"/>
          <w:szCs w:val="15"/>
          <w:color w:val="auto"/>
        </w:rPr>
        <w:t>SUITE 300 - TOWER ONE</w:t>
      </w:r>
    </w:p>
    <w:p>
      <w:pPr>
        <w:ind w:left="2640"/>
        <w:spacing w:after="0" w:line="238" w:lineRule="auto"/>
        <w:rPr>
          <w:sz w:val="20"/>
          <w:szCs w:val="20"/>
          <w:color w:val="auto"/>
        </w:rPr>
      </w:pPr>
      <w:r>
        <w:rPr>
          <w:rFonts w:ascii="Courier New" w:cs="Courier New" w:eastAsia="Courier New" w:hAnsi="Courier New"/>
          <w:sz w:val="15"/>
          <w:szCs w:val="15"/>
          <w:color w:val="auto"/>
        </w:rPr>
        <w:t>DALLAS, TEXAS 75240</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TO BE HELD ON AUGUST 27,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USA Waste Services, Inc.:</w:t>
      </w:r>
    </w:p>
    <w:p>
      <w:pPr>
        <w:spacing w:after="0" w:line="173" w:lineRule="exact"/>
        <w:rPr>
          <w:sz w:val="20"/>
          <w:szCs w:val="20"/>
          <w:color w:val="auto"/>
        </w:rPr>
      </w:pPr>
    </w:p>
    <w:p>
      <w:pPr>
        <w:ind w:right="3579" w:firstLine="787"/>
        <w:spacing w:after="0" w:line="261" w:lineRule="auto"/>
        <w:rPr>
          <w:sz w:val="20"/>
          <w:szCs w:val="20"/>
          <w:color w:val="auto"/>
        </w:rPr>
      </w:pPr>
      <w:r>
        <w:rPr>
          <w:rFonts w:ascii="Courier New" w:cs="Courier New" w:eastAsia="Courier New" w:hAnsi="Courier New"/>
          <w:sz w:val="14"/>
          <w:szCs w:val="14"/>
          <w:color w:val="auto"/>
        </w:rPr>
        <w:t>Notice is hereby given that a Special Meeting of Stockholders (the "Special Meeting") of USA Waste Services, Inc. ("USA Waste") will be held at</w:t>
      </w:r>
    </w:p>
    <w:p>
      <w:pPr>
        <w:spacing w:after="0" w:line="160" w:lineRule="exact"/>
        <w:rPr>
          <w:sz w:val="20"/>
          <w:szCs w:val="20"/>
          <w:color w:val="auto"/>
        </w:rPr>
      </w:pPr>
    </w:p>
    <w:p>
      <w:pPr>
        <w:ind w:right="4019" w:firstLine="1671"/>
        <w:spacing w:after="0" w:line="234" w:lineRule="auto"/>
        <w:tabs>
          <w:tab w:leader="none" w:pos="183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27, 1996, at 2:00 p.m., Central time, to consider and act upon the following proposals:</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Agreement and Plan of Merger dated as of June 22, 1996, by and among USA Waste, Quatro Acquisition Corp., a wholly owned subsidiary of USA Waste ("Acquisition"), and Sanifill, Inc. ("Sanifill") providing for, among other things, the merger of Acquisition with and into Sanifill and the conversion of each outstanding share of Sanifill common stock, par value $.01 per share, into 1.70 shares of USA Waste common stock, par value $.01 per share ("USA Waste Common Stock").</w:t>
      </w:r>
    </w:p>
    <w:p>
      <w:pPr>
        <w:spacing w:after="0" w:line="175" w:lineRule="exact"/>
        <w:rPr>
          <w:rFonts w:ascii="Courier New" w:cs="Courier New" w:eastAsia="Courier New" w:hAnsi="Courier New"/>
          <w:sz w:val="15"/>
          <w:szCs w:val="15"/>
          <w:color w:val="auto"/>
        </w:rPr>
      </w:pPr>
    </w:p>
    <w:p>
      <w:pPr>
        <w:ind w:right="3839" w:firstLine="797"/>
        <w:spacing w:after="0" w:line="235" w:lineRule="auto"/>
        <w:tabs>
          <w:tab w:leader="none" w:pos="113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Restated Certificate of Incorporation of USA Waste to increase the authorized shares of USA Waste Common Stock from 150,000,000 shares to 300,000,000 shares.</w:t>
      </w:r>
    </w:p>
    <w:p>
      <w:pPr>
        <w:spacing w:after="0" w:line="17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implementation of Proposal No. 1 is conditioned on the approval of Proposal No. 2.</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meeting may be recessed from time to time, and actions with respect to the matters specified in this notice may be taken at any reconvened meeting without further notice to stockholders unless required by the Bylaws of USA Waste.</w:t>
      </w:r>
    </w:p>
    <w:p>
      <w:pPr>
        <w:spacing w:after="0" w:line="175" w:lineRule="exact"/>
        <w:rPr>
          <w:sz w:val="20"/>
          <w:szCs w:val="20"/>
          <w:color w:val="auto"/>
        </w:rPr>
      </w:pPr>
    </w:p>
    <w:p>
      <w:pPr>
        <w:jc w:val="both"/>
        <w:ind w:right="3319" w:firstLine="787"/>
        <w:spacing w:after="0" w:line="255" w:lineRule="auto"/>
        <w:rPr>
          <w:sz w:val="20"/>
          <w:szCs w:val="20"/>
          <w:color w:val="auto"/>
        </w:rPr>
      </w:pPr>
      <w:r>
        <w:rPr>
          <w:rFonts w:ascii="Courier New" w:cs="Courier New" w:eastAsia="Courier New" w:hAnsi="Courier New"/>
          <w:sz w:val="14"/>
          <w:szCs w:val="14"/>
          <w:color w:val="auto"/>
        </w:rPr>
        <w:t>Only stockholders of record at the close of business on July 18, 1996, are entitled to notice of and to vote on all matters at the Special Meeting and any adjournments thereof. A list of all stockholders will be available at the Special Meeting and, during the 10-day period immediately prior to the Special Meeting, at the offices of USA Waste, located at 5400 LBJ Freeway, Suite 300 - Tower One, Dallas, Texas 75240, during ordinary business hours.</w:t>
      </w:r>
    </w:p>
    <w:p>
      <w:pPr>
        <w:spacing w:after="0" w:line="160"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Gregory T. Sangalis</w:t>
      </w:r>
    </w:p>
    <w:p>
      <w:pPr>
        <w:ind w:left="3500"/>
        <w:spacing w:after="0" w:line="237" w:lineRule="auto"/>
        <w:rPr>
          <w:sz w:val="20"/>
          <w:szCs w:val="20"/>
          <w:color w:val="auto"/>
        </w:rPr>
      </w:pPr>
      <w:r>
        <w:rPr>
          <w:rFonts w:ascii="Courier New" w:cs="Courier New" w:eastAsia="Courier New" w:hAnsi="Courier New"/>
          <w:sz w:val="15"/>
          <w:szCs w:val="15"/>
          <w:color w:val="auto"/>
        </w:rPr>
        <w:t>Corporate Secretary</w:t>
      </w:r>
    </w:p>
    <w:p>
      <w:pPr>
        <w:spacing w:after="0" w:line="238" w:lineRule="auto"/>
        <w:rPr>
          <w:sz w:val="20"/>
          <w:szCs w:val="20"/>
          <w:color w:val="auto"/>
        </w:rPr>
      </w:pPr>
      <w:r>
        <w:rPr>
          <w:rFonts w:ascii="Courier New" w:cs="Courier New" w:eastAsia="Courier New" w:hAnsi="Courier New"/>
          <w:sz w:val="15"/>
          <w:szCs w:val="15"/>
          <w:color w:val="auto"/>
        </w:rPr>
        <w:t>Dallas, Texas</w:t>
      </w:r>
    </w:p>
    <w:p>
      <w:pPr>
        <w:ind w:left="1580"/>
        <w:spacing w:after="0" w:line="237" w:lineRule="auto"/>
        <w:rPr>
          <w:sz w:val="20"/>
          <w:szCs w:val="20"/>
          <w:color w:val="auto"/>
        </w:rPr>
      </w:pPr>
      <w:r>
        <w:rPr>
          <w:rFonts w:ascii="Courier New" w:cs="Courier New" w:eastAsia="Courier New" w:hAnsi="Courier New"/>
          <w:sz w:val="15"/>
          <w:szCs w:val="15"/>
          <w:color w:val="auto"/>
        </w:rPr>
        <w:t>, 1996</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WHETHER OR NOT YOU INTEND TO BE PRESENT AT THE SPECIAL MEETING, PLEASE SIGN</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AND DATE THE ENCLOSED PROXY AND RETURN IT IN THE ENCLOSED PREPAID</w:t>
      </w:r>
    </w:p>
    <w:p>
      <w:pPr>
        <w:ind w:left="1060"/>
        <w:spacing w:after="0" w:line="237" w:lineRule="auto"/>
        <w:tabs>
          <w:tab w:leader="none" w:pos="2000" w:val="left"/>
        </w:tabs>
        <w:rPr>
          <w:sz w:val="20"/>
          <w:szCs w:val="20"/>
          <w:color w:val="auto"/>
        </w:rPr>
      </w:pPr>
      <w:r>
        <w:rPr>
          <w:rFonts w:ascii="Courier New" w:cs="Courier New" w:eastAsia="Courier New" w:hAnsi="Courier New"/>
          <w:sz w:val="15"/>
          <w:szCs w:val="15"/>
          <w:color w:val="auto"/>
        </w:rPr>
        <w:t>ENVELOPE.</w:t>
        <w:tab/>
        <w:t>IF YOU ATTEND THE SPECIAL MEETING, YOU MAY</w:t>
      </w:r>
    </w:p>
    <w:p>
      <w:pPr>
        <w:ind w:left="1580"/>
        <w:spacing w:after="0" w:line="238" w:lineRule="auto"/>
        <w:rPr>
          <w:sz w:val="20"/>
          <w:szCs w:val="20"/>
          <w:color w:val="auto"/>
        </w:rPr>
      </w:pPr>
      <w:r>
        <w:rPr>
          <w:rFonts w:ascii="Courier New" w:cs="Courier New" w:eastAsia="Courier New" w:hAnsi="Courier New"/>
          <w:sz w:val="15"/>
          <w:szCs w:val="15"/>
          <w:color w:val="auto"/>
        </w:rPr>
        <w:t>VOTE EITHER IN PERSON OR BY YOUR PROXY.</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ind w:left="2900"/>
        <w:spacing w:after="0" w:line="237" w:lineRule="auto"/>
        <w:rPr>
          <w:sz w:val="20"/>
          <w:szCs w:val="20"/>
          <w:color w:val="auto"/>
        </w:rPr>
      </w:pPr>
      <w:r>
        <w:rPr>
          <w:rFonts w:ascii="Courier New" w:cs="Courier New" w:eastAsia="Courier New" w:hAnsi="Courier New"/>
          <w:sz w:val="15"/>
          <w:szCs w:val="15"/>
          <w:color w:val="auto"/>
        </w:rPr>
        <w:t>SANIFILL, INC.</w:t>
      </w:r>
    </w:p>
    <w:p>
      <w:pPr>
        <w:ind w:left="2720"/>
        <w:spacing w:after="0" w:line="238" w:lineRule="auto"/>
        <w:rPr>
          <w:sz w:val="20"/>
          <w:szCs w:val="20"/>
          <w:color w:val="auto"/>
        </w:rPr>
      </w:pPr>
      <w:r>
        <w:rPr>
          <w:rFonts w:ascii="Courier New" w:cs="Courier New" w:eastAsia="Courier New" w:hAnsi="Courier New"/>
          <w:sz w:val="15"/>
          <w:szCs w:val="15"/>
          <w:color w:val="auto"/>
        </w:rPr>
        <w:t>2777 ALLEN PARKWAY</w:t>
      </w:r>
    </w:p>
    <w:p>
      <w:pPr>
        <w:ind w:left="3080"/>
        <w:spacing w:after="0" w:line="237" w:lineRule="auto"/>
        <w:rPr>
          <w:sz w:val="20"/>
          <w:szCs w:val="20"/>
          <w:color w:val="auto"/>
        </w:rPr>
      </w:pPr>
      <w:r>
        <w:rPr>
          <w:rFonts w:ascii="Courier New" w:cs="Courier New" w:eastAsia="Courier New" w:hAnsi="Courier New"/>
          <w:sz w:val="15"/>
          <w:szCs w:val="15"/>
          <w:color w:val="auto"/>
        </w:rPr>
        <w:t>SUITE 700</w:t>
      </w:r>
    </w:p>
    <w:p>
      <w:pPr>
        <w:ind w:left="2640"/>
        <w:spacing w:after="0" w:line="238" w:lineRule="auto"/>
        <w:rPr>
          <w:sz w:val="20"/>
          <w:szCs w:val="20"/>
          <w:color w:val="auto"/>
        </w:rPr>
      </w:pPr>
      <w:r>
        <w:rPr>
          <w:rFonts w:ascii="Courier New" w:cs="Courier New" w:eastAsia="Courier New" w:hAnsi="Courier New"/>
          <w:sz w:val="15"/>
          <w:szCs w:val="15"/>
          <w:color w:val="auto"/>
        </w:rPr>
        <w:t>HOUSTON, TEXAS 77019</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 of Sanifill, Inc.:</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You are invited to attend a Special Meeting of Stockholders (the "Special Meeting") of Sanifill, Inc. ("Sanifill") to be held August 27, 1996 at 11:00 a.m., Central time. The Special Meeting will be held at</w:t>
      </w:r>
    </w:p>
    <w:p>
      <w:pPr>
        <w:ind w:left="342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the Special Meeting, you will be asked to consider and vote upon a proposal to approve and adopt the Agreement and Plan of Merger dated as of June 22, 1996 (the "Merger Agreement"), by and among USA Waste Services, Inc. ("USA Waste"), Quatro Acquisition Corp., a wholly owned subsidiary of USA Waste ("Acquisition"), and Sanifill.</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Merger Agreement provides, among other things, for the merger of Acquisition with and into Sanifill (the "Merger"), pursuant to which Sanifill would become a wholly owned subsidiary of USA Waste. Each outstanding share of common stock of Sanifill would be converted into 1.70 shares (the "Exchange</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Ratio") of USA Waste common stock, par value $.01 per share ("USA Waste Common Stock"). Upon consummation of the Merger, USA Waste would issue approximately million shares of USA Waste Common Stock to the stockholders of Sanifill. These shares would represent approximately % of the total shares of USA Waste</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Common Stock outstanding immediately after the Merger. The Merger is subject to a number of conditions, including obtaining the approval of the stockholders of USA Waste and Sanifill and obtaining any necessary regulatory waivers or approvals. A summary of the basic terms and conditions of the Merger, certain financial and other information relating to USA Waste and Sanifill and a copy of the Merger Agreement are set forth in the accompanying Joint Proxy Statement and Prospectus. Please review and consider the enclosed materials carefully.</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Your Board of Directors has approved the Merger Agreement. In addition, the Board of Directors of Sanifill has received an opinion dated June 21, 1996 from Merrill Lynch, Pierce, Fenner &amp; Smith Incorporated (a copy of which is included in the accompanying Joint Proxy Statement and Prospectus) that, as of such date, the Exchange Ratio is fair to the stockholders of Sanifill from a financial point of view. THE BOARD OF DIRECTORS OF SANIFILL BELIEVES THAT THE PROPOSED MERGER IS IN THE BEST INTERESTS OF SANIFILL AND ITS STOCKHOLDERS AND RECOMMENDS THAT YOU VOTE FOR APPROVAL AND ADOPTION OF THE MERGER AGREEMENT.</w:t>
      </w:r>
    </w:p>
    <w:p>
      <w:pPr>
        <w:spacing w:after="0" w:line="178"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Regardless of the number of shares you hold or whether you plan to attend the Special Meeting, we urge you to complete, sign, date and return the enclosed proxy card immediately. If you attend the Special Meeting, you may vote in person if you wish, even if you have previously returned your proxy card.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Sincerely,</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Lorne D. Bain</w:t>
      </w:r>
    </w:p>
    <w:p>
      <w:pPr>
        <w:ind w:left="3500"/>
        <w:spacing w:after="0" w:line="237" w:lineRule="auto"/>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ind w:left="2900"/>
        <w:spacing w:after="0" w:line="237" w:lineRule="auto"/>
        <w:rPr>
          <w:sz w:val="20"/>
          <w:szCs w:val="20"/>
          <w:color w:val="auto"/>
        </w:rPr>
      </w:pPr>
      <w:r>
        <w:rPr>
          <w:rFonts w:ascii="Courier New" w:cs="Courier New" w:eastAsia="Courier New" w:hAnsi="Courier New"/>
          <w:sz w:val="15"/>
          <w:szCs w:val="15"/>
          <w:color w:val="auto"/>
        </w:rPr>
        <w:t>SANIFILL, INC.</w:t>
      </w:r>
    </w:p>
    <w:p>
      <w:pPr>
        <w:ind w:left="2720"/>
        <w:spacing w:after="0" w:line="238" w:lineRule="auto"/>
        <w:rPr>
          <w:sz w:val="20"/>
          <w:szCs w:val="20"/>
          <w:color w:val="auto"/>
        </w:rPr>
      </w:pPr>
      <w:r>
        <w:rPr>
          <w:rFonts w:ascii="Courier New" w:cs="Courier New" w:eastAsia="Courier New" w:hAnsi="Courier New"/>
          <w:sz w:val="15"/>
          <w:szCs w:val="15"/>
          <w:color w:val="auto"/>
        </w:rPr>
        <w:t>2777 ALLEN PARKWAY</w:t>
      </w:r>
    </w:p>
    <w:p>
      <w:pPr>
        <w:ind w:left="3080"/>
        <w:spacing w:after="0" w:line="237" w:lineRule="auto"/>
        <w:rPr>
          <w:sz w:val="20"/>
          <w:szCs w:val="20"/>
          <w:color w:val="auto"/>
        </w:rPr>
      </w:pPr>
      <w:r>
        <w:rPr>
          <w:rFonts w:ascii="Courier New" w:cs="Courier New" w:eastAsia="Courier New" w:hAnsi="Courier New"/>
          <w:sz w:val="15"/>
          <w:szCs w:val="15"/>
          <w:color w:val="auto"/>
        </w:rPr>
        <w:t>SUITE 700</w:t>
      </w:r>
    </w:p>
    <w:p>
      <w:pPr>
        <w:ind w:left="2640"/>
        <w:spacing w:after="0" w:line="238" w:lineRule="auto"/>
        <w:rPr>
          <w:sz w:val="20"/>
          <w:szCs w:val="20"/>
          <w:color w:val="auto"/>
        </w:rPr>
      </w:pPr>
      <w:r>
        <w:rPr>
          <w:rFonts w:ascii="Courier New" w:cs="Courier New" w:eastAsia="Courier New" w:hAnsi="Courier New"/>
          <w:sz w:val="15"/>
          <w:szCs w:val="15"/>
          <w:color w:val="auto"/>
        </w:rPr>
        <w:t>HOUSTON, TEXAS 77019</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TO BE HELD ON AUGUST 27,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Sanifill, Inc.:</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Notice is hereby given that a Special Meeting of Stockholders (the</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"Special Meeting") of Sanifill, Inc. ("Sanifill") will be held at , on August 27, 1996, at 11:00 a.m., Central time, to consider and act upon the following proposal:</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To approve and adopt the Agreement and Plan of Merger dated as of June 22, 1996, by and among Sanifill, USA Waste Services, Inc. ("USA Waste") and Quatro Acquisition Corp., a wholly owned subsidiary of USA Waste ("Acquisition"), providing, among other things, for the merger of Acquisition with and into Sanifill and the conversion of each outstanding share of Sanifill common stock, par value $.01 per share, into 1.70 shares of USA Waste common stock, par value $.01 per share.</w:t>
      </w:r>
    </w:p>
    <w:p>
      <w:pPr>
        <w:spacing w:after="0" w:line="17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meeting may be recessed from time to time, and actions with respect to the matters specified in this notice may be taken at any reconvened meeting without further notice to stockholders unless required by the Bylaws of Sanifill.</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Only stockholders of record at the close of business on July 18, 1996, are entitled to notice of and to vote on the Merger proposal at the Special Meeting and any adjournments thereof. A list of all stockholders will be available at the Special Meeting and, during the 10-day period prior to the Special Meeting, at the offices of Sanifill, located at 2777 Allen Parkway, Suite 700, Houston, Texas 77019, during ordinary business hours.</w:t>
      </w:r>
    </w:p>
    <w:p>
      <w:pPr>
        <w:spacing w:after="0" w:line="16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H. Steven Walton</w:t>
      </w:r>
    </w:p>
    <w:p>
      <w:pPr>
        <w:ind w:left="350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73" w:lineRule="exact"/>
        <w:rPr>
          <w:sz w:val="20"/>
          <w:szCs w:val="20"/>
          <w:color w:val="auto"/>
        </w:rPr>
      </w:pPr>
    </w:p>
    <w:p>
      <w:pPr>
        <w:jc w:val="right"/>
        <w:ind w:right="8999"/>
        <w:spacing w:after="0"/>
        <w:rPr>
          <w:sz w:val="20"/>
          <w:szCs w:val="20"/>
          <w:color w:val="auto"/>
        </w:rPr>
      </w:pPr>
      <w:r>
        <w:rPr>
          <w:rFonts w:ascii="Courier New" w:cs="Courier New" w:eastAsia="Courier New" w:hAnsi="Courier New"/>
          <w:sz w:val="14"/>
          <w:szCs w:val="14"/>
          <w:color w:val="auto"/>
        </w:rPr>
        <w:t>Houston, Texas</w:t>
      </w:r>
    </w:p>
    <w:p>
      <w:pPr>
        <w:spacing w:after="0" w:line="3" w:lineRule="exact"/>
        <w:rPr>
          <w:sz w:val="20"/>
          <w:szCs w:val="20"/>
          <w:color w:val="auto"/>
        </w:rPr>
      </w:pPr>
    </w:p>
    <w:p>
      <w:pPr>
        <w:jc w:val="right"/>
        <w:ind w:right="8999"/>
        <w:spacing w:after="0"/>
        <w:rPr>
          <w:sz w:val="20"/>
          <w:szCs w:val="20"/>
          <w:color w:val="auto"/>
        </w:rPr>
      </w:pPr>
      <w:r>
        <w:rPr>
          <w:rFonts w:ascii="Courier New" w:cs="Courier New" w:eastAsia="Courier New" w:hAnsi="Courier New"/>
          <w:sz w:val="15"/>
          <w:szCs w:val="15"/>
          <w:color w:val="auto"/>
        </w:rPr>
        <w:t>, 1996</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WHETHER OR NOT YOU INTEND TO BE PRESENT AT THE SPECIAL MEETING, PLEASE SIGN</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AND DATE THE ENCLOSED PROXY AND RETURN IT IN THE ENCLOSED PREPAID</w:t>
      </w:r>
    </w:p>
    <w:p>
      <w:pPr>
        <w:ind w:left="1060"/>
        <w:spacing w:after="0" w:line="237" w:lineRule="auto"/>
        <w:tabs>
          <w:tab w:leader="none" w:pos="2000" w:val="left"/>
        </w:tabs>
        <w:rPr>
          <w:sz w:val="20"/>
          <w:szCs w:val="20"/>
          <w:color w:val="auto"/>
        </w:rPr>
      </w:pPr>
      <w:r>
        <w:rPr>
          <w:rFonts w:ascii="Courier New" w:cs="Courier New" w:eastAsia="Courier New" w:hAnsi="Courier New"/>
          <w:sz w:val="15"/>
          <w:szCs w:val="15"/>
          <w:color w:val="auto"/>
        </w:rPr>
        <w:t>ENVELOPE.</w:t>
        <w:tab/>
        <w:t>IF YOU ATTEND THE SPECIAL MEETING, YOU MAY</w:t>
      </w:r>
    </w:p>
    <w:p>
      <w:pPr>
        <w:ind w:left="1580"/>
        <w:spacing w:after="0" w:line="238" w:lineRule="auto"/>
        <w:rPr>
          <w:sz w:val="20"/>
          <w:szCs w:val="20"/>
          <w:color w:val="auto"/>
        </w:rPr>
      </w:pPr>
      <w:r>
        <w:rPr>
          <w:rFonts w:ascii="Courier New" w:cs="Courier New" w:eastAsia="Courier New" w:hAnsi="Courier New"/>
          <w:sz w:val="15"/>
          <w:szCs w:val="15"/>
          <w:color w:val="auto"/>
        </w:rPr>
        <w:t>VOTE EITHER IN PERSON OR BY YOUR PROXY.</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INFORMATION CONTAINED HEREIN IS SUBJECT TO COMPLETION OR AMENDMENT.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 REGISTRATION STATEMENT RELATING TO THESE SECURITIES HAS BEEN FILED</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WITH THE SECURITIES AND EXCHANGE COMMISSION.  THESE SECURITIES MAY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 BE SOLD NOR MAY OFFERS TO BUY BE ACCEPTED PRIOR TO THE TIME THE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REGISTRATION STATEMENT BECOMES EFFECTIVE.  THIS PROSPECTUS SHALL NOT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CONSTITUTE AN OFFER TO SELL OR THE SOLICITATION OF AN OFFER TO BUY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NOR SHALL THERE BE ANY SALE OF THESE SECURITIES IN ANY STATE IN WHICH</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SUCH OFFER, SOLICITATION OR SALE WOULD BE UNLAWFUL PRIOR TO</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REGISTRATION OR QUALIFICATION UNDER THE SECURITIES LAWS OF ANY SUCH</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STATE.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SUBJECT TO COMPLETION, DATED JULY 15, 1996</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USA WASTE SERVICES,</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3880" w:type="dxa"/>
            <w:vAlign w:val="bottom"/>
          </w:tcPr>
          <w:p>
            <w:pPr>
              <w:ind w:left="2660"/>
              <w:spacing w:after="0"/>
              <w:rPr>
                <w:sz w:val="20"/>
                <w:szCs w:val="20"/>
                <w:color w:val="auto"/>
              </w:rPr>
            </w:pPr>
            <w:r>
              <w:rPr>
                <w:rFonts w:ascii="Courier New" w:cs="Courier New" w:eastAsia="Courier New" w:hAnsi="Courier New"/>
                <w:sz w:val="15"/>
                <w:szCs w:val="15"/>
                <w:color w:val="auto"/>
                <w:w w:val="95"/>
              </w:rPr>
              <w:t>SANIFILL, INC.</w:t>
            </w:r>
          </w:p>
        </w:tc>
      </w:tr>
      <w:tr>
        <w:trPr>
          <w:trHeight w:val="336"/>
        </w:trPr>
        <w:tc>
          <w:tcPr>
            <w:tcW w:w="1680" w:type="dxa"/>
            <w:vAlign w:val="bottom"/>
          </w:tcPr>
          <w:p>
            <w:pPr>
              <w:spacing w:after="0"/>
              <w:rPr>
                <w:sz w:val="24"/>
                <w:szCs w:val="24"/>
                <w:color w:val="auto"/>
              </w:rPr>
            </w:pPr>
          </w:p>
        </w:tc>
        <w:tc>
          <w:tcPr>
            <w:tcW w:w="5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JOINT PROXY STATEMENT AND PROSPECTUS</w:t>
            </w:r>
          </w:p>
        </w:tc>
      </w:tr>
      <w:tr>
        <w:trPr>
          <w:trHeight w:val="336"/>
        </w:trPr>
        <w:tc>
          <w:tcPr>
            <w:tcW w:w="1680" w:type="dxa"/>
            <w:vAlign w:val="bottom"/>
          </w:tcPr>
          <w:p>
            <w:pPr>
              <w:ind w:left="800"/>
              <w:spacing w:after="0"/>
              <w:rPr>
                <w:sz w:val="20"/>
                <w:szCs w:val="20"/>
                <w:color w:val="auto"/>
              </w:rPr>
            </w:pPr>
            <w:r>
              <w:rPr>
                <w:rFonts w:ascii="Courier New" w:cs="Courier New" w:eastAsia="Courier New" w:hAnsi="Courier New"/>
                <w:sz w:val="15"/>
                <w:szCs w:val="15"/>
                <w:color w:val="auto"/>
                <w:w w:val="95"/>
              </w:rPr>
              <w:t>This Joint</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w w:val="99"/>
              </w:rPr>
              <w:t>Proxy Statement</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and Prospectus is being furnished to the</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stockholders of USA</w:t>
            </w:r>
          </w:p>
        </w:tc>
        <w:tc>
          <w:tcPr>
            <w:tcW w:w="1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Waste Services,</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Inc., a Delaware corporation ("USA Waste"),</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 connection with the solicitation</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proxies by its Board of Directors to be</w:t>
            </w:r>
          </w:p>
        </w:tc>
      </w:tr>
      <w:tr>
        <w:trPr>
          <w:trHeight w:val="168"/>
        </w:trPr>
        <w:tc>
          <w:tcPr>
            <w:tcW w:w="7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voted at the Special Meeting of Stockholders of USA Waste (the "USA Waste</w:t>
            </w:r>
          </w:p>
        </w:tc>
      </w:tr>
      <w:tr>
        <w:trPr>
          <w:trHeight w:val="168"/>
        </w:trPr>
        <w:tc>
          <w:tcPr>
            <w:tcW w:w="7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Special Meeting") scheduled to be held on August 27, 1996, at 2:00 p.m.,</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time, at</w:t>
            </w:r>
          </w:p>
        </w:tc>
        <w:tc>
          <w:tcPr>
            <w:tcW w:w="532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 and at any adjournment or postponement thereof, and</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 the stockholders</w:t>
            </w:r>
          </w:p>
        </w:tc>
        <w:tc>
          <w:tcPr>
            <w:tcW w:w="5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of Sanifill, Inc., a Delaware corporation ("Sanifill"), in</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connection with the</w:t>
            </w:r>
          </w:p>
        </w:tc>
        <w:tc>
          <w:tcPr>
            <w:tcW w:w="1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solicitation of</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proxies by its Board of Directors to be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voted at the Special Meeting of Stockholders of Sanifill (the "Sanifill Special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 scheduled to be held on August 27, 1996, at 11:00 a.m., Central time,</w:t>
      </w:r>
    </w:p>
    <w:p>
      <w:pPr>
        <w:spacing w:after="0" w:line="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at</w:t>
      </w:r>
      <w:r>
        <w:rPr>
          <w:sz w:val="20"/>
          <w:szCs w:val="20"/>
          <w:color w:val="auto"/>
        </w:rPr>
        <w:tab/>
      </w:r>
      <w:r>
        <w:rPr>
          <w:rFonts w:ascii="Courier New" w:cs="Courier New" w:eastAsia="Courier New" w:hAnsi="Courier New"/>
          <w:sz w:val="15"/>
          <w:szCs w:val="15"/>
          <w:color w:val="auto"/>
        </w:rPr>
        <w:t>, and at any adjournment or postponement thereof.</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At the USA Waste Special Meeting and the Sanifill Special Meeting, the holders of USA Waste common stock, par value $.01 per share ("USA Waste Common Stock"), and the holders of Sanifill common stock, par value $.01 per share ("Sanifill Common Stock"), will be asked to consider and vote upon a proposal to approve and adopt the Agreement and Plan of Merger dated as of June 22, 1996 (the "Merger Agreement"), among USA Waste, Quatro Acquisition Corp., a wholly owned subsidiary of USA Waste ("Acquisition"), and Sanifill providing, among other things, for the merger of Acquisition with and into Sanifill (the "Merger"). Such approvals are a condition to consummating the Merger. Upon consummation of the Merger, Sanifill will become a wholly owned subsidiary of USA Waste and the holders of the issued and outstanding shares of Sanifill Common Stock will receive, at the effective time of the Merger, 1.70 shares of USA Waste Common Stock for each share of Sanifill Common Stock held by them. See "The Plan of Merger and Terms of the Merger." A copy of the Merger Agreement is attached hereto as Annex A and incorporated herein by reference.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ind w:left="800"/>
              <w:spacing w:after="0"/>
              <w:rPr>
                <w:sz w:val="20"/>
                <w:szCs w:val="20"/>
                <w:color w:val="auto"/>
              </w:rPr>
            </w:pPr>
            <w:r>
              <w:rPr>
                <w:rFonts w:ascii="Courier New" w:cs="Courier New" w:eastAsia="Courier New" w:hAnsi="Courier New"/>
                <w:sz w:val="15"/>
                <w:szCs w:val="15"/>
                <w:color w:val="auto"/>
              </w:rPr>
              <w:t>On</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1996, the closing sale</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price of USA Waste</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 on the</w:t>
            </w:r>
          </w:p>
        </w:tc>
        <w:tc>
          <w:tcPr>
            <w:tcW w:w="2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New York Stock Exchange was $</w:t>
            </w:r>
          </w:p>
        </w:tc>
        <w:tc>
          <w:tcPr>
            <w:tcW w:w="520" w:type="dxa"/>
            <w:vAlign w:val="bottom"/>
          </w:tcPr>
          <w:p>
            <w:pPr>
              <w:spacing w:after="0"/>
              <w:rPr>
                <w:sz w:val="14"/>
                <w:szCs w:val="14"/>
                <w:color w:val="auto"/>
              </w:rPr>
            </w:pP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per share.  Based</w:t>
            </w:r>
          </w:p>
        </w:tc>
      </w:tr>
      <w:tr>
        <w:trPr>
          <w:trHeight w:val="168"/>
        </w:trPr>
        <w:tc>
          <w:tcPr>
            <w:tcW w:w="69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on such closing price, the consideration to be received by stockholders of</w:t>
            </w:r>
          </w:p>
        </w:tc>
      </w:tr>
      <w:tr>
        <w:trPr>
          <w:trHeight w:val="168"/>
        </w:trPr>
        <w:tc>
          <w:tcPr>
            <w:tcW w:w="45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Sanifill pursuant to the Merger would be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 of Sanifill</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Approximately</w:t>
            </w:r>
          </w:p>
        </w:tc>
        <w:tc>
          <w:tcPr>
            <w:tcW w:w="424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6"/>
              </w:rPr>
              <w:t>million shares of USA Waste Common Stock will</w:t>
            </w:r>
          </w:p>
        </w:tc>
      </w:tr>
      <w:tr>
        <w:trPr>
          <w:trHeight w:val="168"/>
        </w:trPr>
        <w:tc>
          <w:tcPr>
            <w:tcW w:w="69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be outstanding immediately after the Merger is consummated, of which</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approximately</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will be owned by former stockholders of Sanifill and</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approximately</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will be owned by current stockholders</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USA Waste.</w:t>
            </w:r>
          </w:p>
        </w:tc>
      </w:tr>
    </w:tbl>
    <w:p>
      <w:pPr>
        <w:spacing w:after="0" w:line="173" w:lineRule="exact"/>
        <w:rPr>
          <w:sz w:val="20"/>
          <w:szCs w:val="20"/>
          <w:color w:val="auto"/>
        </w:rPr>
      </w:pPr>
    </w:p>
    <w:p>
      <w:pPr>
        <w:ind w:right="3679" w:firstLine="787"/>
        <w:spacing w:after="0" w:line="261" w:lineRule="auto"/>
        <w:rPr>
          <w:sz w:val="20"/>
          <w:szCs w:val="20"/>
          <w:color w:val="auto"/>
        </w:rPr>
      </w:pPr>
      <w:r>
        <w:rPr>
          <w:rFonts w:ascii="Courier New" w:cs="Courier New" w:eastAsia="Courier New" w:hAnsi="Courier New"/>
          <w:sz w:val="14"/>
          <w:szCs w:val="14"/>
          <w:color w:val="auto"/>
        </w:rPr>
        <w:t>SEE "RISK FACTORS" BEGINNING ON PAGE 14 FOR CERTAIN CONSIDERATIONS RELEVANT TO THE DECISION ON WHETHER TO VOTE FOR THE MERGER.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ind w:left="800"/>
              <w:spacing w:after="0"/>
              <w:rPr>
                <w:sz w:val="20"/>
                <w:szCs w:val="20"/>
                <w:color w:val="auto"/>
              </w:rPr>
            </w:pPr>
            <w:r>
              <w:rPr>
                <w:rFonts w:ascii="Courier New" w:cs="Courier New" w:eastAsia="Courier New" w:hAnsi="Courier New"/>
                <w:sz w:val="15"/>
                <w:szCs w:val="15"/>
                <w:color w:val="auto"/>
                <w:w w:val="97"/>
              </w:rPr>
              <w:t>This Joint Proxy Statement and</w:t>
            </w:r>
          </w:p>
        </w:tc>
        <w:tc>
          <w:tcPr>
            <w:tcW w:w="3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Prospectus also constitutes the</w:t>
            </w:r>
          </w:p>
        </w:tc>
        <w:tc>
          <w:tcPr>
            <w:tcW w:w="120" w:type="dxa"/>
            <w:vAlign w:val="bottom"/>
          </w:tcPr>
          <w:p>
            <w:pPr>
              <w:spacing w:after="0"/>
              <w:rPr>
                <w:sz w:val="14"/>
                <w:szCs w:val="14"/>
                <w:color w:val="auto"/>
              </w:rPr>
            </w:pPr>
          </w:p>
        </w:tc>
      </w:tr>
      <w:tr>
        <w:trPr>
          <w:trHeight w:val="168"/>
        </w:trPr>
        <w:tc>
          <w:tcPr>
            <w:tcW w:w="6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prospectus of USA Waste that is a part of the Registration Statement (as</w:t>
            </w:r>
          </w:p>
        </w:tc>
        <w:tc>
          <w:tcPr>
            <w:tcW w:w="120" w:type="dxa"/>
            <w:vAlign w:val="bottom"/>
          </w:tcPr>
          <w:p>
            <w:pPr>
              <w:spacing w:after="0"/>
              <w:rPr>
                <w:sz w:val="14"/>
                <w:szCs w:val="14"/>
                <w:color w:val="auto"/>
              </w:rPr>
            </w:pP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hereinafter defined) of USA Waste filed with the</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Securities and Exchange</w:t>
            </w:r>
          </w:p>
        </w:tc>
        <w:tc>
          <w:tcPr>
            <w:tcW w:w="120" w:type="dxa"/>
            <w:vAlign w:val="bottom"/>
          </w:tcPr>
          <w:p>
            <w:pPr>
              <w:spacing w:after="0"/>
              <w:rPr>
                <w:sz w:val="14"/>
                <w:szCs w:val="14"/>
                <w:color w:val="auto"/>
              </w:rPr>
            </w:pPr>
          </w:p>
        </w:tc>
      </w:tr>
      <w:tr>
        <w:trPr>
          <w:trHeight w:val="168"/>
        </w:trPr>
        <w:tc>
          <w:tcPr>
            <w:tcW w:w="6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Commission with respect to the issuance and exchange of up to approximately</w:t>
            </w:r>
          </w:p>
        </w:tc>
        <w:tc>
          <w:tcPr>
            <w:tcW w:w="120" w:type="dxa"/>
            <w:vAlign w:val="bottom"/>
          </w:tcPr>
          <w:p>
            <w:pPr>
              <w:spacing w:after="0"/>
              <w:rPr>
                <w:sz w:val="14"/>
                <w:szCs w:val="14"/>
                <w:color w:val="auto"/>
              </w:rPr>
            </w:pPr>
          </w:p>
        </w:tc>
      </w:tr>
      <w:tr>
        <w:trPr>
          <w:trHeight w:val="168"/>
        </w:trPr>
        <w:tc>
          <w:tcPr>
            <w:tcW w:w="42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million shares of USA Waste Common Stock</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be issued pursuant to the</w:t>
            </w:r>
          </w:p>
        </w:tc>
        <w:tc>
          <w:tcPr>
            <w:tcW w:w="120" w:type="dxa"/>
            <w:vAlign w:val="bottom"/>
          </w:tcPr>
          <w:p>
            <w:pPr>
              <w:spacing w:after="0"/>
              <w:rPr>
                <w:sz w:val="14"/>
                <w:szCs w:val="14"/>
                <w:color w:val="auto"/>
              </w:rPr>
            </w:pP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Merger (which includes shares underlying options</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warrants to purchase</w:t>
            </w:r>
          </w:p>
        </w:tc>
        <w:tc>
          <w:tcPr>
            <w:tcW w:w="120" w:type="dxa"/>
            <w:vAlign w:val="bottom"/>
          </w:tcPr>
          <w:p>
            <w:pPr>
              <w:spacing w:after="0"/>
              <w:rPr>
                <w:sz w:val="14"/>
                <w:szCs w:val="14"/>
                <w:color w:val="auto"/>
              </w:rPr>
            </w:pP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Sanifill Common Stock currently held by Sanifill</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employees and shares issuable</w:t>
            </w:r>
          </w:p>
        </w:tc>
        <w:tc>
          <w:tcPr>
            <w:tcW w:w="120" w:type="dxa"/>
            <w:vAlign w:val="bottom"/>
          </w:tcPr>
          <w:p>
            <w:pPr>
              <w:spacing w:after="0"/>
              <w:rPr>
                <w:sz w:val="14"/>
                <w:szCs w:val="14"/>
                <w:color w:val="auto"/>
              </w:rPr>
            </w:pPr>
          </w:p>
        </w:tc>
      </w:tr>
      <w:tr>
        <w:trPr>
          <w:trHeight w:val="168"/>
        </w:trPr>
        <w:tc>
          <w:tcPr>
            <w:tcW w:w="6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upon the conversion of outstanding convertible debentures of Sanifill).  This</w:t>
            </w:r>
          </w:p>
        </w:tc>
        <w:tc>
          <w:tcPr>
            <w:tcW w:w="120" w:type="dxa"/>
            <w:vAlign w:val="bottom"/>
          </w:tcPr>
          <w:p>
            <w:pPr>
              <w:spacing w:after="0"/>
              <w:rPr>
                <w:sz w:val="14"/>
                <w:szCs w:val="14"/>
                <w:color w:val="auto"/>
              </w:rPr>
            </w:pPr>
          </w:p>
        </w:tc>
      </w:tr>
      <w:tr>
        <w:trPr>
          <w:trHeight w:val="168"/>
        </w:trPr>
        <w:tc>
          <w:tcPr>
            <w:tcW w:w="6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Joint Proxy Statement and Prospectus is first being mailed to the stockholders</w:t>
            </w:r>
          </w:p>
        </w:tc>
        <w:tc>
          <w:tcPr>
            <w:tcW w:w="120" w:type="dxa"/>
            <w:vAlign w:val="bottom"/>
          </w:tcPr>
          <w:p>
            <w:pPr>
              <w:spacing w:after="0"/>
              <w:rPr>
                <w:sz w:val="14"/>
                <w:szCs w:val="14"/>
                <w:color w:val="auto"/>
              </w:rPr>
            </w:pP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of USA Waste and the stockholders of Sanifill on</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about</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173" w:lineRule="exact"/>
        <w:rPr>
          <w:sz w:val="20"/>
          <w:szCs w:val="20"/>
          <w:color w:val="auto"/>
        </w:rPr>
      </w:pPr>
    </w:p>
    <w:p>
      <w:pPr>
        <w:ind w:left="540" w:right="3839" w:hanging="349"/>
        <w:spacing w:after="0" w:line="254" w:lineRule="auto"/>
        <w:rPr>
          <w:sz w:val="20"/>
          <w:szCs w:val="20"/>
          <w:color w:val="auto"/>
        </w:rPr>
      </w:pPr>
      <w:r>
        <w:rPr>
          <w:rFonts w:ascii="Courier New" w:cs="Courier New" w:eastAsia="Courier New" w:hAnsi="Courier New"/>
          <w:sz w:val="14"/>
          <w:szCs w:val="14"/>
          <w:color w:val="auto"/>
        </w:rPr>
        <w:t>THE SECURITIES TO BE ISSUED IN CONNECTION WITH THE MERGER HAVE NOT BEEN APPROVED OR DISAPPROVED BY THE SECURITIES AND EXCHANGE COMMISSION</w:t>
      </w:r>
    </w:p>
    <w:p>
      <w:pPr>
        <w:spacing w:after="0" w:line="1" w:lineRule="exact"/>
        <w:rPr>
          <w:sz w:val="20"/>
          <w:szCs w:val="20"/>
          <w:color w:val="auto"/>
        </w:rPr>
      </w:pPr>
    </w:p>
    <w:p>
      <w:pPr>
        <w:jc w:val="right"/>
        <w:ind w:left="700" w:right="4199"/>
        <w:spacing w:after="0" w:line="254" w:lineRule="auto"/>
        <w:rPr>
          <w:sz w:val="20"/>
          <w:szCs w:val="20"/>
          <w:color w:val="auto"/>
        </w:rPr>
      </w:pPr>
      <w:r>
        <w:rPr>
          <w:rFonts w:ascii="Courier New" w:cs="Courier New" w:eastAsia="Courier New" w:hAnsi="Courier New"/>
          <w:sz w:val="14"/>
          <w:szCs w:val="14"/>
          <w:color w:val="auto"/>
        </w:rPr>
        <w:t>OR ANY STATE SECURITIES COMMISSION NOR HAS THE SECURITIES AND EXCHANGE COMMISSION OR ANY STATE SECURITIES COMMISSION PASSED UPON THE ACCURACY OR ADEQUACY OF THIS JOINT PROXY STATE-</w:t>
      </w: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MENT AND PROSPECTUS.</w:t>
      </w:r>
      <w:r>
        <w:rPr>
          <w:sz w:val="20"/>
          <w:szCs w:val="20"/>
          <w:color w:val="auto"/>
        </w:rPr>
        <w:tab/>
      </w:r>
      <w:r>
        <w:rPr>
          <w:rFonts w:ascii="Courier New" w:cs="Courier New" w:eastAsia="Courier New" w:hAnsi="Courier New"/>
          <w:sz w:val="14"/>
          <w:szCs w:val="14"/>
          <w:color w:val="auto"/>
        </w:rPr>
        <w:t>ANY REPRESENTATION TO THE</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CONTRARY IS A CRIMINAL OFFENSE.</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180"/>
        <w:spacing w:after="0"/>
        <w:tabs>
          <w:tab w:leader="none" w:pos="6020" w:val="left"/>
        </w:tabs>
        <w:rPr>
          <w:sz w:val="20"/>
          <w:szCs w:val="20"/>
          <w:color w:val="auto"/>
        </w:rPr>
      </w:pPr>
      <w:r>
        <w:rPr>
          <w:rFonts w:ascii="Courier New" w:cs="Courier New" w:eastAsia="Courier New" w:hAnsi="Courier New"/>
          <w:sz w:val="15"/>
          <w:szCs w:val="15"/>
          <w:color w:val="auto"/>
        </w:rPr>
        <w:t>The date of this Joint Proxy Statement and Prospectus is</w:t>
      </w:r>
      <w:r>
        <w:rPr>
          <w:sz w:val="20"/>
          <w:szCs w:val="20"/>
          <w:color w:val="auto"/>
        </w:rPr>
        <w:tab/>
      </w:r>
      <w:r>
        <w:rPr>
          <w:rFonts w:ascii="Courier New" w:cs="Courier New" w:eastAsia="Courier New" w:hAnsi="Courier New"/>
          <w:sz w:val="14"/>
          <w:szCs w:val="14"/>
          <w:color w:val="auto"/>
        </w:rPr>
        <w:t>, 1996.</w:t>
      </w:r>
    </w:p>
    <w:p>
      <w:pPr>
        <w:sectPr>
          <w:pgSz w:w="11900" w:h="16838" w:orient="portrait"/>
          <w:cols w:equalWidth="0" w:num="1">
            <w:col w:w="10239"/>
          </w:cols>
          <w:pgMar w:left="220" w:top="281"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SANIFILL.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SANIFILL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SANIFILL HAS BEEN FURNISHED BY SANIFILL.</w:t>
      </w:r>
    </w:p>
    <w:p>
      <w:pPr>
        <w:spacing w:after="0" w:line="15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USA Waste and Sanifill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The Commission maintains an Internet web site that contains reports, proxy and information statements and other information regarding registrants that file electronically with the Commission (http://www.sec.gov). Furthermore, USA Waste's and Sanifill's securities are listed on the New York Stock Exchange (the "NYSE"), and the reports, proxy statements and other information of USA Waste and Sanifill described above may also be inspected at the NYSE at 20 Broad Street, New York, New York 10005. Upon consummation of the Merger, listing of the Sanifill Common Stock on the NYSE will be terminated.</w:t>
      </w:r>
    </w:p>
    <w:p>
      <w:pPr>
        <w:spacing w:after="0" w:line="34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USA Waste has filed with the Commission a registration statement (the "Registration Statement") on Form S-4 under the Securities Act of 1933, as amended (the "Securities Act"),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a part thereof, are available for inspection and copying at the Commission's offices as described above. After the Merger, registration of the Sanifill Common Stock under the Exchange Act will be terminated.</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3"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USA Waste incorporates herein by reference the following documents filed by it with the Commission (File No. 1-12154) pursuant to the Exchange Act: (i) its Annual Report on Form 10-K for the year ended December 31, 1995,</w:t>
      </w:r>
    </w:p>
    <w:p>
      <w:pPr>
        <w:ind w:left="440" w:hanging="430"/>
        <w:spacing w:after="0" w:line="232"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Quarterly Report on Form 10-Q for the quarter ended March 31, 1996,</w:t>
      </w:r>
    </w:p>
    <w:p>
      <w:pPr>
        <w:spacing w:after="0" w:line="4" w:lineRule="exact"/>
        <w:rPr>
          <w:rFonts w:ascii="Courier New" w:cs="Courier New" w:eastAsia="Courier New" w:hAnsi="Courier New"/>
          <w:sz w:val="15"/>
          <w:szCs w:val="15"/>
          <w:color w:val="auto"/>
        </w:rPr>
      </w:pPr>
    </w:p>
    <w:p>
      <w:pPr>
        <w:ind w:right="3319" w:firstLine="10"/>
        <w:spacing w:after="0" w:line="255" w:lineRule="auto"/>
        <w:tabs>
          <w:tab w:leader="none" w:pos="52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Current Report on Form 8-K dated January 9, 1996, its Current Report on Form 8-K dated May 22, 1996, as amended by its Form 8-K/A (Amendment No. 1) filed on May 29, 1996, its Form 8-K/A (Amendment No. 2) filed June 28, 1996 and its Form 8-K/A (Amendment No. 3) filed July 1, 1996, and its Current Report on Form 8-K dated June 22, 1996 and (iv) the description of USA Waste Common Stock contained in its Registration Statement on Form 8-A dated July 1, 1993, as amended by Form 8-B dated July 13,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Sanifill incorporates herein by reference the following documents filed by it with the Commission (File No. 1-10490) pursuant to the Exchange Act: (i) its Annual Report on Form 10-K for the year ended December 31, 1995,</w:t>
      </w:r>
    </w:p>
    <w:p>
      <w:pPr>
        <w:spacing w:after="0" w:line="1" w:lineRule="exact"/>
        <w:rPr>
          <w:sz w:val="20"/>
          <w:szCs w:val="20"/>
          <w:color w:val="auto"/>
        </w:rPr>
      </w:pPr>
    </w:p>
    <w:p>
      <w:pPr>
        <w:ind w:right="3319" w:firstLine="10"/>
        <w:spacing w:after="0" w:line="235" w:lineRule="auto"/>
        <w:tabs>
          <w:tab w:leader="none" w:pos="4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Quarterly Report on Form 10-Q for the quarter ended March 31, 1996, and (iii) its Current Reports on Form 8-K dated February 5, 1996, February 11, 1996, February 23, 1996, March 4, 1996, March 20, 1996, March 28, 1996, June 5, 1996 and June 22, 1996.</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All documents filed by USA Waste and Sanifill pursuant to Section 13(a), 13(c), 14 or 15(d) of the Exchange Act subsequent to the date of this Joint Proxy Statement and Prospectus and prior to the date of the USA Waste Special Meeting and the Sanifill Special Meeting shall be deemed to be incorporated by reference in this Joint Proxy Statement and Prospectus and to be part hereof from the date of filing of such document. All information appearing in this Joint Proxy Statement and Prospectus is qualified in its entirety by the information and financial statements (including notes thereto) appearing in the documents incorporated by reference herein. 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16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THIS JOINT PROXY STATEMENT AND PROSPECTUS INCORPORATES DOCUMENTS BY REFERENCE THAT ARE NOT PRESENTED HEREIN OR DELIVERED HEREWITH. USA WASTE AND SANIFILL HEREBY UNDERTAKE TO PROVIDE, BY FIRST CLASS MAIL OR OTHER EQUALLY PROMPT MEANS WITHIN ONE BUSINESS DAY OF RECEIPT OF A REQUEST,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w:t>
      </w:r>
    </w:p>
    <w:p>
      <w:pPr>
        <w:spacing w:after="0" w:line="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5400 LBJ FREEWAY, SUITE 300 - TOWER ONE, DALLAS, TEXAS 75240, ATTENTION: CORPORATE SECRETARY, TELEPHONE NUMBER 214-383-7900. DOCUMENTS RELATING TO SANIFILL ARE AVAILABLE UPON REQUEST FROM SANIFILL, INC., 2777 ALLEN PARKWAY, SUITE 700, HOUSTON, TEXAS 77019, ATTENTION: CORPORATE SECRETARY, TELEPHONE NUMBER 713-942-6200. IN ORDER TO ENSURE TIMELY DELIVERY OF THE DOCUMENTS, ANY REQUEST SHOULD BE MADE BY AUGUST 20,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ind w:left="2640"/>
        <w:spacing w:after="0" w:line="237" w:lineRule="auto"/>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4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AVAILABLE INFORMATION . . . . . . . . . . . .</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INCORPORATION OF CERTAIN INFORMATION</w:t>
            </w:r>
          </w:p>
        </w:tc>
        <w:tc>
          <w:tcPr>
            <w:tcW w:w="2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BY REFERENCE  . . . . . . . . . . . . . .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SUMMARY . . . . . . . . . . . . . . . . . . .</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Companies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Meetings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Merger  .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Stockholders' Comparative Rights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 Price Data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Summary Financial Information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Proposal to be Presented at the USA</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Waste Special Meeting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505"/>
        </w:trPr>
        <w:tc>
          <w:tcPr>
            <w:tcW w:w="4260" w:type="dxa"/>
            <w:vAlign w:val="bottom"/>
          </w:tcPr>
          <w:p>
            <w:pPr>
              <w:jc w:val="right"/>
              <w:ind w:right="248"/>
              <w:spacing w:after="0"/>
              <w:rPr>
                <w:sz w:val="20"/>
                <w:szCs w:val="20"/>
                <w:color w:val="auto"/>
              </w:rPr>
            </w:pPr>
            <w:r>
              <w:rPr>
                <w:rFonts w:ascii="Courier New" w:cs="Courier New" w:eastAsia="Courier New" w:hAnsi="Courier New"/>
                <w:sz w:val="15"/>
                <w:szCs w:val="15"/>
                <w:color w:val="auto"/>
                <w:w w:val="96"/>
              </w:rPr>
              <w:t>RISK FACTORS  . . . . . . . . . . . . . . . .</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14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Forward-Looking Statements May Not Prove</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Accurate  .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Expected Benefits of Combined Business May Not</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be Achieved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Prices May Vary in Response to Changes</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in Business and Economic Conditions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 Assurance of Successful Management and</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Maintenance of Growth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Need for Capital; Debt Financing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Profitability May be Affected by Competition</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Potential Adverse Effect of Government</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Regulation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Potential Environmental Liability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Eligible for Future Sale May Adversely</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Affect Market Price of Stock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336"/>
        </w:trPr>
        <w:tc>
          <w:tcPr>
            <w:tcW w:w="4260" w:type="dxa"/>
            <w:vAlign w:val="bottom"/>
          </w:tcPr>
          <w:p>
            <w:pPr>
              <w:jc w:val="right"/>
              <w:ind w:right="248"/>
              <w:spacing w:after="0"/>
              <w:rPr>
                <w:sz w:val="20"/>
                <w:szCs w:val="20"/>
                <w:color w:val="auto"/>
              </w:rPr>
            </w:pPr>
            <w:r>
              <w:rPr>
                <w:rFonts w:ascii="Courier New" w:cs="Courier New" w:eastAsia="Courier New" w:hAnsi="Courier New"/>
                <w:sz w:val="15"/>
                <w:szCs w:val="15"/>
                <w:color w:val="auto"/>
                <w:w w:val="96"/>
              </w:rPr>
              <w:t>THE MEETINGS  . . . . . . . . . . . . . . . .</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17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 Time and Place of the Meetings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Purpose of the Meetings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Record Date and Outstanding Shares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Voting and Revocation of Proxies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Vote Required for Approval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Solicitation of Proxies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336"/>
        </w:trPr>
        <w:tc>
          <w:tcPr>
            <w:tcW w:w="4260" w:type="dxa"/>
            <w:vAlign w:val="bottom"/>
          </w:tcPr>
          <w:p>
            <w:pPr>
              <w:jc w:val="right"/>
              <w:ind w:right="248"/>
              <w:spacing w:after="0"/>
              <w:rPr>
                <w:sz w:val="20"/>
                <w:szCs w:val="20"/>
                <w:color w:val="auto"/>
              </w:rPr>
            </w:pPr>
            <w:r>
              <w:rPr>
                <w:rFonts w:ascii="Courier New" w:cs="Courier New" w:eastAsia="Courier New" w:hAnsi="Courier New"/>
                <w:sz w:val="15"/>
                <w:szCs w:val="15"/>
                <w:color w:val="auto"/>
                <w:w w:val="96"/>
              </w:rPr>
              <w:t>THE MERGER AND RELATED TRANSACTIONS . . . . .</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19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Description of the Merger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Background of the Merger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USA Waste's Reasons for the Merger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Recommendation of the Board of Directors of</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USA Waste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Sanifill's Reasons for the Merger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Recommendation of the Board of Directors of</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Sanifill  .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24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Opinion of Financial Advisor to USA Waste</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24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Opinion of Financial Advisor to Sanifill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28</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Conflicts of Interest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Certain Federal Income Tax Consequences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35</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 Appraisal or Dissenters' Rights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36</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Treatment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36</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Government and Regulatory Approvals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Restrictions on Resales by Affiliates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Board of Directors After the Merger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Meetings, Committees and Compensation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Officers  . .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41</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AMENDMENT TO USA WASTE RESTATED</w:t>
            </w:r>
          </w:p>
        </w:tc>
        <w:tc>
          <w:tcPr>
            <w:tcW w:w="2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CERTIFICATE OF INCORPORATION.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41</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THE PLAN OF MERGER AND TERMS OF</w:t>
            </w:r>
          </w:p>
        </w:tc>
        <w:tc>
          <w:tcPr>
            <w:tcW w:w="2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MERGER  .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Effective Time of the Merger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Manner and Basis for Converting Shares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Assumption of Sanifill Options and Sanifill</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Warrants  .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Treatment of Sanifill Convertible</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Debentures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Conditions to the Merger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Representations and Warranties of USA Waste</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and Sanifill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46</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Survival of Representations, Warranties and</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Agreements  . . . . . . . . .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Conduct of the Business of USA Waste and</w:t>
            </w:r>
          </w:p>
        </w:tc>
        <w:tc>
          <w:tcPr>
            <w:tcW w:w="220" w:type="dxa"/>
            <w:vAlign w:val="bottom"/>
          </w:tcPr>
          <w:p>
            <w:pPr>
              <w:spacing w:after="0"/>
              <w:rPr>
                <w:sz w:val="14"/>
                <w:szCs w:val="14"/>
                <w:color w:val="auto"/>
              </w:rPr>
            </w:pPr>
          </w:p>
        </w:tc>
      </w:tr>
      <w:tr>
        <w:trPr>
          <w:trHeight w:val="168"/>
        </w:trPr>
        <w:tc>
          <w:tcPr>
            <w:tcW w:w="4260" w:type="dxa"/>
            <w:vAlign w:val="bottom"/>
          </w:tcPr>
          <w:p>
            <w:pPr>
              <w:jc w:val="right"/>
              <w:ind w:right="248"/>
              <w:spacing w:after="0" w:line="168" w:lineRule="exact"/>
              <w:rPr>
                <w:sz w:val="20"/>
                <w:szCs w:val="20"/>
                <w:color w:val="auto"/>
              </w:rPr>
            </w:pPr>
            <w:r>
              <w:rPr>
                <w:rFonts w:ascii="Courier New" w:cs="Courier New" w:eastAsia="Courier New" w:hAnsi="Courier New"/>
                <w:sz w:val="15"/>
                <w:szCs w:val="15"/>
                <w:color w:val="auto"/>
              </w:rPr>
              <w:t>Sanifill Prior to the Merger  . . . . .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519"/>
        <w:spacing w:after="0"/>
        <w:rPr>
          <w:sz w:val="20"/>
          <w:szCs w:val="20"/>
          <w:color w:val="auto"/>
        </w:rPr>
      </w:pPr>
      <w:r>
        <w:rPr>
          <w:rFonts w:ascii="Courier New" w:cs="Courier New" w:eastAsia="Courier New" w:hAnsi="Courier New"/>
          <w:sz w:val="15"/>
          <w:szCs w:val="15"/>
          <w:color w:val="auto"/>
        </w:rPr>
        <w:t>Page</w:t>
      </w:r>
    </w:p>
    <w:p>
      <w:pPr>
        <w:jc w:val="right"/>
        <w:ind w:right="51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80"/>
        <w:spacing w:after="0"/>
        <w:tabs>
          <w:tab w:leader="none" w:pos="4260" w:val="left"/>
        </w:tabs>
        <w:rPr>
          <w:sz w:val="20"/>
          <w:szCs w:val="20"/>
          <w:color w:val="auto"/>
        </w:rPr>
      </w:pPr>
      <w:r>
        <w:rPr>
          <w:rFonts w:ascii="Courier New" w:cs="Courier New" w:eastAsia="Courier New" w:hAnsi="Courier New"/>
          <w:sz w:val="15"/>
          <w:szCs w:val="15"/>
          <w:color w:val="auto"/>
        </w:rPr>
        <w:t>No Solicitation of Acquisition Transactions</w:t>
      </w:r>
      <w:r>
        <w:rPr>
          <w:sz w:val="20"/>
          <w:szCs w:val="20"/>
          <w:color w:val="auto"/>
        </w:rPr>
        <w:tab/>
      </w:r>
      <w:r>
        <w:rPr>
          <w:rFonts w:ascii="Courier New" w:cs="Courier New" w:eastAsia="Courier New" w:hAnsi="Courier New"/>
          <w:sz w:val="15"/>
          <w:szCs w:val="15"/>
          <w:color w:val="auto"/>
        </w:rPr>
        <w:t>49</w:t>
      </w:r>
    </w:p>
    <w:p>
      <w:pPr>
        <w:ind w:left="180"/>
        <w:spacing w:after="0" w:line="237" w:lineRule="auto"/>
        <w:rPr>
          <w:sz w:val="20"/>
          <w:szCs w:val="20"/>
          <w:color w:val="auto"/>
        </w:rPr>
      </w:pPr>
      <w:r>
        <w:rPr>
          <w:rFonts w:ascii="Courier New" w:cs="Courier New" w:eastAsia="Courier New" w:hAnsi="Courier New"/>
          <w:sz w:val="15"/>
          <w:szCs w:val="15"/>
          <w:color w:val="auto"/>
        </w:rPr>
        <w:t>Conduct of the Business of the Combined</w:t>
      </w:r>
    </w:p>
    <w:p>
      <w:pPr>
        <w:ind w:left="340"/>
        <w:spacing w:after="0" w:line="238" w:lineRule="auto"/>
        <w:tabs>
          <w:tab w:leader="none" w:pos="3120" w:val="left"/>
          <w:tab w:leader="none" w:pos="4260" w:val="left"/>
        </w:tabs>
        <w:rPr>
          <w:sz w:val="20"/>
          <w:szCs w:val="20"/>
          <w:color w:val="auto"/>
        </w:rPr>
      </w:pPr>
      <w:r>
        <w:rPr>
          <w:rFonts w:ascii="Courier New" w:cs="Courier New" w:eastAsia="Courier New" w:hAnsi="Courier New"/>
          <w:sz w:val="15"/>
          <w:szCs w:val="15"/>
          <w:color w:val="auto"/>
        </w:rPr>
        <w:t>Companies Following the Merger</w:t>
        <w:tab/>
        <w:t>. . . . .</w:t>
      </w:r>
      <w:r>
        <w:rPr>
          <w:sz w:val="20"/>
          <w:szCs w:val="20"/>
          <w:color w:val="auto"/>
        </w:rPr>
        <w:tab/>
      </w:r>
      <w:r>
        <w:rPr>
          <w:rFonts w:ascii="Courier New" w:cs="Courier New" w:eastAsia="Courier New" w:hAnsi="Courier New"/>
          <w:sz w:val="15"/>
          <w:szCs w:val="15"/>
          <w:color w:val="auto"/>
        </w:rPr>
        <w:t>50</w:t>
      </w:r>
    </w:p>
    <w:p>
      <w:pPr>
        <w:ind w:left="180"/>
        <w:spacing w:after="0" w:line="237" w:lineRule="auto"/>
        <w:tabs>
          <w:tab w:leader="none" w:pos="2420" w:val="left"/>
          <w:tab w:leader="none" w:pos="4260" w:val="left"/>
        </w:tabs>
        <w:rPr>
          <w:sz w:val="20"/>
          <w:szCs w:val="20"/>
          <w:color w:val="auto"/>
        </w:rPr>
      </w:pPr>
      <w:r>
        <w:rPr>
          <w:rFonts w:ascii="Courier New" w:cs="Courier New" w:eastAsia="Courier New" w:hAnsi="Courier New"/>
          <w:sz w:val="15"/>
          <w:szCs w:val="15"/>
          <w:color w:val="auto"/>
        </w:rPr>
        <w:t>Termination or Amendment</w:t>
        <w:tab/>
        <w:t>. . . . . . . . .</w:t>
      </w:r>
      <w:r>
        <w:rPr>
          <w:sz w:val="20"/>
          <w:szCs w:val="20"/>
          <w:color w:val="auto"/>
        </w:rPr>
        <w:tab/>
      </w:r>
      <w:r>
        <w:rPr>
          <w:rFonts w:ascii="Courier New" w:cs="Courier New" w:eastAsia="Courier New" w:hAnsi="Courier New"/>
          <w:sz w:val="15"/>
          <w:szCs w:val="15"/>
          <w:color w:val="auto"/>
        </w:rPr>
        <w:t>50</w:t>
      </w:r>
    </w:p>
    <w:p>
      <w:pPr>
        <w:ind w:left="180"/>
        <w:spacing w:after="0" w:line="238" w:lineRule="auto"/>
        <w:tabs>
          <w:tab w:leader="none" w:pos="1720" w:val="left"/>
          <w:tab w:leader="none" w:pos="4260" w:val="left"/>
        </w:tabs>
        <w:rPr>
          <w:sz w:val="20"/>
          <w:szCs w:val="20"/>
          <w:color w:val="auto"/>
        </w:rPr>
      </w:pPr>
      <w:r>
        <w:rPr>
          <w:rFonts w:ascii="Courier New" w:cs="Courier New" w:eastAsia="Courier New" w:hAnsi="Courier New"/>
          <w:sz w:val="15"/>
          <w:szCs w:val="15"/>
          <w:color w:val="auto"/>
        </w:rPr>
        <w:t>Termination Fees</w:t>
        <w:tab/>
        <w:t>. . . . . . . . . . . . .</w:t>
      </w:r>
      <w:r>
        <w:rPr>
          <w:sz w:val="20"/>
          <w:szCs w:val="20"/>
          <w:color w:val="auto"/>
        </w:rPr>
        <w:tab/>
      </w:r>
      <w:r>
        <w:rPr>
          <w:rFonts w:ascii="Courier New" w:cs="Courier New" w:eastAsia="Courier New" w:hAnsi="Courier New"/>
          <w:sz w:val="15"/>
          <w:szCs w:val="15"/>
          <w:color w:val="auto"/>
        </w:rPr>
        <w:t>51</w:t>
      </w:r>
    </w:p>
    <w:p>
      <w:pPr>
        <w:ind w:left="180"/>
        <w:spacing w:after="0" w:line="237" w:lineRule="auto"/>
        <w:tabs>
          <w:tab w:leader="none" w:pos="1020" w:val="left"/>
          <w:tab w:leader="none" w:pos="4260" w:val="left"/>
        </w:tabs>
        <w:rPr>
          <w:sz w:val="20"/>
          <w:szCs w:val="20"/>
          <w:color w:val="auto"/>
        </w:rPr>
      </w:pPr>
      <w:r>
        <w:rPr>
          <w:rFonts w:ascii="Courier New" w:cs="Courier New" w:eastAsia="Courier New" w:hAnsi="Courier New"/>
          <w:sz w:val="15"/>
          <w:szCs w:val="15"/>
          <w:color w:val="auto"/>
        </w:rPr>
        <w:t>Expenses</w:t>
        <w:tab/>
        <w:t>. . . . . . . . . . . . . . . . .</w:t>
      </w:r>
      <w:r>
        <w:rPr>
          <w:sz w:val="20"/>
          <w:szCs w:val="20"/>
          <w:color w:val="auto"/>
        </w:rPr>
        <w:tab/>
      </w:r>
      <w:r>
        <w:rPr>
          <w:rFonts w:ascii="Courier New" w:cs="Courier New" w:eastAsia="Courier New" w:hAnsi="Courier New"/>
          <w:sz w:val="15"/>
          <w:szCs w:val="15"/>
          <w:color w:val="auto"/>
        </w:rPr>
        <w:t>51</w:t>
      </w:r>
    </w:p>
    <w:p>
      <w:pPr>
        <w:ind w:left="180"/>
        <w:spacing w:after="0" w:line="238" w:lineRule="auto"/>
        <w:tabs>
          <w:tab w:leader="none" w:pos="1900" w:val="left"/>
          <w:tab w:leader="none" w:pos="4260" w:val="left"/>
        </w:tabs>
        <w:rPr>
          <w:sz w:val="20"/>
          <w:szCs w:val="20"/>
          <w:color w:val="auto"/>
        </w:rPr>
      </w:pPr>
      <w:r>
        <w:rPr>
          <w:rFonts w:ascii="Courier New" w:cs="Courier New" w:eastAsia="Courier New" w:hAnsi="Courier New"/>
          <w:sz w:val="15"/>
          <w:szCs w:val="15"/>
          <w:color w:val="auto"/>
        </w:rPr>
        <w:t>Office Relocation</w:t>
        <w:tab/>
        <w:t>. . . . . . . . . . . .</w:t>
      </w:r>
      <w:r>
        <w:rPr>
          <w:sz w:val="20"/>
          <w:szCs w:val="20"/>
          <w:color w:val="auto"/>
        </w:rPr>
        <w:tab/>
      </w:r>
      <w:r>
        <w:rPr>
          <w:rFonts w:ascii="Courier New" w:cs="Courier New" w:eastAsia="Courier New" w:hAnsi="Courier New"/>
          <w:sz w:val="15"/>
          <w:szCs w:val="15"/>
          <w:color w:val="auto"/>
        </w:rPr>
        <w:t>51</w:t>
      </w:r>
    </w:p>
    <w:p>
      <w:pPr>
        <w:ind w:left="180"/>
        <w:spacing w:after="0" w:line="237" w:lineRule="auto"/>
        <w:tabs>
          <w:tab w:leader="none" w:pos="2960" w:val="left"/>
          <w:tab w:leader="none" w:pos="4260" w:val="left"/>
        </w:tabs>
        <w:rPr>
          <w:sz w:val="20"/>
          <w:szCs w:val="20"/>
          <w:color w:val="auto"/>
        </w:rPr>
      </w:pPr>
      <w:r>
        <w:rPr>
          <w:rFonts w:ascii="Courier New" w:cs="Courier New" w:eastAsia="Courier New" w:hAnsi="Courier New"/>
          <w:sz w:val="15"/>
          <w:szCs w:val="15"/>
          <w:color w:val="auto"/>
        </w:rPr>
        <w:t>Indemnification and Insurance</w:t>
      </w:r>
      <w:r>
        <w:rPr>
          <w:sz w:val="20"/>
          <w:szCs w:val="20"/>
          <w:color w:val="auto"/>
        </w:rPr>
        <w:tab/>
      </w:r>
      <w:r>
        <w:rPr>
          <w:rFonts w:ascii="Courier New" w:cs="Courier New" w:eastAsia="Courier New" w:hAnsi="Courier New"/>
          <w:sz w:val="15"/>
          <w:szCs w:val="15"/>
          <w:color w:val="auto"/>
        </w:rPr>
        <w:t>. . . . . .</w:t>
      </w:r>
      <w:r>
        <w:rPr>
          <w:sz w:val="20"/>
          <w:szCs w:val="20"/>
          <w:color w:val="auto"/>
        </w:rPr>
        <w:tab/>
      </w:r>
      <w:r>
        <w:rPr>
          <w:rFonts w:ascii="Courier New" w:cs="Courier New" w:eastAsia="Courier New" w:hAnsi="Courier New"/>
          <w:sz w:val="15"/>
          <w:szCs w:val="15"/>
          <w:color w:val="auto"/>
        </w:rPr>
        <w:t>51</w:t>
      </w:r>
    </w:p>
    <w:p>
      <w:pPr>
        <w:ind w:left="180"/>
        <w:spacing w:after="0" w:line="238" w:lineRule="auto"/>
        <w:tabs>
          <w:tab w:leader="none" w:pos="1720" w:val="left"/>
          <w:tab w:leader="none" w:pos="4260" w:val="left"/>
        </w:tabs>
        <w:rPr>
          <w:sz w:val="20"/>
          <w:szCs w:val="20"/>
          <w:color w:val="auto"/>
        </w:rPr>
      </w:pPr>
      <w:r>
        <w:rPr>
          <w:rFonts w:ascii="Courier New" w:cs="Courier New" w:eastAsia="Courier New" w:hAnsi="Courier New"/>
          <w:sz w:val="15"/>
          <w:szCs w:val="15"/>
          <w:color w:val="auto"/>
        </w:rPr>
        <w:t>Other Agreements</w:t>
        <w:tab/>
        <w:t>. . . . . . . . . . . . .</w:t>
      </w:r>
      <w:r>
        <w:rPr>
          <w:sz w:val="20"/>
          <w:szCs w:val="20"/>
          <w:color w:val="auto"/>
        </w:rPr>
        <w:tab/>
      </w:r>
      <w:r>
        <w:rPr>
          <w:rFonts w:ascii="Courier New" w:cs="Courier New" w:eastAsia="Courier New" w:hAnsi="Courier New"/>
          <w:sz w:val="15"/>
          <w:szCs w:val="15"/>
          <w:color w:val="auto"/>
        </w:rPr>
        <w:t>52</w:t>
      </w:r>
    </w:p>
    <w:p>
      <w:pPr>
        <w:ind w:left="180"/>
        <w:spacing w:after="0" w:line="238" w:lineRule="auto"/>
        <w:tabs>
          <w:tab w:leader="none" w:pos="1900" w:val="left"/>
          <w:tab w:leader="none" w:pos="4260" w:val="left"/>
        </w:tabs>
        <w:rPr>
          <w:sz w:val="20"/>
          <w:szCs w:val="20"/>
          <w:color w:val="auto"/>
        </w:rPr>
      </w:pPr>
      <w:r>
        <w:rPr>
          <w:rFonts w:ascii="Courier New" w:cs="Courier New" w:eastAsia="Courier New" w:hAnsi="Courier New"/>
          <w:sz w:val="15"/>
          <w:szCs w:val="15"/>
          <w:color w:val="auto"/>
        </w:rPr>
        <w:t>Voting Agreements</w:t>
        <w:tab/>
        <w:t>. . . . . . . . . . . .</w:t>
      </w:r>
      <w:r>
        <w:rPr>
          <w:sz w:val="20"/>
          <w:szCs w:val="20"/>
          <w:color w:val="auto"/>
        </w:rPr>
        <w:tab/>
      </w:r>
      <w:r>
        <w:rPr>
          <w:rFonts w:ascii="Courier New" w:cs="Courier New" w:eastAsia="Courier New" w:hAnsi="Courier New"/>
          <w:sz w:val="15"/>
          <w:szCs w:val="15"/>
          <w:color w:val="auto"/>
        </w:rPr>
        <w:t>53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STOCKHOLDERS</w:t>
      </w:r>
    </w:p>
    <w:p>
      <w:pPr>
        <w:ind w:left="180"/>
        <w:spacing w:after="0" w:line="237" w:lineRule="auto"/>
        <w:tabs>
          <w:tab w:leader="none" w:pos="2600" w:val="left"/>
          <w:tab w:leader="none" w:pos="4260" w:val="left"/>
        </w:tabs>
        <w:rPr>
          <w:sz w:val="20"/>
          <w:szCs w:val="20"/>
          <w:color w:val="auto"/>
        </w:rPr>
      </w:pPr>
      <w:r>
        <w:rPr>
          <w:rFonts w:ascii="Courier New" w:cs="Courier New" w:eastAsia="Courier New" w:hAnsi="Courier New"/>
          <w:sz w:val="15"/>
          <w:szCs w:val="15"/>
          <w:color w:val="auto"/>
        </w:rPr>
        <w:t>OF USA WASTE AND SANIFILL</w:t>
        <w:tab/>
        <w:t>. . . . . . . .</w:t>
      </w:r>
      <w:r>
        <w:rPr>
          <w:sz w:val="20"/>
          <w:szCs w:val="20"/>
          <w:color w:val="auto"/>
        </w:rPr>
        <w:tab/>
      </w:r>
      <w:r>
        <w:rPr>
          <w:rFonts w:ascii="Courier New" w:cs="Courier New" w:eastAsia="Courier New" w:hAnsi="Courier New"/>
          <w:sz w:val="15"/>
          <w:szCs w:val="15"/>
          <w:color w:val="auto"/>
        </w:rPr>
        <w:t>54</w:t>
      </w:r>
    </w:p>
    <w:p>
      <w:pPr>
        <w:ind w:left="180"/>
        <w:spacing w:after="0" w:line="238" w:lineRule="auto"/>
        <w:tabs>
          <w:tab w:leader="none" w:pos="1020" w:val="left"/>
          <w:tab w:leader="none" w:pos="4260" w:val="left"/>
        </w:tabs>
        <w:rPr>
          <w:sz w:val="20"/>
          <w:szCs w:val="20"/>
          <w:color w:val="auto"/>
        </w:rPr>
      </w:pPr>
      <w:r>
        <w:rPr>
          <w:rFonts w:ascii="Courier New" w:cs="Courier New" w:eastAsia="Courier New" w:hAnsi="Courier New"/>
          <w:sz w:val="15"/>
          <w:szCs w:val="15"/>
          <w:color w:val="auto"/>
        </w:rPr>
        <w:t>General</w:t>
        <w:tab/>
        <w:t>. . . . . . . . . . . . . . . . .</w:t>
      </w:r>
      <w:r>
        <w:rPr>
          <w:sz w:val="20"/>
          <w:szCs w:val="20"/>
          <w:color w:val="auto"/>
        </w:rPr>
        <w:tab/>
      </w:r>
      <w:r>
        <w:rPr>
          <w:rFonts w:ascii="Courier New" w:cs="Courier New" w:eastAsia="Courier New" w:hAnsi="Courier New"/>
          <w:sz w:val="15"/>
          <w:szCs w:val="15"/>
          <w:color w:val="auto"/>
        </w:rPr>
        <w:t>54</w:t>
      </w:r>
    </w:p>
    <w:p>
      <w:pPr>
        <w:ind w:left="180"/>
        <w:spacing w:after="0" w:line="237" w:lineRule="auto"/>
        <w:rPr>
          <w:sz w:val="20"/>
          <w:szCs w:val="20"/>
          <w:color w:val="auto"/>
        </w:rPr>
      </w:pPr>
      <w:r>
        <w:rPr>
          <w:rFonts w:ascii="Courier New" w:cs="Courier New" w:eastAsia="Courier New" w:hAnsi="Courier New"/>
          <w:sz w:val="15"/>
          <w:szCs w:val="15"/>
          <w:color w:val="auto"/>
        </w:rPr>
        <w:t>Number of Directors; Removal of Directors;</w:t>
      </w:r>
    </w:p>
    <w:p>
      <w:pPr>
        <w:ind w:left="340"/>
        <w:spacing w:after="0" w:line="238" w:lineRule="auto"/>
        <w:rPr>
          <w:sz w:val="20"/>
          <w:szCs w:val="20"/>
          <w:color w:val="auto"/>
        </w:rPr>
      </w:pPr>
      <w:r>
        <w:rPr>
          <w:rFonts w:ascii="Courier New" w:cs="Courier New" w:eastAsia="Courier New" w:hAnsi="Courier New"/>
          <w:sz w:val="15"/>
          <w:szCs w:val="15"/>
          <w:color w:val="auto"/>
        </w:rPr>
        <w:t>Filling of Vacancies on the Board</w:t>
      </w:r>
    </w:p>
    <w:p>
      <w:pPr>
        <w:ind w:left="340"/>
        <w:spacing w:after="0" w:line="237" w:lineRule="auto"/>
        <w:tabs>
          <w:tab w:leader="none" w:pos="1560" w:val="left"/>
          <w:tab w:leader="none" w:pos="4260" w:val="left"/>
        </w:tabs>
        <w:rPr>
          <w:sz w:val="20"/>
          <w:szCs w:val="20"/>
          <w:color w:val="auto"/>
        </w:rPr>
      </w:pPr>
      <w:r>
        <w:rPr>
          <w:rFonts w:ascii="Courier New" w:cs="Courier New" w:eastAsia="Courier New" w:hAnsi="Courier New"/>
          <w:sz w:val="15"/>
          <w:szCs w:val="15"/>
          <w:color w:val="auto"/>
        </w:rPr>
        <w:t>of Directors</w:t>
        <w:tab/>
        <w:t>. . . . . . . . . . . . . .</w:t>
      </w:r>
      <w:r>
        <w:rPr>
          <w:sz w:val="20"/>
          <w:szCs w:val="20"/>
          <w:color w:val="auto"/>
        </w:rPr>
        <w:tab/>
      </w:r>
      <w:r>
        <w:rPr>
          <w:rFonts w:ascii="Courier New" w:cs="Courier New" w:eastAsia="Courier New" w:hAnsi="Courier New"/>
          <w:sz w:val="15"/>
          <w:szCs w:val="15"/>
          <w:color w:val="auto"/>
        </w:rPr>
        <w:t>54</w:t>
      </w:r>
    </w:p>
    <w:p>
      <w:pPr>
        <w:ind w:left="180"/>
        <w:spacing w:after="0" w:line="238" w:lineRule="auto"/>
        <w:tabs>
          <w:tab w:leader="none" w:pos="860" w:val="left"/>
          <w:tab w:leader="none" w:pos="4260" w:val="left"/>
        </w:tabs>
        <w:rPr>
          <w:sz w:val="20"/>
          <w:szCs w:val="20"/>
          <w:color w:val="auto"/>
        </w:rPr>
      </w:pPr>
      <w:r>
        <w:rPr>
          <w:rFonts w:ascii="Courier New" w:cs="Courier New" w:eastAsia="Courier New" w:hAnsi="Courier New"/>
          <w:sz w:val="15"/>
          <w:szCs w:val="15"/>
          <w:color w:val="auto"/>
        </w:rPr>
        <w:t>Voting</w:t>
        <w:tab/>
        <w:t>. . . . . . . . . . . . . . . . . .</w:t>
      </w:r>
      <w:r>
        <w:rPr>
          <w:sz w:val="20"/>
          <w:szCs w:val="20"/>
          <w:color w:val="auto"/>
        </w:rPr>
        <w:tab/>
      </w:r>
      <w:r>
        <w:rPr>
          <w:rFonts w:ascii="Courier New" w:cs="Courier New" w:eastAsia="Courier New" w:hAnsi="Courier New"/>
          <w:sz w:val="15"/>
          <w:szCs w:val="15"/>
          <w:color w:val="auto"/>
        </w:rPr>
        <w:t>54</w:t>
      </w:r>
    </w:p>
    <w:p>
      <w:pPr>
        <w:ind w:left="180"/>
        <w:spacing w:after="0" w:line="237" w:lineRule="auto"/>
        <w:tabs>
          <w:tab w:leader="none" w:pos="3660" w:val="left"/>
          <w:tab w:leader="none" w:pos="4260" w:val="left"/>
        </w:tabs>
        <w:rPr>
          <w:sz w:val="20"/>
          <w:szCs w:val="20"/>
          <w:color w:val="auto"/>
        </w:rPr>
      </w:pPr>
      <w:r>
        <w:rPr>
          <w:rFonts w:ascii="Courier New" w:cs="Courier New" w:eastAsia="Courier New" w:hAnsi="Courier New"/>
          <w:sz w:val="15"/>
          <w:szCs w:val="15"/>
          <w:color w:val="auto"/>
        </w:rPr>
        <w:t>Stockholder Nominations and Proposals</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54</w:t>
      </w:r>
    </w:p>
    <w:p>
      <w:pPr>
        <w:ind w:left="180"/>
        <w:spacing w:after="0" w:line="238" w:lineRule="auto"/>
        <w:tabs>
          <w:tab w:leader="none" w:pos="2080" w:val="left"/>
          <w:tab w:leader="none" w:pos="4260" w:val="left"/>
        </w:tabs>
        <w:rPr>
          <w:sz w:val="20"/>
          <w:szCs w:val="20"/>
          <w:color w:val="auto"/>
        </w:rPr>
      </w:pPr>
      <w:r>
        <w:rPr>
          <w:rFonts w:ascii="Courier New" w:cs="Courier New" w:eastAsia="Courier New" w:hAnsi="Courier New"/>
          <w:sz w:val="15"/>
          <w:szCs w:val="15"/>
          <w:color w:val="auto"/>
        </w:rPr>
        <w:t>Fair Price Provision</w:t>
        <w:tab/>
        <w:t>. . . . . . . . . . .</w:t>
      </w:r>
      <w:r>
        <w:rPr>
          <w:sz w:val="20"/>
          <w:szCs w:val="20"/>
          <w:color w:val="auto"/>
        </w:rPr>
        <w:tab/>
      </w:r>
      <w:r>
        <w:rPr>
          <w:rFonts w:ascii="Courier New" w:cs="Courier New" w:eastAsia="Courier New" w:hAnsi="Courier New"/>
          <w:sz w:val="15"/>
          <w:szCs w:val="15"/>
          <w:color w:val="auto"/>
        </w:rPr>
        <w:t>55</w:t>
      </w:r>
    </w:p>
    <w:p>
      <w:pPr>
        <w:ind w:left="180"/>
        <w:spacing w:after="0" w:line="238" w:lineRule="auto"/>
        <w:tabs>
          <w:tab w:leader="none" w:pos="3820" w:val="left"/>
          <w:tab w:leader="none" w:pos="4260" w:val="left"/>
        </w:tabs>
        <w:rPr>
          <w:sz w:val="20"/>
          <w:szCs w:val="20"/>
          <w:color w:val="auto"/>
        </w:rPr>
      </w:pPr>
      <w:r>
        <w:rPr>
          <w:rFonts w:ascii="Courier New" w:cs="Courier New" w:eastAsia="Courier New" w:hAnsi="Courier New"/>
          <w:sz w:val="15"/>
          <w:szCs w:val="15"/>
          <w:color w:val="auto"/>
        </w:rPr>
        <w:t>Amendment of Certain Charter Provisions</w:t>
        <w:tab/>
        <w:t>.</w:t>
      </w:r>
      <w:r>
        <w:rPr>
          <w:sz w:val="20"/>
          <w:szCs w:val="20"/>
          <w:color w:val="auto"/>
        </w:rPr>
        <w:tab/>
      </w:r>
      <w:r>
        <w:rPr>
          <w:rFonts w:ascii="Courier New" w:cs="Courier New" w:eastAsia="Courier New" w:hAnsi="Courier New"/>
          <w:sz w:val="15"/>
          <w:szCs w:val="15"/>
          <w:color w:val="auto"/>
        </w:rPr>
        <w:t>56</w:t>
      </w:r>
    </w:p>
    <w:p>
      <w:pPr>
        <w:ind w:left="180"/>
        <w:spacing w:after="0" w:line="237" w:lineRule="auto"/>
        <w:tabs>
          <w:tab w:leader="none" w:pos="2080" w:val="left"/>
          <w:tab w:leader="none" w:pos="4260" w:val="left"/>
        </w:tabs>
        <w:rPr>
          <w:sz w:val="20"/>
          <w:szCs w:val="20"/>
          <w:color w:val="auto"/>
        </w:rPr>
      </w:pPr>
      <w:r>
        <w:rPr>
          <w:rFonts w:ascii="Courier New" w:cs="Courier New" w:eastAsia="Courier New" w:hAnsi="Courier New"/>
          <w:sz w:val="15"/>
          <w:szCs w:val="15"/>
          <w:color w:val="auto"/>
        </w:rPr>
        <w:t>Sanifill Rights Plan</w:t>
        <w:tab/>
        <w:t>. . . . . . . . . . .</w:t>
      </w:r>
      <w:r>
        <w:rPr>
          <w:sz w:val="20"/>
          <w:szCs w:val="20"/>
          <w:color w:val="auto"/>
        </w:rPr>
        <w:tab/>
      </w:r>
      <w:r>
        <w:rPr>
          <w:rFonts w:ascii="Courier New" w:cs="Courier New" w:eastAsia="Courier New" w:hAnsi="Courier New"/>
          <w:sz w:val="15"/>
          <w:szCs w:val="15"/>
          <w:color w:val="auto"/>
        </w:rPr>
        <w:t>56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AND SANIFILL COMBINED</w:t>
      </w:r>
    </w:p>
    <w:p>
      <w:pPr>
        <w:ind w:left="180"/>
        <w:spacing w:after="0" w:line="237" w:lineRule="auto"/>
        <w:rPr>
          <w:sz w:val="20"/>
          <w:szCs w:val="20"/>
          <w:color w:val="auto"/>
        </w:rPr>
      </w:pPr>
      <w:r>
        <w:rPr>
          <w:rFonts w:ascii="Courier New" w:cs="Courier New" w:eastAsia="Courier New" w:hAnsi="Courier New"/>
          <w:sz w:val="15"/>
          <w:szCs w:val="15"/>
          <w:color w:val="auto"/>
        </w:rPr>
        <w:t>UNAUDITED PRO FORMA CONDENSED</w:t>
      </w:r>
    </w:p>
    <w:p>
      <w:pPr>
        <w:ind w:left="180"/>
        <w:spacing w:after="0" w:line="238" w:lineRule="auto"/>
        <w:tabs>
          <w:tab w:leader="none" w:pos="2080" w:val="left"/>
          <w:tab w:leader="none" w:pos="4260" w:val="left"/>
        </w:tabs>
        <w:rPr>
          <w:sz w:val="20"/>
          <w:szCs w:val="20"/>
          <w:color w:val="auto"/>
        </w:rPr>
      </w:pPr>
      <w:r>
        <w:rPr>
          <w:rFonts w:ascii="Courier New" w:cs="Courier New" w:eastAsia="Courier New" w:hAnsi="Courier New"/>
          <w:sz w:val="15"/>
          <w:szCs w:val="15"/>
          <w:color w:val="auto"/>
        </w:rPr>
        <w:t>FINANCIAL STATEMENTS</w:t>
        <w:tab/>
        <w:t>. . . . . . . . . . .</w:t>
      </w:r>
      <w:r>
        <w:rPr>
          <w:sz w:val="20"/>
          <w:szCs w:val="20"/>
          <w:color w:val="auto"/>
        </w:rPr>
        <w:tab/>
      </w:r>
      <w:r>
        <w:rPr>
          <w:rFonts w:ascii="Courier New" w:cs="Courier New" w:eastAsia="Courier New" w:hAnsi="Courier New"/>
          <w:sz w:val="15"/>
          <w:szCs w:val="15"/>
          <w:color w:val="auto"/>
        </w:rPr>
        <w:t>57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AND SANIFILL NOTES TO</w:t>
      </w:r>
    </w:p>
    <w:p>
      <w:pPr>
        <w:ind w:left="180"/>
        <w:spacing w:after="0" w:line="237" w:lineRule="auto"/>
        <w:rPr>
          <w:sz w:val="20"/>
          <w:szCs w:val="20"/>
          <w:color w:val="auto"/>
        </w:rPr>
      </w:pPr>
      <w:r>
        <w:rPr>
          <w:rFonts w:ascii="Courier New" w:cs="Courier New" w:eastAsia="Courier New" w:hAnsi="Courier New"/>
          <w:sz w:val="15"/>
          <w:szCs w:val="15"/>
          <w:color w:val="auto"/>
        </w:rPr>
        <w:t>COMBINED UNAUDITED PRO FORMA</w:t>
      </w:r>
    </w:p>
    <w:p>
      <w:pPr>
        <w:ind w:left="180"/>
        <w:spacing w:after="0" w:line="238" w:lineRule="auto"/>
        <w:tabs>
          <w:tab w:leader="none" w:pos="2960" w:val="left"/>
          <w:tab w:leader="none" w:pos="4260" w:val="left"/>
        </w:tabs>
        <w:rPr>
          <w:sz w:val="20"/>
          <w:szCs w:val="20"/>
          <w:color w:val="auto"/>
        </w:rPr>
      </w:pPr>
      <w:r>
        <w:rPr>
          <w:rFonts w:ascii="Courier New" w:cs="Courier New" w:eastAsia="Courier New" w:hAnsi="Courier New"/>
          <w:sz w:val="15"/>
          <w:szCs w:val="15"/>
          <w:color w:val="auto"/>
        </w:rPr>
        <w:t>CONDENSED FINANCIAL STATEMENTS</w:t>
        <w:tab/>
        <w:t>. . . . . .</w:t>
      </w:r>
      <w:r>
        <w:rPr>
          <w:sz w:val="20"/>
          <w:szCs w:val="20"/>
          <w:color w:val="auto"/>
        </w:rPr>
        <w:tab/>
      </w:r>
      <w:r>
        <w:rPr>
          <w:rFonts w:ascii="Courier New" w:cs="Courier New" w:eastAsia="Courier New" w:hAnsi="Courier New"/>
          <w:sz w:val="15"/>
          <w:szCs w:val="15"/>
          <w:color w:val="auto"/>
        </w:rPr>
        <w:t>63</w:t>
      </w:r>
    </w:p>
    <w:p>
      <w:pPr>
        <w:ind w:left="180"/>
        <w:spacing w:after="0" w:line="237" w:lineRule="auto"/>
        <w:tabs>
          <w:tab w:leader="none" w:pos="2260" w:val="left"/>
          <w:tab w:leader="none" w:pos="4260" w:val="left"/>
        </w:tabs>
        <w:rPr>
          <w:sz w:val="20"/>
          <w:szCs w:val="20"/>
          <w:color w:val="auto"/>
        </w:rPr>
      </w:pPr>
      <w:r>
        <w:rPr>
          <w:rFonts w:ascii="Courier New" w:cs="Courier New" w:eastAsia="Courier New" w:hAnsi="Courier New"/>
          <w:sz w:val="15"/>
          <w:szCs w:val="15"/>
          <w:color w:val="auto"/>
        </w:rPr>
        <w:t>Basis of Presentation</w:t>
      </w:r>
      <w:r>
        <w:rPr>
          <w:sz w:val="20"/>
          <w:szCs w:val="20"/>
          <w:color w:val="auto"/>
        </w:rPr>
        <w:tab/>
      </w:r>
      <w:r>
        <w:rPr>
          <w:rFonts w:ascii="Courier New" w:cs="Courier New" w:eastAsia="Courier New" w:hAnsi="Courier New"/>
          <w:sz w:val="15"/>
          <w:szCs w:val="15"/>
          <w:color w:val="auto"/>
        </w:rPr>
        <w:t>. . . . . . . . . .</w:t>
      </w:r>
      <w:r>
        <w:rPr>
          <w:sz w:val="20"/>
          <w:szCs w:val="20"/>
          <w:color w:val="auto"/>
        </w:rPr>
        <w:tab/>
      </w:r>
      <w:r>
        <w:rPr>
          <w:rFonts w:ascii="Courier New" w:cs="Courier New" w:eastAsia="Courier New" w:hAnsi="Courier New"/>
          <w:sz w:val="15"/>
          <w:szCs w:val="15"/>
          <w:color w:val="auto"/>
        </w:rPr>
        <w:t>63</w:t>
      </w:r>
    </w:p>
    <w:p>
      <w:pPr>
        <w:ind w:left="180"/>
        <w:spacing w:after="0" w:line="238" w:lineRule="auto"/>
        <w:tabs>
          <w:tab w:leader="none" w:pos="2260" w:val="left"/>
          <w:tab w:leader="none" w:pos="4260" w:val="left"/>
        </w:tabs>
        <w:rPr>
          <w:sz w:val="20"/>
          <w:szCs w:val="20"/>
          <w:color w:val="auto"/>
        </w:rPr>
      </w:pPr>
      <w:r>
        <w:rPr>
          <w:rFonts w:ascii="Courier New" w:cs="Courier New" w:eastAsia="Courier New" w:hAnsi="Courier New"/>
          <w:sz w:val="15"/>
          <w:szCs w:val="15"/>
          <w:color w:val="auto"/>
        </w:rPr>
        <w:t>Pro Forma Adjustments</w:t>
      </w:r>
      <w:r>
        <w:rPr>
          <w:sz w:val="20"/>
          <w:szCs w:val="20"/>
          <w:color w:val="auto"/>
        </w:rPr>
        <w:tab/>
      </w:r>
      <w:r>
        <w:rPr>
          <w:rFonts w:ascii="Courier New" w:cs="Courier New" w:eastAsia="Courier New" w:hAnsi="Courier New"/>
          <w:sz w:val="15"/>
          <w:szCs w:val="15"/>
          <w:color w:val="auto"/>
        </w:rPr>
        <w:t>. . . . . . . . . .</w:t>
      </w:r>
      <w:r>
        <w:rPr>
          <w:sz w:val="20"/>
          <w:szCs w:val="20"/>
          <w:color w:val="auto"/>
        </w:rPr>
        <w:tab/>
      </w:r>
      <w:r>
        <w:rPr>
          <w:rFonts w:ascii="Courier New" w:cs="Courier New" w:eastAsia="Courier New" w:hAnsi="Courier New"/>
          <w:sz w:val="15"/>
          <w:szCs w:val="15"/>
          <w:color w:val="auto"/>
        </w:rPr>
        <w:t>63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SUPPLEMENTALLY PROVIDED INFORMATION</w:t>
      </w:r>
    </w:p>
    <w:p>
      <w:pPr>
        <w:ind w:left="180"/>
        <w:spacing w:after="0" w:line="237" w:lineRule="auto"/>
        <w:rPr>
          <w:sz w:val="20"/>
          <w:szCs w:val="20"/>
          <w:color w:val="auto"/>
        </w:rPr>
      </w:pPr>
      <w:r>
        <w:rPr>
          <w:rFonts w:ascii="Courier New" w:cs="Courier New" w:eastAsia="Courier New" w:hAnsi="Courier New"/>
          <w:sz w:val="15"/>
          <w:szCs w:val="15"/>
          <w:color w:val="auto"/>
        </w:rPr>
        <w:t>RELATING TO THE COMBINED UNAUDITED</w:t>
      </w:r>
    </w:p>
    <w:p>
      <w:pPr>
        <w:ind w:left="180"/>
        <w:spacing w:after="0" w:line="238" w:lineRule="auto"/>
        <w:rPr>
          <w:sz w:val="20"/>
          <w:szCs w:val="20"/>
          <w:color w:val="auto"/>
        </w:rPr>
      </w:pPr>
      <w:r>
        <w:rPr>
          <w:rFonts w:ascii="Courier New" w:cs="Courier New" w:eastAsia="Courier New" w:hAnsi="Courier New"/>
          <w:sz w:val="15"/>
          <w:szCs w:val="15"/>
          <w:color w:val="auto"/>
        </w:rPr>
        <w:t>PRO FORMA CONDENSED FINANCIAL</w:t>
      </w:r>
    </w:p>
    <w:p>
      <w:pPr>
        <w:ind w:left="180"/>
        <w:spacing w:after="0" w:line="237" w:lineRule="auto"/>
        <w:tabs>
          <w:tab w:leader="none" w:pos="1200" w:val="left"/>
          <w:tab w:leader="none" w:pos="4180" w:val="left"/>
        </w:tabs>
        <w:rPr>
          <w:sz w:val="20"/>
          <w:szCs w:val="20"/>
          <w:color w:val="auto"/>
        </w:rPr>
      </w:pPr>
      <w:r>
        <w:rPr>
          <w:rFonts w:ascii="Courier New" w:cs="Courier New" w:eastAsia="Courier New" w:hAnsi="Courier New"/>
          <w:sz w:val="15"/>
          <w:szCs w:val="15"/>
          <w:color w:val="auto"/>
        </w:rPr>
        <w:t>STATEMENTS</w:t>
        <w:tab/>
        <w:t>. . . . . . . . . . . . . . . .</w:t>
        <w:tab/>
        <w:t>64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STOCKHOLDERS OF USA WASTE AND</w:t>
      </w:r>
    </w:p>
    <w:p>
      <w:pPr>
        <w:ind w:left="340"/>
        <w:spacing w:after="0" w:line="237" w:lineRule="auto"/>
        <w:tabs>
          <w:tab w:leader="none" w:pos="1200" w:val="left"/>
          <w:tab w:leader="none" w:pos="4180" w:val="left"/>
        </w:tabs>
        <w:rPr>
          <w:sz w:val="20"/>
          <w:szCs w:val="20"/>
          <w:color w:val="auto"/>
        </w:rPr>
      </w:pPr>
      <w:r>
        <w:rPr>
          <w:rFonts w:ascii="Courier New" w:cs="Courier New" w:eastAsia="Courier New" w:hAnsi="Courier New"/>
          <w:sz w:val="15"/>
          <w:szCs w:val="15"/>
          <w:color w:val="auto"/>
        </w:rPr>
        <w:t>SANIFILL</w:t>
        <w:tab/>
        <w:t>. . . . . . . . . . . . . . . .</w:t>
        <w:tab/>
        <w:t>69</w:t>
      </w:r>
    </w:p>
    <w:p>
      <w:pPr>
        <w:ind w:left="180"/>
        <w:spacing w:after="0" w:line="238" w:lineRule="auto"/>
        <w:tabs>
          <w:tab w:leader="none" w:pos="1200" w:val="left"/>
          <w:tab w:leader="none" w:pos="4180" w:val="left"/>
        </w:tabs>
        <w:rPr>
          <w:sz w:val="20"/>
          <w:szCs w:val="20"/>
          <w:color w:val="auto"/>
        </w:rPr>
      </w:pPr>
      <w:r>
        <w:rPr>
          <w:rFonts w:ascii="Courier New" w:cs="Courier New" w:eastAsia="Courier New" w:hAnsi="Courier New"/>
          <w:sz w:val="15"/>
          <w:szCs w:val="15"/>
          <w:color w:val="auto"/>
        </w:rPr>
        <w:t>USA Waste</w:t>
        <w:tab/>
        <w:t>. . . . . . . . . . . . . . . .</w:t>
        <w:tab/>
        <w:t>69</w:t>
      </w:r>
    </w:p>
    <w:p>
      <w:pPr>
        <w:ind w:left="180"/>
        <w:spacing w:after="0" w:line="237" w:lineRule="auto"/>
        <w:tabs>
          <w:tab w:leader="none" w:pos="1020" w:val="left"/>
          <w:tab w:leader="none" w:pos="4180" w:val="left"/>
        </w:tabs>
        <w:rPr>
          <w:sz w:val="20"/>
          <w:szCs w:val="20"/>
          <w:color w:val="auto"/>
        </w:rPr>
      </w:pPr>
      <w:r>
        <w:rPr>
          <w:rFonts w:ascii="Courier New" w:cs="Courier New" w:eastAsia="Courier New" w:hAnsi="Courier New"/>
          <w:sz w:val="15"/>
          <w:szCs w:val="15"/>
          <w:color w:val="auto"/>
        </w:rPr>
        <w:t>Sanifill</w:t>
        <w:tab/>
        <w:t>. . . . . . . . . . . . . . . . .</w:t>
        <w:tab/>
        <w:t>70</w:t>
      </w:r>
    </w:p>
    <w:p>
      <w:pPr>
        <w:spacing w:after="0" w:line="167"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MARKET PRICE DATA . . . . . . . . . . . . . .</w:t>
        <w:tab/>
        <w:t>71</w:t>
      </w:r>
    </w:p>
    <w:p>
      <w:pPr>
        <w:ind w:left="180"/>
        <w:spacing w:after="0" w:line="237" w:lineRule="auto"/>
        <w:tabs>
          <w:tab w:leader="none" w:pos="1900" w:val="left"/>
          <w:tab w:leader="none" w:pos="4180" w:val="left"/>
        </w:tabs>
        <w:rPr>
          <w:sz w:val="20"/>
          <w:szCs w:val="20"/>
          <w:color w:val="auto"/>
        </w:rPr>
      </w:pPr>
      <w:r>
        <w:rPr>
          <w:rFonts w:ascii="Courier New" w:cs="Courier New" w:eastAsia="Courier New" w:hAnsi="Courier New"/>
          <w:sz w:val="15"/>
          <w:szCs w:val="15"/>
          <w:color w:val="auto"/>
        </w:rPr>
        <w:t>Market Information</w:t>
        <w:tab/>
        <w:t>. . . . . . . . . . . .</w:t>
        <w:tab/>
        <w:t>71</w:t>
      </w:r>
    </w:p>
    <w:p>
      <w:pPr>
        <w:ind w:left="180"/>
        <w:spacing w:after="0" w:line="238" w:lineRule="auto"/>
        <w:tabs>
          <w:tab w:leader="none" w:pos="2080" w:val="left"/>
          <w:tab w:leader="none" w:pos="4180" w:val="left"/>
        </w:tabs>
        <w:rPr>
          <w:sz w:val="20"/>
          <w:szCs w:val="20"/>
          <w:color w:val="auto"/>
        </w:rPr>
      </w:pPr>
      <w:r>
        <w:rPr>
          <w:rFonts w:ascii="Courier New" w:cs="Courier New" w:eastAsia="Courier New" w:hAnsi="Courier New"/>
          <w:sz w:val="15"/>
          <w:szCs w:val="15"/>
          <w:color w:val="auto"/>
        </w:rPr>
        <w:t>Dividend Information</w:t>
        <w:tab/>
        <w:t>. . . . . . . . . . .</w:t>
        <w:tab/>
        <w:t>71</w:t>
      </w:r>
    </w:p>
    <w:p>
      <w:pPr>
        <w:spacing w:after="0" w:line="167" w:lineRule="exact"/>
        <w:rPr>
          <w:sz w:val="20"/>
          <w:szCs w:val="20"/>
          <w:color w:val="auto"/>
        </w:rPr>
      </w:pPr>
    </w:p>
    <w:p>
      <w:pPr>
        <w:spacing w:after="0"/>
        <w:tabs>
          <w:tab w:leader="none" w:pos="3480" w:val="left"/>
          <w:tab w:leader="none" w:pos="4180" w:val="left"/>
        </w:tabs>
        <w:rPr>
          <w:sz w:val="20"/>
          <w:szCs w:val="20"/>
          <w:color w:val="auto"/>
        </w:rPr>
      </w:pPr>
      <w:r>
        <w:rPr>
          <w:rFonts w:ascii="Courier New" w:cs="Courier New" w:eastAsia="Courier New" w:hAnsi="Courier New"/>
          <w:sz w:val="15"/>
          <w:szCs w:val="15"/>
          <w:color w:val="auto"/>
        </w:rPr>
        <w:t>DESCRIPTION OF USA WASTE CAPITAL STOCK</w:t>
        <w:tab/>
        <w:t>. . .</w:t>
        <w:tab/>
        <w:t>72</w:t>
      </w:r>
    </w:p>
    <w:p>
      <w:pPr>
        <w:ind w:left="180"/>
        <w:spacing w:after="0" w:line="237" w:lineRule="auto"/>
        <w:tabs>
          <w:tab w:leader="none" w:pos="1380" w:val="left"/>
          <w:tab w:leader="none" w:pos="4180" w:val="left"/>
        </w:tabs>
        <w:rPr>
          <w:sz w:val="20"/>
          <w:szCs w:val="20"/>
          <w:color w:val="auto"/>
        </w:rPr>
      </w:pPr>
      <w:r>
        <w:rPr>
          <w:rFonts w:ascii="Courier New" w:cs="Courier New" w:eastAsia="Courier New" w:hAnsi="Courier New"/>
          <w:sz w:val="15"/>
          <w:szCs w:val="15"/>
          <w:color w:val="auto"/>
        </w:rPr>
        <w:t>Common Stock</w:t>
        <w:tab/>
        <w:t>. . . . . . . . . . . . . . .</w:t>
        <w:tab/>
        <w:t>72</w:t>
      </w:r>
    </w:p>
    <w:p>
      <w:pPr>
        <w:ind w:left="180"/>
        <w:spacing w:after="0" w:line="238" w:lineRule="auto"/>
        <w:tabs>
          <w:tab w:leader="none" w:pos="1720" w:val="left"/>
          <w:tab w:leader="none" w:pos="4180" w:val="left"/>
        </w:tabs>
        <w:rPr>
          <w:sz w:val="20"/>
          <w:szCs w:val="20"/>
          <w:color w:val="auto"/>
        </w:rPr>
      </w:pPr>
      <w:r>
        <w:rPr>
          <w:rFonts w:ascii="Courier New" w:cs="Courier New" w:eastAsia="Courier New" w:hAnsi="Courier New"/>
          <w:sz w:val="15"/>
          <w:szCs w:val="15"/>
          <w:color w:val="auto"/>
        </w:rPr>
        <w:t>Preferred Stock</w:t>
        <w:tab/>
        <w:t>. . . . . . . . . . . . .</w:t>
        <w:tab/>
        <w:t>72</w:t>
      </w:r>
    </w:p>
    <w:p>
      <w:pPr>
        <w:ind w:left="180"/>
        <w:spacing w:after="0" w:line="237" w:lineRule="auto"/>
        <w:tabs>
          <w:tab w:leader="none" w:pos="2960" w:val="left"/>
          <w:tab w:leader="none" w:pos="4180" w:val="left"/>
        </w:tabs>
        <w:rPr>
          <w:sz w:val="20"/>
          <w:szCs w:val="20"/>
          <w:color w:val="auto"/>
        </w:rPr>
      </w:pPr>
      <w:r>
        <w:rPr>
          <w:rFonts w:ascii="Courier New" w:cs="Courier New" w:eastAsia="Courier New" w:hAnsi="Courier New"/>
          <w:sz w:val="15"/>
          <w:szCs w:val="15"/>
          <w:color w:val="auto"/>
        </w:rPr>
        <w:t>Authorized But Unissued Shares</w:t>
        <w:tab/>
        <w:t>. . . . . .</w:t>
        <w:tab/>
        <w:t>72</w:t>
      </w:r>
    </w:p>
    <w:p>
      <w:pPr>
        <w:ind w:left="180"/>
        <w:spacing w:after="0" w:line="238" w:lineRule="auto"/>
        <w:tabs>
          <w:tab w:leader="none" w:pos="2780" w:val="left"/>
          <w:tab w:leader="none" w:pos="4180" w:val="left"/>
        </w:tabs>
        <w:rPr>
          <w:sz w:val="20"/>
          <w:szCs w:val="20"/>
          <w:color w:val="auto"/>
        </w:rPr>
      </w:pPr>
      <w:r>
        <w:rPr>
          <w:rFonts w:ascii="Courier New" w:cs="Courier New" w:eastAsia="Courier New" w:hAnsi="Courier New"/>
          <w:sz w:val="15"/>
          <w:szCs w:val="15"/>
          <w:color w:val="auto"/>
        </w:rPr>
        <w:t>Transfer Agent and Registrar</w:t>
        <w:tab/>
        <w:t>. . . . . . .</w:t>
        <w:tab/>
        <w:t>72</w:t>
      </w:r>
    </w:p>
    <w:p>
      <w:pPr>
        <w:ind w:left="180"/>
        <w:spacing w:after="0" w:line="237" w:lineRule="auto"/>
        <w:rPr>
          <w:sz w:val="20"/>
          <w:szCs w:val="20"/>
          <w:color w:val="auto"/>
        </w:rPr>
      </w:pPr>
      <w:r>
        <w:rPr>
          <w:rFonts w:ascii="Courier New" w:cs="Courier New" w:eastAsia="Courier New" w:hAnsi="Courier New"/>
          <w:sz w:val="15"/>
          <w:szCs w:val="15"/>
          <w:color w:val="auto"/>
        </w:rPr>
        <w:t>Limited Liability and Indemnification of</w:t>
      </w:r>
    </w:p>
    <w:p>
      <w:pPr>
        <w:ind w:left="340"/>
        <w:spacing w:after="0" w:line="238" w:lineRule="auto"/>
        <w:tabs>
          <w:tab w:leader="none" w:pos="2420" w:val="left"/>
          <w:tab w:leader="none" w:pos="4180" w:val="left"/>
        </w:tabs>
        <w:rPr>
          <w:sz w:val="20"/>
          <w:szCs w:val="20"/>
          <w:color w:val="auto"/>
        </w:rPr>
      </w:pPr>
      <w:r>
        <w:rPr>
          <w:rFonts w:ascii="Courier New" w:cs="Courier New" w:eastAsia="Courier New" w:hAnsi="Courier New"/>
          <w:sz w:val="15"/>
          <w:szCs w:val="15"/>
          <w:color w:val="auto"/>
        </w:rPr>
        <w:t>Officers and Directors</w:t>
        <w:tab/>
        <w:t>. . . . . . . . .</w:t>
        <w:tab/>
        <w:t>72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OF STOCKHOLDERS FOR</w:t>
      </w:r>
    </w:p>
    <w:p>
      <w:pPr>
        <w:ind w:left="180"/>
        <w:spacing w:after="0" w:line="237" w:lineRule="auto"/>
        <w:tabs>
          <w:tab w:leader="none" w:pos="1560" w:val="left"/>
          <w:tab w:leader="none" w:pos="4180" w:val="left"/>
        </w:tabs>
        <w:rPr>
          <w:sz w:val="20"/>
          <w:szCs w:val="20"/>
          <w:color w:val="auto"/>
        </w:rPr>
      </w:pPr>
      <w:r>
        <w:rPr>
          <w:rFonts w:ascii="Courier New" w:cs="Courier New" w:eastAsia="Courier New" w:hAnsi="Courier New"/>
          <w:sz w:val="15"/>
          <w:szCs w:val="15"/>
          <w:color w:val="auto"/>
        </w:rPr>
        <w:t>ANNUAL MEETING</w:t>
        <w:tab/>
        <w:t>. . . . . . . . . . . . . .</w:t>
        <w:tab/>
        <w:t>73</w:t>
      </w:r>
    </w:p>
    <w:p>
      <w:pPr>
        <w:spacing w:after="0" w:line="167"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OTHER MATTERS . . . . . . . . . . . . . . . .</w:t>
        <w:tab/>
        <w:t>73</w:t>
      </w:r>
    </w:p>
    <w:p>
      <w:pPr>
        <w:spacing w:after="0" w:line="335"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LEGAL MATTERS . . . . . . . . . . . . . . . .</w:t>
        <w:tab/>
        <w:t>73</w:t>
      </w:r>
    </w:p>
    <w:p>
      <w:pPr>
        <w:spacing w:after="0" w:line="166"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EXPERTS . . . . . . . . . . . . . . . . . . .</w:t>
        <w:tab/>
        <w:t>73</w:t>
      </w:r>
    </w:p>
    <w:p>
      <w:pPr>
        <w:spacing w:after="0" w:line="166" w:lineRule="exact"/>
        <w:rPr>
          <w:sz w:val="20"/>
          <w:szCs w:val="20"/>
          <w:color w:val="auto"/>
        </w:rPr>
      </w:pPr>
    </w:p>
    <w:p>
      <w:pPr>
        <w:spacing w:after="0"/>
        <w:tabs>
          <w:tab w:leader="none" w:pos="1900" w:val="left"/>
          <w:tab w:leader="none" w:pos="4180" w:val="left"/>
        </w:tabs>
        <w:rPr>
          <w:sz w:val="20"/>
          <w:szCs w:val="20"/>
          <w:color w:val="auto"/>
        </w:rPr>
      </w:pPr>
      <w:r>
        <w:rPr>
          <w:rFonts w:ascii="Courier New" w:cs="Courier New" w:eastAsia="Courier New" w:hAnsi="Courier New"/>
          <w:sz w:val="15"/>
          <w:szCs w:val="15"/>
          <w:color w:val="auto"/>
        </w:rPr>
        <w:t>INDEPENDENT AUDITORS</w:t>
        <w:tab/>
        <w:t>. . . . . . . . . . . .</w:t>
        <w:tab/>
        <w:t>74</w:t>
      </w:r>
    </w:p>
    <w:p>
      <w:pPr>
        <w:spacing w:after="0" w:line="166"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ANNEX A--Agreement and Plan of Merger . . . .</w:t>
      </w:r>
      <w:r>
        <w:rPr>
          <w:sz w:val="20"/>
          <w:szCs w:val="20"/>
          <w:color w:val="auto"/>
        </w:rPr>
        <w:tab/>
      </w:r>
      <w:r>
        <w:rPr>
          <w:rFonts w:ascii="Courier New" w:cs="Courier New" w:eastAsia="Courier New" w:hAnsi="Courier New"/>
          <w:sz w:val="14"/>
          <w:szCs w:val="14"/>
          <w:color w:val="auto"/>
        </w:rPr>
        <w:t>A-1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B--Opinion of Donaldson,</w:t>
      </w:r>
    </w:p>
    <w:p>
      <w:pPr>
        <w:ind w:left="180"/>
        <w:spacing w:after="0"/>
        <w:tabs>
          <w:tab w:leader="none" w:pos="3820" w:val="left"/>
          <w:tab w:leader="none" w:pos="4180" w:val="left"/>
        </w:tabs>
        <w:rPr>
          <w:sz w:val="20"/>
          <w:szCs w:val="20"/>
          <w:color w:val="auto"/>
        </w:rPr>
      </w:pPr>
      <w:r>
        <w:rPr>
          <w:rFonts w:ascii="Courier New" w:cs="Courier New" w:eastAsia="Courier New" w:hAnsi="Courier New"/>
          <w:sz w:val="15"/>
          <w:szCs w:val="15"/>
          <w:color w:val="auto"/>
        </w:rPr>
        <w:t>Lufkin &amp; Jenrette Securities Corporation</w:t>
        <w:tab/>
        <w:t>.</w:t>
      </w:r>
      <w:r>
        <w:rPr>
          <w:sz w:val="20"/>
          <w:szCs w:val="20"/>
          <w:color w:val="auto"/>
        </w:rPr>
        <w:tab/>
      </w:r>
      <w:r>
        <w:rPr>
          <w:rFonts w:ascii="Courier New" w:cs="Courier New" w:eastAsia="Courier New" w:hAnsi="Courier New"/>
          <w:sz w:val="14"/>
          <w:szCs w:val="14"/>
          <w:color w:val="auto"/>
        </w:rPr>
        <w:t>B-1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C--Opinion of Merrill Lynch,</w:t>
      </w:r>
    </w:p>
    <w:p>
      <w:pPr>
        <w:ind w:left="180"/>
        <w:spacing w:after="0"/>
        <w:tabs>
          <w:tab w:leader="none" w:pos="3480" w:val="left"/>
          <w:tab w:leader="none" w:pos="4180" w:val="left"/>
        </w:tabs>
        <w:rPr>
          <w:sz w:val="20"/>
          <w:szCs w:val="20"/>
          <w:color w:val="auto"/>
        </w:rPr>
      </w:pPr>
      <w:r>
        <w:rPr>
          <w:rFonts w:ascii="Courier New" w:cs="Courier New" w:eastAsia="Courier New" w:hAnsi="Courier New"/>
          <w:sz w:val="15"/>
          <w:szCs w:val="15"/>
          <w:color w:val="auto"/>
        </w:rPr>
        <w:t>Pierce, Fenner &amp; Smith Incorporated.</w:t>
        <w:tab/>
        <w:t>. . .</w:t>
      </w:r>
      <w:r>
        <w:rPr>
          <w:sz w:val="20"/>
          <w:szCs w:val="20"/>
          <w:color w:val="auto"/>
        </w:rPr>
        <w:tab/>
      </w:r>
      <w:r>
        <w:rPr>
          <w:rFonts w:ascii="Courier New" w:cs="Courier New" w:eastAsia="Courier New" w:hAnsi="Courier New"/>
          <w:sz w:val="14"/>
          <w:szCs w:val="14"/>
          <w:color w:val="auto"/>
        </w:rPr>
        <w:t>C-1</w:t>
      </w:r>
    </w:p>
    <w:p>
      <w:pPr>
        <w:spacing w:after="0" w:line="1041" w:lineRule="exact"/>
        <w:rPr>
          <w:sz w:val="20"/>
          <w:szCs w:val="20"/>
          <w:color w:val="auto"/>
        </w:rPr>
      </w:pPr>
    </w:p>
    <w:p>
      <w:pPr>
        <w:sectPr>
          <w:pgSz w:w="11900" w:h="16838" w:orient="portrait"/>
          <w:cols w:equalWidth="0" w:num="2">
            <w:col w:w="4540" w:space="720"/>
            <w:col w:w="4979"/>
          </w:cols>
          <w:pgMar w:left="220" w:top="281" w:right="1440" w:bottom="522" w:gutter="0" w:footer="0" w:header="0"/>
        </w:sect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1" w:right="1440" w:bottom="522"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ind w:left="3160"/>
        <w:spacing w:after="0" w:line="237" w:lineRule="auto"/>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following is a summary of certain information contained elsewhere or incorporated by reference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 AND QUATRO ACQUISITION CORP.</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USA Waste Services, Inc. is the third largest integrated solid waste management company in North America and serves municipal, commercial, industrial and residential customers in 24 states. USA Waste's solid waste management services include collection, transfer and disposal operations and, to a lesser extent, recycling and certain other waste management services. USA Waste owns or operates 39 landfills, 26 transfer stations and 72 collection operations and serves more than 1.3 million customers. Quatro Acquisition Corp. is a wholly owned subsidiary of USA Waste organized for the purpose of effecting the Merger pursuant to the Merger Agreement. Acquisition has no material assets and has not engaged in and prior to the Merger will not engage in any activities except those required to effectuate the Merger. The principal executive offices of USA Waste and Acquisition are located at 5400 LBJ Freeway, Suite 300 -Tower One, Dallas, Texas 75240, and their telephone number is (214) 383-7900.</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Pursuant to the terms of the Merger Agreement, USA Waste has agreed to transfer its principal executive offices to Houston, Texas, as soon as practicable after the Effective Time (as hereinafter defined).</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Additional information concerning USA Waste is included in USA Waste's reports filed under the Exchange Act that are incorporated by reference in this Joint Proxy Statement and Prospectus. See "Available Information" and "Incorporation of Certain Information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Sanifill, Inc. owns and operates nonhazardous waste disposal, treatment, collection, transfer and recycling businesses and complementary operations. Since it was founded in 1989, Sanifill has completed the acquisition of 142 disposal, collection and related businesses. As of June 30, 1996, Sanifill operated 50 disposal and treatment facilities, 26 transfer stations and 36 collection operations. In addition, Sanifill provides sludge treatment and organic recycling services. The principal executive offices of Sanifill are located at 2777 Allen Parkway, Suite 700, Houston, Texas 77019, and its telephone number is (713) 942-6200.</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Additional information concerning Sanifill is included in Sanifill's reports filed under the Exchange Act that are incorporated by reference in this Joint Proxy Statement and Prospectus. See "Available Information" and "Incorporation of Certain Information by Reference."</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MEETINGS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USA Waste Special Meeting will be held at 2:00 p.m., Central time</w:t>
      </w:r>
    </w:p>
    <w:p>
      <w:pPr>
        <w:spacing w:after="0" w:line="1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August 27, 1996, at , for the purpose of considering and acting upon proposals to (i) approve and adopt the Merger Agreement ("Proposal No. 1") and (ii) approve an amendment to the USA Waste Restated Certificate of Incorporation to increase the number of authorized shares of USA Waste Common Stock to 300,000,000 shares ("Proposal No. 2"). The implementation of Proposal No. 1 is conditioned on the approval of Proposal No.</w:t>
      </w:r>
    </w:p>
    <w:p>
      <w:pPr>
        <w:ind w:left="360" w:hanging="350"/>
        <w:spacing w:after="0" w:line="141" w:lineRule="auto"/>
        <w:tabs>
          <w:tab w:leader="none" w:pos="360" w:val="left"/>
        </w:tabs>
        <w:numPr>
          <w:ilvl w:val="0"/>
          <w:numId w:val="10"/>
        </w:numPr>
        <w:rPr>
          <w:rFonts w:ascii="Courier New" w:cs="Courier New" w:eastAsia="Courier New" w:hAnsi="Courier New"/>
          <w:sz w:val="1"/>
          <w:szCs w:val="1"/>
          <w:color w:val="auto"/>
        </w:rPr>
      </w:pPr>
      <w:r>
        <w:rPr>
          <w:rFonts w:ascii="Courier New" w:cs="Courier New" w:eastAsia="Courier New" w:hAnsi="Courier New"/>
          <w:sz w:val="1"/>
          <w:szCs w:val="1"/>
          <w:color w:val="auto"/>
        </w:rPr>
        <w:t>The Sanifill Special Meeting will be held at 11:00 a.m., Central time on</w:t>
      </w:r>
    </w:p>
    <w:p>
      <w:pPr>
        <w:spacing w:after="0" w:line="168"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August 27, 1996, at , for the sole purpose of voting on the Merger Agreement. The USA Waste Special Meeting and the Sanifill Special Meeting are sometimes referred to collectively hereinafter as the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Only those stockholders of USA Waste and of Sanifill of record at the close of business on July 18, 1996 (the "Record Date") are entitled to notice of, and to vote at, the USA Waste Special Meeting and the Sanifill Special Meeting, respectively.</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Pursuant to the rules of the NYSE, approval and adoption of the Merger Agreement requires the affirmative vote of a majority of the shares of USA Waste Common Stock voted, in person or by proxy, at the USA Waste Special Meeting, provided that the total vote cast on the proposal represents over 50% in interest of all shares of USA Waste Common Stock entitled to vote on the proposal. However, the implementation of the Merger is conditioned on the adoption of Proposal No. 2, which, pursuant to Delaware law, requires the affirmative vote of a majority of the outstanding shares of USA Waste Common Stock. At the close of business on the Record Date, there were approximately</w:t>
      </w:r>
    </w:p>
    <w:p>
      <w:pPr>
        <w:spacing w:after="0" w:line="10"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million shares of USA Waste Common Stock outstanding and entitled to vote at the USA Waste Special Meeting. In connection with the execution of the Merger Agreement, John E. Drury, Donald F. Moorehead, Jr., Alexander W. Rangos, John G. Rangos, Sr., John Rangos Development Corporation, Inc., Kosti Shirvanian and David Sutherland-Yoest each executed a voting agreement and irrevocable proxy pursuant to which they (i) agreed to vote an aggregate of</w:t>
      </w:r>
    </w:p>
    <w:tbl>
      <w:tblPr>
        <w:tblLayout w:type="fixed"/>
        <w:tblInd w:w="0" w:type="dxa"/>
        <w:tblCellMar>
          <w:top w:w="0" w:type="dxa"/>
          <w:left w:w="0" w:type="dxa"/>
          <w:bottom w:w="0" w:type="dxa"/>
          <w:right w:w="0" w:type="dxa"/>
        </w:tblCellMar>
      </w:tblPr>
      <w:tr>
        <w:trPr>
          <w:trHeight w:val="166"/>
        </w:trPr>
        <w:tc>
          <w:tcPr>
            <w:tcW w:w="5920" w:type="dxa"/>
            <w:vAlign w:val="bottom"/>
            <w:gridSpan w:val="3"/>
          </w:tcPr>
          <w:p>
            <w:pPr>
              <w:spacing w:after="0" w:line="165" w:lineRule="exact"/>
              <w:rPr>
                <w:sz w:val="20"/>
                <w:szCs w:val="20"/>
                <w:color w:val="auto"/>
              </w:rPr>
            </w:pPr>
            <w:r>
              <w:rPr>
                <w:rFonts w:ascii="Courier New" w:cs="Courier New" w:eastAsia="Courier New" w:hAnsi="Courier New"/>
                <w:sz w:val="15"/>
                <w:szCs w:val="15"/>
                <w:color w:val="auto"/>
              </w:rPr>
              <w:t>18,700,112 shares of USA Waste Common Stock (or approximately</w:t>
            </w:r>
          </w:p>
        </w:tc>
        <w:tc>
          <w:tcPr>
            <w:tcW w:w="1000" w:type="dxa"/>
            <w:vAlign w:val="bottom"/>
            <w:gridSpan w:val="2"/>
          </w:tcPr>
          <w:p>
            <w:pPr>
              <w:jc w:val="right"/>
              <w:ind w:right="7"/>
              <w:spacing w:after="0" w:line="165" w:lineRule="exact"/>
              <w:rPr>
                <w:sz w:val="20"/>
                <w:szCs w:val="20"/>
                <w:color w:val="auto"/>
              </w:rPr>
            </w:pPr>
            <w:r>
              <w:rPr>
                <w:rFonts w:ascii="Courier New" w:cs="Courier New" w:eastAsia="Courier New" w:hAnsi="Courier New"/>
                <w:sz w:val="15"/>
                <w:szCs w:val="15"/>
                <w:color w:val="auto"/>
              </w:rPr>
              <w:t>% of the</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of USA Waste Common Stock</w:t>
            </w:r>
          </w:p>
        </w:tc>
        <w:tc>
          <w:tcPr>
            <w:tcW w:w="4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outstanding on the Record Date) held by them</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for approval and adoption of the</w:t>
            </w:r>
          </w:p>
        </w:tc>
        <w:tc>
          <w:tcPr>
            <w:tcW w:w="4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Merger Agreement and (ii) granted irrevocable</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proxies with respect to such shares, which proxies permit Sanifill to vote</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such shares in favor of approval</w:t>
            </w:r>
          </w:p>
        </w:tc>
        <w:tc>
          <w:tcPr>
            <w:tcW w:w="34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and adoption of the Merger Agreement.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See</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Plan of Merger and Terms of</w:t>
            </w:r>
          </w:p>
        </w:tc>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Merger -- Voting Agreements."</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All</w:t>
            </w:r>
          </w:p>
        </w:tc>
        <w:tc>
          <w:tcPr>
            <w:tcW w:w="62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executive officers and directors</w:t>
            </w:r>
          </w:p>
        </w:tc>
        <w:tc>
          <w:tcPr>
            <w:tcW w:w="4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of USA Waste who are stockholders of USA</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Waste, who collectively have the</w:t>
            </w:r>
          </w:p>
        </w:tc>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right to vote approximately</w:t>
            </w:r>
          </w:p>
        </w:tc>
        <w:tc>
          <w:tcPr>
            <w:tcW w:w="10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million</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shares of USA Common Stock (including shares subject to the voting agreements</w:t>
            </w:r>
          </w:p>
        </w:tc>
      </w:tr>
      <w:tr>
        <w:trPr>
          <w:trHeight w:val="168"/>
        </w:trPr>
        <w:tc>
          <w:tcPr>
            <w:tcW w:w="5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and irrevocable proxies discussed above) representing approximately</w:t>
            </w:r>
          </w:p>
        </w:tc>
        <w:tc>
          <w:tcPr>
            <w:tcW w:w="3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of</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the shares of USA Waste Common Stock outstanding as of the Record Date, have</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indicated to USA Waste that they</w:t>
            </w:r>
          </w:p>
        </w:tc>
        <w:tc>
          <w:tcPr>
            <w:tcW w:w="4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intend to vote the shares of USA Waste Common</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Stock over which they have voting control in favor of approval and adoption of</w:t>
            </w:r>
          </w:p>
        </w:tc>
      </w:tr>
      <w:tr>
        <w:trPr>
          <w:trHeight w:val="168"/>
        </w:trPr>
        <w:tc>
          <w:tcPr>
            <w:tcW w:w="63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the Merger Agreement. See "The Meetings -- Vote Required for Approval."</w:t>
            </w:r>
          </w:p>
        </w:tc>
        <w:tc>
          <w:tcPr>
            <w:tcW w:w="620" w:type="dxa"/>
            <w:vAlign w:val="bottom"/>
          </w:tcPr>
          <w:p>
            <w:pPr>
              <w:spacing w:after="0"/>
              <w:rPr>
                <w:sz w:val="14"/>
                <w:szCs w:val="14"/>
                <w:color w:val="auto"/>
              </w:rPr>
            </w:pPr>
          </w:p>
        </w:tc>
      </w:tr>
      <w:tr>
        <w:trPr>
          <w:trHeight w:val="336"/>
        </w:trPr>
        <w:tc>
          <w:tcPr>
            <w:tcW w:w="6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Pursuant to Delaware law approval and adoption of the Merger Agreement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requires the affirmative vote of</w:t>
            </w:r>
          </w:p>
        </w:tc>
        <w:tc>
          <w:tcPr>
            <w:tcW w:w="4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a majority of the shares of Sanifill Common</w:t>
            </w:r>
          </w:p>
        </w:tc>
      </w:t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Stock outstanding on the Record Date.  At the close</w:t>
            </w:r>
          </w:p>
        </w:tc>
        <w:tc>
          <w:tcPr>
            <w:tcW w:w="24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of business on the Record</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Date, there were approximately</w:t>
            </w:r>
          </w:p>
        </w:tc>
        <w:tc>
          <w:tcPr>
            <w:tcW w:w="16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million</w:t>
            </w:r>
          </w:p>
        </w:tc>
        <w:tc>
          <w:tcPr>
            <w:tcW w:w="24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shares of Sanifill Common</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Stock outstanding and entitled to vote at the Sanifill Special Meeting.  In</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connection with the execution of</w:t>
            </w:r>
          </w:p>
        </w:tc>
        <w:tc>
          <w:tcPr>
            <w:tcW w:w="4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the Merger Agreement, Lorne D. Bain, Larry J.</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Martin, Rodney R. Proto and Alfred C. Warrington, IV each executed a voting</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agreement and irrevocable proxy pursuant to which they (i) agreed to vote an</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aggregate of 1,292,002 shares of</w:t>
            </w:r>
          </w:p>
        </w:tc>
        <w:tc>
          <w:tcPr>
            <w:tcW w:w="34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Sanifill Common Stock (or approximately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 the shares of Sanifill Common</w:t>
            </w:r>
          </w:p>
        </w:tc>
        <w:tc>
          <w:tcPr>
            <w:tcW w:w="4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Stock outstanding on the Record Date) held by</w:t>
            </w:r>
          </w:p>
        </w:tc>
      </w:tr>
      <w:tr>
        <w:trPr>
          <w:trHeight w:val="168"/>
        </w:trPr>
        <w:tc>
          <w:tcPr>
            <w:tcW w:w="63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them for approval and adoption of the Merger Agreement and (ii) granted</w:t>
            </w:r>
          </w:p>
        </w:tc>
        <w:tc>
          <w:tcPr>
            <w:tcW w:w="62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irrevocable proxies with respect</w:t>
            </w:r>
          </w:p>
        </w:tc>
        <w:tc>
          <w:tcPr>
            <w:tcW w:w="4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to such shares, which proxies permit certain</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officers of USA Waste to vote such shares in favor of approval and adoption of</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the Merger Agreement.  See "The Plan of  Merger and Terms of the Merger --</w:t>
            </w:r>
          </w:p>
        </w:tc>
      </w:tr>
    </w:tbl>
    <w:p>
      <w:pPr>
        <w:spacing w:after="0" w:line="5" w:lineRule="exact"/>
        <w:rPr>
          <w:sz w:val="20"/>
          <w:szCs w:val="20"/>
          <w:color w:val="auto"/>
        </w:rPr>
      </w:pPr>
    </w:p>
    <w:p>
      <w:pPr>
        <w:jc w:val="both"/>
        <w:ind w:right="3319"/>
        <w:spacing w:after="0" w:line="1781" w:lineRule="auto"/>
        <w:rPr>
          <w:sz w:val="20"/>
          <w:szCs w:val="20"/>
          <w:color w:val="auto"/>
        </w:rPr>
      </w:pPr>
      <w:r>
        <w:rPr>
          <w:rFonts w:ascii="Courier New" w:cs="Courier New" w:eastAsia="Courier New" w:hAnsi="Courier New"/>
          <w:sz w:val="14"/>
          <w:szCs w:val="14"/>
          <w:color w:val="auto"/>
        </w:rPr>
        <w:t>Voting Agreements." All executive officers and directors of Sanifill who are stockholders of Sanifill, who collectively have the right to vote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million shares of Sanifill Common Stock (including shares subject to the voting agreements and irrevocable proxies discussed above), representing approximately % of the shares of Sanifill Common Stock outstanding as of</w:t>
      </w:r>
    </w:p>
    <w:p>
      <w:pPr>
        <w:spacing w:after="0" w:line="1"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Record Date, have indicated to Sanifill that they intend to vote such shares in favor of approval and adoption of the Merger Agreement. See "The Meetings -- Vote Required for Approval."</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RECOMMENDATIONS OF THE BOARDS OF DIRECTORS</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Board of Directors of USA Waste has approved the Merger Agreement and has directed that it be submitted to the stockholders of USA Waste for their consideration. The Board of Directors of USA Waste recommends that the stockholders of USA Waste approve and adopt the Merger Agreement. See "The Merger and Related Transactions -- Background of the Merger," "-- USA Waste's Reasons for the Merger," "-- Recommendation of the Board of Directors of USA Waste" and "-- Conflicts of Interest." The implementation of the Merger Agreement, if it is approved and adopted, is conditioned on the approval of Proposal No. 2 by the stockholders of USA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of USA Waste also recommends adoption of such proposal.</w:t>
      </w:r>
    </w:p>
    <w:p>
      <w:pPr>
        <w:spacing w:after="0" w:line="178"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Board of Directors of Sanifill has approved the Merger Agreement and has directed that it be submitted to the stockholders of Sanifill for their consideration. The Board of Directors of Sanifill recommends that the stockholders of Sanifill approve and adopt the Merger Agreement. See "The Merger and Related Transactions -- Background of the Merger," "-- Sanifill's Reasons for the Merger" and "-- Recommendation of the Board of Directors of Sanifill." In considering the recommendation of the Board of Directors of Sanifill with respect to the Merger, Sanifill stockholders should be aware that certain officers and directors of Sanifill have direct or indirect interests in recommending approval and adoption of the Merger Agreement, apart from their interests as stockholders of Sanifill, which are separate from those of unaffiliated stockholders of Sanifill. See "The Merger and Related Transactions -- Conflicts of Interest."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Certain members of the Board of Directors and management of Sanifill have certain interests separate from their interests as stockholders. Such interests include the following: (i) certain officers of Sanifill will become officers and employees of USA Waste upon consummation of the Merger, including Mr. Rodney R. Proto, Sanifill's President and Chief Operating Officer, who will serve as USA Waste's President and Chief Operating Officer to be effective at the Effective Time (as hereinafter defined) and Mr. Lorne D. Bain, Sanifill's Chairman and Chief Executive Officer, who has executed an employment agreement with USA Waste and Sanifill for a renewable one-year term to be effective at the Effective Time, (ii) Mr. Bain will also receive certain payments under his prior employment agreement with Sanifill as a result of the Merger, (iii) Mr. Proto and two non-officer designees of Sanifill will be elected to the USA Waste Board of Directors and one of such persons will be elected to the Executive Committee of the USA Waste Board of Directors, (iv) any person elected to the USA Waste Board of Directors pursuant to the Merger Agreement who is not an employee of USA Waste will receive an annual grant of options to purchase 10,000 shares of USA Waste Common Stock pursuant to USA Waste's Non-Employee Director Plan, (v) certain officers and directors of Sanifill hold options and warrants to acquire shares of Sanifill Common Stock, which will become options to acquire shares of USA Waste Common Stock upon consummation of the Merger and (vi) certain officers, directors and employees of Sanifill will be indemnified by USA Waste against certain liabilities. For more information on such conflicts of interest, see "The Merger and Related Transactions -- Conflicts of Interest" and "The Plan of Merger and Terms of the Merger -- Other Agreements."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OPINIONS OF FINANCIAL ADVISORS</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On June 21, 1996, the Board of Directors of USA Waste received a written opinion from Donaldson, Lufkin &amp; Jenrette Securities Corporation ("DLJ") to the effect that, as of such date, the Exchange Ratio (as hereinafter defined) is fair to USA Waste from a financial point of view. On June 21, 1996, the Board of Directors of Sanifill received a written opinion from Merrill Lynch, Pierce, Fenner &amp; Smith Incorporated ("Merrill Lynch") that, as of such date, the Exchange Ratio is fair to the stockholders of Sanifill from a financial point of view. The full texts of the written opinions of DLJ and Merrill Lynch are attached to this Joint Proxy Statement and Prospectus as Annex B and Annex C, respectively. See "The Merger and Related Transactions -- Opinion of Financial Advisor to USA Waste" and "-- Opinion of Financial Advisor to Sanifill."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MERGER</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Exchange Ratio. At the Effective Time, Acquisition will merge with and into Sanifill, and Sanifill will become a wholly owned subsidiary of USA Waste. In the Merger, each outstanding share of Sanifill Common Stock (other than shares of Sanifill Common Stock held by USA Waste) will be converted into 1.70 shares of USA Waste Common Stock (the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Based upon the number of shares of USA Waste Common Stock and Sanifill</w:t>
      </w:r>
    </w:p>
    <w:p>
      <w:pPr>
        <w:spacing w:after="0" w:line="3"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5"/>
          <w:szCs w:val="15"/>
          <w:color w:val="auto"/>
        </w:rPr>
        <w:t>Common Stock outstanding as of the Record Date, approximately</w:t>
      </w:r>
      <w:r>
        <w:rPr>
          <w:sz w:val="20"/>
          <w:szCs w:val="20"/>
          <w:color w:val="auto"/>
        </w:rPr>
        <w:tab/>
      </w:r>
      <w:r>
        <w:rPr>
          <w:rFonts w:ascii="Courier New" w:cs="Courier New" w:eastAsia="Courier New" w:hAnsi="Courier New"/>
          <w:sz w:val="14"/>
          <w:szCs w:val="14"/>
          <w:color w:val="auto"/>
        </w:rPr>
        <w:t>million</w:t>
      </w:r>
    </w:p>
    <w:p>
      <w:pPr>
        <w:spacing w:after="0" w:line="237" w:lineRule="auto"/>
        <w:rPr>
          <w:sz w:val="20"/>
          <w:szCs w:val="20"/>
          <w:color w:val="auto"/>
        </w:rPr>
      </w:pPr>
      <w:r>
        <w:rPr>
          <w:rFonts w:ascii="Courier New" w:cs="Courier New" w:eastAsia="Courier New" w:hAnsi="Courier New"/>
          <w:sz w:val="15"/>
          <w:szCs w:val="15"/>
          <w:color w:val="auto"/>
        </w:rPr>
        <w:t>shares of USA Waste Common Stock will be outstanding immediately after the</w:t>
      </w:r>
    </w:p>
    <w:p>
      <w:pPr>
        <w:spacing w:after="0"/>
        <w:tabs>
          <w:tab w:leader="none" w:pos="4180" w:val="left"/>
        </w:tabs>
        <w:rPr>
          <w:sz w:val="20"/>
          <w:szCs w:val="20"/>
          <w:color w:val="auto"/>
        </w:rPr>
      </w:pPr>
      <w:r>
        <w:rPr>
          <w:rFonts w:ascii="Courier New" w:cs="Courier New" w:eastAsia="Courier New" w:hAnsi="Courier New"/>
          <w:sz w:val="15"/>
          <w:szCs w:val="15"/>
          <w:color w:val="auto"/>
        </w:rPr>
        <w:t>Effective Time, of which approximately</w:t>
      </w:r>
      <w:r>
        <w:rPr>
          <w:sz w:val="20"/>
          <w:szCs w:val="20"/>
          <w:color w:val="auto"/>
        </w:rPr>
        <w:tab/>
      </w:r>
      <w:r>
        <w:rPr>
          <w:rFonts w:ascii="Courier New" w:cs="Courier New" w:eastAsia="Courier New" w:hAnsi="Courier New"/>
          <w:sz w:val="14"/>
          <w:szCs w:val="14"/>
          <w:color w:val="auto"/>
        </w:rPr>
        <w:t>million shares, representing</w:t>
      </w:r>
    </w:p>
    <w:p>
      <w:pPr>
        <w:ind w:left="360"/>
        <w:spacing w:after="0" w:line="237" w:lineRule="auto"/>
        <w:rPr>
          <w:sz w:val="20"/>
          <w:szCs w:val="20"/>
          <w:color w:val="auto"/>
        </w:rPr>
      </w:pPr>
      <w:r>
        <w:rPr>
          <w:rFonts w:ascii="Courier New" w:cs="Courier New" w:eastAsia="Courier New" w:hAnsi="Courier New"/>
          <w:sz w:val="15"/>
          <w:szCs w:val="15"/>
          <w:color w:val="auto"/>
        </w:rPr>
        <w:t>% of the total, will be held by former holders of Sanifill Common Stock.</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Fractional Shares. No fractional shares of USA Waste Common Stock will be issued pursuant to the Merger. In lieu of such fractional shares, each holder who would otherwise receive a fractional share will receive cash (without interest) in an amount equal to the product of such fractional part of a share of USA Waste Common Stock multiplied by the average closing price per share of USA Waste Common Stock on the NYSE during the 10 trading days immediately preceding the Effective Time.</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Effective Time of the Merger. The Merger will become effective at such time as shall be stated in a certificate of merger to be filed with the Secretary of State of the State of Delaware (the "Effective Time"). Assuming the requisite stockholder approval of the Merger Agreement is obtained, it is anticipated that the Effective Time of the Merger will occur as soon as practicable following the Meetings. If all other conditions to the Merger have not been satisfied prior to the Meetings, however, it is expected that the Merger will occur as soon as practicable after such conditions have been satisfied or waived.</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Exchange of Sanifill Common Stock Certificates. Promptly after consummation of the Merger, Boston EquiServe (the "Exchange Agent") will mail a letter of transmittal with instructions to each holder of record of Sanifill Common Stock for use in exchanging certificates representing shares of Sanifill Common Stock for certificates representing shares of USA Waste Common Stock and cash in lieu of any fractional shares. CERTIFICATES SHOULD NOT BE SURRENDERED BY THE HOLDERS OF SANIFILL COMMON STOCK UNTIL THEY HAVE RECEIVED THE LETTER OF TRANSMITTAL FROM THE EXCHANGE AGENT. See "The Plan of Merger and Terms of the Merger -- Manner and Basis for Converting Shares."</w:t>
      </w:r>
    </w:p>
    <w:p>
      <w:pPr>
        <w:spacing w:after="0" w:line="178"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Assumption of Sanifill Options and Sanifill Warrants. Pursuant to the Merger Agreement and at the Effective Time, USA Waste will assume the obligations under each outstanding option and warrant to purchase Sanifill Common Stock (a "Sanifill Option" or a "Sanifill Warrant," respectively) that remains unexpired and unexercised in whole or in part. Accordingly, each Sanifill Option and Sanifill Warrant will remain outstanding as an option or warrant to purchase, in place of the shares of Sanifill Common Stock previously subject to such Sanifill Option or Sanifill Warrant, that number of shares of USA Waste Common Stock equal to the product of the number of shares of Sanifill Common Stock subject to the Sanifill Option or Sanifill Warrant multiplied by the Exchange Ratio. The exercise price per share of USA Waste Common Stock will be equal to the previous exercise price per share under the Sanifill Option or Sanifill Warrant divided by the Exchange Ratio. See "The Plan of Merger and Terms of the Merger -- Assumption of Sanifill Options and Sanifill Warrants." As of the Record Date, 13 individuals, representing all executive officers and directors of Sanifill, held options and warrants to acquire approximately 1.5 million shares of Sanifill Common Stock at exercise prices ranging from $10.88 to $44.88 per share. See "The Merger and Related Transactions -- Conflicts of Interest."</w:t>
      </w:r>
    </w:p>
    <w:p>
      <w:pPr>
        <w:spacing w:after="0" w:line="34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Treatment of Sanifill Convertible Debentures. The 5% Convertible Subordinated Debentures Due March 1, 2006 of Sanifill (the "Sanifill Convertible Debentures") that are outstanding immediately prior to the Effective Time will remain outstanding subsequent to the Effective Time as debt instruments of Sanifill, Inc. as the survivor to the Merger (in such capacity, the "Surviving Corporation"). After the Effective Time, each outstanding Sanifill Convertible Debenture will be convertible into the number of shares of USA Waste Common Stock (and cash amount in lieu of fractional shares) that the holder thereof would have had the right to receive upon the Merger if such Sanifill Convertible Debenture had been converted immediately prior to the Effective Time, subject to subsequent anti-dilution adjustments as provided by the terms of the Sanifill Convertible Debentures. After the Merger, Sanifill, as the Surviving Corporation, must enter into a supplemental indenture with Texas Commerce Bank National Association, as Trustee (the "Trustee"), providing for such conversion right into shares of USA Waste Common Stock. As of March 31, 1996, $115 million in aggregate principal amount of Sanifill Convertible Debentures were outstanding.</w:t>
      </w:r>
    </w:p>
    <w:p>
      <w:pPr>
        <w:spacing w:after="0" w:line="33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Indemnification and Insurance. The Merger Agreement provides that the officers, directors, employees and agents of Sanifill will be indemnified by USA Waste against certain liabilities and costs, including those arising out of,</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281"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relating to or in connection with any action or omission occurring prior to the Effective Time or arising out of or pertaining to the transactions contemplated by the Merger Agreement. In addition, pursuant to the terms of the Merger Agreement, USA Waste has agreed to maintain in effect, for a period of six years after the Effective Time, the current policies of directors' and officers' liability insurance maintained by Sanifill and its subsidiaries (or substantially equivalent policies) with respect to matters arising prior to the Effective Time; provided, however, that USA Waste is only required to obtain as much coverage as can be obtained by paying an annual premium less than or equal to two times the current annual premiums for such insurance coverage. In connection with the execution of the Merger Agreement, USA Waste and Sanifill entered into a letter agreement dated as of June 22, 1996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as of June 22, 1996. See "The Plan of Merger and Terms of the Merger -- Indemnification and Insurance."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3"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Certain Federal Income Tax Consequences. It is a condition precedent to the closing of the Merger (i) that USA Waste receive an opinion of its counsel to the effect that no gain or loss will be recognized by USA Waste or Acquisition for U.S. federal income tax purposes as a result of the Merger and</w:t>
      </w:r>
    </w:p>
    <w:p>
      <w:pPr>
        <w:spacing w:after="0" w:line="1" w:lineRule="exact"/>
        <w:rPr>
          <w:sz w:val="20"/>
          <w:szCs w:val="20"/>
          <w:color w:val="auto"/>
        </w:rPr>
      </w:pPr>
    </w:p>
    <w:p>
      <w:pPr>
        <w:ind w:right="3399" w:firstLine="10"/>
        <w:spacing w:after="0" w:line="256" w:lineRule="auto"/>
        <w:tabs>
          <w:tab w:leader="none" w:pos="43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Sanifill receive an opinion of its counsel to the effect that, in general, no gain or loss will be recognized by Sanifill or holders of Sanifill Common Stock as a result of consummation of the Merger. See "The Merger and Related Transactions -- Certain Federal Income Tax Consequences."</w:t>
      </w:r>
    </w:p>
    <w:p>
      <w:pPr>
        <w:spacing w:after="0" w:line="16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Accounting Treatment. It is a condition precedent to the closing of the Merger that USA Waste and Sanifill receive letters from Coopers &amp; Lybrand L.L.P. and Arthur Andersen LLP, respectively, dated as of the Effective Time, affirming the appropriateness of "pooling of interests" accounting for the Merger under Accounting Principles Board Opinion No. 16 if consummated in accordance with the Merger Agreement. See "The Merger and Related Transactions</w:t>
      </w:r>
    </w:p>
    <w:p>
      <w:pPr>
        <w:spacing w:after="0" w:line="233" w:lineRule="auto"/>
        <w:rPr>
          <w:sz w:val="20"/>
          <w:szCs w:val="20"/>
          <w:color w:val="auto"/>
        </w:rPr>
      </w:pPr>
      <w:r>
        <w:rPr>
          <w:rFonts w:ascii="Courier New" w:cs="Courier New" w:eastAsia="Courier New" w:hAnsi="Courier New"/>
          <w:sz w:val="15"/>
          <w:szCs w:val="15"/>
          <w:color w:val="auto"/>
        </w:rPr>
        <w:t>- -- Accounting Treatment."</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Governmental and Regulatory Approvals. Consummation of the Merger is conditioned upon the expiration or termination of the waiting period applicable under the Hart-Scott-Rodino Antitrust Improvements Act of 1976, as amended (the "HSR Act"). On July 1, 1996, USA Waste and Sanifill filed notification reports under the HSR Act with the Federal Trade Commission and the Antitrust Division of the Department of Justice. The waiting period will expire at 11:59 p.m., on July 31, 1996 unless extended or earlier terminated. See "The Merger and Related Transactions -- Government and Regulatory Approvals." USA Waste and Sanifill are aware of no other governmental or regulatory approvals required for consummation of the Merger, other than as required to comply with applicable federal and state securities laws and as may be required with respect to environmental permits held by Sanifill subsidiaries in certain states that would deem the Merger to be a transfer of those permits.</w:t>
      </w:r>
    </w:p>
    <w:p>
      <w:pPr>
        <w:spacing w:after="0" w:line="16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No Injunction Preventing Merger. Consummation of the Merger is subject to the condition that no injunction or decree by any federal or state court that prevents the consummation of the Merger shall have been issued and remain in effect.</w:t>
      </w:r>
    </w:p>
    <w:p>
      <w:pPr>
        <w:spacing w:after="0" w:line="175"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Other Conditions to the Merger. In addition to the approval and adoption of the Merger Agreement by the requisite votes of USA Waste stockholders and Sanifill stockholders and the satisfaction of the conditions described above, the respective obligations of USA Waste and Sanifill to effect the Merger are subject to the satisfaction or waiver, where permissible, of certain other conditions, including, without limitation, (i) the shares of USA Waste Common Stock issuable in the Merger and those to be reserved for issuance upon exercise of stock options or warrants or the conversion of convertible securities shall have been authorized for listing on the NYSE, subject to official notice of issuance, and (ii) the Registration Statement shall have become effective and no stop order suspending such effectiveness (or any proceeding for that purpose) shall be in effect. It is also a condition to the implementation of the Merger that Proposal No. 2 to amend USA Waste's Restated Certificate of Incorporation to increase the number of authorized shares of USA Waste Common Stock to 300,000,0000 shares be approved by the stockholders of USA Waste. In addition, the obligation of USA Waste to effect the Merger is subject to the receipt of letters from affiliates of USA Waste and Sanifill to the effect that such persons will not dispose of USA Waste Common Stock except pursuant to an effective registration statement or in compliance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with Rule 145 (or an otherwise exempt transaction) and, in any case, until after the results covering 30 days of post-Merger combined operations of USA Waste and Sanifill have been filed with the Commission, sent to USA Waste's stockholders or otherwise publicly issued. See "The Plan of Merger and Terms of the Merger -- Conditions to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SOLICITATION</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Merger Agreement provides that Sanifill will not, and will not permit any of its subsidiaries to, initiate, solicit, negotiate, encourage or provide non-public or confidential information to facilitate, and Sanifill will, and will cause each of its subsidiaries to, cause any officer, director or employee,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or any capital stock of Sanifill (any such transaction being referred to as an "Acquisition Transaction"). Notwithstanding the foregoing, Sanifill may, under certain circumstances, furnish to a financially capable corporation, partnership, person or other entity or group (a "Potential Acquirer") confidential or non-public information concerning its business, properties or assets in response to an unsolicited written proposal or indication of interest with respect to a potential or proposed Acquisition Transaction. Sanifill may negotiate with a Potential Acquirer if its Board of Directors, after consulting with its legal counsel, determines in good faith that the failure to provide such confidential or non-public information to or negotiate with such Potential Acquirer would constitute a breach of the Board's fiduciary duty to Sanifill's stockholders. See "The Merger Agreement and Terms of the Merger -- No Solicitation of Acquisition Transactions."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OR AMENDMENT OF MERGER AGREEMENT</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Termination. The Merger Agreement may be terminated under certain circumstances, including (a) with the mutual written consent of USA Waste and Sanifill or (b) by either USA Waste or Sanifill at any time prior to the consummation of the Merger if (i) the Merger is not completed by December 31, 1996, for reasons other than delay on the part of the party requesting termination (the "Terminating Party"), (ii) (x) the representations and warranties of the non-Terminating Party shall fail to be true and correct in all material respects on and as of the date made or, except in the case of any such representations and warranties made as of a specified date, on and as of any subsequent date as if made at and as of such subsequent date and (y) such failure shall not have been cured within 30 days after written notice of such failure is given to the non-Terminating Party by the Terminating Party, (iii) the Merger is enjoined by a final, unappealable court order not entered at the request or with the support of the party requesting termination, (iv) the non-Terminating Party (x) fails to perform in any material respect any of its material covenants in the Merger Agreement and (y) does not cure such default in all material respects within 30 days after notice of such default is given to the non-Terminating Party by the Terminating Party, or (v) the stockholders of the non-Terminating Party fail to approve the Merger at a duly held meeting of the stockholders called for such purpose or any adjournment thereof. Additionally, Sanifill may terminate the Merger Agreement if (i) (x) Sanifill receives an offer or proposal from any Potential Acquirer (excluding any affiliate of Sanifill or any group of which any affiliate of Sanifill is a member) with respect to a merger, sale of substantial assets or other business combination involving Sanifill, (y) Sanifill's Board of Directors determines, in good faith and after consultation with an independent financial advisor, that such offer or proposal (if consummated pursuant to its terms) would result in an Acquisition Transaction more favorable to Sanifill's stockholders than the Merger (any such offer or proposal being referred to as a "Superior Proposal") and resolves to accept such Superior Proposal and (z) Sanifill shall have given USA Waste two days' prior written notice of its intention to terminate or (ii) (x) a tender or exchange offer is commenced by a Potential Acquirer (excluding any affiliate of Sanifill or any group of which any affiliate of Sanifill is a member) for all outstanding shares of Sanifill Common Stock, (y) Sanifill's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(z) Sanifill shall have given USA Waste two days' prior written notice of its intention to terminate. Similarly, USA Waste may terminate the Merger Agreement if the Board of Directors of Sanifill shall have resolved to accept a Superior Proposal or shall have recommended to Sanifill's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stockholders that they tender their shares in a tender or an exchange offer commenced by a third party (excluding any affiliate of USA Waste or any group of which any affiliate of USA Waste is a member).</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Amendment. The Merger Agreement may be amended or supplemented by an instrument in writing signed on behalf of each party and in compliance with applicable law. Such amendment may occur at any time before the Merger, including after the Merger Agreement has been approved by the stockholders of USA Waste and the stockholders of Sanifill at the Meetings. See "The Plan of Merger and Terms of the Merger -- Termination or Amendment."</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Termination Fees; Expenses. Under certain circumstances, USA Waste or Sanifill may be required to pay the other a fee of $39 million upon termination of the Merger Agreement. Certain expenses incurred in connection with this Joint Proxy Statement and Prospectus will be shared equally by USA Waste and Sanifill. All other costs and expenses incurred in connection with the Merger Agreement and the transactions contemplated thereby shall be paid by the party incurring such expenses, whether or not the Merger is consummated. See "The Plan of Merger and Terms of the Merger -- Termination Fees" and "-- Expenses."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OR DISSENTERS' RIGHTS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Delaware law does not require that holders of USA Waste Common Stock or Sanifill Common Stock who object to the Merger and who vote against or abstain from voting in favor of the Merger be afforded any appraisal or dissenters' rights or the right to receive cash for their shares. Neither USA Waste nor Sanifill intends to make available any such rights to its stockholders.</w:t>
      </w:r>
    </w:p>
    <w:p>
      <w:pPr>
        <w:spacing w:after="0" w:line="16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STOCKHOLDERS' COMPARATIVE RIGHTS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rights of stockholders of Sanifill are currently governed by Delaware law, the Sanifill Certificate of Incorporation and the Sanifill Bylaws. The rights of stockholders of USA Waste are governed by Delaware law and the USA Waste Restated Certificate of Incorporation and the USA Waste Bylaws. Upon consummation of the Merger, stockholders of Sanifill will become stockholders of USA Waste and, as such, their rights thereafter will be governed by Delaware law, the USA Waste Restated Certificate of Incorporation and the USA Waste Bylaws. See "Comparison of Rights of Stockholders of USA Waste and Sanifill."</w:t>
      </w:r>
    </w:p>
    <w:p>
      <w:pPr>
        <w:spacing w:after="0" w:line="17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MARKET PRICE DATA</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USA Waste Common Stock is traded on the NYSE under the symbol "UW." Sanifill Common Stock is traded on the NYSE under the symbol "FIL." The following table sets forth the range of high and low sale prices for USA Waste Common Stock and Sanifill Common Stock as reported on the NYSE for the calendar quarters indicated.</w:t>
      </w:r>
    </w:p>
    <w:p>
      <w:pPr>
        <w:spacing w:after="0" w:line="200" w:lineRule="exact"/>
        <w:rPr>
          <w:sz w:val="20"/>
          <w:szCs w:val="20"/>
          <w:color w:val="auto"/>
        </w:rPr>
      </w:pP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USA Waste</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Sanifill</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2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6"/>
              </w:rPr>
              <w: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High</w:t>
            </w:r>
          </w:p>
        </w:tc>
        <w:tc>
          <w:tcPr>
            <w:tcW w:w="26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Low</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High</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Low</w:t>
            </w:r>
          </w:p>
        </w:tc>
        <w:tc>
          <w:tcPr>
            <w:tcW w:w="2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   . . . . . . . . . . . . .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15</w:t>
            </w:r>
          </w:p>
        </w:tc>
        <w:tc>
          <w:tcPr>
            <w:tcW w:w="70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3/8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25</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 . . . . . . . . . . . . .</w:t>
            </w:r>
          </w:p>
        </w:tc>
        <w:tc>
          <w:tcPr>
            <w:tcW w:w="36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13</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3/8</w:t>
            </w:r>
          </w:p>
        </w:tc>
        <w:tc>
          <w:tcPr>
            <w:tcW w:w="3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25</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5/8</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 . . . . . . . . . . . . .</w:t>
            </w:r>
          </w:p>
        </w:tc>
        <w:tc>
          <w:tcPr>
            <w:tcW w:w="36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15</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1/2</w:t>
            </w:r>
          </w:p>
        </w:tc>
        <w:tc>
          <w:tcPr>
            <w:tcW w:w="3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25</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  . . . . . . . . . . . . . .</w:t>
            </w:r>
          </w:p>
        </w:tc>
        <w:tc>
          <w:tcPr>
            <w:tcW w:w="36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15</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25</w:t>
            </w:r>
          </w:p>
        </w:tc>
        <w:tc>
          <w:tcPr>
            <w:tcW w:w="92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   . . . . . . . . . . . . .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12 3/8</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27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 . . . . . . . . . . . . .</w:t>
            </w:r>
          </w:p>
        </w:tc>
        <w:tc>
          <w:tcPr>
            <w:tcW w:w="36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16</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1/2</w:t>
            </w:r>
          </w:p>
        </w:tc>
        <w:tc>
          <w:tcPr>
            <w:tcW w:w="3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31</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5/8</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 . . . . . . . . . . . . .</w:t>
            </w:r>
          </w:p>
        </w:tc>
        <w:tc>
          <w:tcPr>
            <w:tcW w:w="36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21</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5/8</w:t>
            </w:r>
          </w:p>
        </w:tc>
        <w:tc>
          <w:tcPr>
            <w:tcW w:w="3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34</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  . . . . . . . . . . . . . .</w:t>
            </w:r>
          </w:p>
        </w:tc>
        <w:tc>
          <w:tcPr>
            <w:tcW w:w="36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22</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34</w:t>
            </w:r>
          </w:p>
        </w:tc>
        <w:tc>
          <w:tcPr>
            <w:tcW w:w="92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USA Waste</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High</w:t>
            </w:r>
          </w:p>
        </w:tc>
        <w:tc>
          <w:tcPr>
            <w:tcW w:w="440" w:type="dxa"/>
            <w:vAlign w:val="bottom"/>
          </w:tcPr>
          <w:p>
            <w:pPr>
              <w:spacing w:after="0"/>
              <w:rPr>
                <w:sz w:val="14"/>
                <w:szCs w:val="14"/>
                <w:color w:val="auto"/>
              </w:rPr>
            </w:pP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 . . . . . . . . . . . . . .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 . . . . . . . . . . . .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30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(through July 12) . . . . .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bl>
    <w:p>
      <w:pPr>
        <w:spacing w:after="0" w:line="341" w:lineRule="exact"/>
        <w:rPr>
          <w:sz w:val="20"/>
          <w:szCs w:val="20"/>
          <w:color w:val="auto"/>
        </w:rPr>
      </w:pPr>
    </w:p>
    <w:p>
      <w:pPr>
        <w:ind w:right="340" w:firstLine="787"/>
        <w:spacing w:after="0" w:line="236" w:lineRule="auto"/>
        <w:rPr>
          <w:sz w:val="20"/>
          <w:szCs w:val="20"/>
          <w:color w:val="auto"/>
        </w:rPr>
      </w:pPr>
      <w:r>
        <w:rPr>
          <w:rFonts w:ascii="Courier New" w:cs="Courier New" w:eastAsia="Courier New" w:hAnsi="Courier New"/>
          <w:sz w:val="15"/>
          <w:szCs w:val="15"/>
          <w:color w:val="auto"/>
        </w:rPr>
        <w:t>On June 21, 1996, the last trading day prior to announcement by USA Waste and Sanifill that they had reached an agreement concerning the Merger, the closing sale price of USA Waste Common Stock as reported on the NYSE was $27 7/8 per share, and the closing sale price of Sanifill Common Stock as reported on the NYSE was $47 7/8 per share. The equivalent per share price of Sanifill Common Stock on June 21, 1996, calculated by multiplying the closing sale price of USA Waste Common Stock on the same date by the Exchange Ratio, was $47.3875.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ind w:left="800"/>
              <w:spacing w:after="0"/>
              <w:rPr>
                <w:sz w:val="20"/>
                <w:szCs w:val="20"/>
                <w:color w:val="auto"/>
              </w:rPr>
            </w:pPr>
            <w:r>
              <w:rPr>
                <w:rFonts w:ascii="Courier New" w:cs="Courier New" w:eastAsia="Courier New" w:hAnsi="Courier New"/>
                <w:sz w:val="15"/>
                <w:szCs w:val="15"/>
                <w:color w:val="auto"/>
              </w:rPr>
              <w:t>On</w:t>
            </w: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1996, the closing sale</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price of USA Waste</w:t>
            </w:r>
          </w:p>
        </w:tc>
        <w:tc>
          <w:tcPr>
            <w:tcW w:w="30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as reported on the NYSE was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w:t>
            </w:r>
          </w:p>
        </w:tc>
        <w:tc>
          <w:tcPr>
            <w:tcW w:w="1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share, and the closing</w:t>
            </w:r>
          </w:p>
        </w:tc>
      </w:tr>
      <w:tr>
        <w:trPr>
          <w:trHeight w:val="168"/>
        </w:trPr>
        <w:tc>
          <w:tcPr>
            <w:tcW w:w="4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sale price of Sanifill Common Stock as reported on the</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NYSE was $</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per</w:t>
            </w:r>
          </w:p>
        </w:tc>
      </w:tr>
    </w:tbl>
    <w:p>
      <w:pPr>
        <w:spacing w:after="0" w:line="5" w:lineRule="exact"/>
        <w:rPr>
          <w:sz w:val="20"/>
          <w:szCs w:val="20"/>
          <w:color w:val="auto"/>
        </w:rPr>
      </w:pPr>
    </w:p>
    <w:p>
      <w:pPr>
        <w:jc w:val="both"/>
        <w:ind w:right="260"/>
        <w:spacing w:after="0" w:line="235" w:lineRule="auto"/>
        <w:rPr>
          <w:sz w:val="20"/>
          <w:szCs w:val="20"/>
          <w:color w:val="auto"/>
        </w:rPr>
      </w:pPr>
      <w:r>
        <w:rPr>
          <w:rFonts w:ascii="Courier New" w:cs="Courier New" w:eastAsia="Courier New" w:hAnsi="Courier New"/>
          <w:sz w:val="15"/>
          <w:szCs w:val="15"/>
          <w:color w:val="auto"/>
        </w:rPr>
        <w:t>share. Following the Merger, USA Waste Common Stock will continue to be traded on the NYSE under the symbol "UW," and the listing of Sanifill Common Stock on the NYSE will be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92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7"/>
              </w:rPr>
              <w:t>Sanifill</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118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30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118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r>
      <w:tr>
        <w:trPr>
          <w:trHeight w:val="168"/>
        </w:trPr>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High</w:t>
            </w:r>
          </w:p>
        </w:tc>
        <w:tc>
          <w:tcPr>
            <w:tcW w:w="400" w:type="dxa"/>
            <w:vAlign w:val="bottom"/>
          </w:tcPr>
          <w:p>
            <w:pPr>
              <w:spacing w:after="0"/>
              <w:rPr>
                <w:sz w:val="14"/>
                <w:szCs w:val="14"/>
                <w:color w:val="auto"/>
              </w:rPr>
            </w:pP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  39</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33</w:t>
            </w:r>
          </w:p>
        </w:tc>
        <w:tc>
          <w:tcPr>
            <w:tcW w:w="300" w:type="dxa"/>
            <w:vAlign w:val="bottom"/>
          </w:tcPr>
          <w:p>
            <w:pPr>
              <w:spacing w:after="0"/>
              <w:rPr>
                <w:sz w:val="24"/>
                <w:szCs w:val="24"/>
                <w:color w:val="auto"/>
              </w:rPr>
            </w:pPr>
          </w:p>
        </w:tc>
      </w:tr>
      <w:tr>
        <w:trPr>
          <w:trHeight w:val="168"/>
        </w:trPr>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2">
            <w:col w:w="7180" w:space="260"/>
            <w:col w:w="279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ind w:left="2200"/>
        <w:spacing w:after="0" w:line="237" w:lineRule="auto"/>
        <w:rPr>
          <w:sz w:val="20"/>
          <w:szCs w:val="20"/>
          <w:color w:val="auto"/>
        </w:rPr>
      </w:pPr>
      <w:r>
        <w:rPr>
          <w:rFonts w:ascii="Courier New" w:cs="Courier New" w:eastAsia="Courier New" w:hAnsi="Courier New"/>
          <w:sz w:val="15"/>
          <w:szCs w:val="15"/>
          <w:color w:val="auto"/>
        </w:rPr>
        <w:t>SUMMARY FINANCIAL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following summary consolidated financial data of USA Waste for each of the three years in the period ended December 31, 1995 were derived from USA Waste's audited supplemental consolidated financial statements and for the three months ended March 31, 1995 and 1996, were derived from USA Waste's unaudited supplemental consolidated financial statements. These supplemental consolidated financial statements have been prepared to give retroactive effect to USA Waste's merger with Western Waste Industries on May 7, 1996 using the "pooling of interests" method of accounting for business combinations. The following summary historical consolidated financial data of Sanifill for the three years ended December 31, 1995 were derived from Sanifill's historical consolidated audited financial statements and for the three months ended March 31, 1995 and 1996 were derived from Sanifill's historical unaudited consolidated financial statements. Such unaudited data for USA Waste and Sanifill include all adjustments, consisting of normal recurring accruals, which their respective managements consider necessary to present fairly the information for such periods. The financial data is not necessarily indicative of results to be expected after the Merger is consummated. The financial data should be read in conjunction with the separate audited and unaudited consolidated financial statements and the notes thereto incorporated by reference herein.</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USA WASTE SERVICES, INC.</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Three Months Ended</w:t>
            </w:r>
          </w:p>
        </w:tc>
      </w:tr>
      <w:tr>
        <w:trPr>
          <w:trHeight w:val="168"/>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5"/>
          </w:tcPr>
          <w:p>
            <w:pPr>
              <w:jc w:val="right"/>
              <w:ind w:right="52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18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5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7"/>
                <w:szCs w:val="7"/>
                <w:color w:val="auto"/>
                <w:w w:val="72"/>
              </w:rPr>
              <w: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c>
          <w:tcPr>
            <w:tcW w:w="1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520" w:type="dxa"/>
            <w:vAlign w:val="bottom"/>
          </w:tcPr>
          <w:p>
            <w:pPr>
              <w:spacing w:after="0"/>
              <w:rPr>
                <w:sz w:val="14"/>
                <w:szCs w:val="14"/>
                <w:color w:val="auto"/>
              </w:rPr>
            </w:pP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880" w:type="dxa"/>
            <w:vAlign w:val="bottom"/>
          </w:tcPr>
          <w:p>
            <w:pPr>
              <w:spacing w:after="0"/>
              <w:rPr>
                <w:sz w:val="14"/>
                <w:szCs w:val="1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revenues  . . . . . . . . . . . .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639,239</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705,165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168,880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201,525</w:t>
            </w:r>
          </w:p>
        </w:tc>
      </w:tr>
      <w:tr>
        <w:trPr>
          <w:trHeight w:val="168"/>
        </w:trPr>
        <w:tc>
          <w:tcPr>
            <w:tcW w:w="45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20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Operating  . . . . .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388,727</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428,701</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428,331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101,450</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118,101</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General and administrative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104,121</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108,885</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101,268</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26,163</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24,743</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Depreciation and amortization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74,223</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83,044</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83,519</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19,343</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21,874</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Merger costs . . . .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3,782</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25,073</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Unusual items  . . .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2,672</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8,863</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4,733</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693</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569,743</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633,275</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642,924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147,649</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164,718</w:t>
            </w:r>
          </w:p>
        </w:tc>
      </w:tr>
      <w:tr>
        <w:trPr>
          <w:trHeight w:val="168"/>
        </w:trPr>
        <w:tc>
          <w:tcPr>
            <w:tcW w:w="45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Income from operations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69,496</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71,890</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88,076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21,231</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36,807</w:t>
            </w:r>
          </w:p>
        </w:tc>
      </w:tr>
      <w:tr>
        <w:trPr>
          <w:trHeight w:val="168"/>
        </w:trPr>
        <w:tc>
          <w:tcPr>
            <w:tcW w:w="45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20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Stockholder litigation settlement and other</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litigation related costs . . . . . . .</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(5,500)</w:t>
            </w:r>
          </w:p>
        </w:tc>
        <w:tc>
          <w:tcPr>
            <w:tcW w:w="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(79,400)</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2687"/>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Nonrecurring interest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(1,254)</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(10,994)</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(3,512)</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Other  . . . . . . . . . . . . . . . .</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(39,809)</w:t>
            </w:r>
          </w:p>
        </w:tc>
        <w:tc>
          <w:tcPr>
            <w:tcW w:w="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(38,153)</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(35,437)</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(9,687)</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(6,765)</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Interest income  . .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4,338</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4,183</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4,222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1,253</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1,721</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Other income, net  .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1,148</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1,249</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1,069</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w:t>
            </w:r>
          </w:p>
        </w:tc>
      </w:tr>
      <w:tr>
        <w:trPr>
          <w:trHeight w:val="168"/>
        </w:trPr>
        <w:tc>
          <w:tcPr>
            <w:tcW w:w="45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(39,823)</w:t>
            </w:r>
          </w:p>
        </w:tc>
        <w:tc>
          <w:tcPr>
            <w:tcW w:w="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(113,375)</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(38,989)</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(10,877)</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(4,477)</w:t>
            </w:r>
          </w:p>
        </w:tc>
      </w:tr>
      <w:tr>
        <w:trPr>
          <w:trHeight w:val="168"/>
        </w:trPr>
        <w:tc>
          <w:tcPr>
            <w:tcW w:w="45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Income (loss) before income taxes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29,673</w:t>
            </w:r>
          </w:p>
        </w:tc>
        <w:tc>
          <w:tcPr>
            <w:tcW w:w="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(41,485)</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49,087</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10,354</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32,330</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Provision for income taxes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16,112</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17,610</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5,816</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5,558</w:t>
            </w:r>
          </w:p>
        </w:tc>
      </w:tr>
      <w:tr>
        <w:trPr>
          <w:trHeight w:val="168"/>
        </w:trPr>
        <w:tc>
          <w:tcPr>
            <w:tcW w:w="45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Net income (loss) . . .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13,561</w:t>
            </w:r>
          </w:p>
        </w:tc>
        <w:tc>
          <w:tcPr>
            <w:tcW w:w="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(59,095)</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47,343</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4,538</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26,772</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Preferred dividends . .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565</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20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from continuing operations available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to common stockholders  . . . . . . . .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12,979</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(59,660)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47,343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26,772</w:t>
            </w:r>
          </w:p>
        </w:tc>
      </w:tr>
      <w:tr>
        <w:trPr>
          <w:trHeight w:val="168"/>
        </w:trPr>
        <w:tc>
          <w:tcPr>
            <w:tcW w:w="4520" w:type="dxa"/>
            <w:vAlign w:val="bottom"/>
          </w:tcPr>
          <w:p>
            <w:pPr>
              <w:spacing w:after="0"/>
              <w:rPr>
                <w:sz w:val="14"/>
                <w:szCs w:val="14"/>
                <w:color w:val="auto"/>
              </w:rPr>
            </w:pPr>
          </w:p>
        </w:tc>
        <w:tc>
          <w:tcPr>
            <w:tcW w:w="210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20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Income (loss) from continuing operations available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to common stockholders per common share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0.19</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0.29</w:t>
            </w:r>
          </w:p>
        </w:tc>
      </w:tr>
      <w:tr>
        <w:trPr>
          <w:trHeight w:val="168"/>
        </w:trPr>
        <w:tc>
          <w:tcPr>
            <w:tcW w:w="4520" w:type="dxa"/>
            <w:vAlign w:val="bottom"/>
          </w:tcPr>
          <w:p>
            <w:pPr>
              <w:spacing w:after="0"/>
              <w:rPr>
                <w:sz w:val="14"/>
                <w:szCs w:val="14"/>
                <w:color w:val="auto"/>
              </w:rPr>
            </w:pPr>
          </w:p>
        </w:tc>
        <w:tc>
          <w:tcPr>
            <w:tcW w:w="210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20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equivalent shares outstanding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68,457</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72,968</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78,912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74,305</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93,281</w:t>
            </w:r>
          </w:p>
        </w:tc>
      </w:tr>
      <w:tr>
        <w:trPr>
          <w:trHeight w:val="168"/>
        </w:trPr>
        <w:tc>
          <w:tcPr>
            <w:tcW w:w="4520" w:type="dxa"/>
            <w:vAlign w:val="bottom"/>
          </w:tcPr>
          <w:p>
            <w:pPr>
              <w:spacing w:after="0"/>
              <w:rPr>
                <w:sz w:val="14"/>
                <w:szCs w:val="14"/>
                <w:color w:val="auto"/>
              </w:rPr>
            </w:pPr>
          </w:p>
        </w:tc>
        <w:tc>
          <w:tcPr>
            <w:tcW w:w="210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20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(AT END OF PERIOD):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Working capital . . . . . . . . . . . . . .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46,392</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10,687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33,525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54,750</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Intangible assets, net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99,419</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118,469</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142,791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120,459</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147,203</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Total assets  . . . . .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1,030,038</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1,075,508</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1,190,364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1,085,880</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1,262,990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 current maturities</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496,190</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490,904</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450,840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513,345</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487,813</w:t>
            </w: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Stockholders' equity. . . . . . . . . . . . .</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360,152</w:t>
            </w:r>
          </w:p>
        </w:tc>
        <w:tc>
          <w:tcPr>
            <w:tcW w:w="1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321,089</w:t>
            </w:r>
          </w:p>
        </w:tc>
        <w:tc>
          <w:tcPr>
            <w:tcW w:w="1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557,387</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315,735</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597,792</w:t>
            </w:r>
          </w:p>
        </w:tc>
      </w:tr>
    </w:tbl>
    <w:p>
      <w:pPr>
        <w:spacing w:after="0" w:line="200" w:lineRule="exact"/>
        <w:rPr>
          <w:sz w:val="20"/>
          <w:szCs w:val="20"/>
          <w:color w:val="auto"/>
        </w:rPr>
      </w:pPr>
    </w:p>
    <w:p>
      <w:pPr>
        <w:sectPr>
          <w:pgSz w:w="11900" w:h="16838" w:orient="portrait"/>
          <w:cols w:equalWidth="0" w:num="1">
            <w:col w:w="10239"/>
          </w:cols>
          <w:pgMar w:left="220" w:top="281" w:right="14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39"/>
          </w:cols>
          <w:pgMar w:left="220" w:top="281" w:right="1440" w:bottom="544"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SANIFILL, INC.</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8"/>
              </w:rPr>
              <w:t>Three Months Ended</w:t>
            </w:r>
          </w:p>
        </w:tc>
      </w:tr>
      <w:tr>
        <w:trPr>
          <w:trHeight w:val="168"/>
        </w:trPr>
        <w:tc>
          <w:tcPr>
            <w:tcW w:w="3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5"/>
              </w:rPr>
              <w:t>Year Ended December 31,</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68"/>
        </w:trPr>
        <w:tc>
          <w:tcPr>
            <w:tcW w:w="3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3"/>
              </w:rPr>
              <w:t>-----------------------------</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1995</w:t>
            </w:r>
          </w:p>
        </w:tc>
        <w:tc>
          <w:tcPr>
            <w:tcW w:w="40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0" w:type="dxa"/>
            <w:vAlign w:val="bottom"/>
            <w:gridSpan w:val="7"/>
          </w:tcPr>
          <w:p>
            <w:pPr>
              <w:jc w:val="right"/>
              <w:ind w:right="32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5"/>
                <w:szCs w:val="15"/>
                <w:color w:val="auto"/>
                <w:w w:val="95"/>
              </w:rPr>
              <w:t>(Restated)(1)</w:t>
            </w: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(Restated)(1)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(Restated)(1)</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Revenues  . . . . . . . . . . . . . . . .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5"/>
              </w:rPr>
              <w:t>139,727</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$ 192,479</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$ 256,705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54,064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81,000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Cost of operations  . . . . . . . . . . . .</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90,397</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122,274</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160,088</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35,038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51,895</w:t>
            </w:r>
          </w:p>
        </w:tc>
      </w:tr>
      <w:tr>
        <w:trPr>
          <w:trHeight w:val="168"/>
        </w:trPr>
        <w:tc>
          <w:tcPr>
            <w:tcW w:w="3760" w:type="dxa"/>
            <w:vAlign w:val="bottom"/>
          </w:tcPr>
          <w:p>
            <w:pPr>
              <w:spacing w:after="0"/>
              <w:rPr>
                <w:sz w:val="14"/>
                <w:szCs w:val="14"/>
                <w:color w:val="auto"/>
              </w:rPr>
            </w:pPr>
          </w:p>
        </w:tc>
        <w:tc>
          <w:tcPr>
            <w:tcW w:w="122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Gross profit  . . . . . . . . . . . . . .</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49,330</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70,205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96,617</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19,026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29,105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expenses  . . . . . . . . . . . . . . . .</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22,599</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30,633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39,669</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8,118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12,247</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Pooling costs . . . . . . . . . . . . . . .</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566</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60" w:type="dxa"/>
            <w:vAlign w:val="bottom"/>
          </w:tcPr>
          <w:p>
            <w:pPr>
              <w:spacing w:after="0"/>
              <w:rPr>
                <w:sz w:val="14"/>
                <w:szCs w:val="14"/>
                <w:color w:val="auto"/>
              </w:rPr>
            </w:pPr>
          </w:p>
        </w:tc>
        <w:tc>
          <w:tcPr>
            <w:tcW w:w="122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Operating income  . . . . . . . . . . . .</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26,731</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39,572</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56,382</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10,908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16,858</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expense  . . . . . . . . . . . . .</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6,223</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9,525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13,121</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2,903</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4,462</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income . . . . . . . . . . . . . .</w:t>
            </w:r>
          </w:p>
        </w:tc>
        <w:tc>
          <w:tcPr>
            <w:tcW w:w="340" w:type="dxa"/>
            <w:vAlign w:val="bottom"/>
          </w:tcPr>
          <w:p>
            <w:pPr>
              <w:spacing w:after="0"/>
              <w:rPr>
                <w:sz w:val="14"/>
                <w:szCs w:val="14"/>
                <w:color w:val="auto"/>
              </w:rPr>
            </w:pPr>
          </w:p>
        </w:tc>
        <w:tc>
          <w:tcPr>
            <w:tcW w:w="8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(497)</w:t>
            </w:r>
          </w:p>
        </w:tc>
        <w:tc>
          <w:tcPr>
            <w:tcW w:w="1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(487)</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(1,260)</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Other income, net . . . . . . . . . . . . .</w:t>
            </w:r>
          </w:p>
        </w:tc>
        <w:tc>
          <w:tcPr>
            <w:tcW w:w="340" w:type="dxa"/>
            <w:vAlign w:val="bottom"/>
          </w:tcPr>
          <w:p>
            <w:pPr>
              <w:spacing w:after="0"/>
              <w:rPr>
                <w:sz w:val="14"/>
                <w:szCs w:val="14"/>
                <w:color w:val="auto"/>
              </w:rPr>
            </w:pPr>
          </w:p>
        </w:tc>
        <w:tc>
          <w:tcPr>
            <w:tcW w:w="8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(1,923)</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w:t>
            </w:r>
          </w:p>
        </w:tc>
      </w:tr>
      <w:tr>
        <w:trPr>
          <w:trHeight w:val="168"/>
        </w:trPr>
        <w:tc>
          <w:tcPr>
            <w:tcW w:w="3760" w:type="dxa"/>
            <w:vAlign w:val="bottom"/>
          </w:tcPr>
          <w:p>
            <w:pPr>
              <w:spacing w:after="0"/>
              <w:rPr>
                <w:sz w:val="14"/>
                <w:szCs w:val="14"/>
                <w:color w:val="auto"/>
              </w:rPr>
            </w:pPr>
          </w:p>
        </w:tc>
        <w:tc>
          <w:tcPr>
            <w:tcW w:w="122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Income before income taxes  . . . . . . .</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21,018</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31,855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46,444</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8,559</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13,253</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Income taxes  . . . . . . . . . . . . . . .</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8,048</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12,622</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18,531</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3,387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5,301</w:t>
            </w:r>
          </w:p>
        </w:tc>
      </w:tr>
      <w:tr>
        <w:trPr>
          <w:trHeight w:val="168"/>
        </w:trPr>
        <w:tc>
          <w:tcPr>
            <w:tcW w:w="3760" w:type="dxa"/>
            <w:vAlign w:val="bottom"/>
          </w:tcPr>
          <w:p>
            <w:pPr>
              <w:spacing w:after="0"/>
              <w:rPr>
                <w:sz w:val="14"/>
                <w:szCs w:val="14"/>
                <w:color w:val="auto"/>
              </w:rPr>
            </w:pPr>
          </w:p>
        </w:tc>
        <w:tc>
          <w:tcPr>
            <w:tcW w:w="122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Net income  . . . . . . . . . . . . . .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12,970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19,233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27,913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5,172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7,952</w:t>
            </w:r>
          </w:p>
        </w:tc>
      </w:tr>
      <w:tr>
        <w:trPr>
          <w:trHeight w:val="168"/>
        </w:trPr>
        <w:tc>
          <w:tcPr>
            <w:tcW w:w="3760" w:type="dxa"/>
            <w:vAlign w:val="bottom"/>
          </w:tcPr>
          <w:p>
            <w:pPr>
              <w:spacing w:after="0"/>
              <w:rPr>
                <w:sz w:val="14"/>
                <w:szCs w:val="14"/>
                <w:color w:val="auto"/>
              </w:rPr>
            </w:pPr>
          </w:p>
        </w:tc>
        <w:tc>
          <w:tcPr>
            <w:tcW w:w="122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and common equivalent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share . . . . . . . . . . . . . . . . .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0.80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3760" w:type="dxa"/>
            <w:vAlign w:val="bottom"/>
          </w:tcPr>
          <w:p>
            <w:pPr>
              <w:spacing w:after="0"/>
              <w:rPr>
                <w:sz w:val="14"/>
                <w:szCs w:val="14"/>
                <w:color w:val="auto"/>
              </w:rPr>
            </w:pPr>
          </w:p>
        </w:tc>
        <w:tc>
          <w:tcPr>
            <w:tcW w:w="122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common equivalent shares outstanding . .</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16,118</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17,914</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20,216</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18,626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22,989</w:t>
            </w:r>
          </w:p>
        </w:tc>
      </w:tr>
      <w:tr>
        <w:trPr>
          <w:trHeight w:val="168"/>
        </w:trPr>
        <w:tc>
          <w:tcPr>
            <w:tcW w:w="3760" w:type="dxa"/>
            <w:vAlign w:val="bottom"/>
          </w:tcPr>
          <w:p>
            <w:pPr>
              <w:spacing w:after="0"/>
              <w:rPr>
                <w:sz w:val="14"/>
                <w:szCs w:val="14"/>
                <w:color w:val="auto"/>
              </w:rPr>
            </w:pPr>
          </w:p>
        </w:tc>
        <w:tc>
          <w:tcPr>
            <w:tcW w:w="122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(deficit)</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(587)</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9,849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52,738</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66,597</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119,414</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71,962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136,865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5"/>
              </w:rPr>
              <w:t>420,918</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510,865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775,929</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543,080</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934,379</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 current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maturities</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5"/>
              </w:rPr>
              <w:t>154,141</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197,769</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280,901</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212,342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373,478</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spacing w:after="0"/>
              <w:rPr>
                <w:sz w:val="14"/>
                <w:szCs w:val="14"/>
                <w:color w:val="auto"/>
              </w:rPr>
            </w:pPr>
          </w:p>
        </w:tc>
        <w:tc>
          <w:tcPr>
            <w:tcW w:w="8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5"/>
              </w:rPr>
              <w:t>148,245</w:t>
            </w:r>
          </w:p>
        </w:tc>
        <w:tc>
          <w:tcPr>
            <w:tcW w:w="1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182,115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315,591</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196,738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377,177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679"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give effect to the merger of Metropolitan Disposal and Recycling Corporation, which closed in May 1995, using the "pooling of interests" method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ind w:left="540"/>
        <w:spacing w:after="0" w:line="237" w:lineRule="auto"/>
        <w:rPr>
          <w:sz w:val="20"/>
          <w:szCs w:val="20"/>
          <w:color w:val="auto"/>
        </w:rPr>
      </w:pPr>
      <w:r>
        <w:rPr>
          <w:rFonts w:ascii="Courier New" w:cs="Courier New" w:eastAsia="Courier New" w:hAnsi="Courier New"/>
          <w:sz w:val="15"/>
          <w:szCs w:val="15"/>
          <w:color w:val="auto"/>
        </w:rPr>
        <w:t>SUMMARY COMBINED UNAUDITED PRO FORMA CONDENSED FINANCIAL INFORMATION</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following summary combined unaudited pro forma condensed financial information of USA Waste and Sanifill gives effect to the Merger under the "pooling of interests" method of accounting as if the Merger had been consummated as of the beginning of the periods presented. The pro forma information for the years ended December 31, 1993, 1994 and 1995 was prepared based on the audited supplemental and audited historical financial information of USA Waste and Sanifill, respectively, for such years. The pro forma information for the three months ended March 31, 1995 and 1996 was prepared based on the unaudited supplemental and unaudited historical financial information of USA Waste and Sanifill, respectively, for such periods. In addition to the pro forma adjustments in the combined unaudited pro forma condensed financial statements (which in effect are a restatement of the financial statements as if the Merger were consummated), the impact of certain transactions occurring in 1995 and 1996 is presented supplementally. This supplementally provided information does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 See "Supplementally Provided Information Relating to Combined Unaudited Pro Forma Condensed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USA WASTE AND SANIFILL</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Combined Unaudited Pro Forma</w:t>
            </w:r>
          </w:p>
        </w:tc>
        <w:tc>
          <w:tcPr>
            <w:tcW w:w="260" w:type="dxa"/>
            <w:vAlign w:val="bottom"/>
          </w:tcPr>
          <w:p>
            <w:pPr>
              <w:spacing w:after="0"/>
              <w:rPr>
                <w:sz w:val="14"/>
                <w:szCs w:val="14"/>
                <w:color w:val="auto"/>
              </w:rPr>
            </w:pPr>
          </w:p>
        </w:tc>
        <w:tc>
          <w:tcPr>
            <w:tcW w:w="22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Supplementally</w:t>
            </w:r>
          </w:p>
        </w:tc>
      </w:tr>
      <w:tr>
        <w:trPr>
          <w:trHeight w:val="168"/>
        </w:trPr>
        <w:tc>
          <w:tcPr>
            <w:tcW w:w="2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Condensed Financial Information</w:t>
            </w:r>
          </w:p>
        </w:tc>
        <w:tc>
          <w:tcPr>
            <w:tcW w:w="260" w:type="dxa"/>
            <w:vAlign w:val="bottom"/>
          </w:tcPr>
          <w:p>
            <w:pPr>
              <w:spacing w:after="0"/>
              <w:rPr>
                <w:sz w:val="14"/>
                <w:szCs w:val="14"/>
                <w:color w:val="auto"/>
              </w:rPr>
            </w:pPr>
          </w:p>
        </w:tc>
        <w:tc>
          <w:tcPr>
            <w:tcW w:w="2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Provided Information</w:t>
            </w:r>
          </w:p>
        </w:tc>
      </w:tr>
      <w:tr>
        <w:trPr>
          <w:trHeight w:val="168"/>
        </w:trPr>
        <w:tc>
          <w:tcPr>
            <w:tcW w:w="294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8"/>
              </w:rPr>
              <w:t>------------------------------------------</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Three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Three</w:t>
            </w:r>
          </w:p>
        </w:tc>
      </w:tr>
      <w:tr>
        <w:trPr>
          <w:trHeight w:val="168"/>
        </w:trPr>
        <w:tc>
          <w:tcPr>
            <w:tcW w:w="2940" w:type="dxa"/>
            <w:vAlign w:val="bottom"/>
          </w:tcPr>
          <w:p>
            <w:pPr>
              <w:spacing w:after="0"/>
              <w:rPr>
                <w:sz w:val="14"/>
                <w:szCs w:val="14"/>
                <w:color w:val="auto"/>
              </w:rPr>
            </w:pPr>
          </w:p>
        </w:tc>
        <w:tc>
          <w:tcPr>
            <w:tcW w:w="26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Months Ended</w:t>
            </w:r>
          </w:p>
        </w:tc>
        <w:tc>
          <w:tcPr>
            <w:tcW w:w="260" w:type="dxa"/>
            <w:vAlign w:val="bottom"/>
          </w:tcPr>
          <w:p>
            <w:pPr>
              <w:spacing w:after="0"/>
              <w:rPr>
                <w:sz w:val="14"/>
                <w:szCs w:val="14"/>
                <w:color w:val="auto"/>
              </w:rPr>
            </w:pPr>
          </w:p>
        </w:tc>
        <w:tc>
          <w:tcPr>
            <w:tcW w:w="10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Year Ended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Months Ended</w:t>
            </w:r>
          </w:p>
        </w:tc>
      </w:tr>
      <w:tr>
        <w:trPr>
          <w:trHeight w:val="168"/>
        </w:trPr>
        <w:tc>
          <w:tcPr>
            <w:tcW w:w="294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31,</w:t>
            </w:r>
          </w:p>
        </w:tc>
        <w:tc>
          <w:tcPr>
            <w:tcW w:w="13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0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4"/>
              </w:rPr>
              <w:t>1995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94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0" w:type="dxa"/>
            <w:vAlign w:val="bottom"/>
            <w:gridSpan w:val="5"/>
          </w:tcPr>
          <w:p>
            <w:pPr>
              <w:jc w:val="right"/>
              <w:ind w:right="30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118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revenues.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$778,966</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$897,644</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$987,705</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$282,525</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$1,178,126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$307,757</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Operating . . . .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455,282</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520,255</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551,305</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158,956</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672,438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174,794</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General and administrative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126,347</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138,819</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140,051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36,704</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169,291</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40,042</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Depreciation and amortization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96,861</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112,860</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119,570</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32,701</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140,785</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35,643</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Merger costs  . .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3,782</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25,639</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25,639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Unusual items . .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2,672</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8,863</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4,733</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4,733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681,162</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784,579</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841,298</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228,361</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1,012,886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250,479</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from operations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97,804</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113,065</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146,407</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54,164</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165,240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57,278</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 litigation</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settlement and other</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litigation related costs. .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(5,500)</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(79,400)</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Nonrecurring interest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(10,994)</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(10,994)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 . . . . . . . . . .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(46,032)</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(47,678)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(48,558)</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(11,227)</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(47,307)</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(11,761)</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Interest income .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4,835</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4,670</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5,482</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1,930</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6,271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1,930</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income, net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1,161</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2,570</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5,143</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1,215</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5,838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1,566</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(45,536) (121,092)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(48,927)</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(8,082)</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(46,192)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(8,265)</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taxes  . . . . .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52,268</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(8,027)</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97,480</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46,082</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119,048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49,013</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(benefit from)</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taxes   .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30,317</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(19,315)</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64,437</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18,433</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70,433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19,606</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operations   . .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21,951</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11,288</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33,043</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27,649</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48,615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29,407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Preferred dividends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582</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565</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available to common</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stockholders  . . . . . . . .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$ 21,369</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$ 10,723</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$ 33,043</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$ 27,649</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48,615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$ 29,407</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available to common</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stockholders per common share . $   0.22</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0.10</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0.29</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0.21</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0.37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0.21</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w w:val="98"/>
              </w:rPr>
              <w:t>outstanding . . . . . . . . . .</w:t>
            </w:r>
          </w:p>
        </w:tc>
        <w:tc>
          <w:tcPr>
            <w:tcW w:w="840" w:type="dxa"/>
            <w:vAlign w:val="bottom"/>
          </w:tcPr>
          <w:p>
            <w:pPr>
              <w:jc w:val="right"/>
              <w:ind w:right="28"/>
              <w:spacing w:after="0"/>
              <w:rPr>
                <w:sz w:val="20"/>
                <w:szCs w:val="20"/>
                <w:color w:val="auto"/>
              </w:rPr>
            </w:pPr>
            <w:r>
              <w:rPr>
                <w:rFonts w:ascii="Courier New" w:cs="Courier New" w:eastAsia="Courier New" w:hAnsi="Courier New"/>
                <w:sz w:val="15"/>
                <w:szCs w:val="15"/>
                <w:color w:val="auto"/>
              </w:rPr>
              <w:t>95,858</w:t>
            </w: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103,422</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113,279</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132,362</w:t>
            </w:r>
          </w:p>
        </w:tc>
        <w:tc>
          <w:tcPr>
            <w:tcW w:w="26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131,131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136,906</w:t>
            </w:r>
          </w:p>
        </w:tc>
      </w:tr>
      <w:tr>
        <w:trPr>
          <w:trHeight w:val="168"/>
        </w:trPr>
        <w:tc>
          <w:tcPr>
            <w:tcW w:w="294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6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685" w:gutter="0" w:footer="0" w:header="0"/>
          <w:type w:val="continuous"/>
        </w:sectPr>
      </w:pPr>
    </w:p>
    <w:bookmarkStart w:id="21" w:name="page22"/>
    <w:bookmarkEnd w:id="21"/>
    <w:tbl>
      <w:tblPr>
        <w:tblLayout w:type="fixed"/>
        <w:tblInd w:w="100" w:type="dxa"/>
        <w:tblCellMar>
          <w:top w:w="0" w:type="dxa"/>
          <w:left w:w="0" w:type="dxa"/>
          <w:bottom w:w="0" w:type="dxa"/>
          <w:right w:w="0" w:type="dxa"/>
        </w:tblCellMar>
      </w:tblPr>
      <w:tr>
        <w:trPr>
          <w:trHeight w:val="170"/>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22</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673"/>
        </w:trPr>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Combined</w:t>
            </w:r>
          </w:p>
        </w:tc>
        <w:tc>
          <w:tcPr>
            <w:tcW w:w="158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Unaudited Pro</w:t>
            </w:r>
          </w:p>
        </w:tc>
        <w:tc>
          <w:tcPr>
            <w:tcW w:w="15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Supplementally</w:t>
            </w:r>
          </w:p>
        </w:tc>
      </w:tr>
      <w:tr>
        <w:trPr>
          <w:trHeight w:val="168"/>
        </w:trPr>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Forma Condensed</w:t>
            </w:r>
          </w:p>
        </w:tc>
        <w:tc>
          <w:tcPr>
            <w:tcW w:w="15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Provided</w:t>
            </w:r>
          </w:p>
        </w:tc>
      </w:tr>
      <w:tr>
        <w:trPr>
          <w:trHeight w:val="168"/>
        </w:trPr>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Financial</w:t>
            </w:r>
          </w:p>
        </w:tc>
        <w:tc>
          <w:tcPr>
            <w:tcW w:w="15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Information as</w:t>
            </w:r>
          </w:p>
        </w:tc>
      </w:tr>
      <w:tr>
        <w:trPr>
          <w:trHeight w:val="168"/>
        </w:trPr>
        <w:tc>
          <w:tcPr>
            <w:tcW w:w="3500" w:type="dxa"/>
            <w:vAlign w:val="bottom"/>
          </w:tcPr>
          <w:p>
            <w:pPr>
              <w:spacing w:after="0"/>
              <w:rPr>
                <w:sz w:val="14"/>
                <w:szCs w:val="14"/>
                <w:color w:val="auto"/>
              </w:rPr>
            </w:pPr>
          </w:p>
        </w:tc>
        <w:tc>
          <w:tcPr>
            <w:tcW w:w="1920" w:type="dxa"/>
            <w:vAlign w:val="bottom"/>
            <w:gridSpan w:val="2"/>
          </w:tcPr>
          <w:p>
            <w:pPr>
              <w:jc w:val="center"/>
              <w:ind w:left="9"/>
              <w:spacing w:after="0" w:line="168" w:lineRule="exact"/>
              <w:rPr>
                <w:sz w:val="20"/>
                <w:szCs w:val="20"/>
                <w:color w:val="auto"/>
              </w:rPr>
            </w:pPr>
            <w:r>
              <w:rPr>
                <w:rFonts w:ascii="Courier New" w:cs="Courier New" w:eastAsia="Courier New" w:hAnsi="Courier New"/>
                <w:sz w:val="15"/>
                <w:szCs w:val="15"/>
                <w:color w:val="auto"/>
                <w:w w:val="96"/>
              </w:rPr>
              <w:t>Information as of</w:t>
            </w:r>
          </w:p>
        </w:tc>
        <w:tc>
          <w:tcPr>
            <w:tcW w:w="15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of March 31,</w:t>
            </w:r>
          </w:p>
        </w:tc>
      </w:tr>
      <w:tr>
        <w:trPr>
          <w:trHeight w:val="168"/>
        </w:trPr>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March 31, 1996</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500" w:type="dxa"/>
            <w:vAlign w:val="bottom"/>
          </w:tcPr>
          <w:p>
            <w:pPr>
              <w:spacing w:after="0"/>
              <w:rPr>
                <w:sz w:val="14"/>
                <w:szCs w:val="14"/>
                <w:color w:val="auto"/>
              </w:rPr>
            </w:pPr>
          </w:p>
        </w:tc>
        <w:tc>
          <w:tcPr>
            <w:tcW w:w="19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(deficit) . . . . . .</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54,334</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48,298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  . . . . . . .</w:t>
            </w:r>
          </w:p>
        </w:tc>
        <w:tc>
          <w:tcPr>
            <w:tcW w:w="34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284,068</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326,819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 . . . . . . . . . . .</w:t>
            </w:r>
          </w:p>
        </w:tc>
        <w:tc>
          <w:tcPr>
            <w:tcW w:w="34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2,157,901</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2,190,285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 current</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maturities. . . . . . . . . . . . .</w:t>
            </w:r>
          </w:p>
        </w:tc>
        <w:tc>
          <w:tcPr>
            <w:tcW w:w="34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861,291</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929,044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  . . . . . . . .</w:t>
            </w:r>
          </w:p>
        </w:tc>
        <w:tc>
          <w:tcPr>
            <w:tcW w:w="34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1,005,759</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965,294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UNAUDITED PER SHARE DATA</w:t>
      </w:r>
    </w:p>
    <w:p>
      <w:pPr>
        <w:spacing w:after="0" w:line="173" w:lineRule="exact"/>
        <w:rPr>
          <w:sz w:val="20"/>
          <w:szCs w:val="20"/>
          <w:color w:val="auto"/>
        </w:rPr>
      </w:pPr>
    </w:p>
    <w:p>
      <w:pPr>
        <w:ind w:right="960" w:firstLine="787"/>
        <w:spacing w:after="0" w:line="254" w:lineRule="auto"/>
        <w:rPr>
          <w:sz w:val="20"/>
          <w:szCs w:val="20"/>
          <w:color w:val="auto"/>
        </w:rPr>
      </w:pPr>
      <w:r>
        <w:rPr>
          <w:rFonts w:ascii="Courier New" w:cs="Courier New" w:eastAsia="Courier New" w:hAnsi="Courier New"/>
          <w:sz w:val="14"/>
          <w:szCs w:val="14"/>
          <w:color w:val="auto"/>
        </w:rPr>
        <w:t>The following table sets forth (a) the income (loss) from continuing operations available to common stockholders per common share and the book value per share of USA Waste Common Stock, (b) the income from continuing operations per common share and the book value per share of Sanifill Common Stock, (c) the combined unaudited pro forma income from continuing operations available to common stockholders per common share and the unaudited pro forma book value per share data of USA Waste Common Stock after giving effect to the Merger on a pooling of interests basis with Sanifill and (d) the Sanifill equivalent combined unaudited pro forma income from continuing operations per common share and the unaudited pro forma book value per share attributable to 1.70 shares of USA Waste Common Stock that will be received by Sanifill stockholders for each share of Sanifill Common Stock. The information presented in the table should be read in conjunction with the combined unaudited pro forma condensed financial statements and the separate consolidated financial statements of USA Waste and Sanifill and the notes thereto appearing elsewhere herein or incorporated by reference in this Joint Proxy Statement and Prospectus. In addition to the pro forma adjustments in the combined unaudited pro forma condensed financial statements (which in effect are a restatement of the financial statements as if the Merger were consummated), the impact of certain transactions occurring in 1995 and 1996 is presented supplementally. See "USA Waste and Sanifill Combined Unaudited Pro Forma Condensed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gridSpan w:val="3"/>
          </w:tcPr>
          <w:p>
            <w:pPr>
              <w:ind w:left="2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SANIFILL</w:t>
            </w:r>
          </w:p>
        </w:tc>
      </w:tr>
      <w:tr>
        <w:trPr>
          <w:trHeight w:val="168"/>
        </w:trPr>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EQUIVALENT</w:t>
            </w:r>
          </w:p>
        </w:tc>
      </w:tr>
      <w:tr>
        <w:trPr>
          <w:trHeight w:val="168"/>
        </w:trPr>
        <w:tc>
          <w:tcPr>
            <w:tcW w:w="34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USA WASTE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SANIFILL</w:t>
            </w: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COMBINED</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34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operations available to</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Stockholders per</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share:</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Years ended December 31:</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6"/>
              </w:rPr>
              <w:t>1993 . . . . . . . . . . . . .</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  0.19</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0.80</w:t>
            </w:r>
          </w:p>
        </w:tc>
        <w:tc>
          <w:tcPr>
            <w:tcW w:w="4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0.22</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$ 0.37</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6"/>
              </w:rPr>
              <w:t>1994 . . . . . . . . . . . . .</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(0.82)</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w:t>
            </w:r>
          </w:p>
        </w:tc>
        <w:tc>
          <w:tcPr>
            <w:tcW w:w="48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0.10</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6"/>
              </w:rPr>
              <w:t>1995 . . . . . . . . . . . . .</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.0.60</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w:t>
            </w:r>
          </w:p>
        </w:tc>
        <w:tc>
          <w:tcPr>
            <w:tcW w:w="48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0.29</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0.49</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Book value per share:</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6"/>
              </w:rPr>
              <w:t>March 31, 1996 . . . . . . . .</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$6.68</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$16.19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7.79</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$13.24</w:t>
            </w:r>
          </w:p>
        </w:tc>
      </w:tr>
      <w:tr>
        <w:trPr>
          <w:trHeight w:val="841"/>
        </w:trPr>
        <w:tc>
          <w:tcPr>
            <w:tcW w:w="34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SUPPLEMENTALLY PROVIDED INFORMATION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1279"/>
        <w:spacing w:after="0"/>
        <w:rPr>
          <w:sz w:val="20"/>
          <w:szCs w:val="20"/>
          <w:color w:val="auto"/>
        </w:rPr>
      </w:pPr>
      <w:r>
        <w:rPr>
          <w:rFonts w:ascii="Courier New" w:cs="Courier New" w:eastAsia="Courier New" w:hAnsi="Courier New"/>
          <w:sz w:val="15"/>
          <w:szCs w:val="15"/>
          <w:color w:val="auto"/>
        </w:rPr>
        <w:t>SANIFILL</w:t>
      </w:r>
    </w:p>
    <w:p>
      <w:pPr>
        <w:jc w:val="center"/>
        <w:ind w:left="-1279"/>
        <w:spacing w:after="0" w:line="237" w:lineRule="auto"/>
        <w:rPr>
          <w:sz w:val="20"/>
          <w:szCs w:val="20"/>
          <w:color w:val="auto"/>
        </w:rPr>
      </w:pPr>
      <w:r>
        <w:rPr>
          <w:rFonts w:ascii="Courier New" w:cs="Courier New" w:eastAsia="Courier New" w:hAnsi="Courier New"/>
          <w:sz w:val="15"/>
          <w:szCs w:val="15"/>
          <w:color w:val="auto"/>
        </w:rPr>
        <w:t>EQUIVALENT</w:t>
      </w:r>
    </w:p>
    <w:p>
      <w:pPr>
        <w:ind w:left="180"/>
        <w:spacing w:after="0" w:line="238" w:lineRule="auto"/>
        <w:tabs>
          <w:tab w:leader="none" w:pos="1920" w:val="left"/>
        </w:tabs>
        <w:rPr>
          <w:sz w:val="20"/>
          <w:szCs w:val="20"/>
          <w:color w:val="auto"/>
        </w:rPr>
      </w:pPr>
      <w:r>
        <w:rPr>
          <w:rFonts w:ascii="Courier New" w:cs="Courier New" w:eastAsia="Courier New" w:hAnsi="Courier New"/>
          <w:sz w:val="15"/>
          <w:szCs w:val="15"/>
          <w:color w:val="auto"/>
        </w:rPr>
        <w:t>COMBINED</w:t>
      </w:r>
      <w:r>
        <w:rPr>
          <w:sz w:val="20"/>
          <w:szCs w:val="20"/>
          <w:color w:val="auto"/>
        </w:rPr>
        <w:tab/>
      </w:r>
      <w:r>
        <w:rPr>
          <w:rFonts w:ascii="Courier New" w:cs="Courier New" w:eastAsia="Courier New" w:hAnsi="Courier New"/>
          <w:sz w:val="15"/>
          <w:szCs w:val="15"/>
          <w:color w:val="auto"/>
        </w:rPr>
        <w:t>COMBINED</w:t>
      </w:r>
    </w:p>
    <w:p>
      <w:pPr>
        <w:ind w:left="180"/>
        <w:spacing w:after="0" w:line="237" w:lineRule="auto"/>
        <w:tabs>
          <w:tab w:leader="none" w:pos="1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68"/>
        </w:trPr>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0.37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0.63</w:t>
            </w:r>
          </w:p>
        </w:tc>
      </w:tr>
      <w:tr>
        <w:trPr>
          <w:trHeight w:val="505"/>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$7.33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$12.46</w:t>
            </w:r>
          </w:p>
        </w:tc>
      </w:tr>
    </w:tbl>
    <w:p>
      <w:pPr>
        <w:sectPr>
          <w:pgSz w:w="11900" w:h="16838" w:orient="portrait"/>
          <w:cols w:equalWidth="0" w:num="2">
            <w:col w:w="7960" w:space="440"/>
            <w:col w:w="3060"/>
          </w:cols>
          <w:pgMar w:left="220" w:top="281" w:right="21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ind w:left="540"/>
        <w:spacing w:after="0" w:line="237" w:lineRule="auto"/>
        <w:rPr>
          <w:sz w:val="20"/>
          <w:szCs w:val="20"/>
          <w:color w:val="auto"/>
        </w:rPr>
      </w:pPr>
      <w:r>
        <w:rPr>
          <w:rFonts w:ascii="Courier New" w:cs="Courier New" w:eastAsia="Courier New" w:hAnsi="Courier New"/>
          <w:sz w:val="15"/>
          <w:szCs w:val="15"/>
          <w:color w:val="auto"/>
        </w:rPr>
        <w:t>ADDITIONAL PROPOSAL TO BE PRESENTED AT THE USA WASTE SPECIAL MEETING</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At the USA Waste Special Meeting, stockholders of USA Waste will also be asked to consider and act upon a proposal to approve an amendment to the USA Waste Restated Certificate of Incorporation to increase the number of authorized shares of USA Waste Common Stock to 300,000,000 shares. The Board of Directors of USA Waste believes that this amendment to increase the number of authorized shares of USA Waste Common Stock is necessary in order to ensure that (i) there will be sufficient authorized, unissued and unreserved shares of USA Common Stock available to effect the Merger (and reserve shares for issuance pursuant to the Sanifill Options, the Sanifill Warrants and the Sanifill Convertible Debentures) and (ii) after the Merger, USA</w:t>
      </w:r>
    </w:p>
    <w:p>
      <w:pPr>
        <w:spacing w:after="0" w:line="3"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5"/>
          <w:szCs w:val="15"/>
          <w:color w:val="auto"/>
        </w:rPr>
        <w:t>Waste will have shares available for issuance at the Board of Directors' discretion for future acquisitions, stock splits, stock dividends, equity financings, employee benefit plans and other corporate purposes. The implementation of the Merger is conditioned on, among other things, the adoption of this proposal.</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Proposal No. 2. To approve an amendment to the Restated Certificate of Incorporation of USA Waste to increase the authorized shares of USA Waste Common Stock from 150,000,000 to 300,000,000 shares. THE BOARD OF DIRECTORS OF USA WASTE RECOMMENDS THAT THE STOCKHOLDERS OF USA WASTE VOTE FOR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ind w:left="2980"/>
        <w:spacing w:after="0" w:line="237" w:lineRule="auto"/>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 addition to the other information set forth in this Joint Proxy Statement and Prospectus, the following factors should be considered by the USA Waste stockholders and the Sanifill stockholders before voting on the proposals 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 MAY NOT PROVE ACCURATE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When used or incorporated by reference in this Joint Proxy Statement and Prospectus, the words "anticipate," "estimate," "expect,"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expected or projected.</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Among the key factors that have a direct bearing on USA Waste's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USA Waste has also made certain assumptions relating to the outcome of various commercial, legal and regulatory proceedings relating to USA Waste's operations and the industry generally. These and other risk factors are discussed below.</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BENEFITS OF COMBINED BUSINESS MAY NOT BE ACHIEVED</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There can be no assurance that the expected benefits of the Merger relative to the combined business as described under "The Merger and Related Transactions -- USA Waste's Reasons for the Merger" and "The Merger and Related Transactions -- Sanifill's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general economies of scale and, generally, to capitalize on the combined asset base and strategic position of the combined entity.</w:t>
      </w:r>
    </w:p>
    <w:p>
      <w:pPr>
        <w:spacing w:after="0" w:line="179"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STOCK PRICES MAY VARY IN RESPONSE TO CHANGES IN BUSINESS AND ECONOMIC CONDITIONS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relative stock prices of USA Waste Common Stock and Sanifill Common Stock at the Effective Time may vary significantly from the prices as of the date of execution of the Merger Agreement or the date hereof or the date on which stockholders vote on the Merger due to, among other factors, changes in the business, operations and prospects of USA Waste or Sanifill, market assessments of the likelihood that the Merger will be consummated and the timing thereof and general market and economic conditions. The Exchange Ratio is fixed and will not be adjusted based on changes in the relative stock prices of USA Waste Common Stock and Sanifill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USA Waste has experienced rapid growth, primarily through acquisitions. USA Waste's financial results and prospects depend in large part on its ability to successfully manage and improve the operating efficiencies and productivity of these acquired operations. In particular, there can be no assurance that USA Waste will be able to successfully integrate the operations of Western Waste Industries, USA Waste's most recent large acquisition (the "Western Merger"), or that USA Waste will be able to successfully integrate the operations of Sanifill if the Merger is consummated. Moreover, the ability of USA Waste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USA Waste is continually seeking acquisition opportunities and believes that there exist a substantial number of potentially attractive consolidation opportunities in the solid waste management industry. USA Waste may pursue significant acquisitions if they can be achieved on acceptable terms. There can be no assurance that USA Waste will be able to continue to expand and successfully integrate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 FOR CAPITAL; DEBT FINANCING</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long-term debt of the combined company, including current maturities, on a pro forma basis as of March 31, 1996 was approximately $861.3 million. See "USA Waste and Sanifill Combined Unaudited Pro Forma Condensed Financial Statements." 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165"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In addition, approximately $488 million of USA Waste's existing indebtedness at March 31, 1996 and approximately $52 million of Sanifill's existing indebtedness at March 31, 1996 is priced at variable interest rates that fluctuate as general interest rates change. As a result, an increase in interest rates could adversely affect USA Waste's earnings in the future.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two largest national waste management companies have significantly greater financial resources than would the combined company after the Merger. Competition may also be affected by the increasing national emphasis on recycling, composting, incineration and other waste reduction programs that could reduce the volume of solid waste collected or deposited in landfills.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EFFECT OF GOVERNMENT REGULATION</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USA Waste's operations are, and the combined company's operations will be, subject to, and substantially affected by, extensive federal, state and local laws, regulations, orders and permits, which govern environmental protection, health and safety, zoning and other matters. These regulations may impose restrictions on operations that could adversely affect the combined company's results, such as limitations on the expansion of disposal facilities, limitations on or the banning of disposal of out-of-state waste or certain categories of waste or mandates regarding the disposal of solid waste. Because of heightened public concern, companies in the waste management business may become subject to judicial and administrative proceedings involving federal, state or local agencies. These governmental agencies may seek to (i) impose fines on the combined company, (ii) revoke or deny renewal of operating permits or licenses for violations of environmental laws or regulations or (iii) require remediation of environmental problems at sites or nearby properties, or resulting from transportation or predecessors' transportation and collection operations, any of which could have a material adverse effect on the combined company. Liability may also arise from actions brought by individuals or community groups in connection with the permitting or licensing of operations, any alleged violations of such permits and licenses or other matters.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USA Waste is, and the combined company will be,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by pollutants or hazardous substances, the transportation, treatment or disposal of which was arranged for by USA Waste, Sanifill or their predecessor owners of operations or assets acquired by such companies. Any substantial liability for environmental damage could materially adversely affect operating results and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ELIGIBLE FOR FUTURE SALE MAY ADVERSELY AFFECT MARKET PRICE OF STOCK</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Sales of substantial amounts of USA Waste Common Stock in the public market could adversely affect the market price of such stock. USA Waste currently has a shelf registration statement for the benefit of certain stockholders relating to 4 million shares of USA Waste Common Stock. In connection with the Merger, USA Waste entered into an agreement with these stockholders which provides that if the number of shares of USA Waste Common Stock so registered and unsold falls below 2 million shares, such stockholders shall be entitled at their request to have the Company register additional shares of USA Waste Common Stock; provided that at no time shall more than 4 million shares of USA Waste Common Stock be registered. All of the initial 4 million shares of USA Waste Common Stock remain available to be sold pursuant to such registration statement. Such shares are immediately saleable in the open market. In addition, USA Waste has a shelf registration statement covering approximately 2.5 million shares of USA Waste Common Stock that may be used for acquisitions. In the event that the market price of USA Waste Common Stock were adversely affected by such sales, USA Waste's access to equity capital markets could be adversely affected, and issuances of stock by USA Waste in connection with acquisitions, or otherwise, could dilute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ind w:left="2980"/>
        <w:spacing w:after="0" w:line="237" w:lineRule="auto"/>
        <w:rPr>
          <w:sz w:val="20"/>
          <w:szCs w:val="20"/>
          <w:color w:val="auto"/>
        </w:rPr>
      </w:pPr>
      <w:r>
        <w:rPr>
          <w:rFonts w:ascii="Courier New" w:cs="Courier New" w:eastAsia="Courier New" w:hAnsi="Courier New"/>
          <w:sz w:val="15"/>
          <w:szCs w:val="15"/>
          <w:color w:val="auto"/>
        </w:rPr>
        <w:t>THE MEETINGS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 OF THE MEETINGS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USA Waste Special Meeting will be held at 2:00 p.m., Central time,</w:t>
      </w:r>
    </w:p>
    <w:p>
      <w:pPr>
        <w:spacing w:after="0" w:line="10"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on August 27, 1996, at . The Sanifill Special Meeting will be held at 11:00 a.m., Central time, on August 27, 1996, at</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MEETINGS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purpose of the USA Waste Special Meeting is to consider and act upon proposals to (i) approve and adopt the Merger Agreement ("Proposal No. 1") and (ii) amend the USA Waste Restated Certificate of Incorporation to increase the number of authorized shares of USA Waste Common Stock ("Proposal No. 2"). The implementation of Proposal No. 1 is conditioned on the approval of Proposal No. 2. USA Waste stockholder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16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The sole purpose of the Sanifill Special Meeting is to consider and act upon a proposal to approve and adopt the Merger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Only holders of record of USA Waste Common Stock and Sanifill Common Stock at the close of business on the Record Date are entitled to notice of, and to vote at, the USA Waste Special Meeting and the Sanifill Special Meeting, respectively.</w:t>
      </w:r>
    </w:p>
    <w:p>
      <w:pPr>
        <w:spacing w:after="0" w:line="175" w:lineRule="exact"/>
        <w:rPr>
          <w:sz w:val="20"/>
          <w:szCs w:val="20"/>
          <w:color w:val="auto"/>
        </w:rPr>
      </w:pPr>
    </w:p>
    <w:p>
      <w:pPr>
        <w:ind w:right="3579" w:firstLine="787"/>
        <w:spacing w:after="0" w:line="254" w:lineRule="auto"/>
        <w:rPr>
          <w:sz w:val="20"/>
          <w:szCs w:val="20"/>
          <w:color w:val="auto"/>
        </w:rPr>
      </w:pPr>
      <w:r>
        <w:rPr>
          <w:rFonts w:ascii="Courier New" w:cs="Courier New" w:eastAsia="Courier New" w:hAnsi="Courier New"/>
          <w:sz w:val="14"/>
          <w:szCs w:val="14"/>
          <w:color w:val="auto"/>
        </w:rPr>
        <w:t>On the Record Date, there were holders of record of USA Waste Common Stock with shares of USA Waste Common Stock issued and outstanding. Each share of USA Waste Common Stock entitles the holder thereof to one vote on each matter submitted for stockholder approval. See</w:t>
      </w:r>
    </w:p>
    <w:p>
      <w:pPr>
        <w:spacing w:after="0" w:line="1"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"Principal Stockholders of USA Waste and Sanifill" for information regarding persons known to management of USA Waste to be the beneficial owners of more than 5% of the outstanding shares of USA Waste Common Stock.</w:t>
      </w:r>
    </w:p>
    <w:p>
      <w:pPr>
        <w:spacing w:after="0" w:line="161"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On the Record Date, there were holders of record of Sanifill Common Stock with shares of Sanifill Common Stock issued and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outstanding. Each share of Sanifill Common Stock entitles the holder thereof to one vote on each matter submitted for stockholder approval. See "Principal Stockholders of USA Waste and Sanifill" for information regarding persons known to management of Sanifill to be the beneficial owners of more than 5% of the outstanding shares of Sanifill Common Stock.</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If a share is represented for any purpose at a Meeting, it is deemed to be present for all other matters. Abstentions and shares held of record by a broker or its nominee that are voted on any matter are included in determining the number of votes present. Broker non-votes on any matter will not be included in determining whether a quorum is present. In all cases, shares with respect to which authority to vote is withheld, abstentions and broker non-votes will not be included in determining the number of votes cast.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REVOCATION OF PROXIES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All properly executed proxies that are not revoked will be voted at the USA Waste Special Meeting or the Sanifill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and (ii) approval of the amendment to the USA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Restated Certificate of Incorporation to increase the number of authorized shares of USA Waste Common Stock. If a holder of Sanifill Common Stock executes and returns a proxy and does not specify otherwise, the shares represented by such proxy will be voted FOR approval and adoption of the Merger Agreement. A stockholder of USA Waste or Sanifill who has executed and returned a proxy may revoke it at any time before it is voted at the respective meeting by (a) executing and returning a proxy bearing a later date, (b) filing a written notice of such revocation with the Secretary of USA Waste or Sanifill, as appropriate, stating that the proxy is revoked or (c) attending the meeting and voting in person.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FOR APPROVAL</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USA Waste. Insofar as adoption of the Merger Agreement and the amendment of the USA Waste Restated Certificate of Incorporation are concerned, USA Waste's Bylaws provide that the presence at the USA Waste Special Meeting, in person or by proxy, of holders of a majority of the outstanding shares of USA Waste Common Stock entitled to vote at the meeting will constitute a quorum</w:t>
      </w:r>
    </w:p>
    <w:tbl>
      <w:tblPr>
        <w:tblLayout w:type="fixed"/>
        <w:tblInd w:w="0" w:type="dxa"/>
        <w:tblCellMar>
          <w:top w:w="0" w:type="dxa"/>
          <w:left w:w="0" w:type="dxa"/>
          <w:bottom w:w="0" w:type="dxa"/>
          <w:right w:w="0" w:type="dxa"/>
        </w:tblCellMar>
      </w:tblPr>
      <w:tr>
        <w:trPr>
          <w:trHeight w:val="165"/>
        </w:trPr>
        <w:tc>
          <w:tcPr>
            <w:tcW w:w="172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9"/>
              </w:rPr>
              <w:t>for the transaction</w:t>
            </w:r>
          </w:p>
        </w:tc>
        <w:tc>
          <w:tcPr>
            <w:tcW w:w="2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of</w:t>
            </w:r>
          </w:p>
        </w:tc>
        <w:tc>
          <w:tcPr>
            <w:tcW w:w="148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8"/>
              </w:rPr>
              <w:t>business.  Under</w:t>
            </w:r>
          </w:p>
        </w:tc>
        <w:tc>
          <w:tcPr>
            <w:tcW w:w="1500" w:type="dxa"/>
            <w:vAlign w:val="bottom"/>
            <w:gridSpan w:val="3"/>
          </w:tcPr>
          <w:p>
            <w:pPr>
              <w:ind w:left="40"/>
              <w:spacing w:after="0" w:line="165" w:lineRule="exact"/>
              <w:rPr>
                <w:sz w:val="20"/>
                <w:szCs w:val="20"/>
                <w:color w:val="auto"/>
              </w:rPr>
            </w:pPr>
            <w:r>
              <w:rPr>
                <w:rFonts w:ascii="Courier New" w:cs="Courier New" w:eastAsia="Courier New" w:hAnsi="Courier New"/>
                <w:sz w:val="15"/>
                <w:szCs w:val="15"/>
                <w:color w:val="auto"/>
                <w:w w:val="99"/>
              </w:rPr>
              <w:t>the rules of the</w:t>
            </w:r>
          </w:p>
        </w:tc>
        <w:tc>
          <w:tcPr>
            <w:tcW w:w="196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rPr>
              <w:t>NYSE, approval of the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Merger requires</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28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affirmative vote of the holders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1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majority of the shares</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of USA Waste Common</w:t>
            </w:r>
          </w:p>
        </w:tc>
        <w:tc>
          <w:tcPr>
            <w:tcW w:w="520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rPr>
              <w:t>Stock voted, in person or by proxy, at the USA Waste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Special Meeting</w:t>
            </w:r>
          </w:p>
        </w:tc>
        <w:tc>
          <w:tcPr>
            <w:tcW w:w="5560" w:type="dxa"/>
            <w:vAlign w:val="bottom"/>
            <w:gridSpan w:val="8"/>
          </w:tcPr>
          <w:p>
            <w:pPr>
              <w:ind w:left="40"/>
              <w:spacing w:after="0" w:line="168" w:lineRule="exact"/>
              <w:rPr>
                <w:sz w:val="20"/>
                <w:szCs w:val="20"/>
                <w:color w:val="auto"/>
              </w:rPr>
            </w:pPr>
            <w:r>
              <w:rPr>
                <w:rFonts w:ascii="Courier New" w:cs="Courier New" w:eastAsia="Courier New" w:hAnsi="Courier New"/>
                <w:sz w:val="15"/>
                <w:szCs w:val="15"/>
                <w:color w:val="auto"/>
              </w:rPr>
              <w:t>provided that the total vote cast on the proposal represents</w:t>
            </w:r>
          </w:p>
        </w:tc>
      </w:tr>
      <w:tr>
        <w:trPr>
          <w:trHeight w:val="168"/>
        </w:trPr>
        <w:tc>
          <w:tcPr>
            <w:tcW w:w="45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over 50% in interest of all shares entitled to vote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proposal.</w:t>
            </w: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For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purposes of the</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Merger</w:t>
            </w:r>
          </w:p>
        </w:tc>
        <w:tc>
          <w:tcPr>
            <w:tcW w:w="494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proposal, abstentions and broker non-votes will not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count as shares</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voted.</w:t>
            </w:r>
          </w:p>
        </w:tc>
        <w:tc>
          <w:tcPr>
            <w:tcW w:w="25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8"/>
              </w:rPr>
              <w:t>At the close of business on</w:t>
            </w:r>
          </w:p>
        </w:tc>
        <w:tc>
          <w:tcPr>
            <w:tcW w:w="24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the Record Date, there were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approximately</w:t>
            </w:r>
          </w:p>
        </w:tc>
        <w:tc>
          <w:tcPr>
            <w:tcW w:w="5560" w:type="dxa"/>
            <w:vAlign w:val="bottom"/>
            <w:gridSpan w:val="8"/>
          </w:tcPr>
          <w:p>
            <w:pPr>
              <w:ind w:left="40"/>
              <w:spacing w:after="0" w:line="168" w:lineRule="exact"/>
              <w:rPr>
                <w:sz w:val="20"/>
                <w:szCs w:val="20"/>
                <w:color w:val="auto"/>
              </w:rPr>
            </w:pPr>
            <w:r>
              <w:rPr>
                <w:rFonts w:ascii="Courier New" w:cs="Courier New" w:eastAsia="Courier New" w:hAnsi="Courier New"/>
                <w:sz w:val="15"/>
                <w:szCs w:val="15"/>
                <w:color w:val="auto"/>
              </w:rPr>
              <w:t>million shares of USA Waste Common Stock outstanding and</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entitled to vote at</w:t>
            </w:r>
          </w:p>
        </w:tc>
        <w:tc>
          <w:tcPr>
            <w:tcW w:w="28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the USA Waste Special Meeting.</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w:t>
            </w:r>
          </w:p>
        </w:tc>
        <w:tc>
          <w:tcPr>
            <w:tcW w:w="21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the Record Date, the</w:t>
            </w:r>
          </w:p>
        </w:tc>
      </w:tr>
      <w:tr>
        <w:trPr>
          <w:trHeight w:val="168"/>
        </w:trPr>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directors and officers</w:t>
            </w:r>
          </w:p>
        </w:tc>
        <w:tc>
          <w:tcPr>
            <w:tcW w:w="494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of USA Waste and their affiliates held approximately</w:t>
            </w:r>
          </w:p>
        </w:tc>
      </w:tr>
      <w:tr>
        <w:trPr>
          <w:trHeight w:val="168"/>
        </w:trPr>
        <w:tc>
          <w:tcPr>
            <w:tcW w:w="47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million shares of USA Waste Common Stock, representing</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approximately</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of the outstanding shares. Such persons have indicated to USA Waste that they intend to vote their shares in favor of approval and adoption of the Merger Agreement. See "Principal Stockholders of USA Waste and Sanifill." For information relating to certain voting agreements entered into in connection with the Merger Agreement, see "The Plan of Merger and Terms of the Merger -- Voting Agreements."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Approval of the amendment to USA Waste's Restated Certificate of Incorporation requires the affirmative vote of the holders of a majority of the outstanding shares of USA Waste Common Stock entitled to vote on such proposal. Abstentions from the proposal to amend USA Waste's Restated Certificate of Incorporation as well as broker non-votes and the failure of USA Waste stockholders to sign and return their proxy will each have the same effect as voting against such proposal.</w:t>
      </w:r>
    </w:p>
    <w:p>
      <w:pPr>
        <w:spacing w:after="0" w:line="176"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Sanifill. Insofar as adoption of the Merger Agreement is concerned, Sanifill's Bylaws provide that the presence at the Sanifill Special Meeting, in person or by proxy, of holders of a majority of the issued and outstanding shares of Sanifill Common Stock entitled to vote at the meeting will constitute</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 quorum for the transaction of business. At the close of business on the Record Date, there were approximately million shares of Sanifill Common Stock outstanding and entitled to vote at the Sanifill Special Meeting.</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Pursuant to Delaware law and the provisions of the Certificate of Incorporation of Sanifill, approval and adoption of the Merger Agreement requires the</w:t>
      </w:r>
    </w:p>
    <w:tbl>
      <w:tblPr>
        <w:tblLayout w:type="fixed"/>
        <w:tblInd w:w="0" w:type="dxa"/>
        <w:tblCellMar>
          <w:top w:w="0" w:type="dxa"/>
          <w:left w:w="0" w:type="dxa"/>
          <w:bottom w:w="0" w:type="dxa"/>
          <w:right w:w="0" w:type="dxa"/>
        </w:tblCellMar>
      </w:tblPr>
      <w:tr>
        <w:trPr>
          <w:trHeight w:val="164"/>
        </w:trPr>
        <w:tc>
          <w:tcPr>
            <w:tcW w:w="1720" w:type="dxa"/>
            <w:vAlign w:val="bottom"/>
            <w:gridSpan w:val="2"/>
          </w:tcPr>
          <w:p>
            <w:pPr>
              <w:spacing w:after="0" w:line="164" w:lineRule="exact"/>
              <w:rPr>
                <w:sz w:val="20"/>
                <w:szCs w:val="20"/>
                <w:color w:val="auto"/>
              </w:rPr>
            </w:pPr>
            <w:r>
              <w:rPr>
                <w:rFonts w:ascii="Courier New" w:cs="Courier New" w:eastAsia="Courier New" w:hAnsi="Courier New"/>
                <w:sz w:val="15"/>
                <w:szCs w:val="15"/>
                <w:color w:val="auto"/>
                <w:w w:val="99"/>
              </w:rPr>
              <w:t>affirmative vote of</w:t>
            </w:r>
          </w:p>
        </w:tc>
        <w:tc>
          <w:tcPr>
            <w:tcW w:w="5200" w:type="dxa"/>
            <w:vAlign w:val="bottom"/>
            <w:gridSpan w:val="3"/>
          </w:tcPr>
          <w:p>
            <w:pPr>
              <w:ind w:left="40"/>
              <w:spacing w:after="0" w:line="164" w:lineRule="exact"/>
              <w:rPr>
                <w:sz w:val="20"/>
                <w:szCs w:val="20"/>
                <w:color w:val="auto"/>
              </w:rPr>
            </w:pPr>
            <w:r>
              <w:rPr>
                <w:rFonts w:ascii="Courier New" w:cs="Courier New" w:eastAsia="Courier New" w:hAnsi="Courier New"/>
                <w:sz w:val="15"/>
                <w:szCs w:val="15"/>
                <w:color w:val="auto"/>
                <w:w w:val="98"/>
              </w:rPr>
              <w:t>the holders of a majority of the shares of Sanifill Common</w:t>
            </w:r>
          </w:p>
        </w:tc>
      </w:tr>
      <w:tr>
        <w:trPr>
          <w:trHeight w:val="168"/>
        </w:trPr>
        <w:tc>
          <w:tcPr>
            <w:tcW w:w="51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Stock outstanding on the Record Date, or approximately</w:t>
            </w:r>
          </w:p>
        </w:tc>
        <w:tc>
          <w:tcPr>
            <w:tcW w:w="1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million shares.</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On the Record Date,</w:t>
            </w:r>
          </w:p>
        </w:tc>
        <w:tc>
          <w:tcPr>
            <w:tcW w:w="52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the directors and officers of Sanifill and their affiliates</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held approximately</w:t>
            </w:r>
          </w:p>
        </w:tc>
        <w:tc>
          <w:tcPr>
            <w:tcW w:w="660" w:type="dxa"/>
            <w:vAlign w:val="bottom"/>
          </w:tcPr>
          <w:p>
            <w:pPr>
              <w:spacing w:after="0"/>
              <w:rPr>
                <w:sz w:val="14"/>
                <w:szCs w:val="14"/>
                <w:color w:val="auto"/>
              </w:rPr>
            </w:pPr>
          </w:p>
        </w:tc>
        <w:tc>
          <w:tcPr>
            <w:tcW w:w="45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million shares of Sanifill Common Stock,</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representing</w:t>
            </w:r>
          </w:p>
        </w:tc>
        <w:tc>
          <w:tcPr>
            <w:tcW w:w="1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approximately</w:t>
            </w:r>
          </w:p>
        </w:tc>
        <w:tc>
          <w:tcPr>
            <w:tcW w:w="45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 of the outstanding voting power.  Such</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persons have</w:t>
            </w:r>
          </w:p>
        </w:tc>
        <w:tc>
          <w:tcPr>
            <w:tcW w:w="58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indicated to Sanifill that they intend to vote their shares in</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favor of approval and adoption of the Merger Agreement.  See "Principal</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USA</w:t>
            </w:r>
          </w:p>
        </w:tc>
        <w:tc>
          <w:tcPr>
            <w:tcW w:w="52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Waste and Sanifill."  For information relating to certain</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voting agreements entered into in connection with the Merger Agreement, see</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Plan of</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Merger</w:t>
            </w:r>
          </w:p>
        </w:tc>
        <w:tc>
          <w:tcPr>
            <w:tcW w:w="52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and Terms of the Merger -- Voting Agreements."</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SOLICITATION</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PROXIES</w:t>
            </w:r>
          </w:p>
        </w:tc>
        <w:tc>
          <w:tcPr>
            <w:tcW w:w="27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In addition to solicitation by mail, the directors, officers and employees of each of USA Waste and Sanifill may solicit proxies from their respective stockholders by personal interview, telephone, telegram, facsimile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USA Waste and Sanifill will each bear the costs of the solicitation of proxies from their respective stockholders, except that USA Waste and Sanifill will share equally the cost of printing this Joint Proxy Statement and Prospectus. USA Waste has engaged Corporate Investor Communications, Inc., a proxy solicitation firm, to assist in the solicitation of proxies of USA Waste stockholders. USA Waste will pay the fees in connection with the solicitation by such firm which are anticipated to be $5,000 plus such firm's out-of-pocket expenses. Sanifill has engaged Morrow &amp; Co., a proxy solicitation firm, to assist in the solicitation of proxies from Sanifill stockholders. Sanifill will pay the fees in connection with the solicitation by such firm which are anticipated to be $5,000 (plus additional charges if such firm is requested to contact non-objecting beneficial owners), plus such firm's out-of-pocket expenses. Arrangements will be made with brokerage firms and other custodians, nominees and fiduciaries who hold the voting securities of record for the forwarding of solicitation materials to the beneficial owners thereof. USA Waste and Sanifill will reimburse brokers, custodians, nominees and fiduciaries for the reasonable out-of-pocket expenses incurred by them in connection therewith.</w:t>
      </w:r>
    </w:p>
    <w:p>
      <w:pPr>
        <w:spacing w:after="0" w:line="169"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173"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The detailed terms and conditions relating to the consummation of the Merger are contained in the Merger Agreement, which is attached hereto as Annex A and incorporated herein by reference. The following discussion sets forth a description of certain material terms and conditions of the Merger Agreement.</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description in this Joint Proxy Statement and Prospectus of the terms and conditions relating to the consummation of the Merger is qualified in its entirety by reference to the Merger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DESCRIPTION OF THE MERGER</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Merger Agreement provides that, at the Effective Time, Acquisition will merge with and into Sanifill, whereupon Sanifill will become a wholly owned subsidiary of USA Waste and each outstanding share of Sanifill Common Stock (other than shares of Sanifill Common Stock held by USA Waste) will be converted into 1.70 shares of USA Waste Common Stock.</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Based upon the number of shares of USA Waste Common Stock and Sanifill Common Stock outstanding as of the Record Date, approximately million shares of USA Waste Common Stock will be outstanding immediately following the Effective Time, of which approximately million shares, representing</w:t>
      </w:r>
    </w:p>
    <w:p>
      <w:pPr>
        <w:ind w:left="360" w:hanging="175"/>
        <w:spacing w:after="0" w:line="232"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total, will be held by former holders of Sanifill Common Stock.</w:t>
      </w:r>
    </w:p>
    <w:p>
      <w:pPr>
        <w:spacing w:after="0" w:line="16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OF THE MERGER</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June 1994, Mr. John E. Drury, USA Waste's Chief Executive Officer, met with Mr. Lorne D. Bain, Chairman of the Board and Chief Executive Officer of Sanifill, in Houston, Texas to discuss the possibility of a strategic alliance between USA Waste and Sanifill as part of USA Waste's strategy of expanding its waste management services through selective acquisitions of waste management operations that complemented existing operations or otherwise contributed to USA Waste's participation in the consolidation trend within the solid waste management industry. No economic terms of any potential combination were discussed at this meeting. In August 1994, Mr. Drury once again met with Mr. Bain to resume a general discussion concerning a possible merger of USA Waste and Sanifill. Shortly after this meeting, discussions between USA Waste and Sanifill were discontinued.</w:t>
      </w:r>
    </w:p>
    <w:p>
      <w:pPr>
        <w:spacing w:after="0" w:line="33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January 1996, Mr. Rodney R. Proto, Sanifill's Chief Operating Officer, was Mr. Drury's guest at a social engagement at which Mr. Drury suggested that the parties again discuss the potential for a combination of USA Waste and Sanifill. On April 8, 1996, at Mr. Drury's request, Messrs. Drury and Bain met in Houston, Texas. At this meeting, Mr. Drury expressed USA Waste's continuing interest in the possibility of combining USA Waste and Sanifill. Messrs. Drury and Bain discussed, among other things, recent developments in the waste management industry, including USA Waste's acquisition of Chambers Development Company, Inc. ("Chambers"), completed in June 1995, and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Waste's then-pending acquisition of Western Waste Industries ("Western"), the management teams of the two companies and possible synergies that might result from a combination of USA Waste and Sanifill. Following this meeting, Mr.</w:t>
      </w:r>
    </w:p>
    <w:p>
      <w:pPr>
        <w:spacing w:after="0" w:line="1"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Drury sent to Mr. Bain certain information concerning USA Waste's completed acquisition of Chambers and then-pending acquisition of Western.</w:t>
      </w:r>
    </w:p>
    <w:p>
      <w:pPr>
        <w:spacing w:after="0" w:line="160"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On April 30, 1996, Messrs. Drury, Proto and Bain met in Houston, Texas to discuss the operations of USA Waste and Sanifill and potential synergies which could result from a combination of the companies' operations.</w:t>
      </w:r>
    </w:p>
    <w:p>
      <w:pPr>
        <w:spacing w:after="0" w:line="16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On June 3, 1996, Messrs. Drury, Donald F. Moorehead, Vice Chairman and Chief Development Officer of USA Waste, Bain and Proto met in Houston, Texas to continue the discussion of potential synergies that could result from a combination of the two companies' operations and to discuss potential terms for a combination of USA Waste and Sanifill. On June 7, 1996, these same individuals, as well as Mr. Earl E. DeFrates, USA Waste's Executive Vice President and Chief Financial Officer, met in Houston, Texas to continue their discussions and to consider more specifically the synergies of combining the companies' operations. The next morning, the same parties met to discuss potential exchange ratios for a stock-for-stock transaction.</w:t>
      </w:r>
    </w:p>
    <w:p>
      <w:pPr>
        <w:spacing w:after="0" w:line="179"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During a telephone conversation on Monday, June 10, 1996, Messrs. Drury and Bain decided that an exchange ratio of 1.70 shares of USA Waste Common Stock for each share of Sanifill Common Stock would be an appropriate exchange ratio to present to their respective Boards of Directors if an agreement could be reached on other terms of a transaction and if the results of the parties' due diligence investigations were satisfactory.</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Beginning on June 13, 1996, Mr. Bain, Mr. Proto, or both of them conducted a series of individual meetings, conference calls and individual calls with members of the Sanifill Board of Directors and Sanifill senior management. The potential terms of the transaction, the status of negotiations and related matters were discussed in these meetings and calls.</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On June 13, 1996, USA Waste and DLJ executed an engagement letter whereby DLJ agreed to act as USA Waste's financial advisor with respect to the potential merger. On the following day, Sanifill engaged Merrill Lynch to act as its financial advisor in connection with the potential merger. Mr. J. Chris Brewster, Vice President and Chief Financial Officer of Sanifill, and Merrill Lynch then began their review of the financial conditions, results of operations and prospects of USA Waste and the combined companies.</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On June 15, 1996, Messrs. Gregory T. Sangalis and H. Steven Walton, Vice President, General Counsel and Secretary of USA Waste and Sanifill, respectively, together with outside counsel for each company, met to negotiate the terms of the proposed merger agreement and to discuss the timing of due diligence reviews of both companies.</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On June 17, 1996, Sanifill disseminated to each member of its Board of Directors information about USA Waste, the potential transaction and the operations of both companies, and a draft of the proposed merger agreement as it stood on that date.</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Also on June 17, 1996, USA Waste and Sanifill executed confidentiality agreements with respect to the exchange of financial and operational information for purposes of evaluating a potential merger transaction. On that same date, members of the USA Waste Board of Directors participated in a conference call at which time Mr. Drury informed such members of the potential terms of the transaction with Sanifill and the status of the negotiations with Sanifill and discussed with such members informational materials relating to Sanifill which had been previously distributed to them. Throughout the week, Messrs. Drury, Moorehead, DeFrates, or all of them, conducted a series of individual meetings and telephone calls with members of USA Waste's Board of Directors to continue discussions of the potential terms of the transaction and the status of the negotiations.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During the period from June 17, 1996 to June 22, 1996, the management teams from both companies and their respective financial advisors and outside legal counsel conducted due diligence investigations and further negotiated the terms of the potential merger agreement.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an evening meeting on June 20, 1996, the Board of Directors of Sanifill began its consideration of the proposed Merger. At such meeting, members of the senior management of USA Waste made a presentation to the Board of Directors of Sanifill, including such management's view of the benefits of combining the two companies and the business plan and strategy for the combined companies. At this meeting, Sanifill's Board was provided with the Merger Agreement in substantially complete form, the forms of the proposed voting agreements and irrevocable proxies to be executed by certain stockholders of Sanifill and USA Waste (see "The Plan of Merger and Terms of the Merger -- Voting Agreements"), and additional information regarding the proposed transaction.</w:t>
      </w:r>
    </w:p>
    <w:p>
      <w:pPr>
        <w:spacing w:after="0" w:line="18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On June 21, 1996, the respective Boards of Directors of USA Waste and Sanifill met separately to consider the proposed Merger. At the meeting of Sanifill's Board of Directors, Sanifill's management presented a draft form of the Merger Agreement and related documents to the Sanifill Board. The terms of the Merger were reviewed in detail, and management provided the Sanifill Board with its assessment of the transaction from operating, financial and regulatory standpoints, as well as the results of its due diligence investigation of USA Waste. Representatives of Merrill Lynch presented certain financial and operating data relating to USA Waste and other publicly held solid waste management companies and its financial analysis of the proposed Merger. Merrill Lynch then delivered its written opinion dated June 21, 1996 that, as of such date, the Exchange Ratio was fair to the stockholders of Sanifill from a financial point of view. After discussion by the Sanifill Board of Directors, the Board approved the Merger Agreement and related transactions and voted to recommend approval of the Merger Agreement to Sanifill's stockholders subject to satisfactory resolution of certain remaining issues.</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At the June 21, 1996, USA Waste Board of Directors meeting, USA Waste's management presented a draft form of the Merger Agreement and related documents to the USA Waste Board. The Board reviewed the terms of the Merger and the results of the due diligence investigation of Sanifill conducted by USA Waste's management team, counsel and independent auditors. Representatives of DLJ then reviewed with the USA Waste Board of Directors certain financial and operating data relating to Sanifill and other publicly held solid waste companies, as well as certain pro forma financial information reflecting the Merger. After making this presentation and responding to questions, the DLJ representatives delivered a written opinion, as of such date, to the effect that the Exchange Ratio was fair, from a financial point of view, to USA Waste. Following such review and discussion, the USA Waste Board of Directors approved the Merger Agreement and related transactions and voted to recommend approval of the Merger Agreement to USA Waste's stockholders subject to satisfactory resolution of certain remaining issues.</w:t>
      </w:r>
    </w:p>
    <w:p>
      <w:pPr>
        <w:spacing w:after="0" w:line="332"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On June 22, 1996, the parties continued the negotiation of open matters relating to the Merger, and signed the definitive Merger Agreement later that day. On the next business day, June 24, 1996, the parties jointly announced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WASTE'S REASONS FOR THE MERGER</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In evaluating the Merger, management and the Board of Directors of USA Waste considered a variety of factors in the context of USA Waste's strategic objectives. A key element of USA Waste's strategy is to expand solid waste management services through the acquisition of additional solid waste collection, transfer and recycling operations and landfills, with the objective of becoming a national integrated solid waste management company with a broad geographic base of operations. USA Waste anticipates that added service requirements, increased regulation and heightened public concern over the environment, all of which have contributed to dramatically higher costs associated with providing waste management services generally, will cause continued industry consolidation as well as increased privatization of municipal services, affording attractive future opportunities for growth. In evaluating the Merger, USA Waste's Board of Directors considered the desirability of potential savings from the synergies between USA Waste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Sanifill and the integration of the companies' operations, including administrative cost savings through elimination of duplicative administrative positions, the rationalization of collection routes and reductions in insurance and bonding costs. USA Waste's Board of Directors also considered the significant permitted landfill airspace of Sanifill, the additional markets served by Sanifill and the management and employee resources of Sanifill. USA Waste's Board concluded that by combining operations of USA Waste and Sanifill, USA Waste would further its strategic objectives and that the combined entity could participate more effectively in the ongoing consolidation of the solid waste services industry. In addition, the USA Waste Board of Directors and management concluded that (i) a larger asset and revenue base resulting from the Merger would provide USA Waste better access to capital to pursue its strategic objectives and achieve economies of scale associated with a larger base of operations, (ii) certain of the members of Sanifill's management would complement USA Waste's existing management team in managing the growth of USA Waste in a consolidating industry and (iii) assuming the achievement of certain operating synergies, the Merger would result in accretion to USA Waste's earnings.</w:t>
      </w:r>
    </w:p>
    <w:p>
      <w:pPr>
        <w:spacing w:after="0" w:line="33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At the June 21, 1996 meeting, the USA Waste Board of Directors received a written opinion from DLJ that the Exchange Ratio was fair as of such date, from a financial point of view, to USA Waste. See "-- Opinion of Financial Advisor to USA Waste."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USA WASTE</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For the reasons set forth under "-- USA Waste's Reasons for the Merger," the Board of Directors of USA Waste believes that the terms of the Merger Agreement and the Merger are fair to, and in the best interests of, USA Waste and the holders of USA Waste Common Stock. The Board of Directors has approved the Merger Agreement and the Merger and recommends that the holders of USA Waste Common Stock vote FOR adoption and approval of the Merger Agreement and the Merger. In considering the recommendation of the USA Waste Board of Directors with respect to the Merger, USA Waste stockholders should be aware that certain members of the Board of Directors and management of USA Waste have direct and indirect interests in the consummation of the Merger apart from their interests as stockholders of USA Waste. See "-- Conflicts of Interest."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SANIFILL'S REASONS FOR THE MERGER</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evaluating the transaction with USA Waste, the Sanifill Board of Directors determined that the Merger would result in a strong combined company that largely would reflect Sanifill's strategy of being a disposal-based company with activities centered around nonhazardous waste disposal. The Board considered the potential for significant synergies from the combination of the two companies at the operating level and at the management and staff levels. The managements of the two companies identified potential cost savings and increased opportunities and efficiencies that may be made available by the complementary assets and operations of both entities. In particular, the Board considered that the asset placement and areas of operations of the two companies have the potential to enhance regional or large area service capability and allow for significant financial and operating efficiencies.</w:t>
      </w:r>
    </w:p>
    <w:p>
      <w:pPr>
        <w:spacing w:after="0" w:line="16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Board also considered the Merger's potential for utilizing each company's respective skills to increase efficiency and margins in the combined company and in particular noted that USA Waste has relative strengths in collection and logistics and Sanifill has relative strengths in disposal, engineering and cost containment for regulatory compliance. The Board also placed weight on the favorable personnel mix of the combined company. In particular, the Board considered that the combined company's management would enjoy a combination of skills and capabilities that are needed in a growth company in a consolidating industry and that such combination would increase the breadth and depth of each company's management team.</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Sanifill's long-term objective has been to achieve for its stockholders consistent growth over time through acquisitions and internal development. The waste industry has been consolidating over time as the owners of many privately-held companies have elected to sell their businesses and governmental entities have privatized waste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and disposal. This consolidation was accelerated by recent environmental regulations that have increased the technical complexity and capital and operating costs associated with disposal activities in the United States. The Board believes that the Merger will provide Sanifill stockholders with an interest in a combined company that will be one of the strongest competitors in this environment.</w:t>
      </w:r>
    </w:p>
    <w:p>
      <w:pPr>
        <w:spacing w:after="0" w:line="175"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In reaching its conclusion to recommend approval of the Merger Agreement and the Merger to Sanifill's stockholders, the Sanifill Board of Directors also considered a number of other factors, including, without limitation, the following:</w:t>
      </w:r>
    </w:p>
    <w:p>
      <w:pPr>
        <w:spacing w:after="0" w:line="175" w:lineRule="exact"/>
        <w:rPr>
          <w:sz w:val="20"/>
          <w:szCs w:val="20"/>
          <w:color w:val="auto"/>
        </w:rPr>
      </w:pPr>
    </w:p>
    <w:p>
      <w:pPr>
        <w:ind w:left="800" w:right="3939" w:firstLine="697"/>
        <w:spacing w:after="0" w:line="234"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received by Sanifill's stockholders in the Merger.</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presentation of Merrill Lynch delivered to the Sanifill Board of Directors on June 21, 1996, including Merrill Lynch's written opinion that, as of such date, the Exchange Ratio was fair to Sanifill's stockholders from a financial point of view. See "-- Opinion of Financial Advisor to Sanifill."</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including the amount and the form of the consideration, the parties' representations, warranties, covenants and agreements, and the conditions to their respective obligations set forth in the Merger Agreement.</w:t>
      </w:r>
    </w:p>
    <w:p>
      <w:pPr>
        <w:spacing w:after="0" w:line="173" w:lineRule="exact"/>
        <w:rPr>
          <w:rFonts w:ascii="Courier New" w:cs="Courier New" w:eastAsia="Courier New" w:hAnsi="Courier New"/>
          <w:sz w:val="15"/>
          <w:szCs w:val="15"/>
          <w:color w:val="auto"/>
        </w:rPr>
      </w:pPr>
    </w:p>
    <w:p>
      <w:pPr>
        <w:ind w:left="800" w:right="3399" w:firstLine="697"/>
        <w:spacing w:after="0" w:line="237"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Merger Agreement that permit the Sanifill Board of Directors, in the exercise of its fiduciary duties and subject to certain conditions, (i) to respond to written indications of interest and proposals regarding potential alternative business combination transactions, and to provide information to, and negotiate with, third parties making such indications or proposals (although Sanifill is not permitted by the Merger Agreement to actively solicit third-party bids) and (ii) to terminate the Merger Agreement in order to accept or recommend an alternative transaction if the Board determines it to be more favorable to stockholders than the Merger. In this regard, the Sanifill Board of Directors noted that the Merger Agreement provides that if Sanifill terminates the Merger Agreement in favor of an alternative transaction, Sanifill would be obligated to pay USA Waste $39 million. The Sanifill Board of Directors did not view the fee provisions of the Merger Agreement as unreasonably impeding any interested third party from proposing a superior transaction.</w:t>
      </w:r>
    </w:p>
    <w:p>
      <w:pPr>
        <w:spacing w:after="0" w:line="175"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presentation by members of management of USA Waste, including such management's view of the benefits of combining the two companies and its business plans and strategy for the combined company.</w:t>
      </w:r>
    </w:p>
    <w:p>
      <w:pPr>
        <w:spacing w:after="0" w:line="175"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inclusion on the USA Waste Board of Directors after the Merger of representatives familiar with Sanifill's businesses and operations.</w:t>
      </w:r>
    </w:p>
    <w:p>
      <w:pPr>
        <w:spacing w:after="0" w:line="173" w:lineRule="exact"/>
        <w:rPr>
          <w:rFonts w:ascii="Courier New" w:cs="Courier New" w:eastAsia="Courier New" w:hAnsi="Courier New"/>
          <w:sz w:val="15"/>
          <w:szCs w:val="15"/>
          <w:color w:val="auto"/>
        </w:rPr>
      </w:pPr>
    </w:p>
    <w:p>
      <w:pPr>
        <w:jc w:val="both"/>
        <w:ind w:left="800" w:right="3319" w:firstLine="697"/>
        <w:spacing w:after="0" w:line="235"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structure of the Merger, which is intended to permit the Sanifill stockholders to exchange their Sanifill Common Stock on a tax-free basis and to permit the Merger to be accounted for as a pooling of interests.</w:t>
      </w:r>
    </w:p>
    <w:p>
      <w:pPr>
        <w:spacing w:after="0" w:line="175" w:lineRule="exact"/>
        <w:rPr>
          <w:rFonts w:ascii="Courier New" w:cs="Courier New" w:eastAsia="Courier New" w:hAnsi="Courier New"/>
          <w:sz w:val="15"/>
          <w:szCs w:val="15"/>
          <w:color w:val="auto"/>
        </w:rPr>
      </w:pPr>
    </w:p>
    <w:p>
      <w:pPr>
        <w:ind w:left="800" w:right="3759" w:firstLine="697"/>
        <w:spacing w:after="0" w:line="234"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matters related to officers and directors of Sanifill described under "-- Conflicts of Interest."</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factors relating to the combined company, including the fact that USA Waste is still in the process of integrating Western into its operations; the potential for disruptions from the relocation of USA Waste's headquarters to Houston; the ability of the combined company to maintain the recent growth levels and earnings multiples achieved by each of the two companies; and the effect of potential future revisions of federal and state regulations on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In view of the wide variety of factors considered in connection with their evaluation of the terms of the Merger, the Sanifill Board of Directors did not find it practicable to, and did not, quantify or otherwise attempt to assign relative weights to the specific factors considered in reaching its determination.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SANIFILL</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For the reasons set forth under "-- Sanifill's Reasons for the Merger," the Board of Directors of Sanifill believes that the Merger Agreement is fair to, and in the best interests of, Sanifill and the holders of Sanifill Common Stock. The Board of Directors has approved the Merger Agreement and the Merger and recommends that the holders of Sanifill Common Stock vote FOR adoption and approval of the Merger Agreement and the Merger. In considering the recommendation of the Sanifill Board of Directors with respect to the Merger, Sanifill stockholders should be aware that certain officers and directors of Sanifill have direct and indirect interests in the consummation of the Merger apart from their interests as stockholders of Sanifill. See "-- Conflicts of Interest."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TO USA WASTE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definitions of terms provided in this section "-- Opinion of Financial Advisor to USA Waste" shall apply only to this section and shall not apply to the use of such capitalized terms in any other section of this Joint Proxy Statement and Prospectus.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its role as financial advisor to USA Waste, DLJ was asked by USA Waste to render an opinion (the "DLJ Opinion") to the Board of Directors of USA Waste (the "USA Waste Board") as to the fairness to USA Waste, from a financial point of view, of the Exchange Ratio. On June 21, 1996, DLJ delivered a written opinion to the USA Waste Board that the Exchange Ratio was fair to USA Waste from a financial point of view.</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 COPY OF THE DLJ OPINION IS ATTACHED HERETO AS ANNEX B. USA WASTE STOCKHOLDERS ARE URGED TO READ THE DLJ OPINION IN ITS ENTIRETY FOR ASSUMPTIONS MADE, PROCEDURES FOLLOWED, OTHER MATTERS CONSIDERED AND LIMITS OF THE REVIEW BY DLJ.</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DLJ Opinion was prepared for the USA Waste Board of Directors and is directed only to the fairness of the Exchange Ratio to USA Waste from a financial point of view and does not constitute a recommendation to any USA Waste stockholder as to how such stockholder should vote at the USA Waste Special Meeting.</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As more fully described under "The Merger and Related Transactions -- Background of the Merger," the USA Waste Board of Directors selected DLJ as its financial advisor because it is a nationally recognized investment banking firm that has substantial experience in the solid waste industry and is familiar with USA Waste and its businesses. DLJ was not retained as an advisor or agent to the stockholders of USA Waste or any other person. As part of its investment banking business, DLJ is regularly engaged in the valuation of businesses and securities in connection with mergers, acquisitions, underwritings, sales and distributions of listed and unlisted securities, private placements and valuations for estate, corporate and other purposes.</w:t>
      </w:r>
    </w:p>
    <w:p>
      <w:pPr>
        <w:spacing w:after="0" w:line="16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DLJ Opinion does not constitute an opinion as to the price at which the USA Waste Common Stock will actually trade at any time. DLJ did not, and was not requested by the USA Waste Board to, make any recommendation as to the form or amount of consideration to be paid to holders of Sanifill Common Stock in the Merger, which issues were resolved in arm's-length negotiations between USA Waste and Sanifill, in which negotiations DLJ advised USA Waste.</w:t>
      </w:r>
    </w:p>
    <w:p>
      <w:pPr>
        <w:spacing w:after="0" w:line="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No restrictions or limitations were imposed by USA Waste upon DLJ with respect to the investigations made or the procedures followed by DLJ in rendering its opinion. USA Waste did not authorize DLJ to solicit, and DLJ did not solicit, any third party indications of interest in a purchase of, or business combination with, USA Waste or Sanifill.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In arriving at its opinion, DLJ reviewed a draft of the Merger Agreement (which did not substantively differ from the executed Merger Agreement). DLJ also reviewed financial and other information that was publicly available or furnished to it by USA Waste and Sanifill including information provided during discussions with their respective managements, which consisted of certain financial projections of USA Waste prepared by the management of USA Waste, certain financial projections of Sanifill prepared by the management of Sanifill and certain financial information of USA Waste and Sanifill on a combined basis prepared by the management of USA Waste. In addition, DLJ compared certain financial and securities data of USA Waste and Sanifill with various other companies whose securities are traded in public markets, reviewed the historical stock prices and trading volumes of USA Waste Common Stock and Sanifill Common Stock, reviewed prices and premiums paid in certain other selected business combinations and conducted such other financial studies, analyses and investigations as DLJ deemed appropriate for purposes of rendering its opinion.</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 rendering its opinion, DLJ relied upon and assumed the accuracy, completeness and fairness of all of the financial and other information that was available to it from public sources, that was provided to it by USA Waste and Sanifill or their respective representatives, or that was otherwise reviewed by it. DLJ relied upon the estimates of the managements of USA Waste and Sanifill of the operating synergies achievable as a result of the Merger and its discussion of such synergies with the respective managements of USA Waste and Sanifill. DLJ did not make any independent evaluation of the assets or liabilities of USA Waste or Sanifill, nor did DLJ independently verify the information reviewed by it. DLJ also assumed that the financial projections supplied to it were reasonably prepared on bases reflecting the best currently available estimates and judgments of the respective managements of USA Waste and Sanifill as to the future operating and financial performance of USA Waste and Sanifill, respectively. DLJ did not perform any procedures or analysis regarding potential environmental liabilities of either USA Waste or Sanifill, nor did it consider the impact of changes in the regulatory environment in which USA Waste and Sanifill operate.</w:t>
      </w:r>
    </w:p>
    <w:p>
      <w:pPr>
        <w:spacing w:after="0" w:line="331"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DLJ Opinion was necessarily based on economic, market, financial and other conditions as they existed on, and on the information made available to it as of, the date of its opinion. It should be understood that, although subsequent developments may affect its opinion, DLJ does not have any obligation to update, revise or reaffirm the DLJ Opinion.</w:t>
      </w:r>
    </w:p>
    <w:p>
      <w:pPr>
        <w:spacing w:after="0" w:line="16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The following is a summary of the presentation made by DLJ to the USA Waste Board in connection with the DLJ Opinion.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Pro Forma Merger Analysis. DLJ analyzed certain pro forma effects resulting from the Merger. DLJ reviewed the operating synergies contemplated to result from the Merger in 1997 by combining the operations of Sanifill and USA Waste as projected by the managements of Sanifill and USA Waste. DLJ analyzed the pro forma effect of such operating synergies on net income and earnings per share (both with a tax rate of 40% and assuming application of USA Waste's net operating loss ("NOL") to the combined companies pretax income) for USA Waste. The analysis indicated that the pro forma earnings per share ("EPS") of USA Waste on a fully taxed basis, assuming the annual operating synergies contemplated to result from the Merger, would be higher in the fiscal year ending 1997 than comparable projections for USA Waste as a stand-alone company during the same period. The analysis also indicated that the pro forma EPS of USA Waste on a reported basis (assuming application of the USA Waste NOL), assuming the annual operating synergies contemplated to result from the Merger, would be higher in the fiscal year ending 1997 than comparable projections for USA Waste as a stand-alone company during the same period.</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Contribution Analysis. DLJ analyzed USA Waste's and Sanifill's relative contribution to the combined companies with respect to total revenues; earnings before interest, taxes, depreciation and amortization ("EBITDA"); earnings before interest and taxes ("EBIT"); and total assets and total debt. Its analysis was made for the year ended December 31, 1996 based on actual results for the first fiscal quarter of 1996 and the projected results (based on USA Waste and Sanifill management projections) for the final three fiscal quarters of 1996. As a result of the Merger, USA Waste stockholders will own approximately 68% of the common stock of the combined companies. This compares with USA Waste's contribution to the combined companies' pro forma results for the period ended December 31, 1996 (prior</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to taking into account any operating synergies which may result from the Merger) of approximately 69% of revenues, 66% of EBITDA, 68% of EBIT, 56% of total assets, and 57% of total debt.</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Analysis of Certain Other Publicly Traded Companies. To provide contextual data and comparative market information, DLJ compared selected historical share price, earnings and operating and financial ratios for Sanifill to the corresponding data and ratios of USA Waste and certain other companies whose securities are publicly traded (collectively, the "Public Companies"). The Public Companies were chosen because they possess general business, operating and financial characteristics representative of companies in the industry in which USA Waste and Sanifill operate. The Public Companies consisted of: Allied Waste Industries, Inc., Browning-Ferris Industries, Inc., Continental Waste Industries, Inc., Laidlaw, Inc., United Waste Systems, Inc., USA Waste and WMX Technologies, Inc. DLJ determined that United Waste Systems, Inc. and USA Waste (collectively, the "Comparable Companies") were the most representative of the Public Companies because in DLJ's view these companies possessed general business, operating and financial characteristics most similar to Sanifill. Such data and ratios included Enterprise Value ("Enterprise Value" is defined as the product of the stock price and total shares outstanding plus Net Debt ("Net Debt" is defined as total debt plus preferred stock less cash and cash equivalents, which for Sanifill was assumed to be $355.3 million, the amount outstanding at May 31, 1996)) as a multiple of revenues, EBITDA and EBIT for the latest reported twelve months ("LTM"), growth rates of each of such items for the three most recent fiscal years and operating margins for the three most recent fiscal years. The average multiple of Enterprise Value to LTM revenues ("LTM revenue multiple") for the Comparable Companies was 4.9. The average LTM revenue multiple was then multiplied by Sanifill's LTM revenues, for the period ending March 31, 1996, to arrive at an implied total Enterprise Value for Sanifill of $1,389.1 million. The implied Enterprise Value for Sanifill was then adjusted for Net Debt to yield an implied equity value, which was then divided by Sanifill's common shares outstanding on a fully diluted basis of 25.9 million shares as of May 31, 1996 to arrive at an implied price of $39.92 per fully diluted share. The average multiple of Enterprise Value to LTM EBITDA ("LTM EBITDA multiple") for the Comparable Companies was 15.2. The average LTM EBITDA multiple was then multiplied by Sanifill's LTM EBITDA, for the period ending March 31, 1996, to arrive at an implied total Enterprise Value for Sanifill of $1,569.0 million. The implied Enterprise Value for Sanifill was then adjusted for Net Debt to yield an implied equity value, which was then divided by Sanifill's common shares outstanding on a fully diluted basis as of May 31, 1996 to arrive at an implied price of $46.86 per fully diluted share. The average multiple of Enterprise Value to LTM EBIT ("LTM EBIT multiple") for the Comparable Companies was 23.8. The average LTM EBIT multiple was then multiplied by Sanifill's LTM EBIT, for the period ending March 31 1996, to arrive at an implied total Enterprise Value for Sanifill of $1,498.9 million. The implied Enterprise Value for Sanifill was then adjusted for Net Debt to yield an implied equity value, which was then divided by Sanifill common shares outstanding on a fully diluted basis as of May 31, 1996 to arrive at an implied price of $44.15 per fully diluted share.</w:t>
      </w:r>
    </w:p>
    <w:p>
      <w:pPr>
        <w:spacing w:after="0" w:line="200" w:lineRule="exact"/>
        <w:rPr>
          <w:sz w:val="20"/>
          <w:szCs w:val="20"/>
          <w:color w:val="auto"/>
        </w:rPr>
      </w:pPr>
    </w:p>
    <w:p>
      <w:pPr>
        <w:spacing w:after="0" w:line="32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addition, DLJ examined the ratios of current stock prices (based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reported closing price on June 19, 1996 for United Waste Systems, Inc. and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reported closing price on June 14, 1996 for USA Waste) to estimated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and 1997 EPS (as estimated by First Call Real Time Earnings Estimates);</w:t>
      </w:r>
    </w:p>
    <w:p>
      <w:pPr>
        <w:spacing w:after="0" w:line="237" w:lineRule="auto"/>
        <w:rPr>
          <w:sz w:val="20"/>
          <w:szCs w:val="20"/>
          <w:color w:val="auto"/>
        </w:rPr>
      </w:pPr>
      <w:r>
        <w:rPr>
          <w:rFonts w:ascii="Courier New" w:cs="Courier New" w:eastAsia="Courier New" w:hAnsi="Courier New"/>
          <w:sz w:val="15"/>
          <w:szCs w:val="15"/>
          <w:color w:val="auto"/>
        </w:rPr>
        <w:t>and current stock prices to book value for the Comparable Companies and</w:t>
      </w:r>
    </w:p>
    <w:p>
      <w:pPr>
        <w:spacing w:after="0"/>
        <w:tabs>
          <w:tab w:leader="none" w:pos="4020" w:val="left"/>
        </w:tabs>
        <w:rPr>
          <w:sz w:val="20"/>
          <w:szCs w:val="20"/>
          <w:color w:val="auto"/>
        </w:rPr>
      </w:pPr>
      <w:r>
        <w:rPr>
          <w:rFonts w:ascii="Courier New" w:cs="Courier New" w:eastAsia="Courier New" w:hAnsi="Courier New"/>
          <w:sz w:val="15"/>
          <w:szCs w:val="15"/>
          <w:color w:val="auto"/>
        </w:rPr>
        <w:t>compared such ratios with those of Sanifill.</w:t>
      </w:r>
      <w:r>
        <w:rPr>
          <w:sz w:val="20"/>
          <w:szCs w:val="20"/>
          <w:color w:val="auto"/>
        </w:rPr>
        <w:tab/>
      </w:r>
      <w:r>
        <w:rPr>
          <w:rFonts w:ascii="Courier New" w:cs="Courier New" w:eastAsia="Courier New" w:hAnsi="Courier New"/>
          <w:sz w:val="14"/>
          <w:szCs w:val="14"/>
          <w:color w:val="auto"/>
        </w:rPr>
        <w:t>The average multiple of current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price to estimated fiscal year 1996 EPS for the Comparable Companies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27.2. The average multiple of estimated fiscal year 1996 EPS was then</w:t>
      </w:r>
    </w:p>
    <w:p>
      <w:pPr>
        <w:spacing w:after="0" w:line="237" w:lineRule="auto"/>
        <w:rPr>
          <w:sz w:val="20"/>
          <w:szCs w:val="20"/>
          <w:color w:val="auto"/>
        </w:rPr>
      </w:pPr>
      <w:r>
        <w:rPr>
          <w:rFonts w:ascii="Courier New" w:cs="Courier New" w:eastAsia="Courier New" w:hAnsi="Courier New"/>
          <w:sz w:val="15"/>
          <w:szCs w:val="15"/>
          <w:color w:val="auto"/>
        </w:rPr>
        <w:t>multiplied by Sanifill's estimated fiscal 1996 net income to arrive at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implied total Equity Value, which was then divided by Sanifill's common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on a fully diluted basis as of May 31, 1996 to arrive at an implied</w:t>
      </w:r>
    </w:p>
    <w:p>
      <w:pPr>
        <w:spacing w:after="0" w:line="3"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5"/>
          <w:szCs w:val="15"/>
          <w:color w:val="auto"/>
        </w:rPr>
        <w:t>price of $47.79 per fully diluted share.</w:t>
      </w:r>
      <w:r>
        <w:rPr>
          <w:sz w:val="20"/>
          <w:szCs w:val="20"/>
          <w:color w:val="auto"/>
        </w:rPr>
        <w:tab/>
      </w:r>
      <w:r>
        <w:rPr>
          <w:rFonts w:ascii="Courier New" w:cs="Courier New" w:eastAsia="Courier New" w:hAnsi="Courier New"/>
          <w:sz w:val="14"/>
          <w:szCs w:val="14"/>
          <w:color w:val="auto"/>
        </w:rPr>
        <w:t>The average multiple of current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to estimated fiscal year 1997 EPS for the Comparable Companies was 21.8.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average multiple of estimated fiscal year 1997 EPS was then multiplied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Sanifill's estimated fiscal 1997 net income to arrive at an implied 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Value, which was then divided by Sanifill's common shares outstanding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fully diluted basis as of May 31, 1996 to arrive at an implied price of</w:t>
      </w:r>
    </w:p>
    <w:p>
      <w:pPr>
        <w:spacing w:after="0"/>
        <w:tabs>
          <w:tab w:leader="none" w:pos="2880" w:val="left"/>
        </w:tabs>
        <w:rPr>
          <w:sz w:val="20"/>
          <w:szCs w:val="20"/>
          <w:color w:val="auto"/>
        </w:rPr>
      </w:pPr>
      <w:r>
        <w:rPr>
          <w:rFonts w:ascii="Courier New" w:cs="Courier New" w:eastAsia="Courier New" w:hAnsi="Courier New"/>
          <w:sz w:val="15"/>
          <w:szCs w:val="15"/>
          <w:color w:val="auto"/>
        </w:rPr>
        <w:t>$50.56 per fully diluted share.</w:t>
      </w:r>
      <w:r>
        <w:rPr>
          <w:sz w:val="20"/>
          <w:szCs w:val="20"/>
          <w:color w:val="auto"/>
        </w:rPr>
        <w:tab/>
      </w:r>
      <w:r>
        <w:rPr>
          <w:rFonts w:ascii="Courier New" w:cs="Courier New" w:eastAsia="Courier New" w:hAnsi="Courier New"/>
          <w:sz w:val="14"/>
          <w:szCs w:val="14"/>
          <w:color w:val="auto"/>
        </w:rPr>
        <w:t>The average multiple of stock price to latest</w:t>
      </w:r>
    </w:p>
    <w:p>
      <w:pPr>
        <w:spacing w:after="0"/>
        <w:tabs>
          <w:tab w:leader="none" w:pos="5240" w:val="left"/>
        </w:tabs>
        <w:rPr>
          <w:sz w:val="20"/>
          <w:szCs w:val="20"/>
          <w:color w:val="auto"/>
        </w:rPr>
      </w:pPr>
      <w:r>
        <w:rPr>
          <w:rFonts w:ascii="Courier New" w:cs="Courier New" w:eastAsia="Courier New" w:hAnsi="Courier New"/>
          <w:sz w:val="15"/>
          <w:szCs w:val="15"/>
          <w:color w:val="auto"/>
        </w:rPr>
        <w:t>available book value for the Comparable Companies was 4.5.</w:t>
      </w:r>
      <w:r>
        <w:rPr>
          <w:sz w:val="20"/>
          <w:szCs w:val="20"/>
          <w:color w:val="auto"/>
        </w:rPr>
        <w:tab/>
      </w:r>
      <w:r>
        <w:rPr>
          <w:rFonts w:ascii="Courier New" w:cs="Courier New" w:eastAsia="Courier New" w:hAnsi="Courier New"/>
          <w:sz w:val="14"/>
          <w:szCs w:val="14"/>
          <w:color w:val="auto"/>
        </w:rPr>
        <w:t>The 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multiple of latest available book value was then multiplied by Sanifill's book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as of March 31, 1996, which was adjusted to reflect the impact of the</w:t>
      </w:r>
    </w:p>
    <w:p>
      <w:pPr>
        <w:spacing w:after="0" w:line="237" w:lineRule="auto"/>
        <w:rPr>
          <w:sz w:val="20"/>
          <w:szCs w:val="20"/>
          <w:color w:val="auto"/>
        </w:rPr>
      </w:pPr>
      <w:r>
        <w:rPr>
          <w:rFonts w:ascii="Courier New" w:cs="Courier New" w:eastAsia="Courier New" w:hAnsi="Courier New"/>
          <w:sz w:val="15"/>
          <w:szCs w:val="15"/>
          <w:color w:val="auto"/>
        </w:rPr>
        <w:t>conversion of Sanifill's $60.0 million 7.50% Convertible Subordinated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to arrive at an implied total Equity Value, which was then divided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by Sanifill's common shares outstanding on a fully diluted basis as of May 31, 1996 to arrive at an implied price of $73.37 per fully diluted share.</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Transaction Analysis. DLJ reviewed publicly available information for six selected transactions involving the combination of selected solid waste management companies. The six transactions reviewed (the "Comparative Transactions") were: (i) Republic Industries, Inc./Addington Resources, Inc.;</w:t>
      </w:r>
    </w:p>
    <w:p>
      <w:pPr>
        <w:spacing w:after="0" w:line="1" w:lineRule="exact"/>
        <w:rPr>
          <w:sz w:val="20"/>
          <w:szCs w:val="20"/>
          <w:color w:val="auto"/>
        </w:rPr>
      </w:pPr>
    </w:p>
    <w:p>
      <w:pPr>
        <w:ind w:right="3319" w:firstLine="10"/>
        <w:spacing w:after="0" w:line="254" w:lineRule="auto"/>
        <w:tabs>
          <w:tab w:leader="none" w:pos="43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Republic Industries, Inc./Continental Waste Industries, Inc.; (iii) USA Waste/Western Waste Industries; (iv) USA Waste/Chambers Development Company, Inc.; (v) Browning-Ferris Industries, Inc./Attwoods Group PLC; and (vi) USA Waste/Envirofil Inc. The six transactions selected are not intended to represent the complete list of solid waste management transactions which have occurred during the last three years; rather they include only transactions involving combinations of companies with operating characteristics, size or financial performance characteristics which DLJ believed to be comparable to those of Sanifill and USA Waste. DLJ reviewed the consideration paid in such transactions in terms of the Equity Purchase Price (as hereinafter defined) plus total debt less cash and cash equivalents ("Adjusted Purchase Price") as a multiple of LTM revenues, LTM EBITDA and LTM EBIT. The ratio of Adjusted Purchase Price to revenues, computed for the Comparative Transactions, had an average of 3.1. The ratio of Adjusted Purchase Price to EBITDA, computed for the Comparative Transactions, had an average of 12.6. The ratio of Adjusted Purchase Price to EBIT, computed for the Comparative Transactions, had an average of 20.0. DLJ also reviewed the consideration paid in each of the Comparative Transactions in terms of the offer price per share multiplied by total common shares outstanding (the "Equity Purchase Price") as a multiple of the book value. The ratio of Equity Purchase Price to book value, computed for the Comparative Transactions, had an average of 3.6. DLJ determined that the analysis of the Comparative Transactions purchase price multiples described above was of limited relevance. In its presentation to the USA Waste Board of Directors, DLJ noted that this analysis was of limited relevance in its view because such analysis was based on publicly available historical information, whereas prices paid in transactions in the solid waste industry are generally based on future financial expectations, for which data is unavailable.</w:t>
      </w:r>
    </w:p>
    <w:p>
      <w:pPr>
        <w:spacing w:after="0" w:line="178"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Stock Trading History. To provide contextual data and comparative market data, DLJ examined the history of the trading prices and their relative relationships for both USA Waste Common Stock and Sanifill Common Stock for the latest 12 month period ended June 19, 1996. DLJ also reviewed the daily closing prices of USA Waste Common Stock and Sanifill Common Stock and compared the Sanifill closing stock prices with an index of selected waste companies. The index of selected companies included Allied Waste Industries, Inc., Browning-Ferris Industries, Inc., Laidlaw, Inc., Sanifill, United Waste Systems, Inc., USA Waste and WMX Technologies, Inc. This information was presented solely to provide the Board of Directors of USA Waste with background information regarding the stock prices of Sanifill and USA Waste over the period indicated. DLJ noted the high and low prices for USA Waste over the twelve-month period ended June 19, 1996 was $32.63 and $14.63, respectively, and the high and low prices for Sanifill over the twelve-month period ended June 19, 1996 was $46.88 and $29.13, respectively.</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Discounted Cash Flow Analysis. DLJ also performed a discounted cash flow analysis to evaluate the Exchange Ratio. In conducting its analysis, DLJ relied on certain assumptions, financial projections and other information provided by Sanifill and USA Waste management. Using the information set forth in the Sanifill and USA Waste projections, DLJ performed stand-alone discounted cash flow analyses for USA Waste and Sanifill. DLJ calculated the estimated "Free Cash Flow" for each company stand-alone based on projected unleveraged operating income adjusted for: (i) taxes; (ii) certain projected non-cash items (i.e., depreciation and amortization); (iii) projected changes in non-cash working capital; and (iv) projected capital expenditures. DLJ analyzed the Sanifill and USA Waste stand-alone projections and discounted the stream of free cash flows from fiscal 1997 to fiscal 2001, provided in such projections, back to June 30, 1996 using discount rates ranging from 11% to 12%. To estimate the residual values of Sanifill and USA Waste stand-alone at the end of the forecast period, DLJ applied terminal multiples of 8.0 to 12.0 to the projected fiscal 2001 EBITDA and discounted such value estimates back to June 30, 1996 using discount rates ranging from 11% to 12%. DLJ then aggregated the present values of the free cash flows and the present values of the residual values to derive a range of implied enterprise values for Sanifill and USA Waste stand-alone. The range of implied enterprise values of Sanifill and USA Waste stand-alone were then adjusted for their respective Net Debt to yield implied equity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values of Sanifill and USA Waste stand-alone. The range of equity values were then divided by the respective stand-alone fully diluted shares to determine a range of equity values per share for each company stand-alone. The range of implied equity values per share for Sanifill, based on the range of discount rates of 11.0% to 12.0% and the range of terminal multiples of 8.0 to 12.0, was $45.37 to $85.88 per share. The range of implied equity values per share for USA Waste, based on the range of discount rates of 11.0% to 12.0% and the range of terminal multiples of 8.0 to 12.0, was $28.72 to $48.03 per share.</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DLJ derived ranges of implied exchange ratios by dividing the high and low equity values per share of Sanifill by the high and low equity values per share of USA Waste, respectively. Based on this analysis, using the range of discount rates of 11.0% to 12.0% and the range of terminal multiples of 8.0 to 12.0 and without taking into account the potential impact of any synergies, DLJ calculated a range of implied exchange ratios of 1.58 to 1.79.</w:t>
      </w:r>
    </w:p>
    <w:p>
      <w:pPr>
        <w:spacing w:after="0" w:line="166"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 that selecting portions of its analysis and the factors considered by it, without considering all analyses and factors, could create an incomplete or misleading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174"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Pursuant to the terms of an engagement letter dated June 13, 1996, USA Waste has agreed to pay DLJ a fee of $600,000 upon delivery of the DLJ Opinion and an additional fee of $900,000 to be paid upon consummation of the Merger.</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USA Waste has also agreed to reimburse DLJ promptly for all out-of-pocket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USA Waste believe are customary in transactions of this nature, were negotiated at arm's length between USA Waste and DLJ and the USA Waste Board of Directors was aware of such arrangement, including the fact that a significant portion of the aggregate fee payable to DLJ is contingent upon consummation of the Merger.</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the ordinary course of business, DLJ may actively trade the securities of both USA Waste and Sanifill for its own account and for the accounts of its customers and, accordingly, may at any time hold a long or short position in such securities. DLJ has provided financial advisory and investment banking services to USA Waste in the past, including (i) acting as USA Waste's financial advisor in connection with USA Waste's merger with Western Waste completed in May 1996, (ii) acting as USA Waste's financial advisor in connection with USA Waste's merger with Chambers completed in June 1995 and (iii) acting as the lead manager in a public offering of USA Waste Common Stock completed in October 1995, and has in each case received usual and customary fees for rendering such services. DLJ has provided financial advisory and investment banking services to Sanifill in the past, including (i) acting as a co-manager in a public offering of Sanifill common stock completed in August 1995 and (ii) acting as the lead manager in a public offering of Sanifill convertible subordinated debentures completed in March 1996, and has in each case received usual and customary fees for rendering such services.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TO SANIFILL</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definitions of terms provided in this section "-- Opinion of Financial Advisor to Sanifill" shall apply only to this section and shall not apply to the use of such capitalized terms in any other section of this Joint Proxy Statement and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Merrill Lynch delivered its written opinion dated June 21, 1996 to the Board of Directors of Sanifill that, as of such date, the Exchange Ratio was fair to the stockholders of Sanifill from a financial point of view. A copy of the opinion of Merrill Lynch, which sets forth the assumptions made, matters considered and limitations on the review undertaken, is attached as Annex C to this Joint Proxy Statement and Prospectus and is incorporated herein by reference.</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SUMMARY OF THE OPINION OF MERRILL LYNCH SET FORTH IN THIS JOINT PROXY STATEMENT AND PROSPECTUS IS QUALIFIED IN ITS ENTIRETY BY REFERENCE TO THE FULL TEXT OF THE OPINION ATTACHED AS ANNEX C HERETO. SANIFILL'S STOCKHOLDERS ARE URGED TO READ SUCH OPINION IN ITS ENTIRETY FOR ASSUMPTIONS MADE, MATTERS CONSIDERED, SCOPE AND LIMITS OF THE REVIEW AND PROCEDURES FOLLOWED BY MERRILL LYNCH IN CONNECTION WITH SUCH OPINION.</w:t>
      </w:r>
    </w:p>
    <w:p>
      <w:pPr>
        <w:spacing w:after="0" w:line="175"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Merrill Lynch's opinion is directed only to the fairness from a financial point of view of the Exchange Ratio to the stockholders of Sanifill and does not constitute a recommendation to any stockholder as to how such stockholder should vote at the Sanifill Special Meeting. The Exchange Ratio was determined through negotiations between Sanifill and USA Waste and was approved by the Board of Directors of Sanifill. Merrill Lynch did not make a recommendation with respect to the amount of the Exchange Ratio.</w:t>
      </w:r>
    </w:p>
    <w:p>
      <w:pPr>
        <w:spacing w:after="0" w:line="166"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In arriving at its opinion, Merrill Lynch, among other things, (i) reviewed Sanifill's Annual Reports, Forms 10-K and related financial information for the three fiscal years ended December 31, 1995, and Sanifill's Form 10-Q and the related unaudited financial information for the quarterly period ended March 31, 1996; (ii) reviewed USA Waste's Annual Reports, Forms 10-K and related financial information for the three fiscal years ended December 31, 1995, USA Waste's Form 10-Q and the related unaudited financial information for the quarterly period ended March 31, 1996 and certain other filings, including registration statements, Forms 8-K and proxy statements, with the Commission made by USA Waste during the last three years; (iii) reviewed certain information, including financial forecasts, relating to the business, earnings, cash flow, assets and prospects of Sanifill and USA Waste, furnished to Merrill Lynch by Sanifill and USA Waste; (iv) conducted discussions with members of senior management of Sanifill and USA Waste concerning their respective businesses and prospects; (v) reviewed the historical market prices and trading activity for Sanifill Common Stock and USA Waste Common Stock and compared them with those of certain publicly traded companies which Merrill Lynch deemed to be reasonably similar to Sanifill and USA Waste, respectively; (vi) compared the results of operations of Sanifill and USA Waste with those of certain companies which Merrill Lynch deemed to be reasonably similar to Sanifill and USA Waste, respectively; (vii) compared the proposed financial terms of the transactions contemplated by the Merger Agreement with the financial terms of certain other mergers and acquisitions which Merrill Lynch deemed to be relevant; (viii) reviewed a draft of the Merger Agreement dated June 19, 1996; (ix) reviewed a draft of the form of Voting Agreement dated June 15, 1996; and (x) reviewed such other financial studies and analyses and performed such other investigations and took into account such other matters as Merrill Lynch deemed necessary, including Merrill Lynch's assessment of general economic, market and monetary conditions.</w:t>
      </w:r>
    </w:p>
    <w:p>
      <w:pPr>
        <w:spacing w:after="0" w:line="346"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In preparing its opinion, Merrill Lynch relied on the accuracy and completeness of all information supplied or otherwise made available to it by Sanifill and USA Waste, and Merrill Lynch did not independently verify such information or undertake an independent appraisal of the assets or liabilities of Sanifill or USA Waste nor was Merrill Lynch furnished with any such appraisals. No special instructions were given to Merrill Lynch related to its review, and no limitations were imposed by Sanifill with respect to the investigations made or procedures followed by Merrill Lynch in rendering its opinion. With respect to the financial forecasts furnished by Sanifill and USA Waste, Merrill Lynch assumed that they were reasonably prepared and reflected the best currently available estimates and judgment of Sanifill's or USA Waste's management as to the expected future financial performance of Sanifill or USA Waste,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Merrill Lynch's opinion is necessarily based upon general economic, market, monetary and other conditions as they existed and could be evaluated, and the information made available to Merrill Lynch, as of the date of its opinion.</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following is a summary of certain analyses performed by Merrill Lynch in connection with its opinion dated June 21, 1996, which it presented to the Board of Directors of Sanifill on such date. To the extent the following analyses utilized stock price information of Sanifill or USA Waste, such information consisted of information through the close of trading on June 14, 1996.</w:t>
      </w:r>
    </w:p>
    <w:p>
      <w:pPr>
        <w:spacing w:after="0" w:line="175" w:lineRule="exact"/>
        <w:rPr>
          <w:sz w:val="20"/>
          <w:szCs w:val="20"/>
          <w:color w:val="auto"/>
        </w:rPr>
      </w:pPr>
    </w:p>
    <w:p>
      <w:pPr>
        <w:ind w:right="3319" w:firstLine="797"/>
        <w:spacing w:after="0" w:line="254" w:lineRule="auto"/>
        <w:tabs>
          <w:tab w:leader="none" w:pos="113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Discounted Cash Flow Analysis. Merrill Lynch calculated ranges of equity value for Sanifill based upon the value discounted to the present of its annualized five-year stream of projected unlevered free cash flow and its projected calendar year 2001 terminal values based upon a range of multiples of its projected calendar year 2001 earnings before interest, taxes, depreciation and amortization ("EBITDA") less its debt (including out of the money convertible debentures) and plus option and warrant proceeds and cash. In conducting its analysis, Merrill Lynch relied upon two sets of assumptions and financial projections provided by the management of Sanifill: the "Sanifill Case One" and a second case that provided for the consummation of additional unidentified acquisitions (beyond those contemplated by the Sanifill Case One) by Sanifill (the "Sanifill Case Two"). Merrill Lynch applied discount rates reflecting a weighted average cost of capital ranging from 11.0% to 14.0% and multiples of terminal EBITDA ranging from 7.5x to 9.5x. The range of discount rates was selected based on a theoretical analysis of Sanifill's weighted average cost of capital, and the range of EBITDA multiples was selected based on a review of the EBITDA multiples of (A) Allied Waste Industries, Inc., Browning-Ferris Industries, Inc., Continental Waste Industries, Inc., United Waste Systems, Inc. and WMX Technologies, Inc. (collectively, the "Comparable Companies") and Sanifill and USA Waste and (B) the Acquisition Comparables (as defined below). Based on this analysis, Merrill Lynch calculated per share equity values of Sanifill ranging from $29.88 to $55.35 with a midpoint of $42.61, for the Sanifill Case One, and from $37.04 to $68.61 with a midpoint of $52.83, for the Sanifill Case Two.</w:t>
      </w:r>
    </w:p>
    <w:p>
      <w:pPr>
        <w:spacing w:after="0" w:line="34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Merrill Lynch calculated ranges of equity value for USA Waste based upon the value discounted to the present of its five year stream of projected unlevered free cash flow and its projected fiscal year 2001 terminal value based upon a range of multiples of its projected fiscal year 2001 EBITDA less its debt and plus option proceeds and cash. In conducting its analysis, Merrill Lynch relied upon two sets of assumptions and financial projections: the "USA Waste Case One" and a second case that provided for the consummation of additional unidentified acquisitions (beyond those contemplated by the USA Case One) by USA Waste (the "USA Waste Case Two"). Merrill Lynch applied discount rates reflecting a weighted average cost of capital ranging from 11.0% to 14.0% and multiples of terminal EBITDA ranging from 7.5x to 9.5x. The range of discount rates was selected based on a theoretical analysis of USA Waste's weighted average cost of capital, and the range of multiples of terminal EBITDA was selected based on a review of the EBITDA multiples of (A) the Comparable Companies, Sanifill and USA Waste and (B) the Acquisition Comparables. Based on this analysis, Merrill Lynch calculated per share equity values of USA Waste ranging from $24.37 to $ 37.69 with a midpoint of $31.03, for the USA Waste Case One, and $29.29 to $46.82 with a midpoint of $38.06, for the USA Waste Case Two.</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Merrill Lynch derived implied exchange ratios by dividing the low, midpoint and high per share equity values of Sanifill by the low, midpoint and high per share equity values of USA Waste, respectively. Based on this analysis, Merrill Lynch calculated implied exchange ratios of (i) 1.23, 1.37 and 1.47, respectively, in the case of the Sanifill Case One and the USA Waste Case One, (ii) 1.02, 1.12 and 1.18, respectively, in the case of the Sanifill Case One and the USA Waste Case Two, (iii) 1.52, 1.70 and 1.82, respectively, in the case of the Sanifill Case Two and the USA Waste Case One and (iv) 1.26, 1.39 and 1.47, respectively, in the case of the Sanifill Case Two and the USA Waste Case Two.</w:t>
      </w:r>
    </w:p>
    <w:p>
      <w:pPr>
        <w:spacing w:after="0" w:line="179" w:lineRule="exact"/>
        <w:rPr>
          <w:sz w:val="20"/>
          <w:szCs w:val="20"/>
          <w:color w:val="auto"/>
        </w:rPr>
      </w:pPr>
    </w:p>
    <w:p>
      <w:pPr>
        <w:jc w:val="both"/>
        <w:ind w:right="3399" w:firstLine="875"/>
        <w:spacing w:after="0" w:line="258" w:lineRule="auto"/>
        <w:rPr>
          <w:sz w:val="20"/>
          <w:szCs w:val="20"/>
          <w:color w:val="auto"/>
        </w:rPr>
      </w:pPr>
      <w:r>
        <w:rPr>
          <w:rFonts w:ascii="Courier New" w:cs="Courier New" w:eastAsia="Courier New" w:hAnsi="Courier New"/>
          <w:sz w:val="14"/>
          <w:szCs w:val="14"/>
          <w:color w:val="auto"/>
        </w:rPr>
        <w:t>Merrill Lynch also calculated ranges of equivalent equity value for the combined company by applying the above methodology to the five year stream of projected unlevered pro forma free cash flow and projected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year 2001 pro forma terminal value of the combined company with and without $30 million in assumed synergies. Based on this analysis and the Exchange Ratio of 1.70, Merrill Lynch calculated ranges of implied equivalent equity value for the combined company per Sanifill share of (i) $37.87 to $61.01 and $39.97 to $63.78, in the case of the Sanifill Case One and the USA Waste Case One, without and with synergies, respectively, and (ii) $45.63 to $75.74 and $47.72 to $78.50, in the case of the Sanifill Case Two and the USA Waste Case Two, without and with synergies, respectively.</w:t>
      </w:r>
    </w:p>
    <w:p>
      <w:pPr>
        <w:spacing w:after="0" w:line="177" w:lineRule="exact"/>
        <w:rPr>
          <w:sz w:val="20"/>
          <w:szCs w:val="20"/>
          <w:color w:val="auto"/>
        </w:rPr>
      </w:pPr>
    </w:p>
    <w:p>
      <w:pPr>
        <w:ind w:right="3319" w:firstLine="797"/>
        <w:spacing w:after="0" w:line="255" w:lineRule="auto"/>
        <w:tabs>
          <w:tab w:leader="none" w:pos="122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Analysis of Selected Comparable Publicly Traded Companies. Merrill Lynch compared certain financial information for each of Sanifill and USA Waste to the corresponding publicly available financial information of the Comparable Companies. Merrill Lynch calculated multiples for such companies of market value to LTM EPS, estimated calendar 1996 EPS and estimated calendar 1997 EPS and of market capitalization to LTM revenue, LTM EBITDA, LTM EBIT, estimated calendar 1996 EBITDA and estimated calendar 1996 EBIT.</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Based on this analysis, Merrill Lynch calculated per share equity values of Sanifill ranging from $35.96 to $48.62 and per share equity values of USA Waste ranging from $24.06 to $32.55. Merrill Lynch derived implied exchange ratios based on this analysis by dividing the low, midpoint and high per share equity values of Sanifill by the low, midpoint and high per share equity values of USA Waste, respectively. Based on this analysis, Merrill Lynch calculated implied exchange ratios of 1.49, 1.49 and 1.49, respectively.</w:t>
      </w:r>
    </w:p>
    <w:p>
      <w:pPr>
        <w:spacing w:after="0" w:line="166" w:lineRule="exact"/>
        <w:rPr>
          <w:sz w:val="20"/>
          <w:szCs w:val="20"/>
          <w:color w:val="auto"/>
        </w:rPr>
      </w:pPr>
    </w:p>
    <w:p>
      <w:pPr>
        <w:ind w:right="3319" w:firstLine="797"/>
        <w:spacing w:after="0" w:line="254" w:lineRule="auto"/>
        <w:tabs>
          <w:tab w:leader="none" w:pos="131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Analysis of Selected Comparable Acquisition Transactions. Merrill Lynch also reviewed the financial terms of nine transactions (the "Acquisition Comparables") in which waste management companies were acquired. The Acquisition Comparables reviewed, in reverse chronological order of announcement date, were the following: (a) the pending acquisition of Continental Waste Industries, Inc. by Republic Waste Industries, Inc., (b) the acquisition of Western Waste Industries, Inc. by USA Waste, (c) the acquisition of Southland Environmental Services Inc. by Republic Waste Industries, Inc.,</w:t>
      </w:r>
    </w:p>
    <w:p>
      <w:pPr>
        <w:spacing w:after="0" w:line="2" w:lineRule="exact"/>
        <w:rPr>
          <w:rFonts w:ascii="Courier New" w:cs="Courier New" w:eastAsia="Courier New" w:hAnsi="Courier New"/>
          <w:sz w:val="14"/>
          <w:szCs w:val="14"/>
          <w:color w:val="auto"/>
        </w:rPr>
      </w:pPr>
    </w:p>
    <w:p>
      <w:pPr>
        <w:ind w:right="3319" w:firstLine="10"/>
        <w:spacing w:after="0" w:line="254" w:lineRule="auto"/>
        <w:tabs>
          <w:tab w:leader="none" w:pos="3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of Resource Recycling Technologies Inc. by Waste Management Inc., (e) the acquisition of Chambers Development Company, Inc. by USA Waste,</w:t>
      </w:r>
    </w:p>
    <w:p>
      <w:pPr>
        <w:ind w:right="3319" w:firstLine="10"/>
        <w:spacing w:after="0" w:line="256" w:lineRule="auto"/>
        <w:tabs>
          <w:tab w:leader="none" w:pos="35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of Attwoods Plc by Browning-Ferris Industries, Inc., (g) the acquisition of Envirofil Inc. by USA Waste, (h) the acquisition of Environmental Waste of America by Envirofil Inc. and (i) the acquisition of a controlling interest in Wheelabrator Technologies Inc. by Waste Management Inc.</w:t>
      </w:r>
    </w:p>
    <w:p>
      <w:pPr>
        <w:spacing w:after="0" w:line="16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Merrill Lynch analyzed offer value and transaction value multiples. In particular, Merrill Lynch calculated transaction value as a multiple of LTM revenue, EBITDA and EBIT and offer value as a multiple of LTM net income and last fiscal quarter common equity. Based on this analysis, Merrill Lynch calculated per share equity values of Sanifill ranging from $43.21 to $56.97 with a midpoint of $50.09 and per share equity values of USA Waste ranging from $28.31 to $34.67 with a midpoint of $31.49. Merrill Lynch derived implied exchange ratios based on this analysis by dividing the low, midpoint and high per share equity values of Sanifill by the low, midpoint and high per share equity values of USA Waste, respectively. Based on this analysis, Merrill Lynch calculated implied exchange ratios of 1.53, 1.59 and 1.64, respectively.</w:t>
      </w:r>
    </w:p>
    <w:p>
      <w:pPr>
        <w:spacing w:after="0" w:line="165" w:lineRule="exact"/>
        <w:rPr>
          <w:sz w:val="20"/>
          <w:szCs w:val="20"/>
          <w:color w:val="auto"/>
        </w:rPr>
      </w:pPr>
    </w:p>
    <w:p>
      <w:pPr>
        <w:ind w:right="3319" w:firstLine="797"/>
        <w:spacing w:after="0" w:line="255" w:lineRule="auto"/>
        <w:tabs>
          <w:tab w:leader="none" w:pos="122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Analysis. Merrill Lynch analyzed and compared the respective contribution of 1996 and 1997 estimated EBITDA, EBIT and net income of Sanifill and USA Waste to the combined company following consummation of the proposed Merger based upon, in the case of estimated 1997 results, the Sanifill Case One and the USA Waste Case One, on the one hand, and on the Sanifill Case Two and the USA Waste Case Two, on the other hand, in each case without taking into account any potential synergies resulting from the Merger. This analysis showed that Sanifill would contribute to the combined company 34.1%, 35.6% and 35.6% of EBITDA and 32.4%, 34.2% and 34.2% of EBIT, in each case for 1996, 1997 Case One and 1997 Case Two, respectively, compared to the Exchange Ratio of 1.70 which would result in Sanifill stockholders contributing 33.2% of the combined company's enterprise value. This analysis also showed that Sanifill would contribute to the combined company 29.6%, 29.8% and 29.8% of net income for 1996, 1997 Case One and 1997 Case Two, respectively, compared to the Exchange Ratio of 1.70 which would result in Sanifill stockholders owning approximately 32.5%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right="3319" w:firstLine="797"/>
        <w:spacing w:after="0" w:line="255" w:lineRule="auto"/>
        <w:tabs>
          <w:tab w:leader="none" w:pos="113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Analysis. Merrill Lynch analyzed certain pro forma effects resulting from the Merger based on the different combinations of the Sanifill Case One and the Sanifill Case Two with the USA Waste Case One and the USA Waste Case Two, in each case with and without assumed synergies of $30 million, including the effect on 1996, 1997 and 1998 EPS of USA Waste and the pre-tax synergies required for breakeven EPS. The analysis indicated that (a) in the case of the Sanifill Case One and the USA Waste Case One, the Merger would lead to 4.6%, 5.3% and 4.5% dilution and require $12.2 million, $18.7 million and $19.2 million in pre-tax synergies for breakeven EPS, without synergies, and 6.6%, 3.2% and 2.6% accretion, with synergies, in 1996, 1997 and 1998, respectively, (b) in the case of the Sanifill Case Two and the USA Waste Case Two, the Merger would lead to 4.6%, 5.6% and 2.9% dilution and require $12.2 million, $21.3 million and $13.2 million in pre-tax synergies for breakeven EPS, without synergies, and 6.6%, 2.3% and 3.6% accretion, with synergies, in 1996, 1997 and 1998, respectively, (c) in the case of the Sanifill Case One and the USA Waste Case Two, the Merger would lead to 4.6%, 6.6% and 6.5% dilution and require $12.2 million, $24.7 million and $29.6 million in pre-tax synergies for breakeven EPS, without synergies, and 6.6%,</w:t>
      </w:r>
    </w:p>
    <w:p>
      <w:pPr>
        <w:spacing w:after="0" w:line="162"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1.4% and 0.1% accretion, with synergies, in 1996, 1997 and 1998, respectively, and (d) in the case of the Sanifill Case Two and the USA Waste Case One, the Merger would lead to 4.6%, 4.2% and 0.6% dilution and require $12.3 million, $15.2 million and $2.6 million in pre-tax synergies for breakeven EPS, without synergies, and 6.6%, 4.1% and 6.4% accretion, with synergies, in 1996, 1997 and 1998, respectively.</w:t>
      </w:r>
    </w:p>
    <w:p>
      <w:pPr>
        <w:spacing w:after="0" w:line="174" w:lineRule="exact"/>
        <w:rPr>
          <w:rFonts w:ascii="Courier New" w:cs="Courier New" w:eastAsia="Courier New" w:hAnsi="Courier New"/>
          <w:sz w:val="14"/>
          <w:szCs w:val="14"/>
          <w:color w:val="auto"/>
        </w:rPr>
      </w:pPr>
    </w:p>
    <w:p>
      <w:pPr>
        <w:ind w:right="3319" w:firstLine="797"/>
        <w:spacing w:after="0" w:line="255" w:lineRule="auto"/>
        <w:tabs>
          <w:tab w:leader="none" w:pos="122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Premium Analysis. Merrill Lynch compared the premium represented by the Exchange Ratio (based on the closing prices of USA Waste Common Stock and Sanifill Common Stock on June 14, 1996) one day, one week and one month prior to such date to the comparable average premiums for greater than $1 billion to $2 billion stock for stock transactions since January 1, 1990. This analysis showed that (a) the Exchange Ratio represented a 20.8% premium over the one day prior closing price compared to first quartile, median and third quartile one day prior premiums of 19.1%, 30.1% and 40.5%, respectively, (b) the Exchange Ratio represented a 25.0% premium over the one week prior closing price compared to first quartile, median and third quartile one week prior premiums of 23.8%, 30.6% and 45.8%, respectively, and (c) the Exchange Ratio represented a 20.8% premium over the one month prior closing price compared to first quartile, median and third quartile one month prior premiums of 22.1%, 37.3% and 51.2%, respectively.</w:t>
      </w:r>
    </w:p>
    <w:p>
      <w:pPr>
        <w:spacing w:after="0" w:line="332"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Merrill Lynch also compared such premiums represented by the Exchange Ratio to the analogous premiums in the pending Republic Industries, Inc./Continental Waste Industries, Inc. transaction (the "Republic Transaction") and the USA Waste/Western Waste Industries, Inc. transaction (the "Western Transaction"). This comparison showed that (a) the Exchange Ratio represented a 20.8% one day prior premium compared to 21.5% and 16.2% one day prior premiums for the Republic Transaction and the Western Transaction, respectively, (b) the Exchange Ratio represented a 25.0% one week prior premium compared to 18.2% and 21.8% one week prior premiums for the Republic Transaction and the Western Transaction, respectively, and (c) the Exchange Ratio represented a 20.8% one month prior premium compared to 32.7% and 47.1% one month prior premiums for the Republic Transaction and the Western Transaction, respectively.</w:t>
      </w:r>
    </w:p>
    <w:p>
      <w:pPr>
        <w:spacing w:after="0" w:line="173" w:lineRule="exact"/>
        <w:rPr>
          <w:sz w:val="20"/>
          <w:szCs w:val="20"/>
          <w:color w:val="auto"/>
        </w:rPr>
      </w:pPr>
    </w:p>
    <w:p>
      <w:pPr>
        <w:ind w:right="3319" w:firstLine="797"/>
        <w:spacing w:after="0" w:line="255" w:lineRule="auto"/>
        <w:tabs>
          <w:tab w:leader="none" w:pos="131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Trading History. Merrill Lynch reviewed and analyzed the history of the trading prices for Sanifill Common Stock and USA Waste Common Stock and the ratio of the former to the latter during the twelve month period ended June 14, 1996. This information was presented primarily to give the Board of Directors of Sanifill background information regarding the stock prices of Sanifill and USA Waste over the period indicated. In addition, the analysis of the daily closing price ratio indicated that the mean daily closing price ratio over the period indicated equaled 1.69 and that the closing price ratio on June 14, 1996 equaled 1.41, compared to the Exchange Ratio of 1.70.</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While the foregoing summary describes the material analyses and factors presented by Merrill Lynch to the Board of Directors of Sanifill, it does not purport to be a complete description of the analyses conducted by Merrill Lynch or Merrill Lynch's presentation to the Board of Directors of Sanifill. Merrill Lynch believes that its analyses must be considered as a whole and that selecting portions of its analyses and the factors considered by it, without considering all factors and analyses, could create an incomplete view of the process underlying its opinions. Merrill</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Lynch did not assign relative weights to its analyses in preparing its opinions. None of the Comparable Entities is identical to Sanifill or USA Waste, and none of the Acquisition Comparables is identical to the Merger. Accordingly, an analysis of the results of the comparable companies and comparable transactions analyses is not purely mathematical. Rather, it involves complex considerations and judgments concerning differences in financial and operating characteristics of the comparable companies and other factors that could affect the public trading value of the comparable companies or company to which they are being compared.</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preparation of a fairness opinion is a complex process and is not necessarily susceptible to partial analysis or summary description. In performing its analyses, Merrill Lynch made numerous assumptions with respect to industry performance, general business and economic conditions and other matters, many of which are beyond the control of Sanifill or USA Waste. Any estimates contained in the analyses performed by Merrill Lynch are not necessarily indicative of actual values or actual future results, which may be significantly more or less favorable than suggested by such analyses. In addition, analyses relating to the value of the businesses do not purport to be appraisals or to reflect the prices at which businesses may actually be sold. Because such estimates are inherently subject to uncertainty, neither Sanifill, Merrill Lynch nor any other person assumes responsibility for their accuracy.</w:t>
      </w:r>
    </w:p>
    <w:p>
      <w:pPr>
        <w:spacing w:after="0" w:line="16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Sanifill has engaged Merrill Lynch as its financial advisor in connection with the Merger because it is an internationally recognized investment banking firm engaged in the valuation of businesses and their securities in connection with mergers and acquisitions and for other purposes and has substantial experience in transactions similar to the Merger. For Merrill Lynch's financial advisory services, Sanifill has agreed to pay Merrill Lynch (i) a fee of $100,000 upon signing its engagement letter dated as of June 14, 1996 (the "Engagement Letter"), (ii) a fee of $650,000 upon the delivery of Merrill Lynch's fairness opinion and (iii) a fee of $750,000 at the Effective Time. In addition, the Engagement Letter provides that Sanifill will reimburse Merrill Lynch for its reasonable out-of-pocket expenses (including reasonable fees and expenses of its legal counsel) and will indemnify Merrill Lynch and certain related persons against certain liabilities, including liabilities under securities laws, arising out of its engagement. In the ordinary course of its securities business, Merrill Lynch may actively trade debt or equity securities of Sanifill and USA Waste for its own account and the accounts of its customers, and Merrill Lynch therefore may hold a long or short position in such securities.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considering the recommendation of the Boards of Directors of USA Waste and Sanifill with respect to the Merger, holders of USA Waste Common Stock and Sanifill Common Stock should be aware that certain members of the Boards of Directors and management of USA Waste and Sanifill have certain interests apart from their interests as stockholders, including those referred to below.</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After the Merger is consummated, Mr. Rodney R. Proto, an officer and director of Sanifill, and two other designees of Sanifill will become directors of the USA Waste Board of Directors, and one of such persons will be elected to the Executive Committee of the USA Waste Board of Directors. In addition, Mr. Proto will serve as President and Chief Operating Officer of USA Waste. It is expected that Mr. Proto will enter into an employment agreement with USA Waste at a salary to be agreed upon and on other terms substantially similar to those contained in employment agreements between USA Waste and its current executive officers. Further, Mr. Lorne D. Bain, Sanifill's Chairman and Chief Executive Officer, has entered into an employment agreement with USA Waste and Sanifill which provides for a renewable term of one year at an annual salary of $500,000. Mr. Bain will also receive certain payments under his prior employment agreement with Sanifill as a result of the Merger. For more information about such employment agreements, see "The Plan of Merger and Terms of the Merger -- Other Agreements."</w:t>
      </w:r>
    </w:p>
    <w:p>
      <w:pPr>
        <w:spacing w:after="0" w:line="332"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Any person elected to the USA Waste Board of Directors pursuant to the Merger Agreement who is not an employee of USA Waste will receive an annual grant of options to purchase 10,000 shares of USA Waste Common Stock pursuant to USA Waste's 1996 Stock Option Plan for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Kosti Shirvanian and USA Waste have entered into a letter agreement amending in certain respects an earlier letter agreement between Mr. Shirvanian and USA Waste regarding Mr. Shirvanian's right to sit on the Board of Directors of USA Waste and designate other individuals to sit on the Board of Directors of USA Waste. See "The Plan of Merger and Terms of the Merger -- Other Agreements."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addition, in connection with the Merger Agreement, USA Waste has entered into an agreement with Donald F. Moorehead, Jr., John E. Drury, John G. Rangos, Sr., John G. Rangos, Jr., Alexander W. Rangos and John Rangos Development Corporation, Inc. with whom USA Waste had previously executed an agreement in connection with its merger with Chambers Development Company, Inc. ("Chambers"), terminating such prior agreement. In consideration for the termination of the prior agreement, USA Waste has agreed, among other things, to issue to John G. Rangos, Sr., John G. Rangos, Jr. and Alexander W. Rangos warrants to purchase in the aggregate 700,000 shares of USA Waste Common Stock at an exercise price of $29 per share. See "The Plan of Merger and Terms of the Merger -- Other Agreements."</w:t>
      </w:r>
    </w:p>
    <w:p>
      <w:pPr>
        <w:spacing w:after="0" w:line="180"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Thirteen individuals, representing all executive officers and directors of Sanifill, hold options and warrants to acquire an aggregate of approximately 1.5 million shares of Sanifill Common Stock pursuant to the terms of certain stock option and warrant agreements, at exercise prices ranging from $10.88 to $44.88 per share. In addition, as of the Record Date, there were outstanding other options and warrants to acquire approximately 1.1 million shares of Sanifill Common Stock, of which approximately 0.4 million were exercisable. At the Effective Time, all of the outstanding Sanifill Options and Sanifill Warrants will be automatically converted into options or warrants,</w:t>
      </w:r>
    </w:p>
    <w:tbl>
      <w:tblPr>
        <w:tblLayout w:type="fixed"/>
        <w:tblInd w:w="0" w:type="dxa"/>
        <w:tblCellMar>
          <w:top w:w="0" w:type="dxa"/>
          <w:left w:w="0" w:type="dxa"/>
          <w:bottom w:w="0" w:type="dxa"/>
          <w:right w:w="0" w:type="dxa"/>
        </w:tblCellMar>
      </w:tblPr>
      <w:tr>
        <w:trPr>
          <w:trHeight w:val="167"/>
        </w:trPr>
        <w:tc>
          <w:tcPr>
            <w:tcW w:w="1720" w:type="dxa"/>
            <w:vAlign w:val="bottom"/>
          </w:tcPr>
          <w:p>
            <w:pPr>
              <w:spacing w:after="0" w:line="167" w:lineRule="exact"/>
              <w:rPr>
                <w:sz w:val="20"/>
                <w:szCs w:val="20"/>
                <w:color w:val="auto"/>
              </w:rPr>
            </w:pPr>
            <w:r>
              <w:rPr>
                <w:rFonts w:ascii="Courier New" w:cs="Courier New" w:eastAsia="Courier New" w:hAnsi="Courier New"/>
                <w:sz w:val="15"/>
                <w:szCs w:val="15"/>
                <w:color w:val="auto"/>
                <w:w w:val="99"/>
              </w:rPr>
              <w:t>as the case may be,</w:t>
            </w:r>
          </w:p>
        </w:tc>
        <w:tc>
          <w:tcPr>
            <w:tcW w:w="260" w:type="dxa"/>
            <w:vAlign w:val="bottom"/>
          </w:tcPr>
          <w:p>
            <w:pPr>
              <w:jc w:val="right"/>
              <w:spacing w:after="0" w:line="167" w:lineRule="exact"/>
              <w:rPr>
                <w:sz w:val="20"/>
                <w:szCs w:val="20"/>
                <w:color w:val="auto"/>
              </w:rPr>
            </w:pPr>
            <w:r>
              <w:rPr>
                <w:rFonts w:ascii="Courier New" w:cs="Courier New" w:eastAsia="Courier New" w:hAnsi="Courier New"/>
                <w:sz w:val="15"/>
                <w:szCs w:val="15"/>
                <w:color w:val="auto"/>
              </w:rPr>
              <w:t>to</w:t>
            </w:r>
          </w:p>
        </w:tc>
        <w:tc>
          <w:tcPr>
            <w:tcW w:w="4200" w:type="dxa"/>
            <w:vAlign w:val="bottom"/>
            <w:gridSpan w:val="2"/>
          </w:tcPr>
          <w:p>
            <w:pPr>
              <w:ind w:left="40"/>
              <w:spacing w:after="0" w:line="167" w:lineRule="exact"/>
              <w:rPr>
                <w:sz w:val="20"/>
                <w:szCs w:val="20"/>
                <w:color w:val="auto"/>
              </w:rPr>
            </w:pPr>
            <w:r>
              <w:rPr>
                <w:rFonts w:ascii="Courier New" w:cs="Courier New" w:eastAsia="Courier New" w:hAnsi="Courier New"/>
                <w:sz w:val="15"/>
                <w:szCs w:val="15"/>
                <w:color w:val="auto"/>
                <w:w w:val="97"/>
              </w:rPr>
              <w:t>purchase a number of shares of USA Waste Common</w:t>
            </w:r>
          </w:p>
        </w:tc>
        <w:tc>
          <w:tcPr>
            <w:tcW w:w="740" w:type="dxa"/>
            <w:vAlign w:val="bottom"/>
          </w:tcPr>
          <w:p>
            <w:pPr>
              <w:ind w:left="40"/>
              <w:spacing w:after="0" w:line="167" w:lineRule="exact"/>
              <w:rPr>
                <w:sz w:val="20"/>
                <w:szCs w:val="20"/>
                <w:color w:val="auto"/>
              </w:rPr>
            </w:pPr>
            <w:r>
              <w:rPr>
                <w:rFonts w:ascii="Courier New" w:cs="Courier New" w:eastAsia="Courier New" w:hAnsi="Courier New"/>
                <w:sz w:val="15"/>
                <w:szCs w:val="15"/>
                <w:color w:val="auto"/>
              </w:rPr>
              <w:t>Stock</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equal to the number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shares of Sanifill Common</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Stock underlying such</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options</w:t>
            </w:r>
          </w:p>
        </w:tc>
      </w:tr>
      <w:tr>
        <w:trPr>
          <w:trHeight w:val="168"/>
        </w:trPr>
        <w:tc>
          <w:tcPr>
            <w:tcW w:w="1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or warrants multiplied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by the Exchange Ratio, at</w:t>
            </w:r>
          </w:p>
        </w:tc>
        <w:tc>
          <w:tcPr>
            <w:tcW w:w="2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an exercise price equal to the</w:t>
            </w:r>
          </w:p>
        </w:tc>
      </w:tr>
    </w:tbl>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exercise price of the Sanifill Option or Sanifill Warrant, as the case may be, divided by the Exchange Ratio. All other terms and conditions of the options and warrants will be the same as before the Effective Time. The options and warrants exercisable by the executive officers and directors of Sanifill for</w:t>
      </w:r>
    </w:p>
    <w:tbl>
      <w:tblPr>
        <w:tblLayout w:type="fixed"/>
        <w:tblInd w:w="0" w:type="dxa"/>
        <w:tblCellMar>
          <w:top w:w="0" w:type="dxa"/>
          <w:left w:w="0" w:type="dxa"/>
          <w:bottom w:w="0" w:type="dxa"/>
          <w:right w:w="0" w:type="dxa"/>
        </w:tblCellMar>
      </w:tblPr>
      <w:tr>
        <w:trPr>
          <w:trHeight w:val="165"/>
        </w:trPr>
        <w:tc>
          <w:tcPr>
            <w:tcW w:w="224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8"/>
              </w:rPr>
              <w:t>approximately 1.5 million</w:t>
            </w:r>
          </w:p>
        </w:tc>
        <w:tc>
          <w:tcPr>
            <w:tcW w:w="62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of</w:t>
            </w:r>
          </w:p>
        </w:tc>
        <w:tc>
          <w:tcPr>
            <w:tcW w:w="372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rPr>
              <w:t>Sanifill Common Stock will be converted</w:t>
            </w:r>
          </w:p>
        </w:tc>
      </w:tr>
      <w:tr>
        <w:trPr>
          <w:trHeight w:val="168"/>
        </w:trPr>
        <w:tc>
          <w:tcPr>
            <w:tcW w:w="2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into options or warrants,</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the</w:t>
            </w:r>
          </w:p>
        </w:tc>
        <w:tc>
          <w:tcPr>
            <w:tcW w:w="39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case may be, to acquire approximately 2.5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million  shares of USA</w:t>
            </w:r>
          </w:p>
        </w:tc>
        <w:tc>
          <w:tcPr>
            <w:tcW w:w="11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Waste Common</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Stock.</w:t>
            </w:r>
          </w:p>
        </w:tc>
        <w:tc>
          <w:tcPr>
            <w:tcW w:w="3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exercise prices will be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converted from a range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$10.88</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$44.88</w:t>
            </w:r>
          </w:p>
        </w:tc>
        <w:tc>
          <w:tcPr>
            <w:tcW w:w="31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per share of Sanifill Common Stock</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 a range of $6.40 to</w:t>
            </w:r>
          </w:p>
        </w:tc>
        <w:tc>
          <w:tcPr>
            <w:tcW w:w="1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$26.40 per share of</w:t>
            </w:r>
          </w:p>
        </w:tc>
        <w:tc>
          <w:tcPr>
            <w:tcW w:w="31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6"/>
              </w:rPr>
              <w:t>USA Waste Common Stock.  Based upon</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closing sale price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w:t>
            </w:r>
          </w:p>
        </w:tc>
        <w:tc>
          <w:tcPr>
            <w:tcW w:w="31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share of USA Waste Common Stock on</w:t>
            </w:r>
          </w:p>
        </w:tc>
      </w:tr>
    </w:tbl>
    <w:p>
      <w:pPr>
        <w:spacing w:after="0" w:line="5" w:lineRule="exact"/>
        <w:rPr>
          <w:sz w:val="20"/>
          <w:szCs w:val="20"/>
          <w:color w:val="auto"/>
        </w:rPr>
      </w:pPr>
    </w:p>
    <w:p>
      <w:pPr>
        <w:ind w:right="3319" w:firstLine="1059"/>
        <w:spacing w:after="0" w:line="254" w:lineRule="auto"/>
        <w:tabs>
          <w:tab w:leader="none" w:pos="1224"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1996, the total value based upon the excess of the market price of the shares of USA Waste Common Stock over the exercise price of the options and warrants that would become exercisable upon consummation of the Merger by</w:t>
      </w:r>
    </w:p>
    <w:p>
      <w:pPr>
        <w:spacing w:after="0" w:line="1"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five most highly paid executive officers of Sanifill (with respect to</w:t>
      </w:r>
    </w:p>
    <w:p>
      <w:pPr>
        <w:spacing w:after="0" w:line="3"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5"/>
          <w:szCs w:val="15"/>
          <w:color w:val="auto"/>
        </w:rPr>
        <w:t>an aggregate of approximately</w:t>
      </w:r>
      <w:r>
        <w:rPr>
          <w:sz w:val="20"/>
          <w:szCs w:val="20"/>
          <w:color w:val="auto"/>
        </w:rPr>
        <w:tab/>
      </w:r>
      <w:r>
        <w:rPr>
          <w:rFonts w:ascii="Courier New" w:cs="Courier New" w:eastAsia="Courier New" w:hAnsi="Courier New"/>
          <w:sz w:val="14"/>
          <w:szCs w:val="14"/>
          <w:color w:val="auto"/>
        </w:rPr>
        <w:t>shares of USA Waste Common Stock)</w:t>
      </w:r>
    </w:p>
    <w:p>
      <w:pPr>
        <w:spacing w:after="0"/>
        <w:tabs>
          <w:tab w:leader="none" w:pos="2440" w:val="left"/>
        </w:tabs>
        <w:rPr>
          <w:sz w:val="20"/>
          <w:szCs w:val="20"/>
          <w:color w:val="auto"/>
        </w:rPr>
      </w:pPr>
      <w:r>
        <w:rPr>
          <w:rFonts w:ascii="Courier New" w:cs="Courier New" w:eastAsia="Courier New" w:hAnsi="Courier New"/>
          <w:sz w:val="15"/>
          <w:szCs w:val="15"/>
          <w:color w:val="auto"/>
        </w:rPr>
        <w:t>would be approximately $</w:t>
      </w:r>
      <w:r>
        <w:rPr>
          <w:sz w:val="20"/>
          <w:szCs w:val="20"/>
          <w:color w:val="auto"/>
        </w:rPr>
        <w:tab/>
      </w:r>
      <w:r>
        <w:rPr>
          <w:rFonts w:ascii="Courier New" w:cs="Courier New" w:eastAsia="Courier New" w:hAnsi="Courier New"/>
          <w:sz w:val="14"/>
          <w:szCs w:val="14"/>
          <w:color w:val="auto"/>
        </w:rPr>
        <w:t>million and (ii) all officers and directors of</w:t>
      </w:r>
    </w:p>
    <w:p>
      <w:pPr>
        <w:spacing w:after="0" w:line="238" w:lineRule="auto"/>
        <w:rPr>
          <w:sz w:val="20"/>
          <w:szCs w:val="20"/>
          <w:color w:val="auto"/>
        </w:rPr>
      </w:pPr>
      <w:r>
        <w:rPr>
          <w:rFonts w:ascii="Courier New" w:cs="Courier New" w:eastAsia="Courier New" w:hAnsi="Courier New"/>
          <w:sz w:val="15"/>
          <w:szCs w:val="15"/>
          <w:color w:val="auto"/>
        </w:rPr>
        <w:t>Sanifill (with respect to an aggregate of approximately</w:t>
      </w:r>
    </w:p>
    <w:p>
      <w:pPr>
        <w:spacing w:after="0"/>
        <w:tabs>
          <w:tab w:leader="none" w:pos="5840" w:val="left"/>
        </w:tabs>
        <w:rPr>
          <w:sz w:val="20"/>
          <w:szCs w:val="20"/>
          <w:color w:val="auto"/>
        </w:rPr>
      </w:pPr>
      <w:r>
        <w:rPr>
          <w:rFonts w:ascii="Courier New" w:cs="Courier New" w:eastAsia="Courier New" w:hAnsi="Courier New"/>
          <w:sz w:val="15"/>
          <w:szCs w:val="15"/>
          <w:color w:val="auto"/>
        </w:rPr>
        <w:t>shares of USA Waste Common Stock) would be approximately $</w:t>
      </w:r>
      <w:r>
        <w:rPr>
          <w:sz w:val="20"/>
          <w:szCs w:val="20"/>
          <w:color w:val="auto"/>
        </w:rPr>
        <w:tab/>
      </w:r>
      <w:r>
        <w:rPr>
          <w:rFonts w:ascii="Courier New" w:cs="Courier New" w:eastAsia="Courier New" w:hAnsi="Courier New"/>
          <w:sz w:val="14"/>
          <w:szCs w:val="14"/>
          <w:color w:val="auto"/>
        </w:rPr>
        <w:t>million.</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See "The Plan of Merger and Terms of the Merger -- Assumption of Sanifill Options and Sanifill Warrants."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Merger Agreement provides for indemnification by USA Waste of the officers and directors of Sanifill against all costs or expenses (including reasonable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acts or omissions in connection with such persons serving as an officer, director, or other fiduciary in any entity if such service was at the request of Sanifill) or arising out of or pertaining to the transactions contemplated by the Merger Agreement. In addition, pursuant to the terms of the Merger Agreement, USA Waste has agreed to maintain in effect, for a period of six years after the Effective Time, the current policies of directors' and officers' liability insurance maintained by Sanifill and its subsidiaries (or substantially equivalent policies) with respect to matters arising prior to the Effective Time; provided, however, that USA Waste is only required to obtain as much coverage as can be obtained by paying an annual premium less than or equal to two times the current annual premiums for such insurance coverage. In connection with the execution of the Merger Agreement, USA Waste and Sanifill entered into the Indemnification Letter Agreement which provides that the Certificate of Incorporation of the Surviving Corporation as of the Effective Time will contain provisions for the indemnification of officers and directors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and related matters identical to the provisions governing such matters contained in the USA Waste Restated Certificate of Incorporation on June 22,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following discussion summarizes certain U.S. Federal income tax consequences of the Merger which are generally applicable to holders of Sanifill Common Stock under the Internal Revenue Code of 1986, as amended (the "Code"). Tax consequences which are different from or in addition to those described herein may apply to Sanifill stockholders who are subject to special treatment under the U.S. Federal income tax laws, such as foreign persons, persons who acquired their shares in compensatory transactions and persons who have a contingent right to receive additional Sanifill stock as a result of contingency or earn-out provisions in prior acquisitions by Sanifill. Furthermore, the discussion does not address foreign, state or local tax considerations.</w:t>
      </w:r>
    </w:p>
    <w:p>
      <w:pPr>
        <w:spacing w:after="0" w:line="18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SUMMARY IS NOT A SUBSTITUTE FOR AN INDIVIDUAL ANALYSIS OF THE TAX CONSEQUENCES OF THE MERGER TO A SANIFILL STOCKHOLDER. EACH SANIFILL STOCKHOLDER SHOULD CONSULT A TAX ADVISER REGARDING THE PARTICULAR FEDERAL, STATE, LOCAL AND FOREIGN TAX CONSEQUENCES OF THE MERGER IN LIGHT OF SUCH STOCKHOLDER'S OWN SITUATION.</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It is a condition precedent to the closing of the Merger that USA Waste receive from its counsel, Andrews &amp; Kurth L.L.P., an opinion to the effect that USA Waste and Acquisition will not recognize any gain or loss for U.S. Federal income tax purposes as a result of the Merger. It is a condition precedent to the closing of the Merger that Sanifill receive from its counsel, Baker &amp; Botts, L.L.P., an opinion to the effect that Sanifill will not recognize any gain or loss as a result of the merger of Acquisition into it and that holders of Sanifill Common Stock will not recognize any gain or loss upon the receipt of USA Waste Common Stock in exchange for their shares of Sanifill Common Stock. The opinions of Andrews &amp; Kurth L.L.P. and Baker &amp; Botts, L.L.P. are collectively referred to as the "Opinions."</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Opinions will be subject to certain qualifications and assumptions as noted therein and will rely upon certain representations of USA Waste, Acquisition and Sanifill which have been provided to counsel as a basis for the Opinions. The Opinions will be based upon counsel's interpretation of the Code, applicable Treasury regulations, judicial authority and administrative rulings and practice, all as of the date of the Opinions. There can be no assurance that future legislative, judicial or administrative changes or interpretations will not adversely affect the accuracy of the conclusions set forth herein. The Opinions will not be binding upon the Internal Revenue Service (the "Service"), and the Service will not be precluded from adopting a contrary position.</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Assuming the Merger qualifies as a reorganization under Section 368(a)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Code, the following U.S. Federal income tax consequences will occur:</w:t>
      </w:r>
    </w:p>
    <w:p>
      <w:pPr>
        <w:spacing w:after="0" w:line="173" w:lineRule="exact"/>
        <w:rPr>
          <w:sz w:val="20"/>
          <w:szCs w:val="20"/>
          <w:color w:val="auto"/>
        </w:rPr>
      </w:pPr>
    </w:p>
    <w:p>
      <w:pPr>
        <w:ind w:left="800" w:right="3579" w:firstLine="697"/>
        <w:spacing w:after="0" w:line="234" w:lineRule="auto"/>
        <w:tabs>
          <w:tab w:leader="none" w:pos="22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USA Waste or Acquisition as a result of the Merger;</w:t>
      </w:r>
    </w:p>
    <w:p>
      <w:pPr>
        <w:spacing w:after="0" w:line="173"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Sanifill as a result of the merger of Acquisition into Sanifill;</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holders of Sanifill Common Stock solely upon their receipt in the Merger of USA Waste Common Stock in exchange therefor;</w:t>
      </w:r>
    </w:p>
    <w:p>
      <w:pPr>
        <w:spacing w:after="0" w:line="173" w:lineRule="exact"/>
        <w:rPr>
          <w:rFonts w:ascii="Courier New" w:cs="Courier New" w:eastAsia="Courier New" w:hAnsi="Courier New"/>
          <w:sz w:val="15"/>
          <w:szCs w:val="15"/>
          <w:color w:val="auto"/>
        </w:rPr>
      </w:pPr>
    </w:p>
    <w:p>
      <w:pPr>
        <w:ind w:left="800" w:right="3319" w:firstLine="697"/>
        <w:spacing w:after="0" w:line="256" w:lineRule="auto"/>
        <w:tabs>
          <w:tab w:leader="none" w:pos="228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the shares of USA Waste Common Stock received by a Sanifill stockholder in the Merger (including any fractional share not actually received) will be the same as the tax basis of the Sanifill Common Stock surrendered in exchange therefor;</w:t>
      </w:r>
    </w:p>
    <w:p>
      <w:pPr>
        <w:spacing w:after="0" w:line="164" w:lineRule="exact"/>
        <w:rPr>
          <w:rFonts w:ascii="Courier New" w:cs="Courier New" w:eastAsia="Courier New" w:hAnsi="Courier New"/>
          <w:sz w:val="14"/>
          <w:szCs w:val="14"/>
          <w:color w:val="auto"/>
        </w:rPr>
      </w:pPr>
    </w:p>
    <w:p>
      <w:pPr>
        <w:ind w:left="800" w:right="3399" w:firstLine="697"/>
        <w:spacing w:after="0" w:line="258" w:lineRule="auto"/>
        <w:tabs>
          <w:tab w:leader="none" w:pos="228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shares of USA Waste Common Stock received by a Sanifill stockholder in the Merger will include the holding period of the shares of Sanifill Common Stock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ind w:left="800" w:right="3679"/>
        <w:spacing w:after="0" w:line="261" w:lineRule="auto"/>
        <w:rPr>
          <w:sz w:val="20"/>
          <w:szCs w:val="20"/>
          <w:color w:val="auto"/>
        </w:rPr>
      </w:pPr>
      <w:r>
        <w:rPr>
          <w:rFonts w:ascii="Courier New" w:cs="Courier New" w:eastAsia="Courier New" w:hAnsi="Courier New"/>
          <w:sz w:val="14"/>
          <w:szCs w:val="14"/>
          <w:color w:val="auto"/>
        </w:rPr>
        <w:t>in exchange therefor, provided that such shares of Sanifill Common Stock are held as capital assets at the Effective Time; and</w:t>
      </w:r>
    </w:p>
    <w:p>
      <w:pPr>
        <w:spacing w:after="0" w:line="160" w:lineRule="exact"/>
        <w:rPr>
          <w:sz w:val="20"/>
          <w:szCs w:val="20"/>
          <w:color w:val="auto"/>
        </w:rPr>
      </w:pPr>
    </w:p>
    <w:p>
      <w:pPr>
        <w:ind w:left="800" w:right="3319" w:firstLine="697"/>
        <w:spacing w:after="0" w:line="237" w:lineRule="auto"/>
        <w:tabs>
          <w:tab w:leader="none" w:pos="22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cash payment in lieu of a fractional share will be treated as if a fractional share of USA Waste Common Stock had been received in the Merger and then redeemed by USA Waste. Such redemption should qualify as a distribution in full payment in exchange for the fractional share rather than as a distribution of a dividend. Accordingly, a Sanifill stockholder receiving cash in lieu of a fractional share will recognize gain or loss upon such payment in an amount equal to the difference, if any, between such stockholder's basis in the fractional share (as described in paragraph (d) above) and the amount of cash received. Such gain or loss will be a capital gain or loss if the Sanifill Common Stock is held as a capital asset at the Effective Time.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Even if the Merger qualifies as a tax-free reorganization, a recipient of USA Waste Common Stock could recognize gain to the extent that such shares were considered by the Service to be received in exchange for consideration other than Sanifill Common Stock. All or a portion of such gain may be taxable as ordinary income. In addition, gain would be recognized to the extent that a Sanifill stockholder was treated by the Service as receiving (directly or indirectly) consideration other than USA Waste Common Stock in exchange for his or her Sanifill Common Stock.</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If the Service successfully challenged the status of the Merger as a tax-free reorganization, a Sanifill stockholder would recognize gain or loss in an amount equal to the difference between the stockholder's basis in his or her shares and the fair market value, as of the Effective Date, of the USA Waste Common Stock received in exchange therefor. In such event, the stockholder's basis in the USA Waste Common Stock so received would be equal to its fair market value as of the Effective Date and the holding period for such stock would begin on the day after the Effective Date.</w:t>
      </w:r>
    </w:p>
    <w:p>
      <w:pPr>
        <w:spacing w:after="0" w:line="17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U.S. FEDERAL INCOME TAX CONSEQUENCES SUMMARIZED ABOVE ARE FOR GENERAL INFORMATION ONLY. EACH SANIFILL STOCKHOLDER SHOULD CONSULT A TAX ADVISER AS TO THE PARTICULAR CONSEQUENCES OF THE MERGER THAT MAY APPLY TO SUCH STOCKHOLDER, INCLUDING THE APPLICATION OF STATE, LOCAL, FOREIGN AND OTHER FEDERAL TAX LAWS.</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For more information on the tax opinions to be delivered by counsel to USA Waste and Sanifill as a condition to the closing of the Merger, see "The Plan of Merger and Terms of the Merger -- Conditions to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OR DISSENTERS' RIGHTS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Delaware law does not require that holders of USA Waste Common Stock or Sanifill Common Stock who object to the Merger and who vote against or abstain from voting in favor of the Merger be afforded any appraisal or dissenters' rights or the right to receive cash for their shares. Neither USA Waste nor Sanifill intends to make available any such rights to its stockholders.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One of the conditions to the Merger is the receipt by USA Waste and Sanifill of a letter and memorandum, dated as of the Effective Time, from their independent auditors, Coopers &amp; Lybrand L.L.P. and Arthur Andersen LLP, respectively, regarding such firms' concurrence with USA Waste management's and Sanifill management's conclusions, respectively, as to the appropriateness of "pooling of interests" accounting for the Merger under Accounting Principles Board Opinion No. 16 if consummated in accordance with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47</w:t>
      </w:r>
    </w:p>
    <w:p>
      <w:pPr>
        <w:spacing w:after="0" w:line="237" w:lineRule="auto"/>
        <w:rPr>
          <w:sz w:val="20"/>
          <w:szCs w:val="20"/>
          <w:color w:val="auto"/>
        </w:rPr>
      </w:pPr>
      <w:r>
        <w:rPr>
          <w:rFonts w:ascii="Courier New" w:cs="Courier New" w:eastAsia="Courier New" w:hAnsi="Courier New"/>
          <w:sz w:val="15"/>
          <w:szCs w:val="15"/>
          <w:color w:val="auto"/>
        </w:rPr>
        <w:t>GOVERNMENT AND REGULATORY APPROVALS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Transactions such as the Merger are reviewed by the Antitrust Division of the Department of Justice (the "Department of Justice") and the Federal Trade Commission (the "FTC") to determine whether they comply with applicable antitrust laws. Under the provisions of the HSR Act, the Merger may not be consummated until such time as the specified waiting period requirements of the HSR Act have been satisfied. USA Waste and Sanifill filed notification reports with the Department of Justice and FTC under the HSR Act on July 1, 1996, and the waiting period will expire at 11:59 p.m. on July 31, 1996 unless extended or earlier terminated.</w:t>
      </w:r>
    </w:p>
    <w:p>
      <w:pPr>
        <w:spacing w:after="0" w:line="178"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At any time before or after the Effective Time, the Department of Justice and FTC or a private person or entity could seek under the antitrust laws, among other things, to enjoin the Merger or to cause USA Waste to divest itself, in whole or in part, of Sanifill or of other businesses conducted by USA Waste. There can be no assurance that a challenge to the Merger will not be made or that, if such a challenge is made, USA Waste and Sanifill will prevail.</w:t>
      </w:r>
    </w:p>
    <w:p>
      <w:pPr>
        <w:spacing w:after="0" w:line="176"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USA Waste and Sanifill are not aware of any other governmental or regulatory approvals required for consummation of the Merger, other than compliance with applicable federal and state securities laws and as may be required with respect to environmental permits held by Sanifill subsidiaries in certain states that would deem the Merger to be a transfer of those permits.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RESALES BY AFFILIATES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shares of USA Waste Common Stock received by Sanifill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Sanifill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Sanifill and USA Waste will use their reasonable best efforts to cause each of their principal executive officers, directors and affiliates to deliver to USA Waste and/or Sanifill,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Sanifill have been filed with the Commission, sent to stockholders of USA Waste or otherwise publicly issued.</w:t>
      </w:r>
    </w:p>
    <w:p>
      <w:pPr>
        <w:spacing w:after="0" w:line="34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Under Commission guidelines interpreting generally accepted accounting principles, the sale of USA Waste Common Stock or Sanifill Common Stock by an affiliate of either USA Waste or Sanifill generally within 30 days prior to the Effective Time or thereafter prior to the publication of financial statements that include a minimum of at least 30 days of combined operations of USA Waste and Sanifill after the Effective Time could preclude "pooling of interests" accounting treatment for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AFTER THE MERGER</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USA Waste Restated Certificate of Incorporation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Board of Directors of USA Waste currently consists of 11 members and one vacancy for a total of 12 seats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spacing w:after="0" w:line="5"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on the Board of Directors. The USA Waste Restated Certificate of Incorporation and the USA Waste Bylaws also provide that the Board of Directors of USA Waste be divided into three classes of directors, as nearly equal in number as possible. At each annual meeting of the stockholders, one class of directors is elected for a three-year term. The terms of the existing Class I directors expire at the annual meeting of the stockholders of USA Waste to be held in 1999, the terms of the existing Class II directors expire at the annual meeting of the stockholders of USA Waste to be held in 1997 and the terms of the existing Class III directors expire at the annual meeting of the stockholders of USA Waste to be held in 1998.</w:t>
      </w:r>
    </w:p>
    <w:p>
      <w:pPr>
        <w:spacing w:after="0" w:line="179" w:lineRule="exact"/>
        <w:rPr>
          <w:sz w:val="20"/>
          <w:szCs w:val="20"/>
          <w:color w:val="auto"/>
        </w:rPr>
      </w:pPr>
    </w:p>
    <w:p>
      <w:pPr>
        <w:ind w:firstLine="787"/>
        <w:spacing w:after="0" w:line="237" w:lineRule="auto"/>
        <w:rPr>
          <w:sz w:val="20"/>
          <w:szCs w:val="20"/>
          <w:color w:val="auto"/>
        </w:rPr>
      </w:pPr>
      <w:r>
        <w:rPr>
          <w:rFonts w:ascii="Courier New" w:cs="Courier New" w:eastAsia="Courier New" w:hAnsi="Courier New"/>
          <w:sz w:val="15"/>
          <w:szCs w:val="15"/>
          <w:color w:val="auto"/>
        </w:rPr>
        <w:t>Pursuant to the terms of the Merger Agreement, USA Waste has agreed to take such action as is necessary to cause its Board of Directors to consist of 12 members immediately after the Effective Time, including three members designated by Sanifill prior to the Effective Time. Sanifill has designated Rodney R. Proto, and will designate two non-officers of Sanifill and its subsidiaries reasonably acceptable to USA Waste, as the individuals to serve on the Board of Directors of USA Waste. Rodney R. Proto will serve as a Class III director and the two remaining Sanifill designees will serve as Class I directors. In order to provide a sufficient number of vacancies on the Board of Directors of USA Waste, two members of USA Waste's Board of Directors will resign effective as of the Effective Time. In addition, pursuant to the terms of the Merger Agreement, USA Waste has agreed to (i) take such action as is necessary to renominate Rodney R. Proto to the Board of Directors of USA Waste with a term of office expiring in the year 2000 or thereafter and (ii) appoint one of the three designees of Sanifill to the Executive Committee of USA Waste's Board of Directors reasonably acceptable to USA Waste. In order to provide a vacancy on the Executive Committee, David Sutherland-Yoest, of the Executive Committee of the Board of Directors of USA Waste, will resign effective as of the Effective Time.</w:t>
      </w:r>
    </w:p>
    <w:p>
      <w:pPr>
        <w:spacing w:after="0" w:line="176" w:lineRule="exact"/>
        <w:rPr>
          <w:sz w:val="20"/>
          <w:szCs w:val="20"/>
          <w:color w:val="auto"/>
        </w:rPr>
      </w:pPr>
    </w:p>
    <w:p>
      <w:pPr>
        <w:ind w:right="80" w:firstLine="787"/>
        <w:spacing w:after="0" w:line="236" w:lineRule="auto"/>
        <w:rPr>
          <w:sz w:val="20"/>
          <w:szCs w:val="20"/>
          <w:color w:val="auto"/>
        </w:rPr>
      </w:pPr>
      <w:r>
        <w:rPr>
          <w:rFonts w:ascii="Courier New" w:cs="Courier New" w:eastAsia="Courier New" w:hAnsi="Courier New"/>
          <w:sz w:val="15"/>
          <w:szCs w:val="15"/>
          <w:color w:val="auto"/>
        </w:rPr>
        <w:t>Set forth below is certain information about each person who is to be a member of the Board of Directors of USA Waste as of the Effective Time, including Rodney R. Proto, one of Sanifill's designees who, following consummation of the Merger, will be appointed to the USA Waste Board of Directors. Two additional persons will be designated by Sanifill to serve on the USA Waste Board of Directors following consummation of the Merger, to fill the vacancies created by the resignations of two members of USA Waste's Board of Directors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DESCRIPTION</w:t>
      </w:r>
    </w:p>
    <w:p>
      <w:pPr>
        <w:spacing w:after="0"/>
        <w:tabs>
          <w:tab w:leader="none" w:pos="52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John E. Drury (1) . . . . . . . . . . .</w:t>
      </w:r>
      <w:r>
        <w:rPr>
          <w:sz w:val="20"/>
          <w:szCs w:val="20"/>
          <w:color w:val="auto"/>
        </w:rPr>
        <w:tab/>
      </w:r>
      <w:r>
        <w:rPr>
          <w:rFonts w:ascii="Courier New" w:cs="Courier New" w:eastAsia="Courier New" w:hAnsi="Courier New"/>
          <w:sz w:val="14"/>
          <w:szCs w:val="14"/>
          <w:color w:val="auto"/>
        </w:rPr>
        <w:t>Chairman of the Board and Chief</w:t>
      </w:r>
    </w:p>
    <w:p>
      <w:pPr>
        <w:ind w:left="4120"/>
        <w:spacing w:after="0" w:line="237" w:lineRule="auto"/>
        <w:rPr>
          <w:sz w:val="20"/>
          <w:szCs w:val="20"/>
          <w:color w:val="auto"/>
        </w:rPr>
      </w:pPr>
      <w:r>
        <w:rPr>
          <w:rFonts w:ascii="Courier New" w:cs="Courier New" w:eastAsia="Courier New" w:hAnsi="Courier New"/>
          <w:sz w:val="15"/>
          <w:szCs w:val="15"/>
          <w:color w:val="auto"/>
        </w:rPr>
        <w:t>Executive Officer</w:t>
      </w:r>
    </w:p>
    <w:p>
      <w:pPr>
        <w:spacing w:after="0"/>
        <w:tabs>
          <w:tab w:leader="none" w:pos="2620" w:val="left"/>
          <w:tab w:leader="none" w:pos="3840" w:val="left"/>
        </w:tabs>
        <w:rPr>
          <w:sz w:val="20"/>
          <w:szCs w:val="20"/>
          <w:color w:val="auto"/>
        </w:rPr>
      </w:pPr>
      <w:r>
        <w:rPr>
          <w:rFonts w:ascii="Courier New" w:cs="Courier New" w:eastAsia="Courier New" w:hAnsi="Courier New"/>
          <w:sz w:val="15"/>
          <w:szCs w:val="15"/>
          <w:color w:val="auto"/>
        </w:rPr>
        <w:t>Donald F. Moorehead, Jr. (1)</w:t>
        <w:tab/>
        <w:t>. . . . .</w:t>
      </w:r>
      <w:r>
        <w:rPr>
          <w:sz w:val="20"/>
          <w:szCs w:val="20"/>
          <w:color w:val="auto"/>
        </w:rPr>
        <w:tab/>
      </w:r>
      <w:r>
        <w:rPr>
          <w:rFonts w:ascii="Courier New" w:cs="Courier New" w:eastAsia="Courier New" w:hAnsi="Courier New"/>
          <w:sz w:val="14"/>
          <w:szCs w:val="14"/>
          <w:color w:val="auto"/>
        </w:rPr>
        <w:t>Vice Chairman of the Board</w:t>
      </w:r>
    </w:p>
    <w:p>
      <w:pPr>
        <w:spacing w:after="0"/>
        <w:tabs>
          <w:tab w:leader="none" w:pos="2440" w:val="left"/>
          <w:tab w:leader="none" w:pos="3840" w:val="left"/>
        </w:tabs>
        <w:rPr>
          <w:sz w:val="20"/>
          <w:szCs w:val="20"/>
          <w:color w:val="auto"/>
        </w:rPr>
      </w:pPr>
      <w:r>
        <w:rPr>
          <w:rFonts w:ascii="Courier New" w:cs="Courier New" w:eastAsia="Courier New" w:hAnsi="Courier New"/>
          <w:sz w:val="15"/>
          <w:szCs w:val="15"/>
          <w:color w:val="auto"/>
        </w:rPr>
        <w:t>David Sutherland-Yoest (1)</w:t>
        <w:tab/>
        <w:t>. . . . . .</w:t>
      </w:r>
      <w:r>
        <w:rPr>
          <w:sz w:val="20"/>
          <w:szCs w:val="20"/>
          <w:color w:val="auto"/>
        </w:rPr>
        <w:tab/>
      </w:r>
      <w:r>
        <w:rPr>
          <w:rFonts w:ascii="Courier New" w:cs="Courier New" w:eastAsia="Courier New" w:hAnsi="Courier New"/>
          <w:sz w:val="14"/>
          <w:szCs w:val="14"/>
          <w:color w:val="auto"/>
        </w:rPr>
        <w:t>President and Director (2)</w:t>
      </w:r>
    </w:p>
    <w:p>
      <w:pPr>
        <w:spacing w:after="0"/>
        <w:tabs>
          <w:tab w:leader="none" w:pos="3840" w:val="left"/>
        </w:tabs>
        <w:rPr>
          <w:sz w:val="20"/>
          <w:szCs w:val="20"/>
          <w:color w:val="auto"/>
        </w:rPr>
      </w:pPr>
      <w:r>
        <w:rPr>
          <w:rFonts w:ascii="Courier New" w:cs="Courier New" w:eastAsia="Courier New" w:hAnsi="Courier New"/>
          <w:sz w:val="15"/>
          <w:szCs w:val="15"/>
          <w:color w:val="auto"/>
        </w:rPr>
        <w:t>George L. Ball (3)(4) . . . . . . . . .</w:t>
      </w:r>
      <w:r>
        <w:rPr>
          <w:sz w:val="20"/>
          <w:szCs w:val="20"/>
          <w:color w:val="auto"/>
        </w:rPr>
        <w:tab/>
      </w:r>
      <w:r>
        <w:rPr>
          <w:rFonts w:ascii="Courier New" w:cs="Courier New" w:eastAsia="Courier New" w:hAnsi="Courier New"/>
          <w:sz w:val="14"/>
          <w:szCs w:val="14"/>
          <w:color w:val="auto"/>
        </w:rPr>
        <w:t>Director</w:t>
      </w:r>
    </w:p>
    <w:p>
      <w:pPr>
        <w:spacing w:after="0"/>
        <w:tabs>
          <w:tab w:leader="none" w:pos="3840" w:val="left"/>
        </w:tabs>
        <w:rPr>
          <w:sz w:val="20"/>
          <w:szCs w:val="20"/>
          <w:color w:val="auto"/>
        </w:rPr>
      </w:pPr>
      <w:r>
        <w:rPr>
          <w:rFonts w:ascii="Courier New" w:cs="Courier New" w:eastAsia="Courier New" w:hAnsi="Courier New"/>
          <w:sz w:val="15"/>
          <w:szCs w:val="15"/>
          <w:color w:val="auto"/>
        </w:rPr>
        <w:t>Peter J. Gibbons (3)(4) . . . . . . . .</w:t>
      </w:r>
      <w:r>
        <w:rPr>
          <w:sz w:val="20"/>
          <w:szCs w:val="20"/>
          <w:color w:val="auto"/>
        </w:rPr>
        <w:tab/>
      </w:r>
      <w:r>
        <w:rPr>
          <w:rFonts w:ascii="Courier New" w:cs="Courier New" w:eastAsia="Courier New" w:hAnsi="Courier New"/>
          <w:sz w:val="14"/>
          <w:szCs w:val="14"/>
          <w:color w:val="auto"/>
        </w:rPr>
        <w:t>Director</w:t>
      </w:r>
    </w:p>
    <w:p>
      <w:pPr>
        <w:spacing w:after="0"/>
        <w:tabs>
          <w:tab w:leader="none" w:pos="3840" w:val="left"/>
        </w:tabs>
        <w:rPr>
          <w:sz w:val="20"/>
          <w:szCs w:val="20"/>
          <w:color w:val="auto"/>
        </w:rPr>
      </w:pPr>
      <w:r>
        <w:rPr>
          <w:rFonts w:ascii="Courier New" w:cs="Courier New" w:eastAsia="Courier New" w:hAnsi="Courier New"/>
          <w:sz w:val="15"/>
          <w:szCs w:val="15"/>
          <w:color w:val="auto"/>
        </w:rPr>
        <w:t>Richard J. Heckmann (4) . . . . . . . .</w:t>
      </w:r>
      <w:r>
        <w:rPr>
          <w:sz w:val="20"/>
          <w:szCs w:val="20"/>
          <w:color w:val="auto"/>
        </w:rPr>
        <w:tab/>
      </w:r>
      <w:r>
        <w:rPr>
          <w:rFonts w:ascii="Courier New" w:cs="Courier New" w:eastAsia="Courier New" w:hAnsi="Courier New"/>
          <w:sz w:val="14"/>
          <w:szCs w:val="14"/>
          <w:color w:val="auto"/>
        </w:rPr>
        <w:t>Director</w:t>
      </w:r>
    </w:p>
    <w:p>
      <w:pPr>
        <w:spacing w:after="0"/>
        <w:tabs>
          <w:tab w:leader="none" w:pos="2080" w:val="left"/>
          <w:tab w:leader="none" w:pos="3840" w:val="left"/>
        </w:tabs>
        <w:rPr>
          <w:sz w:val="20"/>
          <w:szCs w:val="20"/>
          <w:color w:val="auto"/>
        </w:rPr>
      </w:pPr>
      <w:r>
        <w:rPr>
          <w:rFonts w:ascii="Courier New" w:cs="Courier New" w:eastAsia="Courier New" w:hAnsi="Courier New"/>
          <w:sz w:val="15"/>
          <w:szCs w:val="15"/>
          <w:color w:val="auto"/>
        </w:rPr>
        <w:t>William E. Moffett (3)</w:t>
        <w:tab/>
        <w:t>. . . . . . . .</w:t>
      </w:r>
      <w:r>
        <w:rPr>
          <w:sz w:val="20"/>
          <w:szCs w:val="20"/>
          <w:color w:val="auto"/>
        </w:rPr>
        <w:tab/>
      </w:r>
      <w:r>
        <w:rPr>
          <w:rFonts w:ascii="Courier New" w:cs="Courier New" w:eastAsia="Courier New" w:hAnsi="Courier New"/>
          <w:sz w:val="14"/>
          <w:szCs w:val="14"/>
          <w:color w:val="auto"/>
        </w:rPr>
        <w:t>Director</w:t>
      </w:r>
    </w:p>
    <w:p>
      <w:pPr>
        <w:spacing w:after="0"/>
        <w:tabs>
          <w:tab w:leader="none" w:pos="3840" w:val="left"/>
        </w:tabs>
        <w:rPr>
          <w:sz w:val="20"/>
          <w:szCs w:val="20"/>
          <w:color w:val="auto"/>
        </w:rPr>
      </w:pPr>
      <w:r>
        <w:rPr>
          <w:rFonts w:ascii="Courier New" w:cs="Courier New" w:eastAsia="Courier New" w:hAnsi="Courier New"/>
          <w:sz w:val="15"/>
          <w:szCs w:val="15"/>
          <w:color w:val="auto"/>
        </w:rPr>
        <w:t>Alexander W. Rangos (1) . . . . . . . .</w:t>
      </w:r>
      <w:r>
        <w:rPr>
          <w:sz w:val="20"/>
          <w:szCs w:val="20"/>
          <w:color w:val="auto"/>
        </w:rPr>
        <w:tab/>
      </w:r>
      <w:r>
        <w:rPr>
          <w:rFonts w:ascii="Courier New" w:cs="Courier New" w:eastAsia="Courier New" w:hAnsi="Courier New"/>
          <w:sz w:val="14"/>
          <w:szCs w:val="14"/>
          <w:color w:val="auto"/>
        </w:rPr>
        <w:t>Vice Chairman of the Board</w:t>
      </w:r>
    </w:p>
    <w:p>
      <w:pPr>
        <w:spacing w:after="0"/>
        <w:tabs>
          <w:tab w:leader="none" w:pos="3840" w:val="left"/>
        </w:tabs>
        <w:rPr>
          <w:sz w:val="20"/>
          <w:szCs w:val="20"/>
          <w:color w:val="auto"/>
        </w:rPr>
      </w:pPr>
      <w:r>
        <w:rPr>
          <w:rFonts w:ascii="Courier New" w:cs="Courier New" w:eastAsia="Courier New" w:hAnsi="Courier New"/>
          <w:sz w:val="15"/>
          <w:szCs w:val="15"/>
          <w:color w:val="auto"/>
        </w:rPr>
        <w:t>John G. Rangos, Sr. (1) . . . . . . . .</w:t>
      </w:r>
      <w:r>
        <w:rPr>
          <w:sz w:val="20"/>
          <w:szCs w:val="20"/>
          <w:color w:val="auto"/>
        </w:rPr>
        <w:tab/>
      </w:r>
      <w:r>
        <w:rPr>
          <w:rFonts w:ascii="Courier New" w:cs="Courier New" w:eastAsia="Courier New" w:hAnsi="Courier New"/>
          <w:sz w:val="14"/>
          <w:szCs w:val="14"/>
          <w:color w:val="auto"/>
        </w:rPr>
        <w:t>Director</w:t>
      </w:r>
    </w:p>
    <w:p>
      <w:pPr>
        <w:spacing w:after="0"/>
        <w:tabs>
          <w:tab w:leader="none" w:pos="1920" w:val="left"/>
          <w:tab w:leader="none" w:pos="3840" w:val="left"/>
        </w:tabs>
        <w:rPr>
          <w:sz w:val="20"/>
          <w:szCs w:val="20"/>
          <w:color w:val="auto"/>
        </w:rPr>
      </w:pPr>
      <w:r>
        <w:rPr>
          <w:rFonts w:ascii="Courier New" w:cs="Courier New" w:eastAsia="Courier New" w:hAnsi="Courier New"/>
          <w:sz w:val="15"/>
          <w:szCs w:val="15"/>
          <w:color w:val="auto"/>
        </w:rPr>
        <w:t>Kosti Shirvanian (1)</w:t>
        <w:tab/>
        <w:t>. . . . . . . . .</w:t>
      </w:r>
      <w:r>
        <w:rPr>
          <w:sz w:val="20"/>
          <w:szCs w:val="20"/>
          <w:color w:val="auto"/>
        </w:rPr>
        <w:tab/>
      </w:r>
      <w:r>
        <w:rPr>
          <w:rFonts w:ascii="Courier New" w:cs="Courier New" w:eastAsia="Courier New" w:hAnsi="Courier New"/>
          <w:sz w:val="14"/>
          <w:szCs w:val="14"/>
          <w:color w:val="auto"/>
        </w:rPr>
        <w:t>Vice Chairman of the Board</w:t>
      </w:r>
    </w:p>
    <w:p>
      <w:pPr>
        <w:spacing w:after="0"/>
        <w:tabs>
          <w:tab w:leader="none" w:pos="3840" w:val="left"/>
        </w:tabs>
        <w:rPr>
          <w:sz w:val="20"/>
          <w:szCs w:val="20"/>
          <w:color w:val="auto"/>
        </w:rPr>
      </w:pPr>
      <w:r>
        <w:rPr>
          <w:rFonts w:ascii="Courier New" w:cs="Courier New" w:eastAsia="Courier New" w:hAnsi="Courier New"/>
          <w:sz w:val="15"/>
          <w:szCs w:val="15"/>
          <w:color w:val="auto"/>
        </w:rPr>
        <w:t>Savey Tufenkian . . . . . . . . . . . .</w:t>
      </w:r>
      <w:r>
        <w:rPr>
          <w:sz w:val="20"/>
          <w:szCs w:val="20"/>
          <w:color w:val="auto"/>
        </w:rPr>
        <w:tab/>
      </w:r>
      <w:r>
        <w:rPr>
          <w:rFonts w:ascii="Courier New" w:cs="Courier New" w:eastAsia="Courier New" w:hAnsi="Courier New"/>
          <w:sz w:val="14"/>
          <w:szCs w:val="14"/>
          <w:color w:val="auto"/>
        </w:rPr>
        <w:t>Director</w:t>
      </w:r>
    </w:p>
    <w:p>
      <w:pPr>
        <w:spacing w:after="0"/>
        <w:tabs>
          <w:tab w:leader="none" w:pos="3840" w:val="left"/>
        </w:tabs>
        <w:rPr>
          <w:sz w:val="20"/>
          <w:szCs w:val="20"/>
          <w:color w:val="auto"/>
        </w:rPr>
      </w:pPr>
      <w:r>
        <w:rPr>
          <w:rFonts w:ascii="Courier New" w:cs="Courier New" w:eastAsia="Courier New" w:hAnsi="Courier New"/>
          <w:sz w:val="15"/>
          <w:szCs w:val="15"/>
          <w:color w:val="auto"/>
        </w:rPr>
        <w:t>Rodney R. Proto . . . . . . . . . . . .</w:t>
      </w:r>
      <w:r>
        <w:rPr>
          <w:sz w:val="20"/>
          <w:szCs w:val="20"/>
          <w:color w:val="auto"/>
        </w:rPr>
        <w:tab/>
      </w:r>
      <w:r>
        <w:rPr>
          <w:rFonts w:ascii="Courier New" w:cs="Courier New" w:eastAsia="Courier New" w:hAnsi="Courier New"/>
          <w:sz w:val="14"/>
          <w:szCs w:val="14"/>
          <w:color w:val="auto"/>
        </w:rPr>
        <w:t>President, Chief Operating Officer</w:t>
      </w:r>
    </w:p>
    <w:p>
      <w:pPr>
        <w:ind w:left="4120"/>
        <w:spacing w:after="0" w:line="238" w:lineRule="auto"/>
        <w:rPr>
          <w:sz w:val="20"/>
          <w:szCs w:val="20"/>
          <w:color w:val="auto"/>
        </w:rPr>
      </w:pPr>
      <w:r>
        <w:rPr>
          <w:rFonts w:ascii="Courier New" w:cs="Courier New" w:eastAsia="Courier New" w:hAnsi="Courier New"/>
          <w:sz w:val="15"/>
          <w:szCs w:val="15"/>
          <w:color w:val="auto"/>
        </w:rPr>
        <w:t>and Director (5)(6)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w:t>
      </w:r>
    </w:p>
    <w:p>
      <w:pPr>
        <w:ind w:left="800" w:hanging="790"/>
        <w:spacing w:after="0" w:line="237"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5" w:lineRule="exact"/>
        <w:rPr>
          <w:rFonts w:ascii="Courier New" w:cs="Courier New" w:eastAsia="Courier New" w:hAnsi="Courier New"/>
          <w:sz w:val="15"/>
          <w:szCs w:val="15"/>
          <w:color w:val="auto"/>
        </w:rPr>
      </w:pPr>
    </w:p>
    <w:p>
      <w:pPr>
        <w:ind w:left="800" w:right="180" w:hanging="790"/>
        <w:spacing w:after="0" w:line="235"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resign as President and as a member of the Executive Committee as of the Effective Time and to become Regional Vice President -- Atlantic Region and Vice Chairman of the Board</w:t>
      </w:r>
    </w:p>
    <w:p>
      <w:pPr>
        <w:ind w:left="800" w:hanging="790"/>
        <w:spacing w:after="0" w:line="237"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and Stock Incentive Plan Committee</w:t>
      </w:r>
    </w:p>
    <w:p>
      <w:pPr>
        <w:ind w:left="800" w:hanging="790"/>
        <w:spacing w:after="0" w:line="237"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DIRECTOR</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DIRECTOR</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AGE</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SINCE</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CLASS</w:t>
            </w:r>
          </w:p>
        </w:tc>
      </w:tr>
      <w:tr>
        <w:trPr>
          <w:trHeight w:val="168"/>
        </w:trPr>
        <w:tc>
          <w:tcPr>
            <w:tcW w:w="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III</w:t>
            </w:r>
          </w:p>
        </w:tc>
      </w:tr>
      <w:tr>
        <w:trPr>
          <w:trHeight w:val="336"/>
        </w:trPr>
        <w:tc>
          <w:tcPr>
            <w:tcW w:w="4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II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39</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57</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1991</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III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60</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52</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65</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II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36</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III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66</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II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66</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67</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II</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47</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III (7)</w:t>
            </w:r>
          </w:p>
        </w:tc>
      </w:tr>
    </w:tbl>
    <w:p>
      <w:pPr>
        <w:sectPr>
          <w:pgSz w:w="11900" w:h="16838" w:orient="portrait"/>
          <w:cols w:equalWidth="0" w:num="2">
            <w:col w:w="6920" w:space="520"/>
            <w:col w:w="279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ind w:left="800" w:hanging="790"/>
        <w:spacing w:after="0" w:line="237"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appointed to the Board of Directors as of the Effective Time</w:t>
      </w:r>
    </w:p>
    <w:p>
      <w:pPr>
        <w:spacing w:after="0" w:line="5" w:lineRule="exact"/>
        <w:rPr>
          <w:rFonts w:ascii="Courier New" w:cs="Courier New" w:eastAsia="Courier New" w:hAnsi="Courier New"/>
          <w:sz w:val="15"/>
          <w:szCs w:val="15"/>
          <w:color w:val="auto"/>
        </w:rPr>
      </w:pPr>
    </w:p>
    <w:p>
      <w:pPr>
        <w:ind w:left="800" w:right="3939" w:hanging="790"/>
        <w:spacing w:after="0" w:line="234"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appointed President and Chief Operating Officer as of the Effective Time</w:t>
      </w:r>
    </w:p>
    <w:p>
      <w:pPr>
        <w:spacing w:after="0" w:line="5" w:lineRule="exact"/>
        <w:rPr>
          <w:rFonts w:ascii="Courier New" w:cs="Courier New" w:eastAsia="Courier New" w:hAnsi="Courier New"/>
          <w:sz w:val="15"/>
          <w:szCs w:val="15"/>
          <w:color w:val="auto"/>
        </w:rPr>
      </w:pPr>
    </w:p>
    <w:p>
      <w:pPr>
        <w:ind w:left="800" w:right="3319" w:hanging="790"/>
        <w:spacing w:after="0" w:line="234"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renominated at expiration of term with term expiring in the year 2000 or thereafter</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John E. Drury (Class III) has been Chief Executive Officer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Donald F. Moorehead, Jr. (Class II) has been Vice Chairman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166"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David Sutherland-Yoest (Class I) has been President since May 27, 1994. Prior to joining USA Waste, he was President, Chief Executive Officer and a director of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Vice-President, Corporate Development,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George L. Ball (Class III) has been non-executive Chairman of the Board and a director of SMMI since May 1992. From September 1992 to January 1994, Mr. Ball was a Senior Executive Vice President of Smith Barney Shearson Inc. From September 1991 to September 1992, Mr. Ball was a consultant to J. &amp; W. Seligman &amp; Co. Incorporated. In 1982, Mr. Ball was elected President and Chief Executive Officer of Prudential-Bache Securities, Inc. and in 1986 was elected Chairman of the Board, serving in such position until his resignation in 1991. He also served as a member of the Executive Office of Prudential Insurance Company of America. Prior to joining Prudential, Mr. Ball served as President of E.F. Hutton Group, Inc. Mr. Ball is also a director of American Ecology Corporation, Leviathan Gas Pipeline Company, L.P., and BioMedical Waste Systems, Inc. Mr. Ball is a trustee emeritus of Brown University, a director of the National Symphony Orchestra, a trustee of the Joint Council on Economic Education, and a director of the Jefferson Awards.</w:t>
      </w:r>
    </w:p>
    <w:p>
      <w:pPr>
        <w:spacing w:after="0" w:line="16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Peter J. Gibbons (Class I) has served as a director of USA Waste since June 1995. He was affiliated in various capacities with the accounting firm of Price Waterhouse from 1961 until his retirement therefrom as a partner in July 1993.</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Richard J. Heckmann (Class I)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 Mr. Heckmann is also a director of Air Cure, Inc.</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William E. Moffett (Class II) has served as a director of USA Waste since June 1995. In 1992, Mr. Moffett retired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 Corporation in 1969 and served in a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of managerial assignments for that company and its subsidiaries. Mr. Moffett also serves as a director of Calvin Exploration Company, Inc.</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Alexander W. Rangos (Class III) has been a director of USA Waste since June 1995. From June 1995 to December 1995, he was Executive Vice President--Corporate Development of USA Waste. Prior to such time, he served as President and Chief Operating Officer of Chambers since January 1994. Prior thereto, he served with Chambers as Executive Vice President -- Operations and Corporate Development from 1990 to 1994, as Executive Vice President -- Corporate Development from 1985 to 1990, and as Manager of the Southern Region from 1984 to 1985. Mr. Rangos is a son of John G. Rangos, Sr.</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John G. Rangos, Sr. (Class III) served as Vice Chairman of the Board of Directors of USA Waste from June 1995 until December 1995. Prior to such time, Mr. Rangos served as Chief Executive Officer of Chambers from 1973 to June 1995. Mr. Rangos is the father of Alexander W. Rangos, a Vice Chairman of USA Waste. In connection with the settlement of the Commission's investigation with respect to Chambers' accounting method and the accuracy of its financial statements, the Commission, in May 1995, instituted administrative proceedings against Chambers and certain of its employees and outside auditors whose conduct the Commission found has caused Chambers' violations of the reporting, internal controls and recordkeeping provisions of the Exchange Act. The Commission, while not finding that Mr. Rangos knew of those violations, found that he had not exercised sufficient oversight over the company's recordkeeping, internal accounting controls, and financial reporting functions to assure that Chambers complied with the applicable provisions of the Exchange Act. Mr. Rangos consented to the issuance of a cease and desist order without admitting or denying the Commission's findings.</w:t>
      </w:r>
    </w:p>
    <w:p>
      <w:pPr>
        <w:spacing w:after="0" w:line="16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Kosti Shirvanian (Class I) founded Western in 1955 as a sole proprietorship. He has served as Western's Chairman of the Board of Directors, President and Chief Executive Officer since Western's incorporation in 1964 and has been a director of USA Waste since May 1996.</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Savey Tufenkian (Class II) helped to establish Western in 1955 and has served as the Secretary and Treasurer of Western since its incorporation in 1964. In 1988, she was elected as Executive Vice President, Secretary and Treasurer of Western and served in those positions until May 1996, at which time she became a director of USA Waste.</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Rodney R. Proto is President, Chief Operating Officer and a Director of Sanifill. Mr. Proto joined Sanifill in February 1992. Prior to such time, he was employed by Browning-Ferris Industries, Inc. for 12 years where he served, among other positions, as Chairman of BFI Overseas from 1985 to 1987 and President of Browning-Ferris Industries Europe, Inc. from 1987 through 1991.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COMMITTEES AND COMPENSATION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USA Waste Board of Directors held seven meetings in 1995. Each director attended all of the Board of Directors' meetings in 1995 held during the period in which he served. For 1995, directors who are not employed by USA Waste received (i) an annual fee of $18,000 and (ii) a bonus of USA Waste Common Stock valued at $5,000. At the 1996 annual meeting of the stockholders of USA Waste, the stockholders approved a proposal designated "Director Plan" which provides that non-employee directors will receive an annual grant of options to purchase 10,000 shares of USA Waste Common Stock. Such directors will not receive any cash compensation or stock bonus as in prior years. In addition, USA Waste reimburses directors for their travel and out-of-pocket expenses incurred in attending Board or committee meetings.</w:t>
      </w:r>
    </w:p>
    <w:p>
      <w:pPr>
        <w:spacing w:after="0" w:line="16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USA Waste Board of Directors has an Audit Committee, a Compensation and Stock Incentive Plan Committee (the "Compensation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Committee met once in 1995. The Compensation Committee reviews and recommends compensation for USA Waste officers and employees and recommends to the Board of Directors changes in USA Waste's incentive compensation plans. The Compensation Committee met twice in 1995.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three times in 1995. All of the directors attended all committee meetings during 1995 of the committees of which they were members.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66" w:lineRule="exact"/>
        <w:rPr>
          <w:sz w:val="20"/>
          <w:szCs w:val="20"/>
          <w:color w:val="auto"/>
        </w:rPr>
      </w:pPr>
    </w:p>
    <w:p>
      <w:pPr>
        <w:ind w:left="800"/>
        <w:spacing w:after="0"/>
        <w:tabs>
          <w:tab w:leader="none" w:pos="2440" w:val="left"/>
        </w:tabs>
        <w:rPr>
          <w:sz w:val="20"/>
          <w:szCs w:val="20"/>
          <w:color w:val="auto"/>
        </w:rPr>
      </w:pPr>
      <w:r>
        <w:rPr>
          <w:rFonts w:ascii="Courier New" w:cs="Courier New" w:eastAsia="Courier New" w:hAnsi="Courier New"/>
          <w:sz w:val="15"/>
          <w:szCs w:val="15"/>
          <w:color w:val="auto"/>
        </w:rPr>
        <w:t>Each of the</w:t>
      </w:r>
      <w:r>
        <w:rPr>
          <w:sz w:val="20"/>
          <w:szCs w:val="20"/>
          <w:color w:val="auto"/>
        </w:rPr>
        <w:tab/>
      </w:r>
      <w:r>
        <w:rPr>
          <w:rFonts w:ascii="Courier New" w:cs="Courier New" w:eastAsia="Courier New" w:hAnsi="Courier New"/>
          <w:sz w:val="14"/>
          <w:szCs w:val="14"/>
          <w:color w:val="auto"/>
        </w:rPr>
        <w:t>executive officers (including the chief executive</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officer and the other four most highly compensated executive officers of USA Waste) will continue as an executive officer of USA Waste after the Merger. David Sutherland-Yoest will resign as President of USA Waste effective as of the Effective Time and will become Regional Vice President -- Atlantic Region. Rodney R. Proto, Sanifill's President and Chief Operating Officer, will serve as USA Waste's President and Chief Operating Officer after the Merger. Each of the executive officers serves at the discretion of the Board of Directors.</w:t>
      </w:r>
    </w:p>
    <w:p>
      <w:pPr>
        <w:spacing w:after="0" w:line="32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AMENDMENT TO USA WASTE RESTATED CERTIFICATE OF INCORPORATION</w:t>
      </w:r>
    </w:p>
    <w:p>
      <w:pPr>
        <w:spacing w:after="0" w:line="173" w:lineRule="exact"/>
        <w:rPr>
          <w:sz w:val="20"/>
          <w:szCs w:val="20"/>
          <w:color w:val="auto"/>
        </w:rPr>
      </w:pPr>
    </w:p>
    <w:p>
      <w:pPr>
        <w:ind w:right="3579" w:firstLine="787"/>
        <w:spacing w:after="0" w:line="254" w:lineRule="auto"/>
        <w:rPr>
          <w:sz w:val="20"/>
          <w:szCs w:val="20"/>
          <w:color w:val="auto"/>
        </w:rPr>
      </w:pPr>
      <w:r>
        <w:rPr>
          <w:rFonts w:ascii="Courier New" w:cs="Courier New" w:eastAsia="Courier New" w:hAnsi="Courier New"/>
          <w:sz w:val="14"/>
          <w:szCs w:val="14"/>
          <w:color w:val="auto"/>
        </w:rPr>
        <w:t>The authorized capital stock of USA Waste currently consists of 150,000,000 shares of Common Stock, par value $.01 per share, and 10,000,000 shares of Preferred Stock, par value $.01 per share. On the Record Date,</w:t>
      </w:r>
    </w:p>
    <w:p>
      <w:pPr>
        <w:spacing w:after="0" w:line="1" w:lineRule="exact"/>
        <w:rPr>
          <w:sz w:val="20"/>
          <w:szCs w:val="20"/>
          <w:color w:val="auto"/>
        </w:rPr>
      </w:pPr>
    </w:p>
    <w:p>
      <w:pPr>
        <w:ind w:left="1240" w:right="3319"/>
        <w:spacing w:after="0" w:line="254" w:lineRule="auto"/>
        <w:rPr>
          <w:sz w:val="20"/>
          <w:szCs w:val="20"/>
          <w:color w:val="auto"/>
        </w:rPr>
      </w:pPr>
      <w:r>
        <w:rPr>
          <w:rFonts w:ascii="Courier New" w:cs="Courier New" w:eastAsia="Courier New" w:hAnsi="Courier New"/>
          <w:sz w:val="14"/>
          <w:szCs w:val="14"/>
          <w:color w:val="auto"/>
        </w:rPr>
        <w:t>shares of USA Waste Common Stock were issued and outstanding, and shares were reserved for issuance upon exercise of outstanding</w:t>
      </w:r>
    </w:p>
    <w:p>
      <w:pPr>
        <w:spacing w:after="0" w:line="231" w:lineRule="auto"/>
        <w:rPr>
          <w:sz w:val="20"/>
          <w:szCs w:val="20"/>
          <w:color w:val="auto"/>
        </w:rPr>
      </w:pPr>
      <w:r>
        <w:rPr>
          <w:rFonts w:ascii="Courier New" w:cs="Courier New" w:eastAsia="Courier New" w:hAnsi="Courier New"/>
          <w:sz w:val="15"/>
          <w:szCs w:val="15"/>
          <w:color w:val="auto"/>
        </w:rPr>
        <w:t>options, warrants and convertible securities.</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Merger will require the issuance of approximately million shares of USA Waste Common Stock and the reservation for issuance of up to approximately million additional shares pursuant to outstanding options,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warrants and convertible securities of Sanifill, the sum of which exceeds the number of shares of USA Waste Common Stock currently authorized, unissued and not reserved for other purposes. In addition to the shares to be issued in connection with the Merger, the USA Waste Board of Directors believes that it is in the best interests of USA Waste to have additional shares of USA Waste Common Stock available for issuance at its discretion for future acquisitions, stock splits, stock dividends, equity financings, employee benefit plans and other corporate purposes. Accordingly, the USA Waste Board of Directors has proposed an amendment to the Restated Certificate of Incorporation of USA Waste to increase the number of shares of USA Waste Common Stock available for issuance from 150,000,000 to 300,000,000. The implementation of the Merger is conditioned on the adoption of this proposal; however, this proposal is not conditioned on the consummation of the Merger, and, if approved by the stockholders of USA Waste, it is the present intent of the USA Waste Board of Directors to implement this proposal even if the Merger is not consummated.</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If the proposal is approved by the stockholders of USA Waste as described below, the additional shares of USA Waste Common Stock may be issued from time to time upon authorization of the Board of Directors, without further approval by the stockholders unless required by applicable law or NYSE rules, which generally require the approval of a majority of USA Waste's stockholders when USA Waste Common Stock is to be issued if such USA Waste Common Stock has voting power equal to or in excess of 20% of the voting power outstanding, and for such consideration as the USA Waste Board of Directors may determine and as may be permitted by applicable law. The availability of additional shares of USA Waste Common Stock for issuance will afford USA Waste greater flexibility in acting upon proposed transactions.</w:t>
      </w:r>
    </w:p>
    <w:p>
      <w:pPr>
        <w:spacing w:after="0" w:line="16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increase in authorized shares is not being proposed as a means of preventing or dissuading a change in control or takeover of USA Waste. However, use of these shares for such a purpose is possible. Shares of authorized but unissued or unreserved USA Waste Common Stock and Preferred Stock, for example, could be issued in an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52</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to dilute the stock ownership and voting power of persons seeking to obtain control of USA Waste or could be issued to purchasers who would support the Board of Directors in opposing a takeover proposal. In addition, the increase in authorized shares, if approved, may have the effect of discouraging a challenge for control or making it less likely that such a challenge, if attempted, would be successful.</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proposed amendment does not change the terms of the USA Waste Common Stock, which does not have preemptive rights. The additional shares of USA Waste Common Stock for which authorization is sought will have the same voting rights, the same rights to dividends and distribution and will be identical in all other respects to the shares of USA Waste Common Stock now authorized.</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Recommendation of the Board of Directors. The Board of Directors of USA Waste recommends that the stockholders of USA Waste vote FOR the amendment, which is being proposed by the Board of Directors in order to ensure that (i) there will be sufficient authorized, unissued and unreserved shares of USA Waste Common Stock available to effect the Merger (and reserve shares for issuance pursuant to the Sanifill Options, the Sanifill Warrants and the Sanifill Convertible Debentures) and (ii) after the Merger, USA Waste will have shares available for issuance at the Board of Directors' discretion for future acquisitions, stock splits, stock dividends, equity financings, employee benefit plans and other corporate purposes.</w:t>
      </w:r>
    </w:p>
    <w:p>
      <w:pPr>
        <w:spacing w:after="0" w:line="179"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Vote Required for Approval. Approval of the amendment to the USA Waste Restated Certificate of Incorporation requires the affirmative vote of a majority of the outstanding shares of USA Waste Common Stock. If approved by the stockholders of USA Waste, it is anticipated that this amendment to the Restated Certificate of Incorporation will become effective as soon as practicable after the USA Waste Special Meeting. See "The Meetings -- Vote Required for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52" w:name="page53"/>
    <w:bookmarkEnd w:id="52"/>
    <w:p>
      <w:pPr>
        <w:ind w:left="18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PLAN OF MERGER AND TERMS OF THE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OF THE MERGER</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Merger will become effective at such time as shall be stated in a certificate of merger to be filed with the Secretary of State of the State of Delaware. It is anticipated that if the Merger Agreement is approved at the USA Waste Special Meeting and the Sanifill Special Meeting and all other conditions to the Merger have been satisfied or waived, the Effective Time will occur as soon as possible after the Meetings. If all other conditions to the Merger have not been satisfied prior to the Meetings, however, it is anticipated that the Effective Time will occur as soon as practicable after the date on which the last of the conditions to closing contained in the Merger Agreement is fulfilled or waived. See "-- Conditions to the Merger."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MANNER AND BASIS FOR CONVERTING SHARES</w:t>
      </w:r>
    </w:p>
    <w:p>
      <w:pPr>
        <w:spacing w:after="0" w:line="173" w:lineRule="exact"/>
        <w:rPr>
          <w:sz w:val="20"/>
          <w:szCs w:val="20"/>
          <w:color w:val="auto"/>
        </w:rPr>
      </w:pPr>
    </w:p>
    <w:p>
      <w:pPr>
        <w:ind w:right="3759" w:firstLine="787"/>
        <w:spacing w:after="0" w:line="261" w:lineRule="auto"/>
        <w:rPr>
          <w:sz w:val="20"/>
          <w:szCs w:val="20"/>
          <w:color w:val="auto"/>
        </w:rPr>
      </w:pPr>
      <w:r>
        <w:rPr>
          <w:rFonts w:ascii="Courier New" w:cs="Courier New" w:eastAsia="Courier New" w:hAnsi="Courier New"/>
          <w:sz w:val="14"/>
          <w:szCs w:val="14"/>
          <w:color w:val="auto"/>
        </w:rPr>
        <w:t>At the Effective Time, each outstanding share of Sanifill Common Stock will be converted into 1.70 shares of USA Waste Common Stock.</w:t>
      </w:r>
    </w:p>
    <w:p>
      <w:pPr>
        <w:spacing w:after="0" w:line="16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Promptly after the Effective Time, USA Waste will cause the Exchange Agent to mail to each record holder of Sanifill Common Stock immediately prior to the Effective Time, a letter of transmittal and other information advising such holder of the consummation of the Merger and instructions for use in effecting the surrender of Sanifill Common Stock certificates in exchange for USA Waste Common Stock certificates and cash in lieu of fractional shares. Letters of transmittal will also be available following the Effective Time at the offices of the Exchange Agent. After the Effective Time, there will be no further registration of transfers on the stock transfer books of Sanifill of shares of Sanifill Common Stock that were outstanding immediately prior to the Effective Time. SHARE CERTIFICATES SHOULD NOT BE SURRENDERED FOR EXCHANGE BY STOCKHOLDERS OF SANIFILL PRIOR TO APPROVAL OF THE MERGER AND THE RECEIPT OF A LETTER OF TRANSMITTAL.</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No fractional shares of USA Waste Common Stock will be issued in the Merger. Each stockholder of Sanifill otherwise entitled to a fractional share will receive an amount in cash equal to the value of such fractional share based upon the average closing sale price of USA Waste Common Stock on the NYSE during the 10 trading days preceding the Effective Time. No interest will be paid on such amount, and all shares of Sanifill Common Stock held by a record holder will be aggregated for purposes of computing the number of shares of USA Waste Common Stock to be issued in the Merger.</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Until such time as a holder of Sanifill Common Stock surrenders his outstanding stock certificates to the Exchange Agent, together with the letter of transmittal, the shares of Sanifill Common Stock represented thereby will be deemed from and after the Effective Time, for all corporate purposes, to evidence the ownership of the number of full shares of USA Waste Common Stock into which such shares shall have been converted. Unless and until such outstanding certificates are surrendered, no dividends payable to the holders of USA Waste Common Stock, as of any time on or after the Effective Time, will be paid to the holders of such outstanding certificates. Upon surrender of the certificates previously representing shares of Sanifill Common Stock, the holder thereof will receive certificates representing the whole number of shares of USA Waste Common Stock to which he or she is entitled, cash in lieu of fractional shares and the amount of any dividends payable which theretofore became payable to holders of USA Waste Common Stock on or after the Effective Time with respect to such shares, without interest thereon.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ASSUMPTION OF SANIFILL OPTIONS AND SANIFILL WARRANTS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Merger Agreement provides that USA Waste and Sanifill will take such actions as may be necessary to cause each unexpired and unexercised Sanifill Option and Sanifill Warrant to be automatically converted at the Effective Time into an option or warrant, as the case may be, to purchase a number of shares of USA Waste Common Stock equal to the number of shares of Sanifill Common Stock that could have been purchased under the Sanifill Option or Sanifill Warrant multiplied by the Exchange Ratio, at a price per share of USA Waste Common Stock equal to the</w:t>
      </w:r>
    </w:p>
    <w:p>
      <w:pPr>
        <w:sectPr>
          <w:pgSz w:w="11900" w:h="16838" w:orient="portrait"/>
          <w:cols w:equalWidth="0" w:num="1">
            <w:col w:w="10139"/>
          </w:cols>
          <w:pgMar w:left="3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281" w:right="1440" w:bottom="1440" w:gutter="0" w:footer="0" w:header="0"/>
          <w:type w:val="continuous"/>
        </w:sectPr>
      </w:pPr>
    </w:p>
    <w:bookmarkStart w:id="53" w:name="page54"/>
    <w:bookmarkEnd w:id="53"/>
    <w:p>
      <w:pPr>
        <w:ind w:left="183"/>
        <w:spacing w:after="0"/>
        <w:rPr>
          <w:sz w:val="20"/>
          <w:szCs w:val="20"/>
          <w:color w:val="auto"/>
        </w:rPr>
      </w:pP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 w:right="3319"/>
        <w:spacing w:after="0" w:line="236" w:lineRule="auto"/>
        <w:rPr>
          <w:sz w:val="20"/>
          <w:szCs w:val="20"/>
          <w:color w:val="auto"/>
        </w:rPr>
      </w:pPr>
      <w:r>
        <w:rPr>
          <w:rFonts w:ascii="Courier New" w:cs="Courier New" w:eastAsia="Courier New" w:hAnsi="Courier New"/>
          <w:sz w:val="15"/>
          <w:szCs w:val="15"/>
          <w:color w:val="auto"/>
        </w:rPr>
        <w:t>exercise price determined pursuant to the Sanifill Option or Sanifill Warrant divided by the Exchange Ratio, and subject to the same terms and conditions as the Sanifill Option or Sanifill Warrant (including anti-dilution provisions). USA Waste will assume all of Sanifill's obligations with respect to the Sanifill Options and Sanifill Warrants as so amended and shall, from and after the Effective Time, make available for issuance upon exercise of any such Sanifill Options and Sanifill Warrants all shares of USA Waste Common Stock covered thereby.</w:t>
      </w:r>
    </w:p>
    <w:p>
      <w:pPr>
        <w:spacing w:after="0" w:line="17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TREATMENT OF SANIFILL CONVERTIBLE DEBENTURES</w:t>
      </w:r>
    </w:p>
    <w:p>
      <w:pPr>
        <w:spacing w:after="0" w:line="173" w:lineRule="exact"/>
        <w:rPr>
          <w:sz w:val="20"/>
          <w:szCs w:val="20"/>
          <w:color w:val="auto"/>
        </w:rPr>
      </w:pPr>
    </w:p>
    <w:p>
      <w:pPr>
        <w:ind w:left="3" w:right="3319" w:firstLine="787"/>
        <w:spacing w:after="0" w:line="254" w:lineRule="auto"/>
        <w:rPr>
          <w:sz w:val="20"/>
          <w:szCs w:val="20"/>
          <w:color w:val="auto"/>
        </w:rPr>
      </w:pPr>
      <w:r>
        <w:rPr>
          <w:rFonts w:ascii="Courier New" w:cs="Courier New" w:eastAsia="Courier New" w:hAnsi="Courier New"/>
          <w:sz w:val="14"/>
          <w:szCs w:val="14"/>
          <w:color w:val="auto"/>
        </w:rPr>
        <w:t>The Sanifill Convertible Debentures that are outstanding immediately prior to the Effective Time will remain outstanding subsequent to the Effective Time as debt instruments of the Surviving Corporation, subject to their respective terms and conditions and the execution and delivery of a supplemental indenture in the form required thereby. After the Effective Time, each outstanding Sanifill Convertible Debenture will be convertible into the amount of shares of USA Waste Common Stock (and cash in lieu of fractional shares) that the holder thereof would have had the right to receive if such Sanifill Convertible Debenture had been converted immediately prior to the Effective Time, subject to subsequent anti-dilution adjustments as provided in the terms of the Sanifill Convertible Debentures. After the Merger, Sanifill must enter into a supplemental indenture with the Trustee providing for such conversion right into shares of USA Waste Common Stock. As of March 31, 1996, $115 million in aggregate principal amount of Sanifill Convertible Debentures were outstanding (which are convertible into 2,389,610 shares of Sanifill Common Stock). In connection with or after the Merger, USA Waste may become a co-obligor under or a guarantor of the Sanifill Convertible Debentures but no definitive decision in this regard has been made by USA Waste.</w:t>
      </w:r>
    </w:p>
    <w:p>
      <w:pPr>
        <w:spacing w:after="0" w:line="174" w:lineRule="exact"/>
        <w:rPr>
          <w:sz w:val="20"/>
          <w:szCs w:val="20"/>
          <w:color w:val="auto"/>
        </w:rPr>
      </w:pPr>
    </w:p>
    <w:p>
      <w:pPr>
        <w:ind w:left="3" w:right="3319" w:firstLine="787"/>
        <w:spacing w:after="0" w:line="254" w:lineRule="auto"/>
        <w:rPr>
          <w:sz w:val="20"/>
          <w:szCs w:val="20"/>
          <w:color w:val="auto"/>
        </w:rPr>
      </w:pPr>
      <w:r>
        <w:rPr>
          <w:rFonts w:ascii="Courier New" w:cs="Courier New" w:eastAsia="Courier New" w:hAnsi="Courier New"/>
          <w:sz w:val="14"/>
          <w:szCs w:val="14"/>
          <w:color w:val="auto"/>
        </w:rPr>
        <w:t>The Indenture governing the Sanifill Convertible Debentures and the resolutions of the Board of Directors of Sanifill creating such series (collectively, the "Indenture") provide that the holders of Sanifill Convertible Debentures have the right to convert the Sanifill Convertible Debentures into Sanifill Common Stock at any time at a conversion price of $48 1/8 per share. The Indenture also provides that Sanifill may redeem the Sanifill Convertible Debentures at any time after March 15, 1999 at 102.5% of the principal amount thereof (declining annually to par on March 1, 2002). Finally, the Indenture provides that Sanifill must offer to purchase all of the outstanding Sanifill Convertible Debentures upon a Change in Control (as hereinafter defined) at 100% of the principal amount thereof plus accrued interest. Under the Indenture a "Change in Control" means (i) the acquisition by any person of 50% of the voting power of the capital stock of Sanifill or</w:t>
      </w:r>
    </w:p>
    <w:p>
      <w:pPr>
        <w:spacing w:after="0" w:line="5" w:lineRule="exact"/>
        <w:rPr>
          <w:sz w:val="20"/>
          <w:szCs w:val="20"/>
          <w:color w:val="auto"/>
        </w:rPr>
      </w:pPr>
    </w:p>
    <w:p>
      <w:pPr>
        <w:ind w:left="3" w:right="3399" w:hanging="3"/>
        <w:spacing w:after="0" w:line="255"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involving Sanifill; provided, however, that a Change in Control shall not be deemed to have occurred if either (a) all the consideration paid for Sanifill Common Stock (excluding cash for fractional shares) in the transaction consists of shares of common stock listed on the NYSE or other national securities exchange or quoted on The Nasdaq Stock Market, Inc. and as a result of the transactions the Sanifill Convertible Debentures become convertible solely into such common stock or (b) the closing price per share for specified periods equals or exceeds 105% of the conversion price then in effect. The Merger will not constitute a "Change in Control" because it will meet the conditions in clause (a) of the proviso.</w:t>
      </w:r>
    </w:p>
    <w:p>
      <w:pPr>
        <w:spacing w:after="0" w:line="159"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CONDITIONS TO THE MERGER</w:t>
      </w:r>
    </w:p>
    <w:p>
      <w:pPr>
        <w:spacing w:after="0" w:line="173" w:lineRule="exact"/>
        <w:rPr>
          <w:sz w:val="20"/>
          <w:szCs w:val="20"/>
          <w:color w:val="auto"/>
        </w:rPr>
      </w:pPr>
    </w:p>
    <w:p>
      <w:pPr>
        <w:ind w:left="3" w:right="3319" w:firstLine="787"/>
        <w:spacing w:after="0" w:line="254" w:lineRule="auto"/>
        <w:rPr>
          <w:sz w:val="20"/>
          <w:szCs w:val="20"/>
          <w:color w:val="auto"/>
        </w:rPr>
      </w:pPr>
      <w:r>
        <w:rPr>
          <w:rFonts w:ascii="Courier New" w:cs="Courier New" w:eastAsia="Courier New" w:hAnsi="Courier New"/>
          <w:sz w:val="14"/>
          <w:szCs w:val="14"/>
          <w:color w:val="auto"/>
        </w:rPr>
        <w:t>The respective obligations of USA Waste and Sanifill to consummate the Merger are subject to the satisfaction of the following conditions: (a) the Merger Agreement and the transactions contemplated thereby shall have been approved and adopted by the requisite vote of the stockholders of USA Waste and the stockholders of Sanifill under applicable law and applicable listing requirements; (b) the USA Waste Common Stock issuable in the Merger and to be reserved for issuance upon exercise of stock options or warrants or the conversion of convertible securities shall have been authorized for listing on the NYSE upon official notice of issuance; (c) the waiting period applicable to consummation of the Merger under the HSR Act shall have expired or been terminated; (d) the Registration Statement shall have become effective in accordance with the provisions of the Securities Act, and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 (f) no action shall have been taken, and no statute, rule or regulation shall have been enacted, by any state or federal</w:t>
      </w:r>
    </w:p>
    <w:p>
      <w:pPr>
        <w:sectPr>
          <w:pgSz w:w="11900" w:h="16838" w:orient="portrait"/>
          <w:cols w:equalWidth="0" w:num="1">
            <w:col w:w="10142"/>
          </w:cols>
          <w:pgMar w:left="317"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43"/>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42"/>
          </w:cols>
          <w:pgMar w:left="317" w:top="281" w:right="1440" w:bottom="1440" w:gutter="0" w:footer="0" w:header="0"/>
          <w:type w:val="continuous"/>
        </w:sectPr>
      </w:pPr>
    </w:p>
    <w:bookmarkStart w:id="54" w:name="page55"/>
    <w:bookmarkEnd w:id="54"/>
    <w:p>
      <w:pPr>
        <w:ind w:left="180"/>
        <w:spacing w:after="0"/>
        <w:rPr>
          <w:sz w:val="20"/>
          <w:szCs w:val="20"/>
          <w:color w:val="auto"/>
        </w:rPr>
      </w:pPr>
      <w:r>
        <w:rPr>
          <w:rFonts w:ascii="Courier New" w:cs="Courier New" w:eastAsia="Courier New" w:hAnsi="Courier New"/>
          <w:sz w:val="15"/>
          <w:szCs w:val="15"/>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government or governmental agency in the United States which would prevent the consummation of the Merger or make the consummation of the Merger illegal; (g) 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failure to obtain the same would not be reasonably likely to have a material adverse effect on the business, operations, properties, assets, liabilities, condition (financial or other) or results of operations of Sanifill and its subsidiaries, taken as a whole, following the Effective Time; (h) Coopers &amp; Lybrand L.L.P., certified public accountants for USA Waste, shall have delivered a letter, dated the Closing Date (as hereinafter defined), addressed to USA Waste, in form and substance satisfactory to USA Waste, to the effect that the Merger will qualify for a "pooling of interests" accounting treatment if consummated in accordance with the Merger Agreement; and (i) Arthur Andersen LLP, certified public accountants for Sanifill, shall have delivered a memorandum, dated the Closing Date, addressed to Sanifill, in form and substance reasonably satisfactory to Sanifill, stating that the Merger will qualify for a "pooling of interests" accounting treatment if consummated in accordance with the Merger Agreement.</w:t>
      </w:r>
    </w:p>
    <w:p>
      <w:pPr>
        <w:spacing w:after="0" w:line="34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obligation of Sanifill to effect the Merger is further subject to the fulfillment of the following additional conditions: (a) USA Waste and Acquisition shall have performed in all material respects their agreements contained in the Merger Agreement required to be performed on or prior to the date on which the transactions contemplated by the Merger Agreement are consummated (the "Closing Date"), and the representations and warranties of USA Waste and Acquisition contained in the Merger Agreement shall be true and correct in all material respects on and as of the date made and (except to the extent that such representations and warranties speak as of an earlier date) on and as of the Closing Date as if made at and as of such date, and Sanifill shall have received a certificate of the Chairman of the Board and Chief Executive Officer, the President or a Vice President of USA Waste and of the President and Chief Executive Officer or a Vice President of Acquisition to that effect; (b) Sanifill shall have received an opinion of its legal counsel, Baker &amp; Botts, L.L.P., in form and substance reasonably satisfactory to Sanifill, dated the Closing Date, to the effect that Sanifill and the holders of Sanifill Common Stock (except to the extent any stockholders receive cash in lieu of fractional shares) will recognize no gain or loss for federal income tax purposes as a result of consummation of the Merger; (c) since June 22, 1996,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USA Waste and its subsidiaries, taken as a whole, except for changes that affect the industries in which USA Waste and its subsidiaries operate generally; and (d) all governmental waivers, consents, orders and approvals legally required for the consummation of the Merger and the transactions contemplated by the Merger Agreement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USA Waste and its subsidiaries, taken as a whole, following the Effective Time and no governmental authority shall have promulgated after June 22, 1996 any statute, rule or regulation which, when taken together with all other such promulgations, would materially impair the value to Sanifill of the Merger.</w:t>
      </w:r>
    </w:p>
    <w:p>
      <w:pPr>
        <w:spacing w:after="0" w:line="181"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obligation of USA Waste and Acquisition to effect the Merger is further subject to the fulfillment of the following additional conditions: (a) Sanifill shall have performed in all material respects its agreements in the Merger Agreement required to be performed on or prior to the Closing Date, and the representations and warranties of Sanifill contained in the Merger Agreement shall be true and correct in all material respects on and as of the date made and on and as of the Closing Date as if made at and as of such date, and USA Waste shall have received a certificate of the President and Chief Executive Officer or of a Vice President of Sanifill to that effect; (b) USA Waste shall have received an opinion of its counsel, Andrews &amp; Kurth L.L.P., in form and substance reasonably satisfactory to USA Waste, dated the Closing Date, to the effect that USA Waste and Acquisition will recognize no gain or loss for federal income tax purposes as a result of consummation of the Merger; (c) USA Waste shall have received from each principal executive officer, each director, and each other person who is an "affiliate," as that term is defined in paragraphs (c) and (d) of Rule 145 under the Securities Act, of USA Waste or Sanifill, as the case may be, written agreements to the effect that such person will not offer to sell, sell or otherwise dispose of any shares of USA Waste Common Stock issued in the Merger, except, in each case, pursuant to an effective registration statement or in compliance with Rule 145, as amended from time to time, or in a transaction which, in the opinion of legal counsel satisfactory to USA Waste, is exempt from</w:t>
      </w:r>
    </w:p>
    <w:p>
      <w:pPr>
        <w:sectPr>
          <w:pgSz w:w="11900" w:h="16838" w:orient="portrait"/>
          <w:cols w:equalWidth="0" w:num="1">
            <w:col w:w="10139"/>
          </w:cols>
          <w:pgMar w:left="320" w:top="281"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39"/>
          </w:cols>
          <w:pgMar w:left="320" w:top="281" w:right="1440" w:bottom="517" w:gutter="0" w:footer="0" w:header="0"/>
          <w:type w:val="continuous"/>
        </w:sectPr>
      </w:pPr>
    </w:p>
    <w:bookmarkStart w:id="55" w:name="page56"/>
    <w:bookmarkEnd w:id="55"/>
    <w:p>
      <w:pPr>
        <w:ind w:left="180"/>
        <w:spacing w:after="0"/>
        <w:rPr>
          <w:sz w:val="20"/>
          <w:szCs w:val="20"/>
          <w:color w:val="auto"/>
        </w:rPr>
      </w:pP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 registration requirements of the Securities Act and, in any case, until after the results covering 30 days of post-Merger combined operations of USA Waste and Sanifill have been filed with the Commission, sent to stockholders of USA Waste or otherwise publicly issued; (d) since June 22, 1996,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Sanifill and its subsidiaries, taken as a whole, except for changes that affect the industries in which Sanifill and its subsidiaries operate generally; and (e) all governmental waivers, consents, orders and approvals legally required for the consummation of the Merger and the transactions contemplated by the Merger Agreement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Sanifill and its subsidiaries, taken as a whole, following the Effective Time, and no governmental authority shall have promulgated after June 22, 1996 any statute, rule or regulation which, when taken together with all other such promulgations, would materially impair the value to USA Waste of the Merger.</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Neither USA Waste nor Acquisition has any obligation to consummate the Merger if any condition to its obligation to consummate the Merger is not satisfied on or prior to the Closing Date of the Merger, and Sanifill has no obligation to consummate the Merger if any condition to its obligation to consummate the Merger is not satisfied on or prior to the Closing Date of the Merger. However, termination of the Merger Agreement will not relieve either party from liability for any willful or intentional breach of the Merger Agreement. At any time prior to the Effective Time, USA Waste, Acquisition or Sanifill may (a) extend the time for the performance of any of the obligations or other acts of the other party or parties, (b) waive any inaccuracies in the representations and warranties contained in the Merger Agreement or in any document delivered pursuant thereto and (c) waive compliance with any of the agreements or conditions contained in the Merger Agreement.</w:t>
      </w:r>
    </w:p>
    <w:p>
      <w:pPr>
        <w:spacing w:after="0" w:line="164"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In connection with the consummation of the Merger, USA Waste will seek to obtain any consent or amendment as may be necessary pursuant to USA Waste's Revolving Credit Agreement, dated as of May 7, 1996, by and among USA Waste and The First National Bank of Boston, Bank of America Illinois, Morgan Guaranty Trust Company of New York and other financial institutions.</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Under the terms of an Indenture (the "Indenture"), dated as of March 1, 1996, between Sanifill and Texas Commerce Bank National Association, as trustee, relating to the Sanifill Convertible Debentures, Sanifill is required to deliver to the trustee an officers' certificate and an opinion of counsel, each stating that the Merger complies with the terms of the Indenture and that all conditions precedent provided for in the Indenture relating thereto have been complied with. The Indenture also requires Sanifill to give written notice to all holders of convertible debt issued under the Indenture at least 20 days before the Effective Time of the Merger.</w:t>
      </w:r>
    </w:p>
    <w:p>
      <w:pPr>
        <w:spacing w:after="0" w:line="16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Implementaion of the Merger is also conditioned on adoption by the stockholders of USA Waste of Proposal No. 2 to amend the Restated Certificate of Incorporation of USA Waste to increase the number of authorized shares of USA Waste Common Stock to 300,000,000 shares. See "Amendment to USA Waste Restated Certificate of Incorporation."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 OF USA WASTE AND SANIFILL</w:t>
      </w:r>
    </w:p>
    <w:p>
      <w:pPr>
        <w:spacing w:after="0" w:line="173"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In the Merger Agreement, USA Waste and Sanifill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In addition, Sanifill has represented that the Sanifill Board of Directors has taken all necessary action to amend the Sanifill Preferred Stock Rights Agreement so that none of the triggering events under such agreement will occur or cause such rights to become exercisable.</w:t>
      </w:r>
    </w:p>
    <w:p>
      <w:pPr>
        <w:sectPr>
          <w:pgSz w:w="11900" w:h="16838" w:orient="portrait"/>
          <w:cols w:equalWidth="0" w:num="1">
            <w:col w:w="10139"/>
          </w:cols>
          <w:pgMar w:left="3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39"/>
          </w:cols>
          <w:pgMar w:left="320" w:top="281" w:right="1440" w:bottom="1440" w:gutter="0" w:footer="0" w:header="0"/>
          <w:type w:val="continuous"/>
        </w:sectPr>
      </w:pPr>
    </w:p>
    <w:bookmarkStart w:id="56" w:name="page57"/>
    <w:bookmarkEnd w:id="56"/>
    <w:p>
      <w:pPr>
        <w:ind w:left="183"/>
        <w:spacing w:after="0"/>
        <w:rPr>
          <w:sz w:val="20"/>
          <w:szCs w:val="20"/>
          <w:color w:val="auto"/>
        </w:rPr>
      </w:pP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SURVIVAL OF REPRESENTATIONS, WARRANTIES AND AGREEMENTS</w:t>
      </w:r>
    </w:p>
    <w:p>
      <w:pPr>
        <w:spacing w:after="0" w:line="173" w:lineRule="exact"/>
        <w:rPr>
          <w:sz w:val="20"/>
          <w:szCs w:val="20"/>
          <w:color w:val="auto"/>
        </w:rPr>
      </w:pPr>
    </w:p>
    <w:p>
      <w:pPr>
        <w:ind w:left="3" w:right="3319" w:firstLine="787"/>
        <w:spacing w:after="0" w:line="254" w:lineRule="auto"/>
        <w:rPr>
          <w:sz w:val="20"/>
          <w:szCs w:val="20"/>
          <w:color w:val="auto"/>
        </w:rPr>
      </w:pPr>
      <w:r>
        <w:rPr>
          <w:rFonts w:ascii="Courier New" w:cs="Courier New" w:eastAsia="Courier New" w:hAnsi="Courier New"/>
          <w:sz w:val="14"/>
          <w:szCs w:val="14"/>
          <w:color w:val="auto"/>
        </w:rPr>
        <w:t>None of the representations, warranties and agreements contained in the Merger Agreement will survive the consummation of the Merger with the exception of the obligations of USA Waste to (i) take such action as is necessary to cause its Board of Directors immediately following the Effective Time to be composed of 12 members, three of which are to be designated by Sanifill prior to the Effective Time, and one of which is to be appointed to the Executive Committee of the Board of Directors of USA Waste (see "The Merger and Related Transactions -- Board of Directors After the Merger"), (ii) appoint Rodney R. Proto as President and Chief Operating Officer of USA Waste effective as of the Effective Time (see "The Merger and Related Transactions</w:t>
      </w:r>
    </w:p>
    <w:p>
      <w:pPr>
        <w:spacing w:after="0" w:line="3" w:lineRule="exact"/>
        <w:rPr>
          <w:sz w:val="20"/>
          <w:szCs w:val="20"/>
          <w:color w:val="auto"/>
        </w:rPr>
      </w:pPr>
    </w:p>
    <w:p>
      <w:pPr>
        <w:ind w:left="3" w:right="3319" w:hanging="3"/>
        <w:spacing w:after="0" w:line="255" w:lineRule="auto"/>
        <w:tabs>
          <w:tab w:leader="none" w:pos="26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After the Merger"), (iii) transfer its principal executive office to Houston, Texas as soon as practicable after the Effective Time (see "-- Office Relocation"), (iv) appoint an Exchange Agent and provide the Exchange Agent with a sufficient number of shares of USA Waste Common Stock and cash in lieu of fractional shares for delivery upon surrender of the certificates representing shares of Sanifill Common Stock (see "-- Manner and Basis for Converting Shares"), (v) assume the obligations of Sanifill in connection with its outstanding options and warrants (as amended to provide for the issuance of USA Waste Common Stock upon the exercise thereof), make available for issuance upon exercise of the same all shares of USA Waste Common Stock to be covered thereby and amend its registration statement on Form S-8 or file a new registration statement to cover the additional shares of USA Waste Common Stock to be issued upon the exercise thereof (see "-- Assumption of Sanifill Options and Sanifill Warrants"), and (vi) provide indemnification and directors' and officers' liability insurance to certain directors and officers of Sanifill (see "-- Indemnification and Insurance").</w:t>
      </w:r>
    </w:p>
    <w:p>
      <w:pPr>
        <w:spacing w:after="0" w:line="157"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CONDUCT OF THE BUSINESS OF USA WASTE AND SANIFILL PRIOR TO THE MERGER</w:t>
      </w:r>
    </w:p>
    <w:p>
      <w:pPr>
        <w:spacing w:after="0" w:line="173" w:lineRule="exact"/>
        <w:rPr>
          <w:sz w:val="20"/>
          <w:szCs w:val="20"/>
          <w:color w:val="auto"/>
        </w:rPr>
      </w:pPr>
    </w:p>
    <w:p>
      <w:pPr>
        <w:ind w:left="3" w:right="3319" w:firstLine="787"/>
        <w:spacing w:after="0" w:line="254" w:lineRule="auto"/>
        <w:rPr>
          <w:sz w:val="20"/>
          <w:szCs w:val="20"/>
          <w:color w:val="auto"/>
        </w:rPr>
      </w:pPr>
      <w:r>
        <w:rPr>
          <w:rFonts w:ascii="Courier New" w:cs="Courier New" w:eastAsia="Courier New" w:hAnsi="Courier New"/>
          <w:sz w:val="14"/>
          <w:szCs w:val="14"/>
          <w:color w:val="auto"/>
        </w:rPr>
        <w:t>Pursuant to the Merger Agreement, Sanifill has agreed that, prior to the Effective Time, and except as otherwise agreed to in writing by USA Waste and except as set forth in the Merger Agreement or disclosed to USA Waste before execution of the Merger Agreement, it shall, and shall cause each of its subsidiaries to: (a) conduct their respective businesses in the ordinary and usual course of business and consistent with past practice; (b) not (i) amend or propose to amend their respective charter or bylaws, (ii) split, combine or reclassify their outstanding capital stock or (iii) declare, set aside or pay any dividend or distribution payable in cash, stock, property or otherwise, except for the payment of dividends or distributions by a wholly owned subsidiary of Sanifill;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Sanifill may issue shares upon conversion of convertible securities and exercise of options and warrants outstanding on the date of the Merger Agreement and (ii) Sanifill may issue shares of Sanifill Common Stock in connection with acquisitions of assets or businesses pursuant to the proviso contained in clause (d) below;</w:t>
      </w:r>
    </w:p>
    <w:p>
      <w:pPr>
        <w:spacing w:after="0" w:line="7" w:lineRule="exact"/>
        <w:rPr>
          <w:sz w:val="20"/>
          <w:szCs w:val="20"/>
          <w:color w:val="auto"/>
        </w:rPr>
      </w:pPr>
    </w:p>
    <w:p>
      <w:pPr>
        <w:ind w:left="3" w:right="3319" w:hanging="3"/>
        <w:spacing w:after="0" w:line="254" w:lineRule="auto"/>
        <w:tabs>
          <w:tab w:leader="none" w:pos="353"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 incur or become contingently liable with respect to any indebtedness for borrowed money other than (A) borrowings in the ordinary course of business, (B) borrowings to refinance existing indebtedness on terms which are reasonably acceptable to USA Waste or (C) as set forth in the proviso contained in this clause (d), (ii) redeem, purchase, acquire or offer to purchase or acquire any shares of their capital stock, or any options, warrants or rights to acquire any of their capital stock, or any security convertible into or exchangeable for their capital stock, (iii) take any action that would jeopardize the treatment of the Merger as a "pooling of interests" under Accounting Principles Board Opinion No. 16, (iv) take or fail to take any action which action or failure to take action would cause Sanifill or its stockholders (except to the extent that any stockholders receive cash in lieu of fractional shares and except to the extent of stockholders in special circumstances) to recognize any gain or loss for federal income tax purposes as a result of the consummation of the Merger or would otherwise cause the Merger not to qualify as a reorganization under Section 368 of the Code, (v) make any acquisition of any assets or businesses other than expenditures for current assets in the ordinary course of business and expenditures for fixed or capital assets in the ordinary course of business and consistent with Sanifill's capital budget disclosed in its disclosure schedule and other than as set forth in the proviso of this clause (d), (vi) sell, pledge, dispose of or encumber any material assets or businesses other than sales in the ordinary course of business or (vii) enter into any binding contract, agreement, commitment or arrangement with respect to any of the foregoing; provided, however, that notwithstanding the foregoing, (other than subsections (iii) and (iv) of this clause (d)) Sanifill shall not be prohibited from acquiring any assets or businesses or issuing Sanifill Common Stock or incurring or assuming indebtedness in connection with such acquisitions so long as (x) the aggregate value of</w:t>
      </w:r>
    </w:p>
    <w:p>
      <w:pPr>
        <w:sectPr>
          <w:pgSz w:w="11900" w:h="16838" w:orient="portrait"/>
          <w:cols w:equalWidth="0" w:num="1">
            <w:col w:w="10142"/>
          </w:cols>
          <w:pgMar w:left="317" w:top="281" w:right="1440" w:bottom="6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3"/>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42"/>
          </w:cols>
          <w:pgMar w:left="317" w:top="281" w:right="1440" w:bottom="685" w:gutter="0" w:footer="0" w:header="0"/>
          <w:type w:val="continuous"/>
        </w:sectPr>
      </w:pPr>
    </w:p>
    <w:bookmarkStart w:id="57" w:name="page58"/>
    <w:bookmarkEnd w:id="57"/>
    <w:p>
      <w:pPr>
        <w:ind w:left="180"/>
        <w:spacing w:after="0"/>
        <w:rPr>
          <w:sz w:val="20"/>
          <w:szCs w:val="20"/>
          <w:color w:val="auto"/>
        </w:rPr>
      </w:pP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consideration paid or payable in connection with all such acquisitions, including any funded indebtedness assumed and any Sanifill Common Stock (valued for purposes of this limitation at a price per share equal to the price of Sanifill Common Stock on the date an agreement in respect of an acquisition is entered into) issued or issuable in connection with such acquisitions, does not exceed $80 million (excluding any acquisitions for which a letter of intent has been executed and which were disclosed to USA Waste before the execution of the Merger Agreement), (y) the aggregate value of consideration paid or payable for any one such acquisition, including any funded indebtedness assumed and any Sanifill Common Stock (valued for purposes of this limitation at a price per share equal to the price of Sanifill Common Stock on the date an agreement in respect of an acquisition is entered into) issued or issuable in connection with such acquisition, does not exceed $20 million (excluding any acquisitions for which a letter of intent has been executed and which are identified on Sanifill's disclosure schedule) and (z) Sanifill will not acquire or agree to acquire any assets or business if such acquisition or agreement may reasonably be expected to delay the consummation of the Merger; (e) 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on a regular and frequent basis with one or more representatives of USA Waste to report operational matters of materiality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Sanifill and its subsidiaries shall in no event enter into any written employment agreement;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(i) use commercially reasonable efforts to maintain with financially responsible insurance companies insurance on their tangible assets and their businesses in such amounts and against such risks and losses as are consistent with past practice; and (j) not make, change or revoke any material tax election or make any material agreement or settlement regarding taxes with any taxing authority.</w:t>
      </w:r>
    </w:p>
    <w:p>
      <w:pPr>
        <w:spacing w:after="0" w:line="200" w:lineRule="exact"/>
        <w:rPr>
          <w:sz w:val="20"/>
          <w:szCs w:val="20"/>
          <w:color w:val="auto"/>
        </w:rPr>
      </w:pPr>
    </w:p>
    <w:p>
      <w:pPr>
        <w:spacing w:after="0" w:line="318"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Pursuant to the Merger Agreement, USA Waste has agreed that, prior to the Effective Time, and except as otherwise agreed to in writing by Sanifill, it shall, and shall cause each of its subsidiaries to: (a) conduct their respective businesses in the ordinary and usual course of business and consistent with past practice; (b) not (i) amend or propose to amend their respective charter (except for the amendment to USA Waste's Restated Certificate of Incorporation to increase the number of authorized shares of USA Waste Common Stock)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 owned subsidiary of USA Waste;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USA Waste may issue shares upon conversion of convertible securities and exercise of options outstanding on the date hereof, (ii) USA Waste may issue options (and shares upon exercise of such options) pursuant to its employee stock option plans in effect on the date hereof in the ordinary course of business and consistent with past practices and (iii) USA Waste may issue shares of capital stock (or warrants or options to acquire capital stock) in connection with acquisitions of assets or businesses pursuant to the proviso contained in clause (d) below; (d) not (i) incur or become contingently liable with respect to any indebtedness for borrowed money other than (A) borrowings in the ordinary course of business, (B) borrowings to refinance existing indebtedness on terms which are reasonably acceptable to Sanifill or (C) as set forth in the proviso in this clause (d), (ii) redeem, purchase, 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under Accounting Principles Board Opinion No. 16, or (iv) take or fail to take any action which action or failure to take action would cause USA Waste or its stockholders to recognize gain or loss for federal income tax purposes as a result of the consummation of the Merger or would otherwise cause the Merger not to qualify as a reorganization under Section 368 of the Code, (v) sell, pledge, dispose of or encumber any material assets</w:t>
      </w:r>
    </w:p>
    <w:p>
      <w:pPr>
        <w:sectPr>
          <w:pgSz w:w="11900" w:h="16838" w:orient="portrait"/>
          <w:cols w:equalWidth="0" w:num="1">
            <w:col w:w="10139"/>
          </w:cols>
          <w:pgMar w:left="320" w:top="281" w:right="1440" w:bottom="3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39"/>
          </w:cols>
          <w:pgMar w:left="320" w:top="281" w:right="1440" w:bottom="349"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right="3319"/>
        <w:spacing w:after="0" w:line="254" w:lineRule="auto"/>
        <w:rPr>
          <w:sz w:val="20"/>
          <w:szCs w:val="20"/>
          <w:color w:val="auto"/>
        </w:rPr>
      </w:pPr>
      <w:r>
        <w:rPr>
          <w:rFonts w:ascii="Courier New" w:cs="Courier New" w:eastAsia="Courier New" w:hAnsi="Courier New"/>
          <w:sz w:val="14"/>
          <w:szCs w:val="14"/>
          <w:color w:val="auto"/>
        </w:rPr>
        <w:t>or businesses other than sales in the ordinary course of business, (vi) make any acquisition of any assets or businesses other than expenditures for current assets in the ordinary course of business and expenditures for fixed or capital assets in the ordinary course of business and other than as set forth in the proviso of this clause (d), or (vii) enter into any binding contract, agreement, commitment or arrangement with respect to any of the foregoing; provided, however, that notwithstanding the foregoing (other than subsections (iii) and (iv) of this clause (d)), USA Waste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USA Waste Common Stock (valued for purposes of this limitation at a price per share equal to the price of USA Waste Common Stock on the date an agreement in respect of an acquisition is entered into) issued or issuable in connection with such acquisitions, does not exceed $160 million (excluding any acquisitions for which a letter of intent has been executed and which were disclosed to Sanifill before the execution of the Merger Agreement), (y) the aggregate value of consideration paid or payable for any one such acquisition, including any funded indebtedness assumed and any USA Waste Common Stock (valued for purposes of this limitation at a price per share equal to the price of USA Waste Common Stock on the date an agreement in respect of an acquisition is entered into) issued or issuable in connection with such acquisition, does not exceed $40 million (excluding any acquisitions for which a letter of intent has been executed and which were disclosed to Sanifill before the execution of the Merger Agreement) and (z) USA Waste will not acquire or agree to acquire any assets or business if such acquisition or agreement may reasonably be expected to delay the consummation of the Merger;</w:t>
      </w:r>
    </w:p>
    <w:p>
      <w:pPr>
        <w:spacing w:after="0" w:line="178" w:lineRule="exact"/>
        <w:rPr>
          <w:sz w:val="20"/>
          <w:szCs w:val="20"/>
          <w:color w:val="auto"/>
        </w:rPr>
      </w:pPr>
    </w:p>
    <w:p>
      <w:pPr>
        <w:ind w:left="100" w:right="3319" w:hanging="3"/>
        <w:spacing w:after="0" w:line="237" w:lineRule="auto"/>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on a regular and frequent basis with one or more representatives of Sanifill to report operational matters of materiality and the general status of ongoing operations; and (g) use commercially reasonable efforts to maintain with financially responsible insurance companies insurance on their tangible assets and their businesses in such amounts and against such risks and losses as are consistent with past practice.</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NO SOLICITATION OF ACQUISITION TRANSACTIONS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Merger Agreement further provides that prior to the Effective Date or earlier termination of the Merger Agreement, Sanifill shall not, and shall not permit any of its subsidiaries to, initiate, solicit, negotiate, encourage or provide non-public confidential information to facilitate, and Sanifill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Sanifill or any capital stock of Sanifill, whether by merger, purchase of assets, tender offer or otherwise, whether for cash, securities or any other consideration or combination thereof (any such transactions being referred to herein as an "Acquisition Transaction"); provided, however, that</w:t>
      </w:r>
    </w:p>
    <w:p>
      <w:pPr>
        <w:spacing w:after="0" w:line="5" w:lineRule="exact"/>
        <w:rPr>
          <w:sz w:val="20"/>
          <w:szCs w:val="20"/>
          <w:color w:val="auto"/>
        </w:rPr>
      </w:pPr>
    </w:p>
    <w:p>
      <w:pPr>
        <w:ind w:right="3319" w:firstLine="10"/>
        <w:spacing w:after="0" w:line="254" w:lineRule="auto"/>
        <w:tabs>
          <w:tab w:leader="none" w:pos="35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Sanifill may, in response to an unsolicited written proposal or indication of interest with respect to a potential or proposed Acquisition Transaction ("Acquisition Proposal"), furnish (subject to the execution of a confidentiality agreement and standstill agreement containing provisions substantially similar to the confidentiality and standstill provisions of the confidentiality agreements executed by USA Waste and Sanifill) confidential or non-public information to a financially capable corporation, partnership, person or other entity or group (a "Potential Acquirer") and negotiate with such Potential Acquirer if Sanifill's board of directors, after consulting with its outside legal counsel, determines in good faith that the failure to provide such confidential or non-public information to or negotiate with such Potential Acquirer would constitute a breach of its fiduciary duty to its stockholders and (ii) Sanifill's Board of Directors may take and disclose to Sanifill's stockholders a position contemplated by Rule 14e-2 under the Exchange Act. Sanifill shall immediately notify USA Waste after receipt of any Acquisition Proposal or any request for non-public information relating to Sanifill or its subsidiaries in connection with an Acquisition Proposal or for access to the properties, books or records of Sanifill or any subsidiary by any person or entity that informs the Board of Directors of Sanifill or such subsidiary that it is considering making, or has made, an Acquisition Proposal. Such</w:t>
      </w:r>
    </w:p>
    <w:p>
      <w:pPr>
        <w:sectPr>
          <w:pgSz w:w="11900" w:h="16838" w:orient="portrait"/>
          <w:cols w:equalWidth="0" w:num="1">
            <w:col w:w="10239"/>
          </w:cols>
          <w:pgMar w:left="220" w:top="281" w:right="1440" w:bottom="8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853" w:gutter="0" w:footer="0" w:header="0"/>
          <w:type w:val="continuous"/>
        </w:sectPr>
      </w:pPr>
    </w:p>
    <w:bookmarkStart w:id="59" w:name="page60"/>
    <w:bookmarkEnd w:id="59"/>
    <w:p>
      <w:pPr>
        <w:ind w:left="180"/>
        <w:spacing w:after="0"/>
        <w:rPr>
          <w:sz w:val="20"/>
          <w:szCs w:val="20"/>
          <w:color w:val="auto"/>
        </w:rPr>
      </w:pP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notice to USA Waste shall be made orally and in writing and shall indicate in reasonable detail the identity of the Potential Acquirer and the terms and conditions of such proposal, inquiry or contact.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THE BUSINESS OF THE COMBINED COMPANIES FOLLOWING THE MERGER</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Following the Merger, Sanifill will be a wholly owned subsidiary of USA Waste. Pursuant to the Merger Agreement, the Certificate of Incorporation and the Bylaws of Acquisition, as in effect immediately prior to the Effective Time, will be the Certificate of Incorporation and Bylaws of the surviving corporation and thereafter may be amended in accordance with their terms and as provided in the DGCL. In connection with the execution of the Merger Agreement, USA Waste and Sanifill entered into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as of June 22, 1996.</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OR AMENDMENT</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Termination. The Merger Agreement may be terminated under certain circumstances, including (a) with the mutual written consent of USA Waste and Sanifill or (b) either by USA Waste or Sanifill at any time prior to the consummation of the Merger (i) if the Merger is not completed by December 31, 1996, for reasons other than delay on the part of the party requesting termination (the "Terminating Party"); (ii) if the representations and warranties of the non-Terminating Party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within 30 days after written notice of such failure is given to the non-Terminating Party by the Terminating Party; (iii) if the Merger is enjoined by a final, unappealable court order not entered at the request or with the support of the party requesting termination; (iv) if the non-Terminating Party (x) fails to perform in any material respect any of its material covenants in the Merger Agreement and (y) does not cure such default in all material respects within 30 days after notice of such default is given to the non-Terminating Party by the Terminating Party; and (v) if the stockholders of the non-Terminating Party fail to approve the Merger at a duly held meeting of the stockholders called for such purpose or any adjournment thereof. Additionally, Sanifill may terminate the Merger Agreement (i) if (x) Sanifill receives an offer or proposal from any Potential Acquirer (excluding any affiliate of Sanifill or any group of which any affiliate of Sanifill is a member) with respect to a merger, sale of substantial assets or other business combination involving Sanifill, (y) Sanifill's Board of Directors determines, in good faith and after consultation with an independent financial advisor, that such offer or proposal (if consummated pursuant to its terms) would result in an Acquisition Transaction more favorable to Sanifill's stockholders than the Merger (any such offer or proposal being referred to as a "Superior Proposal") and resolves to accept such Superior Proposal and (z) Sanifill shall have given USA Waste two days' prior written notice of its intention to terminate; (ii) if (x) a tender or exchange offer is commenced by a Potential Acquirer (excluding any affiliate of Sanifill or any group of which any affiliate of Sanifill is a member) for all outstanding shares of Sanifill Common Stock; (y) Sanifill's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(z) Sanifill shall have given USA Waste two days' prior written notice of its intention to terminate. Similarly, USA Waste may terminate the Merger Agreement if the Board of Directors of Sanifill shall have resolved to accept a Superior Proposal or shall have recommended to Sanifill's stockholders that they tender their shares in a tender or an exchange offer commenced by a third party (excluding any affiliate of USA Waste or any group of which any affiliate of USA Waste is a member). However, termination of the Merger Agreement will not relieve either party from liability for any breach of the Merger Agreement.</w:t>
      </w:r>
    </w:p>
    <w:p>
      <w:pPr>
        <w:spacing w:after="0" w:line="352"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Merger Agreement may not be amended except by action taken by the respective Boards of Directors of the parties or duly authorized committees thereof and then only by an instrument in writing signed on behalf of each party and in compliance with applicable law. Such amendment may take place at any time prior to the Closing Date, whether before or after approval by the stockholders of USA Waste, Sanifill or Acquisition.</w:t>
      </w:r>
    </w:p>
    <w:p>
      <w:pPr>
        <w:sectPr>
          <w:pgSz w:w="11900" w:h="16838" w:orient="portrait"/>
          <w:cols w:equalWidth="0" w:num="1">
            <w:col w:w="10139"/>
          </w:cols>
          <w:pgMar w:left="3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139"/>
          </w:cols>
          <w:pgMar w:left="320" w:top="281" w:right="1440" w:bottom="1440" w:gutter="0" w:footer="0" w:header="0"/>
          <w:type w:val="continuous"/>
        </w:sectPr>
      </w:pPr>
    </w:p>
    <w:bookmarkStart w:id="60" w:name="page61"/>
    <w:bookmarkEnd w:id="60"/>
    <w:p>
      <w:pPr>
        <w:ind w:left="180"/>
        <w:spacing w:after="0"/>
        <w:rPr>
          <w:sz w:val="20"/>
          <w:szCs w:val="20"/>
          <w:color w:val="auto"/>
        </w:rPr>
      </w:pPr>
      <w:r>
        <w:rPr>
          <w:rFonts w:ascii="Courier New" w:cs="Courier New" w:eastAsia="Courier New" w:hAnsi="Courier New"/>
          <w:sz w:val="15"/>
          <w:szCs w:val="15"/>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Sanifill and USA Waste have each agreed to pay a termination fee to the other party should certain of the termination rights described in "-- Termination or Amendment" above be exercised under certain circumstances. Sanifill has agreed to pay USA Waste a fee of $39 million if (a) Sanifill terminates the Merger Agreement in connection with a Superior Proposal as described in "-- Termination or Amendment" above or (b) USA Waste terminates the Merger Agreement as described in clause (b)(iv) of "-- Termination or Amendment" above; provided, however, that USA Waste shall not be entitled to receive such termination fee if the standstill provisions contained in the Confidentiality Agreement between USA Waste and Sanifill have lapsed and are no longer in force and effect because (a) (i) a third party, other than a third party who is an affiliate or is acting in concert with USA Waste, commences a tender or exchange offer for 20% or more of the Sanifill Common Stock, (ii) a third party, other than a third party who is an affiliate or is acting in concert with USA Waste, acquires beneficial ownership of 20% or more of the Sanifill Common Stock or (iii) Sanifill has agreed to a merger, consolidation or other acquisition of Sanifill or an acquisition of all or substantially all of the assets of Sanifill and (b) USA Waste has, following the occurrence of an event described in (a)(i), (ii) or (iii) above, taken actions that would otherwise be prohibited by the standstill provisions of the Confidentiality Agreement. See "-- Other Agreements." USA Waste has agreed to pay a fee of $39 million if Sanifill terminates the Merger Agreement as described in clause (b)(iv) of "-- Termination or Amendment" above.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Merger Agreement provides that all costs and expenses incurred in connection with the Merger Agreement and the transactions contemplated thereby shall be paid by the party incurring such expenses, except that those expenses incurred in connection with the printing and filing of this Joint Proxy Statement and Prospectus shall be shared equally by USA Waste and Sanifill and except as provided in "--Termination Fees."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RELOCATION</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terms of the Merger Agreement, USA Waste has agreed to transfer its principal executive offices to Houston, Texas, as soon as practicable after the Effective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AND INSURANCE</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Merger Agreement provides for the indemnification by USA Waste, to the fullest extent permitted under applicable law, of the present and former directors, officers, employees and agents of Sanifill or any of its subsidiaries against any costs or expenses (including attorneys fees), judgments, fines, losses, claims, damages, liabilities and amounts paid in settlement in connection with any actual or threatened claim, action, suit, proceeding or investigation, whether civil or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Sanifill) or arising out of or pertaining to the transactions contemplated by the Merger Agreement. In connection with the execution of the Merger Agreement, USA Waste and Sanifill entered into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as of June 22, 1996.</w:t>
      </w:r>
    </w:p>
    <w:p>
      <w:pPr>
        <w:spacing w:after="0" w:line="7"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addition, the Merger Agreement provides that the indemnification provisions of the Certificate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Sanifill, unless such modification is required by law. Finally, pursuant to the terms of the Merger Agreement, USA Waste has agreed to maintain in effect, for a period of six years after the Effective Time, the current policies of directors' and officers' liability insurance maintained by Sanifill and its subsidiaries (or substantially equivalent policies) with respect to matters arising prior to the Effective Time; provided,</w:t>
      </w:r>
    </w:p>
    <w:p>
      <w:pPr>
        <w:sectPr>
          <w:pgSz w:w="11900" w:h="16838" w:orient="portrait"/>
          <w:cols w:equalWidth="0" w:num="1">
            <w:col w:w="10139"/>
          </w:cols>
          <w:pgMar w:left="3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139"/>
          </w:cols>
          <w:pgMar w:left="320" w:top="281" w:right="1440" w:bottom="1440" w:gutter="0" w:footer="0" w:header="0"/>
          <w:type w:val="continuous"/>
        </w:sectPr>
      </w:pPr>
    </w:p>
    <w:bookmarkStart w:id="61" w:name="page62"/>
    <w:bookmarkEnd w:id="61"/>
    <w:p>
      <w:pPr>
        <w:ind w:left="183"/>
        <w:spacing w:after="0"/>
        <w:rPr>
          <w:sz w:val="20"/>
          <w:szCs w:val="20"/>
          <w:color w:val="auto"/>
        </w:rPr>
      </w:pPr>
      <w:r>
        <w:rPr>
          <w:rFonts w:ascii="Courier New" w:cs="Courier New" w:eastAsia="Courier New" w:hAnsi="Courier New"/>
          <w:sz w:val="15"/>
          <w:szCs w:val="15"/>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 w:right="3399"/>
        <w:spacing w:after="0" w:line="235" w:lineRule="auto"/>
        <w:rPr>
          <w:sz w:val="20"/>
          <w:szCs w:val="20"/>
          <w:color w:val="auto"/>
        </w:rPr>
      </w:pPr>
      <w:r>
        <w:rPr>
          <w:rFonts w:ascii="Courier New" w:cs="Courier New" w:eastAsia="Courier New" w:hAnsi="Courier New"/>
          <w:sz w:val="15"/>
          <w:szCs w:val="15"/>
          <w:color w:val="auto"/>
        </w:rPr>
        <w:t>however, that USA Waste is only required to obtain as much coverage as can be obtained by paying an annual premium less than or equal to two times the current annual premiums for such insurance coverage.</w:t>
      </w:r>
    </w:p>
    <w:p>
      <w:pPr>
        <w:spacing w:after="0" w:line="167"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OTHER AGREEMENTS</w:t>
      </w:r>
    </w:p>
    <w:p>
      <w:pPr>
        <w:spacing w:after="0" w:line="173" w:lineRule="exact"/>
        <w:rPr>
          <w:sz w:val="20"/>
          <w:szCs w:val="20"/>
          <w:color w:val="auto"/>
        </w:rPr>
      </w:pPr>
    </w:p>
    <w:p>
      <w:pPr>
        <w:ind w:left="3" w:right="3319" w:firstLine="787"/>
        <w:spacing w:after="0" w:line="254" w:lineRule="auto"/>
        <w:rPr>
          <w:sz w:val="20"/>
          <w:szCs w:val="20"/>
          <w:color w:val="auto"/>
        </w:rPr>
      </w:pPr>
      <w:r>
        <w:rPr>
          <w:rFonts w:ascii="Courier New" w:cs="Courier New" w:eastAsia="Courier New" w:hAnsi="Courier New"/>
          <w:sz w:val="14"/>
          <w:szCs w:val="14"/>
          <w:color w:val="auto"/>
        </w:rPr>
        <w:t>In connection with the Merger, USA Waste and Sanifill have entered into confidentiality agreements (the "Confidentiality Agreements") whereby each of USA Waste and Sanifill have agreed to keep all confidential information with respect to each other confidential and not to disclose or reveal any such information to any third parties, subject to certain exceptions. In addition, the Confidentiality Agreements prohibit each party and its affiliates, for a period of two years, from (i) acquiring or offering to acquire beneficial ownership of more than 1% of the voting securities of the other party, (ii) soliciting or encouraging others to solicit proxies with respect to the election of directors of the other party or otherwise for the purpose of acquiring control of the other party, or communicate with or seek to advise or influence any entity or person with respect to the other party's voting securities or (iii) making a public proposal to the other party concerning a merger or consolidation with, or acquisition of, the other party or take any action which would require the other party to make certain public announcements; (iv) otherwise join or form a group for the purpose of acquiring, holding, voting or disposing of any voting securities of the other party or encourage, advise or provide certain assistance to others to do any of the foregoing; or (v) request that the board of directors of the other party waive any of the foregoing provisions. The Confidentiality Agreements include provisions stating that if (x) a third party, other than a third party who is an affiliate or is acting in concert with a party subject to the Confidentiality Agreement, (1) commences a tender offer for 20% or more of the outstanding shares of the other party's common stock or (2) acquires beneficial ownership of more than 20% of the outstanding shares of the other party's common stock or (y) the other party agrees to a merger, consolidation or other acquisition of such party or an acquisition of all or substantially all of the assets of such party, then provisions (i) through (v) above shall lapse and be of no effect.</w:t>
      </w:r>
    </w:p>
    <w:p>
      <w:pPr>
        <w:spacing w:after="0" w:line="346" w:lineRule="exact"/>
        <w:rPr>
          <w:sz w:val="20"/>
          <w:szCs w:val="20"/>
          <w:color w:val="auto"/>
        </w:rPr>
      </w:pPr>
    </w:p>
    <w:p>
      <w:pPr>
        <w:ind w:left="3" w:right="3319" w:firstLine="787"/>
        <w:spacing w:after="0" w:line="255" w:lineRule="auto"/>
        <w:rPr>
          <w:sz w:val="20"/>
          <w:szCs w:val="20"/>
          <w:color w:val="auto"/>
        </w:rPr>
      </w:pPr>
      <w:r>
        <w:rPr>
          <w:rFonts w:ascii="Courier New" w:cs="Courier New" w:eastAsia="Courier New" w:hAnsi="Courier New"/>
          <w:sz w:val="14"/>
          <w:szCs w:val="14"/>
          <w:color w:val="auto"/>
        </w:rPr>
        <w:t>After the consummation of the Merger, Rodney R. Proto, the President and Chief Operating Officer of Sanifill, will become the President and Chief Operating Officer and a director of USA Waste. In addition, Mr. Proto and USA Waste expect to enter into an employment agreement at a salary to be agreed upon and on other terms substantially similar to those contained in employment agreements between USA Waste and its current executive officers.</w:t>
      </w:r>
    </w:p>
    <w:p>
      <w:pPr>
        <w:spacing w:after="0" w:line="166" w:lineRule="exact"/>
        <w:rPr>
          <w:sz w:val="20"/>
          <w:szCs w:val="20"/>
          <w:color w:val="auto"/>
        </w:rPr>
      </w:pPr>
    </w:p>
    <w:p>
      <w:pPr>
        <w:ind w:left="3" w:right="3319" w:firstLine="787"/>
        <w:spacing w:after="0" w:line="254" w:lineRule="auto"/>
        <w:rPr>
          <w:sz w:val="20"/>
          <w:szCs w:val="20"/>
          <w:color w:val="auto"/>
        </w:rPr>
      </w:pPr>
      <w:r>
        <w:rPr>
          <w:rFonts w:ascii="Courier New" w:cs="Courier New" w:eastAsia="Courier New" w:hAnsi="Courier New"/>
          <w:sz w:val="14"/>
          <w:szCs w:val="14"/>
          <w:color w:val="auto"/>
        </w:rPr>
        <w:t>Lorne D. Bain, the Chairman and Chief Executive Officer of Sanifill, has entered into an employment and non-competition agreement with USA Waste and Sanifill pursuant to which Mr. Bain will continue as an employee of USA Waste and Sanifill after the Effective Time, providing advice and services to assist with the integration of the companies and other services as reasonably requested by the chief executive officer of USA Waste. For these services, Mr. Bain will be paid a salary of $500,000 per annum and will continue to participate in insurance plans. His employment will continue for at least one year following the Effective Time, unless terminated earlier by Mr. Bain. In addition, Mr. Bain has agreed, for a period of 10 years following the Effective Time, (a) not to be affiliated with any business engaged in substantial competition with USA Waste or any of its affiliates within a</w:t>
      </w:r>
    </w:p>
    <w:p>
      <w:pPr>
        <w:spacing w:after="0" w:line="4" w:lineRule="exact"/>
        <w:rPr>
          <w:sz w:val="20"/>
          <w:szCs w:val="20"/>
          <w:color w:val="auto"/>
        </w:rPr>
      </w:pPr>
    </w:p>
    <w:p>
      <w:pPr>
        <w:ind w:left="3" w:right="3319"/>
        <w:spacing w:after="0" w:line="254" w:lineRule="auto"/>
        <w:rPr>
          <w:sz w:val="20"/>
          <w:szCs w:val="20"/>
          <w:color w:val="auto"/>
        </w:rPr>
      </w:pPr>
      <w:r>
        <w:rPr>
          <w:rFonts w:ascii="Courier New" w:cs="Courier New" w:eastAsia="Courier New" w:hAnsi="Courier New"/>
          <w:sz w:val="14"/>
          <w:szCs w:val="14"/>
          <w:color w:val="auto"/>
        </w:rPr>
        <w:t>75-mile radius of the home offices of USA Waste or any of its affiliates or any location where they do business or which acquires or attempts to acquire a business considered for acquisition by USA Waste during such 10-year period which USA Waste is continuing to pursue, and (b) not to solicit any customers or employees of USA Waste. In consideration of such non-competition agreements of Mr. Bain, USA Waste has agreed (a) to pay Mr. Bain $25,000 per month from August 2001 (when Mr. Bain becomes 60 years old) until he dies and</w:t>
      </w:r>
    </w:p>
    <w:p>
      <w:pPr>
        <w:spacing w:after="0" w:line="2" w:lineRule="exact"/>
        <w:rPr>
          <w:sz w:val="20"/>
          <w:szCs w:val="20"/>
          <w:color w:val="auto"/>
        </w:rPr>
      </w:pPr>
    </w:p>
    <w:p>
      <w:pPr>
        <w:ind w:left="3" w:right="3319" w:hanging="3"/>
        <w:spacing w:after="0" w:line="237" w:lineRule="auto"/>
        <w:tabs>
          <w:tab w:leader="none" w:pos="35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Mr. Bain's spouse $12,500 per month from the later of his death or the date on which he would have turned 60, until his spouse dies. USA Waste has also agreed to pay Mr. Bain an additional amount necessary to eliminate the effects of any disparate tax treatment under Section 4999 of the Code. In addition, USA Waste, Sanifill and Mr. Bain agreed that, pursuant to his prior employment agreement with Sanifill, Sanifill shall, for a period of three years after the Effective Time, pay or provide to Mr. Bain his current base salary, participation in insurance plans and an annual bonus payment equal to the average of the bonus payments made to Mr. Bain in respect of 1993, 1994 and 1995. The parties also agreed that Mr. Bain's unvested options for Sanifill Common Stock will vest and become exercisable, as contemplated by his prior employment agreement, when his employment under his new employment agreement terminates.</w:t>
      </w:r>
    </w:p>
    <w:p>
      <w:pPr>
        <w:sectPr>
          <w:pgSz w:w="11900" w:h="16838" w:orient="portrait"/>
          <w:cols w:equalWidth="0" w:num="1">
            <w:col w:w="10142"/>
          </w:cols>
          <w:pgMar w:left="317"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3"/>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142"/>
          </w:cols>
          <w:pgMar w:left="317" w:top="281" w:right="1440" w:bottom="1440" w:gutter="0" w:footer="0" w:header="0"/>
          <w:type w:val="continuous"/>
        </w:sectPr>
      </w:pPr>
    </w:p>
    <w:bookmarkStart w:id="62" w:name="page63"/>
    <w:bookmarkEnd w:id="62"/>
    <w:p>
      <w:pPr>
        <w:ind w:left="180"/>
        <w:spacing w:after="0"/>
        <w:rPr>
          <w:sz w:val="20"/>
          <w:szCs w:val="20"/>
          <w:color w:val="auto"/>
        </w:rPr>
      </w:pP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Kosti Shirvanian and USA Waste have entered into a letter agreement (the "Amendment Letter") amending in certain respects that certain letter agreement dated December 18, 1995 between Mr. Shirvanian and USA Waste (the "Prior Letter"). Under the Prior Letter, Mr. Shirvanian was entitled to sit on the Board of Directors of USA Waste and designate two other individuals to sit on the Board of Directors of USA Waste for a five-year period. The Amendment Letter amends the Prior Letter to provide that Mr. Shirvanian will be entitled to sit on the Board of Directors of USA Waste and designate one other individual to sit on the Board of Directors of USA Waste for the remainder of such five-year period.</w:t>
      </w:r>
    </w:p>
    <w:p>
      <w:pPr>
        <w:spacing w:after="0" w:line="179"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In connection with USA Waste's merger agreement with Chambers Development Company, Inc. in November 1994, a shareholders agreement (the "Shareholders Agreement") was executed among USA Waste and Donald F. Moorehead, Jr., John E. Drury, John G. Rangos, Sr., John G. Rangos, Jr., Alexander W. Rangos and John Rangos Development Corporation, Inc. (John G. Rangos, Sr., John G. Rangos, Jr., Alexander W. Rangos and John Rangos Development Corporation, Inc. are collectively referred to as the "Rangos Stockholders"), pursuant to which, among other things, the Rangos Stockholders had the right to designate three members of the USA Waste Board of Directors. In connection with the Merger Agreement, USA Waste and the Rangos Stockholders agreed to terminate the Shareholders Agreement as of the date of the Merger Agreement. In consideration for such termination, (i) John G. Rangos, Sr., John G. Rangos, Jr. and Alexander W. Rangos received warrants to purchase an aggregate of 700,000 shares of USA Waste Common Stock at an exercise price of $29 per share, (ii) USA Waste agreed to use its best efforts to cause the nomination of John G. Rangos, Sr. to another term as a director of USA Waste expiring in the year 2000 provided that John G. Rangos, Sr. agreed to not seek re- election thereafter, (iii) USA Waste agreed that if Alexander W. Rangos ceases to be a director, USA Waste will release him from the provisions of his non-competition agreement and (iv) USA Waste agreed to provide the Rangos Stockholders with certain registration rights that provide for a shelf registration statement covering up to 4 million shares of USA Waste Common Stock owned by the Rangos Stockholders, which shelf registration statement shall be supplemented by additional shelf registration statements to the extent that the then effective shelf registration statements cover less than 2 million shares; provided that at no time shall more than 4 million shares of USA Waste Common Stock be registered. In addition, USA Waste and the Rangos Stockholders agreed to use their best efforts to cause a merger of John Rangos Development Corporation, Inc. with and into USA Waste at any time after which such merger will qualify as a tax free reorganization (subject to certain exceptions) (collectively, the "New Rangos Agreement").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AGREEMENTS</w:t>
      </w:r>
    </w:p>
    <w:p>
      <w:pPr>
        <w:spacing w:after="0" w:line="173" w:lineRule="exact"/>
        <w:rPr>
          <w:sz w:val="20"/>
          <w:szCs w:val="20"/>
          <w:color w:val="auto"/>
        </w:rPr>
      </w:pPr>
    </w:p>
    <w:p>
      <w:pPr>
        <w:ind w:right="3679" w:firstLine="787"/>
        <w:spacing w:after="0" w:line="254" w:lineRule="auto"/>
        <w:rPr>
          <w:sz w:val="20"/>
          <w:szCs w:val="20"/>
          <w:color w:val="auto"/>
        </w:rPr>
      </w:pPr>
      <w:r>
        <w:rPr>
          <w:rFonts w:ascii="Courier New" w:cs="Courier New" w:eastAsia="Courier New" w:hAnsi="Courier New"/>
          <w:sz w:val="14"/>
          <w:szCs w:val="14"/>
          <w:color w:val="auto"/>
        </w:rPr>
        <w:t>In connection with the execution of the Merger Agreement, John E. Drury, Donald F. Moorehead, Jr., Alexander W. Rangos, John G. Rangos, Sr., Kosti Shirvanian, David Sutherland-Yoest and John Rangos Development Corporation, Inc. each executed a voting agreement and irrevocable proxy,</w:t>
      </w:r>
    </w:p>
    <w:tbl>
      <w:tblPr>
        <w:tblLayout w:type="fixed"/>
        <w:tblInd w:w="0" w:type="dxa"/>
        <w:tblCellMar>
          <w:top w:w="0" w:type="dxa"/>
          <w:left w:w="0" w:type="dxa"/>
          <w:bottom w:w="0" w:type="dxa"/>
          <w:right w:w="0" w:type="dxa"/>
        </w:tblCellMar>
      </w:tblPr>
      <w:tr>
        <w:trPr>
          <w:trHeight w:val="165"/>
        </w:trPr>
        <w:tc>
          <w:tcPr>
            <w:tcW w:w="920" w:type="dxa"/>
            <w:vAlign w:val="bottom"/>
          </w:tcPr>
          <w:p>
            <w:pPr>
              <w:spacing w:after="0" w:line="165" w:lineRule="exact"/>
              <w:rPr>
                <w:sz w:val="20"/>
                <w:szCs w:val="20"/>
                <w:color w:val="auto"/>
              </w:rPr>
            </w:pPr>
            <w:r>
              <w:rPr>
                <w:rFonts w:ascii="Courier New" w:cs="Courier New" w:eastAsia="Courier New" w:hAnsi="Courier New"/>
                <w:sz w:val="15"/>
                <w:szCs w:val="15"/>
                <w:color w:val="auto"/>
                <w:w w:val="99"/>
              </w:rPr>
              <w:t>dated June</w:t>
            </w:r>
          </w:p>
        </w:tc>
        <w:tc>
          <w:tcPr>
            <w:tcW w:w="288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7"/>
              </w:rPr>
              <w:t>22, 1996, pursuant to which they</w:t>
            </w:r>
          </w:p>
        </w:tc>
        <w:tc>
          <w:tcPr>
            <w:tcW w:w="3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(i)</w:t>
            </w:r>
          </w:p>
        </w:tc>
        <w:tc>
          <w:tcPr>
            <w:tcW w:w="266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w w:val="96"/>
              </w:rPr>
              <w:t>agreed to vote an aggregate of</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18,700,112</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shares of USA Waste Common Stock</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approximately</w:t>
            </w:r>
          </w:p>
        </w:tc>
        <w:tc>
          <w:tcPr>
            <w:tcW w:w="126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 of the</w:t>
            </w:r>
          </w:p>
        </w:tc>
      </w:tr>
      <w:tr>
        <w:trPr>
          <w:trHeight w:val="168"/>
        </w:trPr>
        <w:tc>
          <w:tcPr>
            <w:tcW w:w="41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shares of USA Waste Common Stock outstanding on</w:t>
            </w:r>
          </w:p>
        </w:tc>
        <w:tc>
          <w:tcPr>
            <w:tcW w:w="2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the Record Date) held by them</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for approval of the Merger and (ii) granted</w:t>
            </w:r>
          </w:p>
        </w:tc>
        <w:tc>
          <w:tcPr>
            <w:tcW w:w="30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irrevocable proxies with respect</w:t>
            </w:r>
          </w:p>
        </w:tc>
      </w:tr>
    </w:tbl>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to such shares, which proxies permit Sanifill to vote such shares in favor of the Merger (the "USA Waste Voting Agreements"). The USA Waste Voting Agreements terminate on the earliest of (i) the Effective Time, (ii) the date of termination of the Merger Agreement in accordance with its terms or (iii) the giving of written termination notice by Sanifill.</w:t>
      </w:r>
    </w:p>
    <w:p>
      <w:pPr>
        <w:spacing w:after="0" w:line="174"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In connection with the execution of the Merger Agreement, Lorne D. Bain, Larry J. Martin, Rodney R. Proto and Alfred C. Warrington, IV each executed a voting agreement and irrevocable proxy, dated June 22, 1996, pursuant to which they (i) agreed to vote an aggregate of 1,292,002 shares of</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Sanifill Common Stock (or approximately % of the shares of Sanifill Common Stock outstanding on the Record Date) held by them for approval of the Merger and (ii) granted irrevocable proxies with respect to such shares, which proxies permit certain officers of USA Waste to vote such shares in favor of the Merger (the "Sanifill Voting Agreements" and together with the USA Waste Voting Agreements, the "Voting Agreements"). The Sanifill Voting Agreements terminate on the earliest of (i) the Effective Time, (ii) the date of termination of the Merger Agreement in accordance with its terms or (iii) the giving of written termination notice by USA Waste.</w:t>
      </w:r>
    </w:p>
    <w:p>
      <w:pPr>
        <w:sectPr>
          <w:pgSz w:w="11900" w:h="16838" w:orient="portrait"/>
          <w:cols w:equalWidth="0" w:num="1">
            <w:col w:w="10139"/>
          </w:cols>
          <w:pgMar w:left="3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9"/>
          </w:cols>
          <w:pgMar w:left="320" w:top="281" w:right="1440" w:bottom="1440" w:gutter="0" w:footer="0" w:header="0"/>
          <w:type w:val="continuous"/>
        </w:sectPr>
      </w:pPr>
    </w:p>
    <w:bookmarkStart w:id="63" w:name="page64"/>
    <w:bookmarkEnd w:id="63"/>
    <w:p>
      <w:pPr>
        <w:ind w:left="180"/>
        <w:spacing w:after="0"/>
        <w:rPr>
          <w:sz w:val="20"/>
          <w:szCs w:val="20"/>
          <w:color w:val="auto"/>
        </w:rPr>
      </w:pP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COMPARISON OF RIGHTS OF STOCKHOLDERS OF USA WASTE AND SANIFILL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As a result of the Merger, holders of Sanifill Common Stock will become stockholders of USA Waste, and the rights of such former Sanifill stockholders will thereafter be governed by the USA Waste Restated Certificate of Incorporation, the USA Waste Bylaws and the General Corporation Law of the State of Delaware (the "DGCL"). The rights of holders of Sanifill Common Stock are currently governed by the Sanifill Certificate of Incorporation, the Sanifill Bylaws and the DGCL. The following summary, which does not purport to be a complete description of the differences between the rights of the stockholders of USA Waste and the rights of the stockholders of Sanifill, sets forth certain differences between the USA Waste Restated Certificate of Incorporation and the Sanifill Certificate of Incorporation and the USA Waste Bylaws and the Sanifill Bylaws. This summary is qualified in its entirety by reference to the full text of each of such documents and the DGCL. For more information on how such documents may be obtained, see "Available Information."</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NUMBER OF DIRECTORS; REMOVAL OF DIRECTORS; FILLING OF VACANCIES ON THE BOARD OF DIRECTORS</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USA Waste Restated Certificate of Incorporation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Sanifill Certificate of Incorporation and the Sanifill Bylaws provide that the number of directors will be fixed by resolution passed by a majority of the Sanifill Board of Directors. The Board of Directors of USA Waste currently consists of 12 members (with one vacancy), and the Board of Directors of Sanifill currently consists of nine members.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USA Waste Restated Certificate of Incorporation and the USA Waste Bylaws provide that, subject to the rights of holders of any class or series of USA Waste Preferred Stock to elect additional directors under specified circumstances, any director may be removed at any time, with cause, by its stockholders, but only upon the affirmative vote of two-thirds of the total number of votes of the then outstanding shares of capital stock of USA Waste; provided, that the notice of the meeting at which such action is taken contained notice of such proposal to remove a director. The Sanifill Bylaws provide that the stockholders may, at any special meeting called for that purpose, remove with cause any director and fill the vacancy; provided that when any director has been elected by the holders of any class of stock of Sanifill voting separately as a class under the provisions of the Sanifill Certificate of Incorporation, such director may be removed, and the vacancy filled, only by the holders of that class of stock.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USA Waste Bylaws provide that all voting by stockholders must be taken by written ballot. The Sanifill Bylaws provide that, when directed by the presiding officer of the meeting or upon the demand of any stockholder, the vote upon any matter before a meeting of stockholders shall be by written ballot.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NOMINATIONS AND PROPOSALS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USA Waste Bylaws establish advance notice procedures with regard to the nomination (other than by or at the direction of the Board of Directors of USA Waste or a committee thereof) of candidates for election as directors and with regard to certain matters to be brought before an annual or special meeting of the stockholders of USA Waste. These procedures provide that the notice of proposed stockholder nominations for the election of directors must be timely given in writing to the Secretary or the Board of Directors of USA Waste prior to the meeting at which directors are to be elected. The procedures also provide that at any meeting of the stockholders, and subject to any other applicable requirements, only such business may be conducted as has been brought before the meeting by, or at the direction of the Board of Directors or by a stockholder who has timely given prior written notice to the Secretary or the</w:t>
      </w:r>
    </w:p>
    <w:p>
      <w:pPr>
        <w:sectPr>
          <w:pgSz w:w="11900" w:h="16838" w:orient="portrait"/>
          <w:cols w:equalWidth="0" w:num="1">
            <w:col w:w="10139"/>
          </w:cols>
          <w:pgMar w:left="3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139"/>
          </w:cols>
          <w:pgMar w:left="320" w:top="281" w:right="1440" w:bottom="1440" w:gutter="0" w:footer="0" w:header="0"/>
          <w:type w:val="continuous"/>
        </w:sectPr>
      </w:pPr>
    </w:p>
    <w:bookmarkStart w:id="64" w:name="page65"/>
    <w:bookmarkEnd w:id="64"/>
    <w:p>
      <w:pPr>
        <w:ind w:left="180"/>
        <w:spacing w:after="0"/>
        <w:rPr>
          <w:sz w:val="20"/>
          <w:szCs w:val="20"/>
          <w:color w:val="auto"/>
        </w:rPr>
      </w:pPr>
      <w:r>
        <w:rPr>
          <w:rFonts w:ascii="Courier New" w:cs="Courier New" w:eastAsia="Courier New" w:hAnsi="Courier New"/>
          <w:sz w:val="15"/>
          <w:szCs w:val="15"/>
          <w:color w:val="auto"/>
        </w:rPr>
        <w:t>65</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Board of Directors of USA Waste of such stockholder's intention to bring such business before the meeting. To be timely, a notice given with respect to the nomination of directors or any other matter to be considered at an annual meeting of the stockholders must be received at the principal executive offices of USA Waste not less than 120 days nor more than 150 days in advance of the date on which USA Waste's proxy statement was released to its stockholders in connection with the previous year's annual meeting of the stockholders; provided, however, that if no annual meeting was held the previous year or the date of the annual meeting has been changed by more than 30 days from the date contemplated at the time of the previous year's proxy statement, such notice must be received by USA Waste at least 80 days prior to the date that USA Waste intends to distribute its proxy statement with respect to such annual meeting. To be timely, a notice given with respect to a special meeting of the stockholders must be received at the principal executive offices of USA Waste not less than 60 days nor more than 90 days prior to the meeting; provided, however, that if less than 70 days' notice or prior public disclosure of the meeting date is given or made by USA Waste, such notice must be received by USA Waste not later than the fifth day following the day on which the notice was mailed or such public disclosure was made. The notice must contain certain specified information specified in the USA Waste Bylaws. The USA Waste Bylaws further provide that USA Waste is not obligated to include any stockholder proposal in its proxy materials if the Board of Directors of USA Waste believes the proponent thereof has not complied with Sections 13 and 14 of the Exchange Act and the rules and regulations thereunder and that USA Waste is not required to include in its proxy materials any stockholder proposal not required to be included therein under the Exchange Act and the rules and regulations thereunder.</w:t>
      </w:r>
    </w:p>
    <w:p>
      <w:pPr>
        <w:spacing w:after="0" w:line="34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Sanifill Bylaws establish advance notice procedures with regard to the nomination (other than by or at the direction of the Board of Directors of Sanifill or a committee thereof) of candidates for election as directors and with regard to certain matters to be brought before an annual or special meeting of the stockholders of Sanifill. These procedures provide that the notice of proposed stockholder nominations for the election of directors must be timely given in writing to the Board of Directors of Sanifill prior to the meeting at which directors are to be elected. The procedures also provide that at an annual meeting, and subject to any other applicable requirements, only such business may be conducted as has been brought before the meeting by, or at the direction of the Board of Directors or by a stockholder who has timely given prior written notice to the Board of Directors of Sanifill of such stockholder's intention to bring such business before the meeting. In all cases, to be timely given, notice must be received at the principal executive offices of Sanifill not less than 80 days prior to the meeting; provided, however, that if less than 90 days' notice or prior public disclosure of the meeting date is given or made by Sanifill, such notice must be received by Sanifill not later than the 10th day following the day on which the notice was mailed or such public disclosure was made. The notice must contain certain specified information specified in the Sanifill Bylaws.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PRICE PROVISION</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Sanifill Certificate of Incorporation contains a "fair price" provision that requires the approval of holders of not less than 66 2/3% of the outstanding shares of voting stock of Sanifill, excluding shares owned, directly or indirectly, by persons who are Control Persons (as hereinafter defined), as a condition for mergers, consolidations and certain other business combinations involving Sanifill and any Control Person; provided that the 66 2/3% voting requirement is not applicable if the business combination is approved by the affirmative vote of 80% of the directors then in office. "Control Persons" include the holder of 5% or more of Sanifill's Common Stock (including shares held by such holder's affiliates and associates) and any affiliates or associates of such holder. The 66 2/3% voting requirement is also not applicable to a business combination if all of the following are satisfied: (i) the cash or fair market value of the property, securities or other consideration to be received per share by holders of Sanifill Common Stock is not less than the higher of (a) the highest price per share paid by such Control Person in acquiring any of its holdings of Sanifill Common Stock and (b) the highest per share market price of Sanifill Common Stock during the three-month period immediately preceding the date of the proxy statement described below; (ii) after becoming a Control Person and prior to the consummation of such business transaction, such Control Person has not acquired any newly issued shares of Sanifill Common Stock from Sanifill and such person has not received the benefit of any loan, advance, guaranty, pledge or other financial assistance or tax credit from Sanifill or made any major changes in Sanifill's business or equity capital structure; and (iii) a proxy statement satisfying the requirements of the Exchange Act is mailed to the stockholders for</w:t>
      </w:r>
    </w:p>
    <w:p>
      <w:pPr>
        <w:sectPr>
          <w:pgSz w:w="11900" w:h="16838" w:orient="portrait"/>
          <w:cols w:equalWidth="0" w:num="1">
            <w:col w:w="10139"/>
          </w:cols>
          <w:pgMar w:left="3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139"/>
          </w:cols>
          <w:pgMar w:left="320" w:top="281" w:right="1440" w:bottom="1440" w:gutter="0" w:footer="0" w:header="0"/>
          <w:type w:val="continuous"/>
        </w:sectPr>
      </w:pPr>
    </w:p>
    <w:bookmarkStart w:id="65" w:name="page66"/>
    <w:bookmarkEnd w:id="65"/>
    <w:p>
      <w:pPr>
        <w:ind w:left="180"/>
        <w:spacing w:after="0"/>
        <w:rPr>
          <w:sz w:val="20"/>
          <w:szCs w:val="20"/>
          <w:color w:val="auto"/>
        </w:rPr>
      </w:pPr>
      <w:r>
        <w:rPr>
          <w:rFonts w:ascii="Courier New" w:cs="Courier New" w:eastAsia="Courier New" w:hAnsi="Courier New"/>
          <w:sz w:val="15"/>
          <w:szCs w:val="15"/>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purpose of soliciting the approval of such stockholders for such business combination. The USA Waste Restated Certificate of Incorporation does not contain any similar provision.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CERTAIN CHARTER PROVISIONS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USA Waste Certificate of Incorporation requires the affirmative vote of the holders of at least 66 2/3% of the outstanding shares of capital stock entitled to vote for the approval of any amendment of the article of the USA Waste Certificate of Incorporation providing for the staggered Board of Directors, and then only if the notice of the meeting at which such proposal is acted upon provides notice of such proposed amendment. In addition, the USA Waste Restated Certificate of Incorporation prohibits the Board of Directors of USA Waste from amending or repealing any provision of the Bylaws which was adopted, amended or repealed by the stockholders.</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Sanifill Certificate of Incorporation provides that the article of the Sanifill Certificate of Incorporation pertaining to the 66 2/3% vote of stockholders in connection with the approval of business combinations with Control Persons may only be amended or repealed upon the affirmative vote of at least 66 2/3% of the issued and outstanding shares of Sanifill Common Stock; provided, however, that if there is a Control Person at the time in question, such amendment must be approved by at least 66 2/3% of the issued and outstanding shares of Sanifill Common Stock, excluding shares owned by such Control Person.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RIGHTS PLAN</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Sanifill has in place a Stockholder Rights Plan (the "Plan") pursuant to which one Preferred Share Purchase Right (a "Right") was distributed with respect to each outstanding share of Sanifill Common Stock. The Plan provides that, unless the Rights have been redeemed, one Right is granted for each additional share of Sanifill Common Stock issued by Sanifill after the date that the Plan was adopted and prior to the earlier of the time that the Rights become exercisable or December 31, 2001 (the termination date of the Plan). The Rights are not currently exercisable and trade in tandem with the shares of Sanifill Common Stock. The Rights will become exercisable and trade separately from the shares of Sanifill Common Stock ten days after a person or group acquires 15% or more of the outstanding shares of Sanifill Common Stock. Upon their becoming exercisable, each Right will entitle the holder thereof to purchase one three-hundredth of a share of a series of Preferred Stock of Sanifill at a price of $100. If a 15% stockholder (determined as provided in the Rights documents) either acquires Sanifill by means of a merger in which Sanifill survives or engages in certain other transactions with Sanifill, each Right (other than Rights held by the 15% stockholder) may be exercised to purchase shares of Sanifill Common Stock at a price equal to 50% of the market value of such shares. In addition, if Sanifill were to be acquired in a merger or business combination after the Rights became exercisable, each Right could be exercised to purchase common stock of the acquiring company at a 50% discount. The Rights are redeemable by Sanifill for $.01 per Right at any time prior to their becoming exercisable. In connection with the Merger, Sanifill has amended the Plan in such a manner that the Rights will expire at the Effective Time and the execution of the Merger Agreement and the Voting Agreements and the consummation of the Merger did not, and will not, trigger a distribution of Rights under the Plan. USA Waste does not have a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139"/>
          </w:cols>
          <w:pgMar w:left="320" w:top="281" w:right="1440" w:bottom="1440" w:gutter="0" w:footer="0" w:header="0"/>
        </w:sectPr>
      </w:pPr>
    </w:p>
    <w:bookmarkStart w:id="66" w:name="page67"/>
    <w:bookmarkEnd w:id="66"/>
    <w:p>
      <w:pPr>
        <w:ind w:left="180"/>
        <w:spacing w:after="0"/>
        <w:rPr>
          <w:sz w:val="20"/>
          <w:szCs w:val="20"/>
          <w:color w:val="auto"/>
        </w:rPr>
      </w:pPr>
      <w:r>
        <w:rPr>
          <w:rFonts w:ascii="Courier New" w:cs="Courier New" w:eastAsia="Courier New" w:hAnsi="Courier New"/>
          <w:sz w:val="15"/>
          <w:szCs w:val="15"/>
          <w:color w:val="auto"/>
        </w:rPr>
        <w:t>67</w:t>
      </w:r>
    </w:p>
    <w:p>
      <w:pPr>
        <w:jc w:val="center"/>
        <w:ind w:right="3499"/>
        <w:spacing w:after="0" w:line="237" w:lineRule="auto"/>
        <w:rPr>
          <w:sz w:val="20"/>
          <w:szCs w:val="20"/>
          <w:color w:val="auto"/>
        </w:rPr>
      </w:pPr>
      <w:r>
        <w:rPr>
          <w:rFonts w:ascii="Courier New" w:cs="Courier New" w:eastAsia="Courier New" w:hAnsi="Courier New"/>
          <w:sz w:val="15"/>
          <w:szCs w:val="15"/>
          <w:color w:val="auto"/>
        </w:rPr>
        <w:t>USA WASTE AND SANIFILL</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COMBINED UNAUDITED PRO FORMA CONDENSED FINANCIAL STATEMENTS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following combined unaudited pro forma condensed financial statements are based upon the supplemental and historical consolidated financial statements of USA Waste and of Sanifill, respectively, each as previously filed with the Commission under the Exchange Act, are incorporated by reference in this Joint Proxy Statement and Prospectus, and should be read in conjunction with those consolidated financial statements and related notes. These combined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unaudited pro forma condensed financial statements give effect to the Merger by combining the results of operations of USA Waste and Sanifill using the "pooling of interests" method of accounting as if the companies had been combined since their inception.</w:t>
      </w:r>
    </w:p>
    <w:p>
      <w:pPr>
        <w:spacing w:after="0" w:line="164"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supplemental consolidated financial statements of USA Waste have been prepared to give retroactive effect to the merger of USA Waste with Western Waste Industries on May 7, 1996 using the "pooling of interests" method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139"/>
          </w:cols>
          <w:pgMar w:left="3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68</w:t>
      </w:r>
    </w:p>
    <w:p>
      <w:pPr>
        <w:jc w:val="center"/>
        <w:ind w:right="3399"/>
        <w:spacing w:after="0" w:line="237" w:lineRule="auto"/>
        <w:rPr>
          <w:sz w:val="20"/>
          <w:szCs w:val="20"/>
          <w:color w:val="auto"/>
        </w:rPr>
      </w:pPr>
      <w:r>
        <w:rPr>
          <w:rFonts w:ascii="Courier New" w:cs="Courier New" w:eastAsia="Courier New" w:hAnsi="Courier New"/>
          <w:sz w:val="15"/>
          <w:szCs w:val="15"/>
          <w:color w:val="auto"/>
        </w:rPr>
        <w:t>USA WASTE AND SANIFILL</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COMBINED UNAUDITED PRO FORMA CONDENSED BALANCE SHEET</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31, 1996</w:t>
      </w:r>
    </w:p>
    <w:p>
      <w:pPr>
        <w:spacing w:after="0" w:line="173" w:lineRule="exact"/>
        <w:rPr>
          <w:sz w:val="20"/>
          <w:szCs w:val="20"/>
          <w:color w:val="auto"/>
        </w:rPr>
      </w:pPr>
    </w:p>
    <w:p>
      <w:pPr>
        <w:ind w:left="100" w:right="3319" w:firstLine="700"/>
        <w:spacing w:after="0" w:line="236" w:lineRule="auto"/>
        <w:rPr>
          <w:sz w:val="20"/>
          <w:szCs w:val="20"/>
          <w:color w:val="auto"/>
        </w:rPr>
      </w:pPr>
      <w:r>
        <w:rPr>
          <w:rFonts w:ascii="Courier New" w:cs="Courier New" w:eastAsia="Courier New" w:hAnsi="Courier New"/>
          <w:sz w:val="15"/>
          <w:szCs w:val="15"/>
          <w:color w:val="auto"/>
        </w:rPr>
        <w:t>The following combined unaudited pro forma condensed balance sheet presents the combined financial position of USA Waste and Sanifill as of March 31, 1996. Such unaudited pro forma combined information is based on the unaudited supplemental and unaudited historical consolidated balance sheets of USA Waste and Sanifill, respectively, as of March 31, 1996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PRO FORMA</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USA WASTE</w:t>
            </w:r>
          </w:p>
        </w:tc>
        <w:tc>
          <w:tcPr>
            <w:tcW w:w="48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SANIFILL</w:t>
            </w:r>
          </w:p>
        </w:tc>
        <w:tc>
          <w:tcPr>
            <w:tcW w:w="14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14"/>
                <w:szCs w:val="14"/>
                <w:color w:val="auto"/>
              </w:rPr>
            </w:pPr>
          </w:p>
        </w:tc>
        <w:tc>
          <w:tcPr>
            <w:tcW w:w="5600" w:type="dxa"/>
            <w:vAlign w:val="bottom"/>
            <w:gridSpan w:val="7"/>
          </w:tcPr>
          <w:p>
            <w:pPr>
              <w:jc w:val="right"/>
              <w:ind w:right="807"/>
              <w:spacing w:after="0" w:line="168" w:lineRule="exact"/>
              <w:rPr>
                <w:sz w:val="20"/>
                <w:szCs w:val="20"/>
                <w:color w:val="auto"/>
              </w:rPr>
            </w:pPr>
            <w:r>
              <w:rPr>
                <w:rFonts w:ascii="Courier New" w:cs="Courier New" w:eastAsia="Courier New" w:hAnsi="Courier New"/>
                <w:sz w:val="15"/>
                <w:szCs w:val="15"/>
                <w:color w:val="auto"/>
              </w:rPr>
              <w:t>(IN THOUSANDS, EXCEPT SHARE AND PER SHARE DATA)</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  . . . .</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29,919</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2,620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32,539</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92,142</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52,945</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145,087</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Notes and other receivables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13,133</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13,133</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20,101</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20,101</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34,626</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8,173</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42,799</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current assets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189,921</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63,738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253,659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and other receivables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17,208</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2,287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19,495</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830,115</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702,629</w:t>
            </w:r>
          </w:p>
        </w:tc>
        <w:tc>
          <w:tcPr>
            <w:tcW w:w="34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(52,688)d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1,480,056</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net assets of</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acquired businesses, net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112,908</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115,786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228,694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 assets, net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34,295</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21,079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55,374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 . . .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78,543</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28,860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107,403</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13,220d</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13,220</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assets   . . . . . . . .</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$1,262,990</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934,379</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$(39,468)</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2,157,901</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 . . . . . . . .</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42,136</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20,115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62,251</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40,258</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24,393</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64,651</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revenues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6,508</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6,162</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12,670</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debt  . . . . .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46,269</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13,484</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59,753</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Total current liabilities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135,171</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64,154</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199,325</w:t>
            </w: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Long-term debt  . . .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441,544</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359,994</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801,538</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Closure, post-closure and other</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liabilities  . . .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85,213</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66,066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151,279</w:t>
            </w: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Deferred income taxes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3,270</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66,988</w:t>
            </w:r>
          </w:p>
        </w:tc>
        <w:tc>
          <w:tcPr>
            <w:tcW w:w="34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(70,258)d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Total liabilities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665,198</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557,202</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(70,258)</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1,152,142</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Commitments and contingencies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USA Waste: $1.00 par value;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10,000,000 shares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authorized; none issued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Sanifill: $10.00 par value;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500,000 shares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authorized; none issued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USA Waste: $.01 par value;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150,000,000 shares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authorized; 89,596,573</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historical shares issued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(129,204,873 combined pro</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forma shares issued)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896</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396b</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1,292</w:t>
            </w: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Sanifill: $.01 par value;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100,000,000 shares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authorized; 23,299,000</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shares issued and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outstanding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233</w:t>
            </w:r>
          </w:p>
        </w:tc>
        <w:tc>
          <w:tcPr>
            <w:tcW w:w="34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(233)b</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Additional paid-in capital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807,049</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298,879</w:t>
            </w:r>
          </w:p>
        </w:tc>
        <w:tc>
          <w:tcPr>
            <w:tcW w:w="34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(163)b</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1,105,765</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 (accumulated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deficit) . . . . . . . . . . . .</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(207,999)</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92,613</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30,790</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(84,596)</w:t>
            </w: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Foreign currency adjustment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(14,548)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(14,548)</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144,975 shares . . . . . . . . .</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(2,154)</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(2,154)</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597,792</w:t>
            </w:r>
          </w:p>
        </w:tc>
        <w:tc>
          <w:tcPr>
            <w:tcW w:w="4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377,177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30,790</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1,005,759</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stockholders' equity  . . .</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$1,262,990</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934,379</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$(39,468)</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$2,157,901</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ectPr>
          <w:pgSz w:w="11900" w:h="16838" w:orient="portrait"/>
          <w:cols w:equalWidth="0" w:num="1">
            <w:col w:w="10239"/>
          </w:cols>
          <w:pgMar w:left="220" w:top="281" w:right="1440" w:bottom="12" w:gutter="0" w:footer="0" w:header="0"/>
        </w:sectPr>
      </w:pPr>
    </w:p>
    <w:bookmarkStart w:id="68" w:name="page69"/>
    <w:bookmarkEnd w:id="68"/>
    <w:p>
      <w:pPr>
        <w:ind w:left="2120"/>
        <w:spacing w:after="0"/>
        <w:rPr>
          <w:sz w:val="20"/>
          <w:szCs w:val="20"/>
          <w:color w:val="auto"/>
        </w:rPr>
      </w:pPr>
      <w:r>
        <w:rPr>
          <w:rFonts w:ascii="Courier New" w:cs="Courier New" w:eastAsia="Courier New" w:hAnsi="Courier New"/>
          <w:sz w:val="12"/>
          <w:szCs w:val="12"/>
          <w:color w:val="auto"/>
        </w:rPr>
        <w:t>58</w:t>
      </w:r>
    </w:p>
    <w:p>
      <w:pPr>
        <w:sectPr>
          <w:pgSz w:w="11900" w:h="16838" w:orient="portrait"/>
          <w:cols w:equalWidth="0" w:num="1">
            <w:col w:w="9019"/>
          </w:cols>
          <w:pgMar w:left="1440" w:top="478" w:right="1440" w:bottom="1440" w:gutter="0" w:footer="0" w:header="0"/>
        </w:sectPr>
      </w:pPr>
    </w:p>
    <w:bookmarkStart w:id="69" w:name="page70"/>
    <w:bookmarkEnd w:id="69"/>
    <w:p>
      <w:pPr>
        <w:ind w:left="180"/>
        <w:spacing w:after="0"/>
        <w:rPr>
          <w:sz w:val="20"/>
          <w:szCs w:val="20"/>
          <w:color w:val="auto"/>
        </w:rPr>
      </w:pPr>
      <w:r>
        <w:rPr>
          <w:rFonts w:ascii="Courier New" w:cs="Courier New" w:eastAsia="Courier New" w:hAnsi="Courier New"/>
          <w:sz w:val="15"/>
          <w:szCs w:val="15"/>
          <w:color w:val="auto"/>
        </w:rPr>
        <w:t>69</w:t>
      </w:r>
    </w:p>
    <w:p>
      <w:pPr>
        <w:jc w:val="center"/>
        <w:ind w:right="3319"/>
        <w:spacing w:after="0" w:line="237" w:lineRule="auto"/>
        <w:rPr>
          <w:sz w:val="20"/>
          <w:szCs w:val="20"/>
          <w:color w:val="auto"/>
        </w:rPr>
      </w:pPr>
      <w:r>
        <w:rPr>
          <w:rFonts w:ascii="Courier New" w:cs="Courier New" w:eastAsia="Courier New" w:hAnsi="Courier New"/>
          <w:sz w:val="15"/>
          <w:szCs w:val="15"/>
          <w:color w:val="auto"/>
        </w:rPr>
        <w:t>USA WASTE AND SANIFILL</w:t>
      </w:r>
    </w:p>
    <w:p>
      <w:pPr>
        <w:spacing w:after="0" w:line="16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COMBINED UNAUDITED PRO FORMA CONDENSED</w:t>
      </w:r>
    </w:p>
    <w:p>
      <w:pPr>
        <w:ind w:left="2360"/>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THREE MONTHS ENDED MARCH 31, 1996</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three months ended March 31, 1996 was prepared based upon the unaudited supplemental and unaudited historical statements of operations for USA Waste and Sanifill, respectively, for such period and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PRO FORMA</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USA WASTE</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SANIFILL</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ADJUSTMENTS</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(IN THOUSANDS, EXCEPT PER SHARE AMOUNTS)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Operating revenues  . . . . . . . . . . .</w:t>
            </w:r>
          </w:p>
        </w:tc>
        <w:tc>
          <w:tcPr>
            <w:tcW w:w="9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$ 201,525</w:t>
            </w:r>
          </w:p>
        </w:tc>
        <w:tc>
          <w:tcPr>
            <w:tcW w:w="9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81,000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3"/>
              </w:rPr>
              <w:t>$ 282,525</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Operating  . . . . . . . . . . . . . .</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118,101</w:t>
            </w:r>
          </w:p>
        </w:tc>
        <w:tc>
          <w:tcPr>
            <w:tcW w:w="9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51,895</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(11,040)a</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158,956</w:t>
            </w: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General and administrative . . . . . .</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24,743</w:t>
            </w:r>
          </w:p>
        </w:tc>
        <w:tc>
          <w:tcPr>
            <w:tcW w:w="9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12,247</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(286)a</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36,704</w:t>
            </w: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 and amortization  . . . .</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21,874</w:t>
            </w:r>
          </w:p>
        </w:tc>
        <w:tc>
          <w:tcPr>
            <w:tcW w:w="9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10,827a,d</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32,701</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164,718</w:t>
            </w:r>
          </w:p>
        </w:tc>
        <w:tc>
          <w:tcPr>
            <w:tcW w:w="920" w:type="dxa"/>
            <w:vAlign w:val="bottom"/>
          </w:tcPr>
          <w:p>
            <w:pPr>
              <w:spacing w:after="0"/>
              <w:rPr>
                <w:sz w:val="24"/>
                <w:szCs w:val="2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64,142</w:t>
            </w:r>
          </w:p>
        </w:tc>
        <w:tc>
          <w:tcPr>
            <w:tcW w:w="48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(499)</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228,361</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Income from operations  . . . . . . . . .</w:t>
            </w:r>
          </w:p>
        </w:tc>
        <w:tc>
          <w:tcPr>
            <w:tcW w:w="2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36,807</w:t>
            </w:r>
          </w:p>
        </w:tc>
        <w:tc>
          <w:tcPr>
            <w:tcW w:w="920" w:type="dxa"/>
            <w:vAlign w:val="bottom"/>
          </w:tcPr>
          <w:p>
            <w:pPr>
              <w:spacing w:after="0"/>
              <w:rPr>
                <w:sz w:val="24"/>
                <w:szCs w:val="2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16,858</w:t>
            </w:r>
          </w:p>
        </w:tc>
        <w:tc>
          <w:tcPr>
            <w:tcW w:w="480" w:type="dxa"/>
            <w:vAlign w:val="bottom"/>
          </w:tcPr>
          <w:p>
            <w:pPr>
              <w:spacing w:after="0"/>
              <w:rPr>
                <w:sz w:val="24"/>
                <w:szCs w:val="2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499</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54,164</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 expense . . . . . . . . . . .</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(6,765)</w:t>
            </w:r>
          </w:p>
        </w:tc>
        <w:tc>
          <w:tcPr>
            <w:tcW w:w="9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(4,462)</w:t>
            </w:r>
          </w:p>
        </w:tc>
        <w:tc>
          <w:tcPr>
            <w:tcW w:w="4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(11,227)</w:t>
            </w: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 income  . . . . . . . . . . .</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1,721</w:t>
            </w:r>
          </w:p>
        </w:tc>
        <w:tc>
          <w:tcPr>
            <w:tcW w:w="9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209</w:t>
            </w:r>
          </w:p>
        </w:tc>
        <w:tc>
          <w:tcPr>
            <w:tcW w:w="4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1,930</w:t>
            </w: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income, net  . . . . . . . . . .</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w:t>
            </w:r>
          </w:p>
        </w:tc>
        <w:tc>
          <w:tcPr>
            <w:tcW w:w="9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648</w:t>
            </w:r>
          </w:p>
        </w:tc>
        <w:tc>
          <w:tcPr>
            <w:tcW w:w="4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1,215</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(4,477)</w:t>
            </w:r>
          </w:p>
        </w:tc>
        <w:tc>
          <w:tcPr>
            <w:tcW w:w="9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(3,605)</w:t>
            </w:r>
          </w:p>
        </w:tc>
        <w:tc>
          <w:tcPr>
            <w:tcW w:w="4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(8,082)</w:t>
            </w:r>
          </w:p>
        </w:tc>
      </w:tr>
      <w:tr>
        <w:trPr>
          <w:trHeight w:val="168"/>
        </w:trPr>
        <w:tc>
          <w:tcPr>
            <w:tcW w:w="368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before income taxes  . . . . . . .</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32,330</w:t>
            </w:r>
          </w:p>
        </w:tc>
        <w:tc>
          <w:tcPr>
            <w:tcW w:w="9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13,253</w:t>
            </w:r>
          </w:p>
        </w:tc>
        <w:tc>
          <w:tcPr>
            <w:tcW w:w="4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499</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46,082</w:t>
            </w: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for income taxes  . . . . . . .</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5,558</w:t>
            </w:r>
          </w:p>
        </w:tc>
        <w:tc>
          <w:tcPr>
            <w:tcW w:w="9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5,301</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7,574d</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18,433</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from continuing operations   . .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26,772</w:t>
            </w:r>
          </w:p>
        </w:tc>
        <w:tc>
          <w:tcPr>
            <w:tcW w:w="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7,952</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(7,075)</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27,649</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 common share  . . . . . . . . . .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0.29</w:t>
            </w:r>
          </w:p>
        </w:tc>
        <w:tc>
          <w:tcPr>
            <w:tcW w:w="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0.35</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0.21c</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 equivalent shares outstanding .</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93,281</w:t>
            </w:r>
          </w:p>
        </w:tc>
        <w:tc>
          <w:tcPr>
            <w:tcW w:w="9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22,989</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16,092b</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132,362</w:t>
            </w:r>
          </w:p>
        </w:tc>
      </w:tr>
      <w:tr>
        <w:trPr>
          <w:trHeight w:val="168"/>
        </w:trPr>
        <w:tc>
          <w:tcPr>
            <w:tcW w:w="36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39"/>
          </w:cols>
          <w:pgMar w:left="320" w:top="281" w:right="1440" w:bottom="1440" w:gutter="0" w:footer="0" w:header="0"/>
        </w:sectPr>
      </w:pPr>
    </w:p>
    <w:bookmarkStart w:id="70" w:name="page71"/>
    <w:bookmarkEnd w:id="70"/>
    <w:p>
      <w:pPr>
        <w:ind w:left="180"/>
        <w:spacing w:after="0"/>
        <w:rPr>
          <w:sz w:val="20"/>
          <w:szCs w:val="20"/>
          <w:color w:val="auto"/>
        </w:rPr>
      </w:pPr>
      <w:r>
        <w:rPr>
          <w:rFonts w:ascii="Courier New" w:cs="Courier New" w:eastAsia="Courier New" w:hAnsi="Courier New"/>
          <w:sz w:val="15"/>
          <w:szCs w:val="15"/>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USA WASTE AND SANIFILL</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COMBINED UNAUDITED PRO FORMA CONDENSED</w:t>
      </w:r>
    </w:p>
    <w:p>
      <w:pPr>
        <w:ind w:left="2360"/>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YEAR ENDED DECEMBER 31, 1995</w:t>
      </w:r>
    </w:p>
    <w:p>
      <w:pPr>
        <w:spacing w:after="0" w:line="173"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1995 was prepared based upon the audited supplemental and audited historical statements of operations for USA Waste and Sanifill, respectively, for such year after giving effect to the Merger using the "pooling of interests" method of accounting and to the pro forma adjustments described in the notes to combined unaudited pro forma condensed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PRO FORMA</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USA WASTE</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SANIFILL</w:t>
            </w:r>
          </w:p>
        </w:tc>
        <w:tc>
          <w:tcPr>
            <w:tcW w:w="15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ADJUSTMENTS</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5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580" w:type="dxa"/>
            <w:vAlign w:val="bottom"/>
          </w:tcPr>
          <w:p>
            <w:pPr>
              <w:spacing w:after="0"/>
              <w:rPr>
                <w:sz w:val="20"/>
                <w:szCs w:val="20"/>
                <w:color w:val="auto"/>
              </w:rPr>
            </w:pPr>
            <w:r>
              <w:rPr>
                <w:rFonts w:ascii="Courier New" w:cs="Courier New" w:eastAsia="Courier New" w:hAnsi="Courier New"/>
                <w:sz w:val="15"/>
                <w:szCs w:val="15"/>
                <w:color w:val="auto"/>
              </w:rPr>
              <w:t>Operating revenues  . . . . . . . .</w:t>
            </w:r>
          </w:p>
        </w:tc>
        <w:tc>
          <w:tcPr>
            <w:tcW w:w="14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$ 731,000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256,705</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3"/>
              </w:rPr>
              <w:t>$ 987,705</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Operating  . . . . . . . . . .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428,331</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160,088</w:t>
            </w:r>
          </w:p>
        </w:tc>
        <w:tc>
          <w:tcPr>
            <w:tcW w:w="48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(37,114)a</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551,305</w:t>
            </w: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General and administrative . .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101,268</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39,669</w:t>
            </w:r>
          </w:p>
        </w:tc>
        <w:tc>
          <w:tcPr>
            <w:tcW w:w="48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(886)a</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140,051</w:t>
            </w: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83,519</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36,051a,d</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119,570</w:t>
            </w: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Merger costs . . . . . . . . .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25,073</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566</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25,639</w:t>
            </w: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Unusual items  . . . . . . . .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4,733</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4,733</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642,924</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200,323</w:t>
            </w:r>
          </w:p>
        </w:tc>
        <w:tc>
          <w:tcPr>
            <w:tcW w:w="4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(1,949)</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841,298</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Income from operations  . . . . . .</w:t>
            </w:r>
          </w:p>
        </w:tc>
        <w:tc>
          <w:tcPr>
            <w:tcW w:w="360" w:type="dxa"/>
            <w:vAlign w:val="bottom"/>
          </w:tcPr>
          <w:p>
            <w:pPr>
              <w:spacing w:after="0"/>
              <w:rPr>
                <w:sz w:val="24"/>
                <w:szCs w:val="2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88,076</w:t>
            </w:r>
          </w:p>
        </w:tc>
        <w:tc>
          <w:tcPr>
            <w:tcW w:w="44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56,382</w:t>
            </w:r>
          </w:p>
        </w:tc>
        <w:tc>
          <w:tcPr>
            <w:tcW w:w="48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1,949</w:t>
            </w:r>
          </w:p>
        </w:tc>
        <w:tc>
          <w:tcPr>
            <w:tcW w:w="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146,407</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Nonrecurring interest   . . .</w:t>
            </w:r>
          </w:p>
        </w:tc>
        <w:tc>
          <w:tcPr>
            <w:tcW w:w="3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(10,994)</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(10,994)</w:t>
            </w: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   . . . . . . . . . . .</w:t>
            </w:r>
          </w:p>
        </w:tc>
        <w:tc>
          <w:tcPr>
            <w:tcW w:w="3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(35,437)</w:t>
            </w:r>
          </w:p>
        </w:tc>
        <w:tc>
          <w:tcPr>
            <w:tcW w:w="4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(13,121)</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(48,558)</w:t>
            </w: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Interest income  . . . . . . .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4,222</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1,260</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5,482</w:t>
            </w: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 income, net  . . . . . .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3,220</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1,923</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5,143</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(38,989)</w:t>
            </w:r>
          </w:p>
        </w:tc>
        <w:tc>
          <w:tcPr>
            <w:tcW w:w="4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(9,938)</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(48,927)</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Income before income taxes  . . . .</w:t>
            </w:r>
          </w:p>
        </w:tc>
        <w:tc>
          <w:tcPr>
            <w:tcW w:w="360" w:type="dxa"/>
            <w:vAlign w:val="bottom"/>
          </w:tcPr>
          <w:p>
            <w:pPr>
              <w:spacing w:after="0"/>
              <w:rPr>
                <w:sz w:val="24"/>
                <w:szCs w:val="2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49,087</w:t>
            </w:r>
          </w:p>
        </w:tc>
        <w:tc>
          <w:tcPr>
            <w:tcW w:w="44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46,444</w:t>
            </w:r>
          </w:p>
        </w:tc>
        <w:tc>
          <w:tcPr>
            <w:tcW w:w="48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1,949</w:t>
            </w:r>
          </w:p>
        </w:tc>
        <w:tc>
          <w:tcPr>
            <w:tcW w:w="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97,480</w:t>
            </w: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Provision for income taxes  . . .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1,744</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18,531</w:t>
            </w:r>
          </w:p>
        </w:tc>
        <w:tc>
          <w:tcPr>
            <w:tcW w:w="480" w:type="dxa"/>
            <w:vAlign w:val="bottom"/>
          </w:tcPr>
          <w:p>
            <w:pPr>
              <w:spacing w:after="0"/>
              <w:rPr>
                <w:sz w:val="14"/>
                <w:szCs w:val="14"/>
                <w:color w:val="auto"/>
              </w:rPr>
            </w:pPr>
          </w:p>
        </w:tc>
        <w:tc>
          <w:tcPr>
            <w:tcW w:w="1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44,162d</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64,437</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Income from continuing operations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47,343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27,913</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$(42,213)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33,043</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per common share  . . . . . .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1.38</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0.29c</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5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78,912</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20,216</w:t>
            </w:r>
          </w:p>
        </w:tc>
        <w:tc>
          <w:tcPr>
            <w:tcW w:w="480" w:type="dxa"/>
            <w:vAlign w:val="bottom"/>
          </w:tcPr>
          <w:p>
            <w:pPr>
              <w:spacing w:after="0"/>
              <w:rPr>
                <w:sz w:val="14"/>
                <w:szCs w:val="14"/>
                <w:color w:val="auto"/>
              </w:rPr>
            </w:pPr>
          </w:p>
        </w:tc>
        <w:tc>
          <w:tcPr>
            <w:tcW w:w="1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14,151b</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113,279</w:t>
            </w:r>
          </w:p>
        </w:tc>
      </w:tr>
      <w:tr>
        <w:trPr>
          <w:trHeight w:val="168"/>
        </w:trPr>
        <w:tc>
          <w:tcPr>
            <w:tcW w:w="35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139"/>
          </w:cols>
          <w:pgMar w:left="320" w:top="281" w:right="1440" w:bottom="1440" w:gutter="0" w:footer="0" w:header="0"/>
        </w:sectPr>
      </w:pPr>
    </w:p>
    <w:bookmarkStart w:id="71" w:name="page72"/>
    <w:bookmarkEnd w:id="71"/>
    <w:p>
      <w:pPr>
        <w:ind w:left="180"/>
        <w:spacing w:after="0"/>
        <w:rPr>
          <w:sz w:val="20"/>
          <w:szCs w:val="20"/>
          <w:color w:val="auto"/>
        </w:rPr>
      </w:pPr>
      <w:r>
        <w:rPr>
          <w:rFonts w:ascii="Courier New" w:cs="Courier New" w:eastAsia="Courier New" w:hAnsi="Courier New"/>
          <w:sz w:val="15"/>
          <w:szCs w:val="15"/>
          <w:color w:val="auto"/>
        </w:rPr>
        <w:t>71</w:t>
      </w:r>
    </w:p>
    <w:p>
      <w:pPr>
        <w:jc w:val="center"/>
        <w:ind w:right="3499"/>
        <w:spacing w:after="0" w:line="237" w:lineRule="auto"/>
        <w:rPr>
          <w:sz w:val="20"/>
          <w:szCs w:val="20"/>
          <w:color w:val="auto"/>
        </w:rPr>
      </w:pPr>
      <w:r>
        <w:rPr>
          <w:rFonts w:ascii="Courier New" w:cs="Courier New" w:eastAsia="Courier New" w:hAnsi="Courier New"/>
          <w:sz w:val="15"/>
          <w:szCs w:val="15"/>
          <w:color w:val="auto"/>
        </w:rPr>
        <w:t>USA WASTE AND SANIFILL</w:t>
      </w:r>
    </w:p>
    <w:p>
      <w:pPr>
        <w:spacing w:after="0" w:line="16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COMBINED UNAUDITED PRO FORMA CONDENSED</w:t>
      </w:r>
    </w:p>
    <w:p>
      <w:pPr>
        <w:ind w:left="2360"/>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6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YEAR ENDED DECEMBER 31, 1994</w:t>
      </w:r>
    </w:p>
    <w:p>
      <w:pPr>
        <w:spacing w:after="0" w:line="173" w:lineRule="exact"/>
        <w:rPr>
          <w:sz w:val="20"/>
          <w:szCs w:val="20"/>
          <w:color w:val="auto"/>
        </w:rPr>
      </w:pPr>
    </w:p>
    <w:p>
      <w:pPr>
        <w:ind w:right="3579" w:firstLine="525"/>
        <w:spacing w:after="0" w:line="236"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1994 was prepared based upon the audited supplemental and audited historical statements of operations of USA Waste and Sanifill, respectively,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USA WASTE</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SANIFILL</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ADJUSTMENTS</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rPr>
                <w:sz w:val="14"/>
                <w:szCs w:val="14"/>
                <w:color w:val="auto"/>
              </w:rPr>
            </w:pPr>
          </w:p>
        </w:tc>
        <w:tc>
          <w:tcPr>
            <w:tcW w:w="4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revenues  . . . . . . . . . . . . . .</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$ 705,165</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$ 192,479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$ 897,644</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 . . . . . . . . .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428,701</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122,274</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(30,720)a</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520,255</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  . .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108,885</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30,633</w:t>
            </w:r>
          </w:p>
        </w:tc>
        <w:tc>
          <w:tcPr>
            <w:tcW w:w="4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(699)a</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138,819</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83,044</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29,816a,d</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112,860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Merger costs  . . . . . . . . .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3,782</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3,782</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Unusual items   . . . . . . . .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8,863</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8,863</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633,275</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152,907</w:t>
            </w:r>
          </w:p>
        </w:tc>
        <w:tc>
          <w:tcPr>
            <w:tcW w:w="44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(1,603)</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784,579</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  . . . . .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71,890</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39,572</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1,603</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113,065</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 litigation settlement and other</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litigation related costs  . . . . . . .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(79,400)</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(79,400)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Nonrecurring interest   . . . . . . . .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(1,254)</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(1,254)</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 . . . . . . . . . . . . . . .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(38,153)</w:t>
            </w:r>
          </w:p>
        </w:tc>
        <w:tc>
          <w:tcPr>
            <w:tcW w:w="4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(9,525)</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(47,678)</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income   . . . . . . .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4,183</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487</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4,670</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income, net   . . . . . .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1,249</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1,321</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2,570</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(113,375)</w:t>
            </w:r>
          </w:p>
        </w:tc>
        <w:tc>
          <w:tcPr>
            <w:tcW w:w="4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(7,717)</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(121,092)</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before income taxes . . . . . .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(41,485)</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31,855</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1,603</w:t>
            </w:r>
          </w:p>
        </w:tc>
        <w:tc>
          <w:tcPr>
            <w:tcW w:w="1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(8,027)</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Provision for (benefit from) income taxes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17,610</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12,622</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(49,547)d</w:t>
            </w:r>
          </w:p>
        </w:tc>
        <w:tc>
          <w:tcPr>
            <w:tcW w:w="1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(19,315)</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from continuing operations. . .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(59,095)</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19,233</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2"/>
              </w:rPr>
              <w:t>51,150</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11,288</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Preferred dividends . . . . . . .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565</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(loss) from continuing operations  . .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(59,660)</w:t>
            </w:r>
          </w:p>
        </w:tc>
        <w:tc>
          <w:tcPr>
            <w:tcW w:w="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19,233</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$51,150</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10,723</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 per</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share   . . . . . . . . . . . . . . .</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(0.82)</w:t>
            </w:r>
          </w:p>
        </w:tc>
        <w:tc>
          <w:tcPr>
            <w:tcW w:w="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0.10c</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equivalent shares outstanding  . . . . . . . .</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72,968</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17,914</w:t>
            </w:r>
          </w:p>
        </w:tc>
        <w:tc>
          <w:tcPr>
            <w:tcW w:w="4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12,540b</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103,422</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139"/>
          </w:cols>
          <w:pgMar w:left="320" w:top="281" w:right="1440" w:bottom="1440" w:gutter="0" w:footer="0" w:header="0"/>
        </w:sectPr>
      </w:pPr>
    </w:p>
    <w:bookmarkStart w:id="72" w:name="page73"/>
    <w:bookmarkEnd w:id="72"/>
    <w:p>
      <w:pPr>
        <w:ind w:left="180"/>
        <w:spacing w:after="0"/>
        <w:rPr>
          <w:sz w:val="20"/>
          <w:szCs w:val="20"/>
          <w:color w:val="auto"/>
        </w:rPr>
      </w:pPr>
      <w:r>
        <w:rPr>
          <w:rFonts w:ascii="Courier New" w:cs="Courier New" w:eastAsia="Courier New" w:hAnsi="Courier New"/>
          <w:sz w:val="15"/>
          <w:szCs w:val="15"/>
          <w:color w:val="auto"/>
        </w:rPr>
        <w:t>72</w:t>
      </w:r>
    </w:p>
    <w:p>
      <w:pPr>
        <w:jc w:val="center"/>
        <w:ind w:right="3499"/>
        <w:spacing w:after="0" w:line="237" w:lineRule="auto"/>
        <w:rPr>
          <w:sz w:val="20"/>
          <w:szCs w:val="20"/>
          <w:color w:val="auto"/>
        </w:rPr>
      </w:pPr>
      <w:r>
        <w:rPr>
          <w:rFonts w:ascii="Courier New" w:cs="Courier New" w:eastAsia="Courier New" w:hAnsi="Courier New"/>
          <w:sz w:val="15"/>
          <w:szCs w:val="15"/>
          <w:color w:val="auto"/>
        </w:rPr>
        <w:t>USA WASTE AND SANIFILL</w:t>
      </w:r>
    </w:p>
    <w:p>
      <w:pPr>
        <w:spacing w:after="0" w:line="16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COMBINED UNAUDITED PRO FORMA CONDENSED</w:t>
      </w:r>
    </w:p>
    <w:p>
      <w:pPr>
        <w:ind w:left="2280"/>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6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YEAR ENDED DECEMBER 31, 1993</w:t>
      </w:r>
    </w:p>
    <w:p>
      <w:pPr>
        <w:spacing w:after="0" w:line="173" w:lineRule="exact"/>
        <w:rPr>
          <w:sz w:val="20"/>
          <w:szCs w:val="20"/>
          <w:color w:val="auto"/>
        </w:rPr>
      </w:pPr>
    </w:p>
    <w:p>
      <w:pPr>
        <w:ind w:right="3579" w:firstLine="525"/>
        <w:spacing w:after="0" w:line="236"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1993 was prepared based upon the audited supplemental and audited historical statements of operations of USA Waste and Sanifill, respectively,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PRO FORMA</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USA WASTE</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SANIFILL</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ADJUSTMENTS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80" w:type="dxa"/>
            <w:vAlign w:val="bottom"/>
            <w:gridSpan w:val="6"/>
          </w:tcPr>
          <w:p>
            <w:pPr>
              <w:jc w:val="right"/>
              <w:ind w:right="70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Operating revenues  . . . . . . . . . . . . .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639,239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139,727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$778,966</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 . . . . . . . . . . . .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388,727</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90,397</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(23,842)a</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455,282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 . . . . .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104,121</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22,599</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(373)a</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126,347</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  . . .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74,223</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22,638a,d</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96,861</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Unusual items  . . . . . . . . . . .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2,672</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2,672</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569,743</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112,996</w:t>
            </w:r>
          </w:p>
        </w:tc>
        <w:tc>
          <w:tcPr>
            <w:tcW w:w="3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(1,577)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681,162</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Income from operations  . . . . . . . . . . . .</w:t>
            </w:r>
          </w:p>
        </w:tc>
        <w:tc>
          <w:tcPr>
            <w:tcW w:w="1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69,496</w:t>
            </w:r>
          </w:p>
        </w:tc>
        <w:tc>
          <w:tcPr>
            <w:tcW w:w="360" w:type="dxa"/>
            <w:vAlign w:val="bottom"/>
          </w:tcPr>
          <w:p>
            <w:pPr>
              <w:spacing w:after="0"/>
              <w:rPr>
                <w:sz w:val="24"/>
                <w:szCs w:val="2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26,731</w:t>
            </w:r>
          </w:p>
        </w:tc>
        <w:tc>
          <w:tcPr>
            <w:tcW w:w="36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1,577</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97,804</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 litigation related costs . . . .</w:t>
            </w:r>
          </w:p>
        </w:tc>
        <w:tc>
          <w:tcPr>
            <w:tcW w:w="1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(5,500)</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(5,500)</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 . . . . . . . . . . . . . .</w:t>
            </w:r>
          </w:p>
        </w:tc>
        <w:tc>
          <w:tcPr>
            <w:tcW w:w="1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(39,809)</w:t>
            </w:r>
          </w:p>
        </w:tc>
        <w:tc>
          <w:tcPr>
            <w:tcW w:w="36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(6,223)</w:t>
            </w:r>
          </w:p>
        </w:tc>
        <w:tc>
          <w:tcPr>
            <w:tcW w:w="3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(46,032)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  . . . . . . . . . .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4,338</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w:t>
            </w:r>
          </w:p>
        </w:tc>
        <w:tc>
          <w:tcPr>
            <w:tcW w:w="3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4,835</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 net  . . . . . . . . .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1,148</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(39,823)</w:t>
            </w:r>
          </w:p>
        </w:tc>
        <w:tc>
          <w:tcPr>
            <w:tcW w:w="36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(5,713)</w:t>
            </w:r>
          </w:p>
        </w:tc>
        <w:tc>
          <w:tcPr>
            <w:tcW w:w="3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(45,536)</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Income before income taxes  . . . . . . . . . .</w:t>
            </w:r>
          </w:p>
        </w:tc>
        <w:tc>
          <w:tcPr>
            <w:tcW w:w="1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29,673</w:t>
            </w:r>
          </w:p>
        </w:tc>
        <w:tc>
          <w:tcPr>
            <w:tcW w:w="360" w:type="dxa"/>
            <w:vAlign w:val="bottom"/>
          </w:tcPr>
          <w:p>
            <w:pPr>
              <w:spacing w:after="0"/>
              <w:rPr>
                <w:sz w:val="24"/>
                <w:szCs w:val="2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21,018</w:t>
            </w:r>
          </w:p>
        </w:tc>
        <w:tc>
          <w:tcPr>
            <w:tcW w:w="36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1,577</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52,268</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Provision for income taxes  . . . . . .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16,112</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8,048</w:t>
            </w:r>
          </w:p>
        </w:tc>
        <w:tc>
          <w:tcPr>
            <w:tcW w:w="3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6,157d</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30,317</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from continuing operations . . .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13,561</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12,970</w:t>
            </w:r>
          </w:p>
        </w:tc>
        <w:tc>
          <w:tcPr>
            <w:tcW w:w="3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(4,580)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21,951</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Preferred dividends . . . . . . . . . .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582</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available</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common stockholders   . . . . . . . . .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12,979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12,970</w:t>
            </w: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$(4,580)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$ 21,369</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available</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common stockholders per common share  .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0.80</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0.22c</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and</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equivalent shares outstanding . . . .</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68,457</w:t>
            </w: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16,118</w:t>
            </w:r>
          </w:p>
        </w:tc>
        <w:tc>
          <w:tcPr>
            <w:tcW w:w="3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11,283b</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95,858</w:t>
            </w:r>
          </w:p>
        </w:tc>
      </w:tr>
      <w:tr>
        <w:trPr>
          <w:trHeight w:val="168"/>
        </w:trPr>
        <w:tc>
          <w:tcPr>
            <w:tcW w:w="420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139"/>
          </w:cols>
          <w:pgMar w:left="3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73</w:t>
      </w:r>
    </w:p>
    <w:p>
      <w:pPr>
        <w:jc w:val="center"/>
        <w:ind w:right="3399"/>
        <w:spacing w:after="0" w:line="237" w:lineRule="auto"/>
        <w:rPr>
          <w:sz w:val="20"/>
          <w:szCs w:val="20"/>
          <w:color w:val="auto"/>
        </w:rPr>
      </w:pPr>
      <w:r>
        <w:rPr>
          <w:rFonts w:ascii="Courier New" w:cs="Courier New" w:eastAsia="Courier New" w:hAnsi="Courier New"/>
          <w:sz w:val="15"/>
          <w:szCs w:val="15"/>
          <w:color w:val="auto"/>
        </w:rPr>
        <w:t>USA WASTE AND SANIFILL</w:t>
      </w:r>
    </w:p>
    <w:p>
      <w:pPr>
        <w:spacing w:after="0" w:line="16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NOTES TO COMBINED UNAUDITED PRO FORMA CONDENSED</w:t>
      </w:r>
    </w:p>
    <w:p>
      <w:pPr>
        <w:jc w:val="center"/>
        <w:ind w:right="339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combined unaudited pro forma condensed financial statements assume the issuance of USA Waste Common Stock in exchange for all outstanding Sanifill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financial statements for periods prior to consummation of the Merger are restated as though the companies had been combined from their inception.</w:t>
      </w:r>
    </w:p>
    <w:p>
      <w:pPr>
        <w:spacing w:after="0" w:line="178"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In addition, the combined unaudited pro forma condensed financial statements do not include any adjustment for estimated nonrecurring costs directly related to the Merger and USA Waste's merger with Western which are expected to be included in operations of USA Waste within the twelve months succeeding the consummation of the two mergers. Such costs are currently estimated to be approximately $89.8 million.</w:t>
      </w:r>
    </w:p>
    <w:p>
      <w:pPr>
        <w:spacing w:after="0" w:line="16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Certain reclassifications have been made to the financial statements of USA Waste and Sanifill to conform to the pro forma presentation. Such reclassifications are not material to the combined unaudited pro forma condensed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ADJUSTMENTS</w:t>
      </w:r>
    </w:p>
    <w:p>
      <w:pPr>
        <w:spacing w:after="0" w:line="173" w:lineRule="exact"/>
        <w:rPr>
          <w:sz w:val="20"/>
          <w:szCs w:val="20"/>
          <w:color w:val="auto"/>
        </w:rPr>
      </w:pPr>
    </w:p>
    <w:p>
      <w:pPr>
        <w:ind w:right="3399" w:firstLine="797"/>
        <w:spacing w:after="0" w:line="256" w:lineRule="auto"/>
        <w:tabs>
          <w:tab w:leader="none" w:pos="148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have been made to reclassify Sanifill's depreciation and amortization from operating expenses and general and administrative expenses to a separate line item to conform to the presentation of USA Waste as if the companies had been combined since their inception.</w:t>
      </w:r>
    </w:p>
    <w:p>
      <w:pPr>
        <w:spacing w:after="0" w:line="164" w:lineRule="exact"/>
        <w:rPr>
          <w:rFonts w:ascii="Courier New" w:cs="Courier New" w:eastAsia="Courier New" w:hAnsi="Courier New"/>
          <w:sz w:val="14"/>
          <w:szCs w:val="14"/>
          <w:color w:val="auto"/>
        </w:rPr>
      </w:pPr>
    </w:p>
    <w:p>
      <w:pPr>
        <w:ind w:right="3679" w:firstLine="797"/>
        <w:spacing w:after="0" w:line="254" w:lineRule="auto"/>
        <w:tabs>
          <w:tab w:leader="none" w:pos="148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equity accounts have been adjusted to reflect the assumed issuance of USA Waste Common Stock for all issued and outstanding shares of Sanifill Common Stock (based on the exchange ratio of</w:t>
      </w:r>
    </w:p>
    <w:p>
      <w:pPr>
        <w:spacing w:after="0" w:line="1"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1.70 shares of USA Waste Common Stock for each share of Sanifill Common Stock outstanding as of the date of the applicable balance sheet). The number of shares of USA Waste Common Stock to be issued pursuant to the Merger will be based upon the number of shares of Sanifill Common Stock issued and outstanding immediately prior to the consummation of the Merger.</w:t>
      </w:r>
    </w:p>
    <w:p>
      <w:pPr>
        <w:spacing w:after="0" w:line="173" w:lineRule="exact"/>
        <w:rPr>
          <w:rFonts w:ascii="Courier New" w:cs="Courier New" w:eastAsia="Courier New" w:hAnsi="Courier New"/>
          <w:sz w:val="14"/>
          <w:szCs w:val="14"/>
          <w:color w:val="auto"/>
        </w:rPr>
      </w:pPr>
    </w:p>
    <w:p>
      <w:pPr>
        <w:ind w:right="3579" w:firstLine="797"/>
        <w:spacing w:after="0" w:line="236" w:lineRule="auto"/>
        <w:tabs>
          <w:tab w:leader="none" w:pos="14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income from continuing operations available to common stockholders per share for each period is based on the combined weighted average number of shares outstanding, after giving effect to the issuance of 1.70 shares of USA Waste Common Stock for each share of Sanifill Common Stock. Fully diluted earnings per share are considered equal to primary earnings per share for all periods presented because the addition of potentially dilutive securities that are not common stock equivalents would have been either antidilutive or not material.</w:t>
      </w:r>
    </w:p>
    <w:p>
      <w:pPr>
        <w:spacing w:after="0" w:line="177" w:lineRule="exact"/>
        <w:rPr>
          <w:rFonts w:ascii="Courier New" w:cs="Courier New" w:eastAsia="Courier New" w:hAnsi="Courier New"/>
          <w:sz w:val="15"/>
          <w:szCs w:val="15"/>
          <w:color w:val="auto"/>
        </w:rPr>
      </w:pPr>
    </w:p>
    <w:p>
      <w:pPr>
        <w:jc w:val="both"/>
        <w:ind w:right="4019" w:firstLine="797"/>
        <w:spacing w:after="0" w:line="235" w:lineRule="auto"/>
        <w:tabs>
          <w:tab w:leader="none" w:pos="14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for the impact of restating deferred taxes of the combined company as though the companies had been combined from their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74</w:t>
      </w:r>
    </w:p>
    <w:p>
      <w:pPr>
        <w:ind w:left="1580"/>
        <w:spacing w:after="0" w:line="237" w:lineRule="auto"/>
        <w:rPr>
          <w:sz w:val="20"/>
          <w:szCs w:val="20"/>
          <w:color w:val="auto"/>
        </w:rPr>
      </w:pPr>
      <w:r>
        <w:rPr>
          <w:rFonts w:ascii="Courier New" w:cs="Courier New" w:eastAsia="Courier New" w:hAnsi="Courier New"/>
          <w:sz w:val="15"/>
          <w:szCs w:val="15"/>
          <w:color w:val="auto"/>
        </w:rPr>
        <w:t>SUPPLEMENTALLY PROVIDED INFORMATION RELATING</w:t>
      </w:r>
    </w:p>
    <w:p>
      <w:pPr>
        <w:ind w:left="1940"/>
        <w:spacing w:after="0" w:line="238" w:lineRule="auto"/>
        <w:rPr>
          <w:sz w:val="20"/>
          <w:szCs w:val="20"/>
          <w:color w:val="auto"/>
        </w:rPr>
      </w:pPr>
      <w:r>
        <w:rPr>
          <w:rFonts w:ascii="Courier New" w:cs="Courier New" w:eastAsia="Courier New" w:hAnsi="Courier New"/>
          <w:sz w:val="15"/>
          <w:szCs w:val="15"/>
          <w:color w:val="auto"/>
        </w:rPr>
        <w:t>TO THE COMBINED UNAUDITED PRO FORMA</w:t>
      </w:r>
    </w:p>
    <w:p>
      <w:pPr>
        <w:ind w:left="2200"/>
        <w:spacing w:after="0" w:line="237" w:lineRule="auto"/>
        <w:rPr>
          <w:sz w:val="20"/>
          <w:szCs w:val="20"/>
          <w:color w:val="auto"/>
        </w:rPr>
      </w:pPr>
      <w:r>
        <w:rPr>
          <w:rFonts w:ascii="Courier New" w:cs="Courier New" w:eastAsia="Courier New" w:hAnsi="Courier New"/>
          <w:sz w:val="15"/>
          <w:szCs w:val="15"/>
          <w:color w:val="auto"/>
        </w:rPr>
        <w:t>CONDENSED FINANCIAL STATEMENTS</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following combined unaudited pro forma condensed financial information as of and for the three months ended March 31, 1996 and as of and for the year ended December 31, 1995 gives effect to certain pro forma adjustments described in the notes to such information. In addition to the pro forma adjustments in the combined unaudited pro forma condensed financial statements (which in effect are a restatement of the financial statements as if the Merger were consummated), the impact of certain transactions occurring in 1995 and 1996 is presented supplementally. This supplementally provided information does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sectPr>
      </w:pPr>
    </w:p>
    <w:bookmarkStart w:id="75" w:name="page76"/>
    <w:bookmarkEnd w:id="75"/>
    <w:p>
      <w:pPr>
        <w:ind w:left="100"/>
        <w:spacing w:after="0"/>
        <w:rPr>
          <w:sz w:val="20"/>
          <w:szCs w:val="20"/>
          <w:color w:val="auto"/>
        </w:rPr>
      </w:pPr>
      <w:r>
        <w:rPr>
          <w:rFonts w:ascii="Courier New" w:cs="Courier New" w:eastAsia="Courier New" w:hAnsi="Courier New"/>
          <w:sz w:val="15"/>
          <w:szCs w:val="15"/>
          <w:color w:val="auto"/>
        </w:rPr>
        <w:t>75</w:t>
      </w:r>
    </w:p>
    <w:p>
      <w:pPr>
        <w:jc w:val="center"/>
        <w:ind w:right="3500"/>
        <w:spacing w:after="0" w:line="237" w:lineRule="auto"/>
        <w:rPr>
          <w:sz w:val="20"/>
          <w:szCs w:val="20"/>
          <w:color w:val="auto"/>
        </w:rPr>
      </w:pPr>
      <w:r>
        <w:rPr>
          <w:rFonts w:ascii="Courier New" w:cs="Courier New" w:eastAsia="Courier New" w:hAnsi="Courier New"/>
          <w:sz w:val="15"/>
          <w:szCs w:val="15"/>
          <w:color w:val="auto"/>
        </w:rPr>
        <w:t>USA WASTE AND SANIFILL COMBINED</w:t>
      </w:r>
    </w:p>
    <w:p>
      <w:pPr>
        <w:jc w:val="center"/>
        <w:ind w:right="3500"/>
        <w:spacing w:after="0" w:line="238" w:lineRule="auto"/>
        <w:rPr>
          <w:sz w:val="20"/>
          <w:szCs w:val="20"/>
          <w:color w:val="auto"/>
        </w:rPr>
      </w:pPr>
      <w:r>
        <w:rPr>
          <w:rFonts w:ascii="Courier New" w:cs="Courier New" w:eastAsia="Courier New" w:hAnsi="Courier New"/>
          <w:sz w:val="15"/>
          <w:szCs w:val="15"/>
          <w:color w:val="auto"/>
        </w:rPr>
        <w:t>SUPPLEMENTALLY PROVIDED BALANCE SHEET INFORMATION</w:t>
      </w:r>
    </w:p>
    <w:tbl>
      <w:tblPr>
        <w:tblLayout w:type="fixed"/>
        <w:tblInd w:w="0" w:type="dxa"/>
        <w:tblCellMar>
          <w:top w:w="0" w:type="dxa"/>
          <w:left w:w="0" w:type="dxa"/>
          <w:bottom w:w="0" w:type="dxa"/>
          <w:right w:w="0" w:type="dxa"/>
        </w:tblCellMar>
      </w:tblPr>
      <w:tr>
        <w:trPr>
          <w:trHeight w:val="168"/>
        </w:trPr>
        <w:tc>
          <w:tcPr>
            <w:tcW w:w="54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rPr>
              <w:t>MARCH 31, 1996</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5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SUPPLEMENTALLY</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SUPPLEMENTALLY</w:t>
            </w:r>
          </w:p>
        </w:tc>
      </w:tr>
      <w:tr>
        <w:trPr>
          <w:trHeight w:val="168"/>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COMBINED</w:t>
            </w:r>
          </w:p>
        </w:tc>
        <w:tc>
          <w:tcPr>
            <w:tcW w:w="17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PROVIDED</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PROVIDED</w:t>
            </w:r>
          </w:p>
        </w:tc>
      </w:tr>
      <w:tr>
        <w:trPr>
          <w:trHeight w:val="168"/>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PRO FORMA</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ADJUSTMENTS</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INFORMATION</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8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 Thousands, except share and per share data)</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   . . . . . . . . . . . . . . .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32,539</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(32,539)c</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net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145,087</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2,175c</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147,262</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Notes and other receivables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13,133</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13,133</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taxes   .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20,101</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20,101</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expenses and other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42,799</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135c</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42,934</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253,659</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(30,229)</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223,430</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Notes and other receivables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19,495</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19,495</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and equipment, net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1,480,056</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19,862c</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1,499,918</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Excess of cost over net assets of acquired businesses, net.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228,694</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36,071c</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264,765</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intangible assets, net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55,374</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6,680c</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62,054</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assets  . . . . . . .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107,403</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107,403</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income taxes . . .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13,220</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13,220</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   . . . . . . . . . . . . . . . . . . .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2,157,901</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32,384</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2,190,285</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 . . . . . . . . . . . . . . . . . . .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62,251</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62,251</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   . .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64,651</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2,507c</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67,158</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revenues   . . .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12,670</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12,670</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maturities of long-term debt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59,753</w:t>
            </w:r>
          </w:p>
        </w:tc>
        <w:tc>
          <w:tcPr>
            <w:tcW w:w="6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(26,700)c,h</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33,053</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199,325</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(24,193)</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175,132</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Long-term debt  . . . . . .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801,538</w:t>
            </w:r>
          </w:p>
        </w:tc>
        <w:tc>
          <w:tcPr>
            <w:tcW w:w="66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94,453c,d,f,h</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895,991</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Closure, post-closure and other liabilities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151,279</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2,589c</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153,868</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 .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1,152,142</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72,849</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1,224,991</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Commitments and contingencies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USA Waste: $1.00 par value; 10,000,000 shares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authorized; none issued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USA Waste: $.01 par value; 150,000,000 shares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authorized; 129,204,873 combined pro forma shares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issued; 131,904,873 supplemental shares issued)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1,292</w:t>
            </w:r>
          </w:p>
        </w:tc>
        <w:tc>
          <w:tcPr>
            <w:tcW w:w="6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27c,f</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1,319</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Additional paid-in capital  . . .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1,105,765</w:t>
            </w:r>
          </w:p>
        </w:tc>
        <w:tc>
          <w:tcPr>
            <w:tcW w:w="6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49,308c,f</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1,155,073</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 deficit   . . . . . . . . . . . . . . . . . . .</w:t>
            </w:r>
          </w:p>
        </w:tc>
        <w:tc>
          <w:tcPr>
            <w:tcW w:w="2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(84,596)</w:t>
            </w:r>
          </w:p>
        </w:tc>
        <w:tc>
          <w:tcPr>
            <w:tcW w:w="6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(89,800)d</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(174,396)</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Foreign currency adjustment   . . . . . . . . . . . . . . .</w:t>
            </w:r>
          </w:p>
        </w:tc>
        <w:tc>
          <w:tcPr>
            <w:tcW w:w="2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(14,548)</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(14,548)</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Less treasury stock, at cost, 144,975 shares  . . . . . . .</w:t>
            </w:r>
          </w:p>
        </w:tc>
        <w:tc>
          <w:tcPr>
            <w:tcW w:w="2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(2,154)</w:t>
            </w:r>
          </w:p>
        </w:tc>
        <w:tc>
          <w:tcPr>
            <w:tcW w:w="6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(2,154)</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stockholders' equity   . . . . . . . . . . . . .</w:t>
            </w:r>
          </w:p>
        </w:tc>
        <w:tc>
          <w:tcPr>
            <w:tcW w:w="20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1,005,759</w:t>
            </w:r>
          </w:p>
        </w:tc>
        <w:tc>
          <w:tcPr>
            <w:tcW w:w="6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(40,465)</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965,294</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and stockholders' equity   . . . .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2,157,901</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32,384</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$ 2,190,285</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548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-65-</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060"/>
          </w:cols>
          <w:pgMar w:left="400" w:top="281" w:right="1439"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76</w:t>
      </w:r>
    </w:p>
    <w:p>
      <w:pPr>
        <w:jc w:val="center"/>
        <w:ind w:right="3319"/>
        <w:spacing w:after="0" w:line="237" w:lineRule="auto"/>
        <w:rPr>
          <w:sz w:val="20"/>
          <w:szCs w:val="20"/>
          <w:color w:val="auto"/>
        </w:rPr>
      </w:pPr>
      <w:r>
        <w:rPr>
          <w:rFonts w:ascii="Courier New" w:cs="Courier New" w:eastAsia="Courier New" w:hAnsi="Courier New"/>
          <w:sz w:val="15"/>
          <w:szCs w:val="15"/>
          <w:color w:val="auto"/>
        </w:rPr>
        <w:t>USA WASTE AND SANIFILL COMBINED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SUPPLEMENTALLY PROVIDED STATEMENT OF OPERATIONS INFORMATION</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THREE MONTHS ENDED MARCH 31,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SUPPLEMENTALLY</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SUPPLEMENTALLY</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PROVIDED</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PROVIDED</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ADJUSTMENTS</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INFORMATION</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6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revenues  . . . . . . . . . . . . . . . . . . . .</w:t>
            </w:r>
          </w:p>
        </w:tc>
        <w:tc>
          <w:tcPr>
            <w:tcW w:w="15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$ 282,525</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$25,232c</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$307,757</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Operating  . . . . . . . . . . . . . . . . . . . . . . .</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158,956</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15,838c</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174,794</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General and administrative . . . . . . . . . . . . . . .</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36,704</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3,338c</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40,042</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Depreciation and amortization  . . . . . . . . . . . . .</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32,701</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2,942c</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35,643</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228,361</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22,118</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250,479</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Income from operations  . . . . . . . . . . . . . . . . . .</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54,164</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3,114</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57,278</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Interest expense . . . . . . . . . . . . . . . . . . . .</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(11,227)</w:t>
            </w:r>
          </w:p>
        </w:tc>
        <w:tc>
          <w:tcPr>
            <w:tcW w:w="18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99"/>
              </w:rPr>
              <w:t>(534)c,f,g</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(11,761)</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Interest income  . . . . . . . . . . . . . . . . . . . .</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1,930</w:t>
            </w:r>
          </w:p>
        </w:tc>
        <w:tc>
          <w:tcPr>
            <w:tcW w:w="18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1,930</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Other income, net  . . . . . . . . . . . . . . . . . . .</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1,215</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351c</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1,566</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(8,082)</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(8,265)</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Income before income taxes  . . . . . . . . . . . . . . . .</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46,082</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2,931</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49,013</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Provision for income taxes  . . . . . . . . . . . . . . . .</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18,433</w:t>
            </w: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1,173c,f,g</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19,606</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Income from continuing operations . . . . . . . . . . . .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27,649</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$ 1,758</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$ 29,407</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Income from continuing operations per common share  . . .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0.21</w:t>
            </w:r>
          </w:p>
        </w:tc>
        <w:tc>
          <w:tcPr>
            <w:tcW w:w="18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0.21</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and common equivalent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shares outstanding  . . . . . . . . . . . . . . . . . .</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132,362</w:t>
            </w:r>
          </w:p>
        </w:tc>
        <w:tc>
          <w:tcPr>
            <w:tcW w:w="1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4,544c,f</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136,906</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77</w:t>
      </w:r>
    </w:p>
    <w:p>
      <w:pPr>
        <w:jc w:val="center"/>
        <w:ind w:right="3319"/>
        <w:spacing w:after="0" w:line="237" w:lineRule="auto"/>
        <w:rPr>
          <w:sz w:val="20"/>
          <w:szCs w:val="20"/>
          <w:color w:val="auto"/>
        </w:rPr>
      </w:pPr>
      <w:r>
        <w:rPr>
          <w:rFonts w:ascii="Courier New" w:cs="Courier New" w:eastAsia="Courier New" w:hAnsi="Courier New"/>
          <w:sz w:val="15"/>
          <w:szCs w:val="15"/>
          <w:color w:val="auto"/>
        </w:rPr>
        <w:t>USA WASTE AND SANIFILL COMBINED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SUPPLEMENTALLY PROVIDED STATEMENT OF OPERATIONS INFORMATION</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YEAR ENDED DECEMBER 31, 1995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SUPPLEMENTALLY</w:t>
            </w:r>
          </w:p>
        </w:tc>
        <w:tc>
          <w:tcPr>
            <w:tcW w:w="13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SUPPLEMENTALLY</w:t>
            </w:r>
          </w:p>
        </w:tc>
      </w:tr>
      <w:tr>
        <w:trPr>
          <w:trHeight w:val="168"/>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w:t>
            </w:r>
          </w:p>
        </w:tc>
        <w:tc>
          <w:tcPr>
            <w:tcW w:w="320" w:type="dxa"/>
            <w:vAlign w:val="bottom"/>
          </w:tcPr>
          <w:p>
            <w:pPr>
              <w:spacing w:after="0"/>
              <w:rPr>
                <w:sz w:val="14"/>
                <w:szCs w:val="14"/>
                <w:color w:val="auto"/>
              </w:rPr>
            </w:pPr>
          </w:p>
        </w:tc>
        <w:tc>
          <w:tcPr>
            <w:tcW w:w="18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PROVIDED</w:t>
            </w:r>
          </w:p>
        </w:tc>
        <w:tc>
          <w:tcPr>
            <w:tcW w:w="3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PROVIDED</w:t>
            </w:r>
          </w:p>
        </w:tc>
      </w:tr>
      <w:tr>
        <w:trPr>
          <w:trHeight w:val="168"/>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22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ADJUSTMENTS</w:t>
            </w:r>
          </w:p>
        </w:tc>
        <w:tc>
          <w:tcPr>
            <w:tcW w:w="13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INFORMATION</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60" w:type="dxa"/>
            <w:vAlign w:val="bottom"/>
            <w:gridSpan w:val="5"/>
          </w:tcPr>
          <w:p>
            <w:pPr>
              <w:jc w:val="right"/>
              <w:ind w:right="34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revenues  . . . . . . . . . . . . . .</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987,705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190,421c</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1,178,126</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Operating  . . . . . . . . . . . . . . . .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551,305</w:t>
            </w:r>
          </w:p>
        </w:tc>
        <w:tc>
          <w:tcPr>
            <w:tcW w:w="320" w:type="dxa"/>
            <w:vAlign w:val="bottom"/>
          </w:tcPr>
          <w:p>
            <w:pPr>
              <w:spacing w:after="0"/>
              <w:rPr>
                <w:sz w:val="14"/>
                <w:szCs w:val="14"/>
                <w:color w:val="auto"/>
              </w:rPr>
            </w:pPr>
          </w:p>
        </w:tc>
        <w:tc>
          <w:tcPr>
            <w:tcW w:w="18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121,133c</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672,438</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General and administrative . . . . . . . .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140,051</w:t>
            </w:r>
          </w:p>
        </w:tc>
        <w:tc>
          <w:tcPr>
            <w:tcW w:w="320" w:type="dxa"/>
            <w:vAlign w:val="bottom"/>
          </w:tcPr>
          <w:p>
            <w:pPr>
              <w:spacing w:after="0"/>
              <w:rPr>
                <w:sz w:val="14"/>
                <w:szCs w:val="14"/>
                <w:color w:val="auto"/>
              </w:rPr>
            </w:pPr>
          </w:p>
        </w:tc>
        <w:tc>
          <w:tcPr>
            <w:tcW w:w="18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29,240c</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169,291</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Depreciation and amortization  . . . . . .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119,570</w:t>
            </w:r>
          </w:p>
        </w:tc>
        <w:tc>
          <w:tcPr>
            <w:tcW w:w="320" w:type="dxa"/>
            <w:vAlign w:val="bottom"/>
          </w:tcPr>
          <w:p>
            <w:pPr>
              <w:spacing w:after="0"/>
              <w:rPr>
                <w:sz w:val="14"/>
                <w:szCs w:val="14"/>
                <w:color w:val="auto"/>
              </w:rPr>
            </w:pPr>
          </w:p>
        </w:tc>
        <w:tc>
          <w:tcPr>
            <w:tcW w:w="18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21,215c</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140,785</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Merger costs . . . . . . . . . . . . . . .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25,639</w:t>
            </w:r>
          </w:p>
        </w:tc>
        <w:tc>
          <w:tcPr>
            <w:tcW w:w="320" w:type="dxa"/>
            <w:vAlign w:val="bottom"/>
          </w:tcPr>
          <w:p>
            <w:pPr>
              <w:spacing w:after="0"/>
              <w:rPr>
                <w:sz w:val="14"/>
                <w:szCs w:val="14"/>
                <w:color w:val="auto"/>
              </w:rPr>
            </w:pPr>
          </w:p>
        </w:tc>
        <w:tc>
          <w:tcPr>
            <w:tcW w:w="188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25,639</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Unusual items  . . . . . . . . . . . . . .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4,733</w:t>
            </w:r>
          </w:p>
        </w:tc>
        <w:tc>
          <w:tcPr>
            <w:tcW w:w="320" w:type="dxa"/>
            <w:vAlign w:val="bottom"/>
          </w:tcPr>
          <w:p>
            <w:pPr>
              <w:spacing w:after="0"/>
              <w:rPr>
                <w:sz w:val="14"/>
                <w:szCs w:val="14"/>
                <w:color w:val="auto"/>
              </w:rPr>
            </w:pPr>
          </w:p>
        </w:tc>
        <w:tc>
          <w:tcPr>
            <w:tcW w:w="188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4,733</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841,298</w:t>
            </w:r>
          </w:p>
        </w:tc>
        <w:tc>
          <w:tcPr>
            <w:tcW w:w="320" w:type="dxa"/>
            <w:vAlign w:val="bottom"/>
          </w:tcPr>
          <w:p>
            <w:pPr>
              <w:spacing w:after="0"/>
              <w:rPr>
                <w:sz w:val="14"/>
                <w:szCs w:val="14"/>
                <w:color w:val="auto"/>
              </w:rPr>
            </w:pPr>
          </w:p>
        </w:tc>
        <w:tc>
          <w:tcPr>
            <w:tcW w:w="188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171,588</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1,012,886</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Income from operations  . . . . . . . . . . . .</w:t>
            </w:r>
          </w:p>
        </w:tc>
        <w:tc>
          <w:tcPr>
            <w:tcW w:w="48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146,407</w:t>
            </w:r>
          </w:p>
        </w:tc>
        <w:tc>
          <w:tcPr>
            <w:tcW w:w="320" w:type="dxa"/>
            <w:vAlign w:val="bottom"/>
          </w:tcPr>
          <w:p>
            <w:pPr>
              <w:spacing w:after="0"/>
              <w:rPr>
                <w:sz w:val="24"/>
                <w:szCs w:val="24"/>
                <w:color w:val="auto"/>
              </w:rPr>
            </w:pPr>
          </w:p>
        </w:tc>
        <w:tc>
          <w:tcPr>
            <w:tcW w:w="18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18,833</w:t>
            </w:r>
          </w:p>
        </w:tc>
        <w:tc>
          <w:tcPr>
            <w:tcW w:w="34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165,240</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420" w:type="dxa"/>
            <w:vAlign w:val="bottom"/>
          </w:tcPr>
          <w:p>
            <w:pPr>
              <w:jc w:val="right"/>
              <w:ind w:right="2587"/>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Nonrecurring interest  . . . . . . . . .</w:t>
            </w:r>
          </w:p>
        </w:tc>
        <w:tc>
          <w:tcPr>
            <w:tcW w:w="4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(10,994)</w:t>
            </w:r>
          </w:p>
        </w:tc>
        <w:tc>
          <w:tcPr>
            <w:tcW w:w="320" w:type="dxa"/>
            <w:vAlign w:val="bottom"/>
          </w:tcPr>
          <w:p>
            <w:pPr>
              <w:spacing w:after="0"/>
              <w:rPr>
                <w:sz w:val="14"/>
                <w:szCs w:val="14"/>
                <w:color w:val="auto"/>
              </w:rPr>
            </w:pPr>
          </w:p>
        </w:tc>
        <w:tc>
          <w:tcPr>
            <w:tcW w:w="188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(10,994)</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 . . . . . . . . . . . . . . . .</w:t>
            </w:r>
          </w:p>
        </w:tc>
        <w:tc>
          <w:tcPr>
            <w:tcW w:w="4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(48,558)</w:t>
            </w:r>
          </w:p>
        </w:tc>
        <w:tc>
          <w:tcPr>
            <w:tcW w:w="32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1,251a,b,c,e,f,g</w:t>
            </w:r>
          </w:p>
        </w:tc>
        <w:tc>
          <w:tcPr>
            <w:tcW w:w="3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(47,307)</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Interest income  . . . . . . . . . . . . .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5,482</w:t>
            </w:r>
          </w:p>
        </w:tc>
        <w:tc>
          <w:tcPr>
            <w:tcW w:w="320" w:type="dxa"/>
            <w:vAlign w:val="bottom"/>
          </w:tcPr>
          <w:p>
            <w:pPr>
              <w:spacing w:after="0"/>
              <w:rPr>
                <w:sz w:val="14"/>
                <w:szCs w:val="14"/>
                <w:color w:val="auto"/>
              </w:rPr>
            </w:pPr>
          </w:p>
        </w:tc>
        <w:tc>
          <w:tcPr>
            <w:tcW w:w="18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789c</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6,271</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income, net  . . . . . . . . . . . .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5,143</w:t>
            </w:r>
          </w:p>
        </w:tc>
        <w:tc>
          <w:tcPr>
            <w:tcW w:w="320" w:type="dxa"/>
            <w:vAlign w:val="bottom"/>
          </w:tcPr>
          <w:p>
            <w:pPr>
              <w:spacing w:after="0"/>
              <w:rPr>
                <w:sz w:val="14"/>
                <w:szCs w:val="14"/>
                <w:color w:val="auto"/>
              </w:rPr>
            </w:pPr>
          </w:p>
        </w:tc>
        <w:tc>
          <w:tcPr>
            <w:tcW w:w="18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695c</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5,838</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(48,927)</w:t>
            </w:r>
          </w:p>
        </w:tc>
        <w:tc>
          <w:tcPr>
            <w:tcW w:w="320" w:type="dxa"/>
            <w:vAlign w:val="bottom"/>
          </w:tcPr>
          <w:p>
            <w:pPr>
              <w:spacing w:after="0"/>
              <w:rPr>
                <w:sz w:val="14"/>
                <w:szCs w:val="14"/>
                <w:color w:val="auto"/>
              </w:rPr>
            </w:pPr>
          </w:p>
        </w:tc>
        <w:tc>
          <w:tcPr>
            <w:tcW w:w="188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2,735</w:t>
            </w:r>
          </w:p>
        </w:tc>
        <w:tc>
          <w:tcPr>
            <w:tcW w:w="3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(46,192)</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Income before income taxes  . . . . . . . . . .</w:t>
            </w:r>
          </w:p>
        </w:tc>
        <w:tc>
          <w:tcPr>
            <w:tcW w:w="48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97,480</w:t>
            </w:r>
          </w:p>
        </w:tc>
        <w:tc>
          <w:tcPr>
            <w:tcW w:w="320" w:type="dxa"/>
            <w:vAlign w:val="bottom"/>
          </w:tcPr>
          <w:p>
            <w:pPr>
              <w:spacing w:after="0"/>
              <w:rPr>
                <w:sz w:val="24"/>
                <w:szCs w:val="24"/>
                <w:color w:val="auto"/>
              </w:rPr>
            </w:pPr>
          </w:p>
        </w:tc>
        <w:tc>
          <w:tcPr>
            <w:tcW w:w="18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21,568</w:t>
            </w:r>
          </w:p>
        </w:tc>
        <w:tc>
          <w:tcPr>
            <w:tcW w:w="34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119,048</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Provision for income taxes  . . . . . . . . .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64,437</w:t>
            </w:r>
          </w:p>
        </w:tc>
        <w:tc>
          <w:tcPr>
            <w:tcW w:w="32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5,996a,b,c,e,f,g</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70,433</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Income from continuing operations . . . . . . .</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33,043</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15,572</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48,615</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per common share . . . . . . . . . . . . . .</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0.29</w:t>
            </w: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0.37</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and common</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equivalent shares outstanding . . . . . .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113,279</w:t>
            </w:r>
          </w:p>
        </w:tc>
        <w:tc>
          <w:tcPr>
            <w:tcW w:w="320" w:type="dxa"/>
            <w:vAlign w:val="bottom"/>
          </w:tcPr>
          <w:p>
            <w:pPr>
              <w:spacing w:after="0"/>
              <w:rPr>
                <w:sz w:val="14"/>
                <w:szCs w:val="14"/>
                <w:color w:val="auto"/>
              </w:rPr>
            </w:pP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17,852c,e,f</w:t>
            </w:r>
          </w:p>
        </w:tc>
        <w:tc>
          <w:tcPr>
            <w:tcW w:w="3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131,131</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78</w:t>
      </w:r>
    </w:p>
    <w:p>
      <w:pPr>
        <w:spacing w:after="0" w:line="237" w:lineRule="auto"/>
        <w:rPr>
          <w:sz w:val="20"/>
          <w:szCs w:val="20"/>
          <w:color w:val="auto"/>
        </w:rPr>
      </w:pPr>
      <w:r>
        <w:rPr>
          <w:rFonts w:ascii="Courier New" w:cs="Courier New" w:eastAsia="Courier New" w:hAnsi="Courier New"/>
          <w:sz w:val="15"/>
          <w:szCs w:val="15"/>
          <w:color w:val="auto"/>
        </w:rPr>
        <w:t>SUPPLEMENTAL ADJUSTMENTS</w:t>
      </w:r>
    </w:p>
    <w:p>
      <w:pPr>
        <w:spacing w:after="0" w:line="173" w:lineRule="exact"/>
        <w:rPr>
          <w:sz w:val="20"/>
          <w:szCs w:val="20"/>
          <w:color w:val="auto"/>
        </w:rPr>
      </w:pPr>
    </w:p>
    <w:p>
      <w:pPr>
        <w:ind w:left="620" w:right="3319" w:hanging="610"/>
        <w:spacing w:after="0" w:line="236"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as a result of USA Waste's public offering of 6,345,625 shares of its common stock on October 6, 1995, the net proceeds of which were used for the repayment of approximately $118,000,000 of debt, as if the transactions had occurred on January 1, 1995.</w:t>
      </w:r>
    </w:p>
    <w:p>
      <w:pPr>
        <w:spacing w:after="0" w:line="173" w:lineRule="exact"/>
        <w:rPr>
          <w:rFonts w:ascii="Courier New" w:cs="Courier New" w:eastAsia="Courier New" w:hAnsi="Courier New"/>
          <w:sz w:val="15"/>
          <w:szCs w:val="15"/>
          <w:color w:val="auto"/>
        </w:rPr>
      </w:pPr>
    </w:p>
    <w:p>
      <w:pPr>
        <w:jc w:val="both"/>
        <w:ind w:left="620" w:right="3499" w:hanging="610"/>
        <w:spacing w:after="0" w:line="256"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of interest expense as a result of USA Waste's conversion of $42,300,000 of its 8 1/2% convertible subordinated debentures into its common stock at $13.25 per share between November 3, 1995 and December 1, 1995, as if the conversion had occurred on January 1, 1995.</w:t>
      </w:r>
    </w:p>
    <w:p>
      <w:pPr>
        <w:spacing w:after="0" w:line="164" w:lineRule="exact"/>
        <w:rPr>
          <w:rFonts w:ascii="Courier New" w:cs="Courier New" w:eastAsia="Courier New" w:hAnsi="Courier New"/>
          <w:sz w:val="14"/>
          <w:szCs w:val="14"/>
          <w:color w:val="auto"/>
        </w:rPr>
      </w:pPr>
    </w:p>
    <w:p>
      <w:pPr>
        <w:ind w:left="620" w:right="3399" w:hanging="610"/>
        <w:spacing w:after="0" w:line="235"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results of operations and changes in balance sheet accounts assuming the 1995 and 1996 business combinations accounted for as purchases had occurred on January 1, 1995.</w:t>
      </w:r>
    </w:p>
    <w:p>
      <w:pPr>
        <w:spacing w:after="0" w:line="173" w:lineRule="exact"/>
        <w:rPr>
          <w:rFonts w:ascii="Courier New" w:cs="Courier New" w:eastAsia="Courier New" w:hAnsi="Courier New"/>
          <w:sz w:val="15"/>
          <w:szCs w:val="15"/>
          <w:color w:val="auto"/>
        </w:rPr>
      </w:pPr>
    </w:p>
    <w:p>
      <w:pPr>
        <w:ind w:left="620" w:right="3499" w:hanging="610"/>
        <w:spacing w:after="0" w:line="236"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accumulated deficit and increase in long-term debt related to estimated nonrecurring costs of $89,800,000, consisting of $50,000,000 and $39,800,000 of costs related to the mergers with Sanifill and Western, respectively. Actual merger costs may vary from such estimates.</w:t>
      </w:r>
    </w:p>
    <w:p>
      <w:pPr>
        <w:spacing w:after="0" w:line="173" w:lineRule="exact"/>
        <w:rPr>
          <w:rFonts w:ascii="Courier New" w:cs="Courier New" w:eastAsia="Courier New" w:hAnsi="Courier New"/>
          <w:sz w:val="15"/>
          <w:szCs w:val="15"/>
          <w:color w:val="auto"/>
        </w:rPr>
      </w:pPr>
    </w:p>
    <w:p>
      <w:pPr>
        <w:ind w:left="620" w:right="3399" w:hanging="610"/>
        <w:spacing w:after="0" w:line="256"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of interest expense as a result of Sanifill's public offering of 2,098,750 shares of common stock on August 23, 1995, certain net proceeds of which were used for repayment of approximately $40,000,000 of debt, as if the transactions had occurred on January 1, 1995.</w:t>
      </w:r>
    </w:p>
    <w:p>
      <w:pPr>
        <w:spacing w:after="0" w:line="164" w:lineRule="exact"/>
        <w:rPr>
          <w:rFonts w:ascii="Courier New" w:cs="Courier New" w:eastAsia="Courier New" w:hAnsi="Courier New"/>
          <w:sz w:val="14"/>
          <w:szCs w:val="14"/>
          <w:color w:val="auto"/>
        </w:rPr>
      </w:pPr>
    </w:p>
    <w:p>
      <w:pPr>
        <w:ind w:left="620" w:right="3399" w:hanging="610"/>
        <w:spacing w:after="0" w:line="236"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and balance sheet effect of Sanifill's conversion of $59,800,000 of its 7 1/2% convertible subordinated debentures into its common stock at $28.82 per share between March 19, 1996 and April 10, 1996, as if the conversion occurred at the beginning of the period presented.</w:t>
      </w:r>
    </w:p>
    <w:p>
      <w:pPr>
        <w:spacing w:after="0" w:line="173" w:lineRule="exact"/>
        <w:rPr>
          <w:rFonts w:ascii="Courier New" w:cs="Courier New" w:eastAsia="Courier New" w:hAnsi="Courier New"/>
          <w:sz w:val="15"/>
          <w:szCs w:val="15"/>
          <w:color w:val="auto"/>
        </w:rPr>
      </w:pPr>
    </w:p>
    <w:p>
      <w:pPr>
        <w:ind w:left="620" w:right="3319" w:hanging="610"/>
        <w:spacing w:after="0" w:line="256"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of interest expense and balance sheet effect of Sanifill's issuance of $115 million of 5% subordinated debentures on March 4, 1996, all of the net proceeds of which were used for the repayment of debt, as if the transaction occurred at the beginning of the period presented.</w:t>
      </w:r>
    </w:p>
    <w:p>
      <w:pPr>
        <w:spacing w:after="0" w:line="164" w:lineRule="exact"/>
        <w:rPr>
          <w:rFonts w:ascii="Courier New" w:cs="Courier New" w:eastAsia="Courier New" w:hAnsi="Courier New"/>
          <w:sz w:val="14"/>
          <w:szCs w:val="14"/>
          <w:color w:val="auto"/>
        </w:rPr>
      </w:pPr>
    </w:p>
    <w:p>
      <w:pPr>
        <w:ind w:left="620" w:right="3579" w:hanging="610"/>
        <w:spacing w:after="0" w:line="235"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refinancing of the USA Waste credit facility in connection with the Western merger, there is no current maturity of this credit facility, as principal reductions are not required for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79</w:t>
      </w:r>
    </w:p>
    <w:tbl>
      <w:tblPr>
        <w:tblLayout w:type="fixed"/>
        <w:tblInd w:w="0" w:type="dxa"/>
        <w:tblCellMar>
          <w:top w:w="0" w:type="dxa"/>
          <w:left w:w="0" w:type="dxa"/>
          <w:bottom w:w="0" w:type="dxa"/>
          <w:right w:w="0" w:type="dxa"/>
        </w:tblCellMar>
      </w:tblPr>
      <w:tr>
        <w:trPr>
          <w:trHeight w:val="168"/>
        </w:trPr>
        <w:tc>
          <w:tcPr>
            <w:tcW w:w="570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w w:val="99"/>
              </w:rPr>
              <w:t>PRINCIPAL STOCKHOLDERS OF USA WASTE AND SANIFILL</w:t>
            </w: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57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8"/>
              </w:rPr>
              <w:t>The following tables set forth information with respect to</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480" w:type="dxa"/>
            <w:vAlign w:val="bottom"/>
          </w:tcPr>
          <w:p>
            <w:pPr>
              <w:spacing w:after="0"/>
              <w:rPr>
                <w:sz w:val="24"/>
                <w:szCs w:val="24"/>
                <w:color w:val="auto"/>
              </w:rPr>
            </w:pP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beneficial ownership of USA Waste Common Stock and Sanifill Common Stock as of</w:t>
            </w:r>
          </w:p>
        </w:tc>
        <w:tc>
          <w:tcPr>
            <w:tcW w:w="1480" w:type="dxa"/>
            <w:vAlign w:val="bottom"/>
          </w:tcPr>
          <w:p>
            <w:pPr>
              <w:spacing w:after="0"/>
              <w:rPr>
                <w:sz w:val="14"/>
                <w:szCs w:val="14"/>
                <w:color w:val="auto"/>
              </w:rPr>
            </w:pP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the Record Date by (1) each owner of more than 5% of such common</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(2)</w:t>
            </w:r>
          </w:p>
        </w:tc>
        <w:tc>
          <w:tcPr>
            <w:tcW w:w="1480" w:type="dxa"/>
            <w:vAlign w:val="bottom"/>
          </w:tcPr>
          <w:p>
            <w:pPr>
              <w:spacing w:after="0"/>
              <w:rPr>
                <w:sz w:val="14"/>
                <w:szCs w:val="14"/>
                <w:color w:val="auto"/>
              </w:rPr>
            </w:pP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each director of USA Waste and Sanifill, (3) certain executive officers of USA</w:t>
            </w:r>
          </w:p>
        </w:tc>
        <w:tc>
          <w:tcPr>
            <w:tcW w:w="1480" w:type="dxa"/>
            <w:vAlign w:val="bottom"/>
          </w:tcPr>
          <w:p>
            <w:pPr>
              <w:spacing w:after="0"/>
              <w:rPr>
                <w:sz w:val="14"/>
                <w:szCs w:val="14"/>
                <w:color w:val="auto"/>
              </w:rPr>
            </w:pPr>
          </w:p>
        </w:tc>
      </w:tr>
      <w:tr>
        <w:trPr>
          <w:trHeight w:val="168"/>
        </w:trPr>
        <w:tc>
          <w:tcPr>
            <w:tcW w:w="8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Waste and Sanifill, including the Chief Executive Officers and four most highly</w:t>
            </w:r>
          </w:p>
        </w:tc>
      </w:tr>
      <w:tr>
        <w:trPr>
          <w:trHeight w:val="168"/>
        </w:trPr>
        <w:tc>
          <w:tcPr>
            <w:tcW w:w="8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compensated officers other than the Chief Executive Officer who were serving as</w:t>
            </w: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officers at December 31, 1995, and (4) all executive officers and directors of</w:t>
            </w:r>
          </w:p>
        </w:tc>
        <w:tc>
          <w:tcPr>
            <w:tcW w:w="1480" w:type="dxa"/>
            <w:vAlign w:val="bottom"/>
          </w:tcPr>
          <w:p>
            <w:pPr>
              <w:spacing w:after="0"/>
              <w:rPr>
                <w:sz w:val="14"/>
                <w:szCs w:val="14"/>
                <w:color w:val="auto"/>
              </w:rPr>
            </w:pP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USA Waste and Sanifill as a group. Except as otherwise indicated</w:t>
            </w:r>
          </w:p>
        </w:tc>
        <w:tc>
          <w:tcPr>
            <w:tcW w:w="2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below, each of</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the entities and persons named in the tables has sole voting and</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w:t>
            </w:r>
          </w:p>
        </w:tc>
        <w:tc>
          <w:tcPr>
            <w:tcW w:w="1480" w:type="dxa"/>
            <w:vAlign w:val="bottom"/>
          </w:tcPr>
          <w:p>
            <w:pPr>
              <w:spacing w:after="0"/>
              <w:rPr>
                <w:sz w:val="14"/>
                <w:szCs w:val="14"/>
                <w:color w:val="auto"/>
              </w:rPr>
            </w:pP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power with respect to all shares of common stock beneficially owned.  Unless</w:t>
            </w:r>
          </w:p>
        </w:tc>
        <w:tc>
          <w:tcPr>
            <w:tcW w:w="1480" w:type="dxa"/>
            <w:vAlign w:val="bottom"/>
          </w:tcPr>
          <w:p>
            <w:pPr>
              <w:spacing w:after="0"/>
              <w:rPr>
                <w:sz w:val="14"/>
                <w:szCs w:val="14"/>
                <w:color w:val="auto"/>
              </w:rPr>
            </w:pP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otherwise indicated, the address for each of the individuals or entities named</w:t>
            </w:r>
          </w:p>
        </w:tc>
        <w:tc>
          <w:tcPr>
            <w:tcW w:w="1480" w:type="dxa"/>
            <w:vAlign w:val="bottom"/>
          </w:tcPr>
          <w:p>
            <w:pPr>
              <w:spacing w:after="0"/>
              <w:rPr>
                <w:sz w:val="14"/>
                <w:szCs w:val="14"/>
                <w:color w:val="auto"/>
              </w:rPr>
            </w:pP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 the tables below is the principal executive offices of USA Waste or</w:t>
            </w:r>
          </w:p>
        </w:tc>
        <w:tc>
          <w:tcPr>
            <w:tcW w:w="14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Sanifill, as applicable.</w:t>
            </w:r>
          </w:p>
        </w:tc>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USA WASTE</w:t>
            </w: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73"/>
        </w:trPr>
        <w:tc>
          <w:tcPr>
            <w:tcW w:w="36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Amount of</w:t>
            </w:r>
          </w:p>
        </w:tc>
        <w:tc>
          <w:tcPr>
            <w:tcW w:w="11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36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Name</w:t>
            </w:r>
          </w:p>
        </w:tc>
        <w:tc>
          <w:tcPr>
            <w:tcW w:w="3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Beneficial Ownership (1)</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Before the Merger</w:t>
            </w:r>
          </w:p>
        </w:tc>
      </w:tr>
      <w:tr>
        <w:trPr>
          <w:trHeight w:val="168"/>
        </w:trPr>
        <w:tc>
          <w:tcPr>
            <w:tcW w:w="36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3600" w:type="dxa"/>
            <w:vAlign w:val="bottom"/>
          </w:tcPr>
          <w:p>
            <w:pPr>
              <w:spacing w:after="0"/>
              <w:rPr>
                <w:sz w:val="20"/>
                <w:szCs w:val="20"/>
                <w:color w:val="auto"/>
              </w:rPr>
            </w:pPr>
            <w:r>
              <w:rPr>
                <w:rFonts w:ascii="Courier New" w:cs="Courier New" w:eastAsia="Courier New" w:hAnsi="Courier New"/>
                <w:sz w:val="15"/>
                <w:szCs w:val="15"/>
                <w:color w:val="auto"/>
              </w:rPr>
              <w:t>Alliance Capital Management L.P.</w:t>
            </w:r>
          </w:p>
        </w:tc>
        <w:tc>
          <w:tcPr>
            <w:tcW w:w="2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5,221,466</w:t>
            </w: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w:t>
            </w: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1345 Avenue of the Americas</w:t>
            </w:r>
          </w:p>
        </w:tc>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New York, New York  10105</w:t>
            </w:r>
          </w:p>
        </w:tc>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E. Drury</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1,495,114</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F. Moorehead, Jr.</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2,247,753</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Sutherland-Yoest</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417,013</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Earl E. DeFrates</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121,754</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(6)</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A. Wilcox</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L. Ball</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72,931</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 J. Gibbons</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4,499</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J. Heckmann</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10,439</w:t>
            </w:r>
          </w:p>
        </w:tc>
        <w:tc>
          <w:tcPr>
            <w:tcW w:w="114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E. Moffett</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6,665</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G. Rangos, Sr.</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7,663,911</w:t>
            </w:r>
          </w:p>
        </w:tc>
        <w:tc>
          <w:tcPr>
            <w:tcW w:w="114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Alexander W. Rangos</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1,952,131</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(10)</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Kosti Shirvanian</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9,051,061</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(11)</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Savey Tufenkian</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1,086,579</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(12)</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24,218,365</w:t>
            </w:r>
          </w:p>
        </w:tc>
        <w:tc>
          <w:tcPr>
            <w:tcW w:w="114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officers as a group (17</w:t>
            </w:r>
          </w:p>
        </w:tc>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persons)</w:t>
            </w:r>
          </w:p>
        </w:tc>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ind w:left="440" w:hanging="430"/>
        <w:spacing w:after="0" w:line="237"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5" w:lineRule="exact"/>
        <w:rPr>
          <w:sz w:val="20"/>
          <w:szCs w:val="20"/>
          <w:color w:val="auto"/>
        </w:rPr>
      </w:pPr>
    </w:p>
    <w:p>
      <w:pPr>
        <w:ind w:left="440" w:right="1480" w:hanging="430"/>
        <w:spacing w:after="0" w:line="235"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over which such person shares voting or disposition power and shares in which such person has the right to acquire beneficial ownership within 60 days, including upon exercise of a stock option or conversion of a convertible security.</w:t>
      </w:r>
    </w:p>
    <w:p>
      <w:pPr>
        <w:spacing w:after="0" w:line="2" w:lineRule="exact"/>
        <w:rPr>
          <w:rFonts w:ascii="Courier New" w:cs="Courier New" w:eastAsia="Courier New" w:hAnsi="Courier New"/>
          <w:sz w:val="15"/>
          <w:szCs w:val="15"/>
          <w:color w:val="auto"/>
        </w:rPr>
      </w:pPr>
    </w:p>
    <w:p>
      <w:pPr>
        <w:ind w:left="440" w:hanging="430"/>
        <w:spacing w:after="0" w:line="237"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Schedule 13F on file with the Commission.</w:t>
      </w:r>
    </w:p>
    <w:p>
      <w:pPr>
        <w:spacing w:after="0" w:line="5" w:lineRule="exact"/>
        <w:rPr>
          <w:rFonts w:ascii="Courier New" w:cs="Courier New" w:eastAsia="Courier New" w:hAnsi="Courier New"/>
          <w:sz w:val="15"/>
          <w:szCs w:val="15"/>
          <w:color w:val="auto"/>
        </w:rPr>
      </w:pPr>
    </w:p>
    <w:p>
      <w:pPr>
        <w:ind w:left="440" w:right="1400"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435,000 shares issuable pursuant to options exercisable within 60 days and 5,176 shares owned by Mr. Drury's spouse.</w:t>
      </w:r>
    </w:p>
    <w:p>
      <w:pPr>
        <w:spacing w:after="0" w:line="5" w:lineRule="exact"/>
        <w:rPr>
          <w:rFonts w:ascii="Courier New" w:cs="Courier New" w:eastAsia="Courier New" w:hAnsi="Courier New"/>
          <w:sz w:val="15"/>
          <w:szCs w:val="15"/>
          <w:color w:val="auto"/>
        </w:rPr>
      </w:pPr>
    </w:p>
    <w:p>
      <w:pPr>
        <w:ind w:left="440" w:right="1400" w:hanging="430"/>
        <w:spacing w:after="0" w:line="254"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369,000 shares issuable pursuant to options exercisable within 60 days and 228,632 shares owned by Mr. Moorehead's spouse and children.</w:t>
      </w:r>
    </w:p>
    <w:p>
      <w:pPr>
        <w:ind w:left="440" w:right="1400"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179,029 shares issuable pursuant to options exercisable within 60 days and 2,000 shares owned by Mr. Sutherland-Yoest's daughter.</w:t>
      </w:r>
    </w:p>
    <w:p>
      <w:pPr>
        <w:spacing w:after="0" w:line="5" w:lineRule="exact"/>
        <w:rPr>
          <w:rFonts w:ascii="Courier New" w:cs="Courier New" w:eastAsia="Courier New" w:hAnsi="Courier New"/>
          <w:sz w:val="15"/>
          <w:szCs w:val="15"/>
          <w:color w:val="auto"/>
        </w:rPr>
      </w:pPr>
    </w:p>
    <w:p>
      <w:pPr>
        <w:ind w:left="440" w:right="1480"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84,000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1480" w:hanging="430"/>
        <w:spacing w:after="0" w:line="235"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issuable pursuant to options exercisable within 60 days and 32,135 shares owned by Mr. Ball's spouse and an investment partnership for her children and 3,600 shares owned by Mr. Ball's stepdaughter.</w:t>
      </w:r>
    </w:p>
    <w:p>
      <w:pPr>
        <w:spacing w:after="0" w:line="7" w:lineRule="exact"/>
        <w:rPr>
          <w:rFonts w:ascii="Courier New" w:cs="Courier New" w:eastAsia="Courier New" w:hAnsi="Courier New"/>
          <w:sz w:val="15"/>
          <w:szCs w:val="15"/>
          <w:color w:val="auto"/>
        </w:rPr>
      </w:pPr>
    </w:p>
    <w:p>
      <w:pPr>
        <w:ind w:left="440" w:right="1580"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2,499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1580"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6,665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1320" w:hanging="430"/>
        <w:spacing w:after="0" w:line="254"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80,709 shares issuable pursuant to options exercisable within 60 days and 1,210,008 shares held by John Rangos Development Corporation, Inc.</w:t>
      </w:r>
    </w:p>
    <w:p>
      <w:pPr>
        <w:ind w:left="440" w:right="1480" w:hanging="430"/>
        <w:spacing w:after="0" w:line="235"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2,337,000 shares issuable pursuant to options exercisable within 60 days and 6,581,680 shares held by a trust over which Mr. Shirvanian and his wife share voting and investment power.</w:t>
      </w:r>
    </w:p>
    <w:p>
      <w:pPr>
        <w:spacing w:after="0" w:line="5" w:lineRule="exact"/>
        <w:rPr>
          <w:rFonts w:ascii="Courier New" w:cs="Courier New" w:eastAsia="Courier New" w:hAnsi="Courier New"/>
          <w:sz w:val="15"/>
          <w:szCs w:val="15"/>
          <w:color w:val="auto"/>
        </w:rPr>
      </w:pPr>
    </w:p>
    <w:p>
      <w:pPr>
        <w:ind w:left="440" w:right="1400" w:hanging="430"/>
        <w:spacing w:after="0" w:line="235"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686,250 shares issuable pursuant to options exercisable within 60 days, and shares and options exercisable within 60 days owned by Ms. Tufenkian's husband.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After the 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spacing w:after="0" w:line="6759" w:lineRule="exact"/>
        <w:rPr>
          <w:sz w:val="20"/>
          <w:szCs w:val="20"/>
          <w:color w:val="auto"/>
        </w:rPr>
      </w:pPr>
    </w:p>
    <w:p>
      <w:pPr>
        <w:sectPr>
          <w:pgSz w:w="11900" w:h="16838" w:orient="portrait"/>
          <w:cols w:equalWidth="0" w:num="2">
            <w:col w:w="8320" w:space="700"/>
            <w:col w:w="1400"/>
          </w:cols>
          <w:pgMar w:left="220" w:top="28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420"/>
          </w:cols>
          <w:pgMar w:left="220" w:top="281" w:right="1259" w:bottom="1440" w:gutter="0" w:footer="0" w:header="0"/>
          <w:type w:val="continuous"/>
        </w:sectPr>
      </w:pPr>
    </w:p>
    <w:bookmarkStart w:id="80" w:name="page81"/>
    <w:bookmarkEnd w:id="80"/>
    <w:p>
      <w:pPr>
        <w:jc w:val="center"/>
        <w:ind w:right="7780"/>
        <w:spacing w:after="0"/>
        <w:rPr>
          <w:sz w:val="20"/>
          <w:szCs w:val="20"/>
          <w:color w:val="auto"/>
        </w:rPr>
      </w:pPr>
      <w:r>
        <w:rPr>
          <w:rFonts w:ascii="Courier New" w:cs="Courier New" w:eastAsia="Courier New" w:hAnsi="Courier New"/>
          <w:sz w:val="15"/>
          <w:szCs w:val="15"/>
          <w:color w:val="auto"/>
        </w:rPr>
        <w:t>80</w:t>
      </w:r>
    </w:p>
    <w:p>
      <w:pPr>
        <w:jc w:val="center"/>
        <w:ind w:right="7780"/>
        <w:spacing w:after="0" w:line="237" w:lineRule="auto"/>
        <w:rPr>
          <w:sz w:val="20"/>
          <w:szCs w:val="20"/>
          <w:color w:val="auto"/>
        </w:rPr>
      </w:pPr>
      <w:r>
        <w:rPr>
          <w:rFonts w:ascii="Courier New" w:cs="Courier New" w:eastAsia="Courier New" w:hAnsi="Courier New"/>
          <w:sz w:val="15"/>
          <w:szCs w:val="15"/>
          <w:color w:val="auto"/>
        </w:rPr>
        <w:t>SANIFILL</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Sanifill</w:t>
            </w:r>
          </w:p>
        </w:tc>
        <w:tc>
          <w:tcPr>
            <w:tcW w:w="1260" w:type="dxa"/>
            <w:vAlign w:val="bottom"/>
          </w:tcPr>
          <w:p>
            <w:pPr>
              <w:spacing w:after="0"/>
              <w:rPr>
                <w:sz w:val="14"/>
                <w:szCs w:val="14"/>
                <w:color w:val="auto"/>
              </w:rPr>
            </w:pP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USA Waste</w:t>
            </w:r>
          </w:p>
        </w:tc>
      </w:tr>
      <w:tr>
        <w:trPr>
          <w:trHeight w:val="168"/>
        </w:trPr>
        <w:tc>
          <w:tcPr>
            <w:tcW w:w="308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260" w:type="dxa"/>
            <w:vAlign w:val="bottom"/>
          </w:tcPr>
          <w:p>
            <w:pPr>
              <w:spacing w:after="0"/>
              <w:rPr>
                <w:sz w:val="14"/>
                <w:szCs w:val="14"/>
                <w:color w:val="auto"/>
              </w:rPr>
            </w:pPr>
          </w:p>
        </w:tc>
        <w:tc>
          <w:tcPr>
            <w:tcW w:w="1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Common Stock</w:t>
            </w:r>
          </w:p>
        </w:tc>
      </w:tr>
      <w:tr>
        <w:trPr>
          <w:trHeight w:val="168"/>
        </w:trPr>
        <w:tc>
          <w:tcPr>
            <w:tcW w:w="30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Name</w:t>
            </w:r>
          </w:p>
        </w:tc>
        <w:tc>
          <w:tcPr>
            <w:tcW w:w="2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Before the Merger (1)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Percentage</w:t>
            </w:r>
          </w:p>
        </w:tc>
        <w:tc>
          <w:tcPr>
            <w:tcW w:w="1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After the Merger (1)</w:t>
            </w:r>
          </w:p>
        </w:tc>
      </w:tr>
      <w:tr>
        <w:trPr>
          <w:trHeight w:val="168"/>
        </w:trPr>
        <w:tc>
          <w:tcPr>
            <w:tcW w:w="30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ind w:left="100"/>
              <w:spacing w:after="0"/>
              <w:rPr>
                <w:sz w:val="20"/>
                <w:szCs w:val="20"/>
                <w:color w:val="auto"/>
              </w:rPr>
            </w:pPr>
            <w:r>
              <w:rPr>
                <w:rFonts w:ascii="Courier New" w:cs="Courier New" w:eastAsia="Courier New" w:hAnsi="Courier New"/>
                <w:sz w:val="15"/>
                <w:szCs w:val="15"/>
                <w:color w:val="auto"/>
              </w:rPr>
              <w:t>Lorne D. Bain</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437,703</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744,095</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Larry J. Martin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924,300</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w:t>
            </w:r>
          </w:p>
        </w:tc>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1,624,643(17)</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Rodney R. Proto</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353,314</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w:t>
            </w:r>
          </w:p>
        </w:tc>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602,049(18)</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Alfred C. Warrington, IV</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307,935</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523,489</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William L. Lynch</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57,850</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98,345</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Robert G. Jones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50,100</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85,170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Ralph F. Cox</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42,500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Raymond C. Loehr</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25,500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William J. Razzouk</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17,000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 Chris Brewster</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114,873</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233,534(19)</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Charles E. Williams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23,611</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40,138</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 Steven Walton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23,609</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40,135</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American Express Financial</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2,164,500</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8.7</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3,679,650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Pilgrim Baxter &amp; Associates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1,901,600</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7.6</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3,232,720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 Rowe Price &amp; Associates, Inc.</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1,459,900</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(16)</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5.8</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2,481,830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All officers and directors as a</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group (13 persons)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2,352,545</w:t>
            </w:r>
          </w:p>
        </w:tc>
        <w:tc>
          <w:tcPr>
            <w:tcW w:w="88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9.4</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4,092,323</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166" w:lineRule="exact"/>
        <w:rPr>
          <w:sz w:val="20"/>
          <w:szCs w:val="20"/>
          <w:color w:val="auto"/>
        </w:rPr>
      </w:pPr>
    </w:p>
    <w:p>
      <w:pPr>
        <w:ind w:left="440" w:hanging="430"/>
        <w:spacing w:after="0"/>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5" w:lineRule="exact"/>
        <w:rPr>
          <w:sz w:val="20"/>
          <w:szCs w:val="20"/>
          <w:color w:val="auto"/>
        </w:rPr>
      </w:pPr>
    </w:p>
    <w:p>
      <w:pPr>
        <w:ind w:left="440" w:right="1580" w:hanging="430"/>
        <w:spacing w:after="0" w:line="235"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over which such person shares voting or disposition power and shares in which such person has the right to acquire beneficial owner-ship within 60 days, including upon exercise of a stock option or conversion of a convertible security.</w:t>
      </w:r>
    </w:p>
    <w:p>
      <w:pPr>
        <w:spacing w:after="0" w:line="7" w:lineRule="exact"/>
        <w:rPr>
          <w:rFonts w:ascii="Courier New" w:cs="Courier New" w:eastAsia="Courier New" w:hAnsi="Courier New"/>
          <w:sz w:val="15"/>
          <w:szCs w:val="15"/>
          <w:color w:val="auto"/>
        </w:rPr>
      </w:pPr>
    </w:p>
    <w:p>
      <w:pPr>
        <w:ind w:left="440" w:right="210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Bain includes 398,750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176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Martin includes 5,000 shares owned by Mr. Martin's minor daughter.</w:t>
      </w:r>
    </w:p>
    <w:p>
      <w:pPr>
        <w:spacing w:after="0" w:line="5" w:lineRule="exact"/>
        <w:rPr>
          <w:rFonts w:ascii="Courier New" w:cs="Courier New" w:eastAsia="Courier New" w:hAnsi="Courier New"/>
          <w:sz w:val="15"/>
          <w:szCs w:val="15"/>
          <w:color w:val="auto"/>
        </w:rPr>
      </w:pPr>
    </w:p>
    <w:p>
      <w:pPr>
        <w:ind w:left="440" w:right="2020" w:hanging="430"/>
        <w:spacing w:after="0" w:line="235"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Proto includes 217,500 shares issuable pursuant to options exercisable within 60 days and 100,000 shares issuable upon exercise of common stock warrants.</w:t>
      </w:r>
    </w:p>
    <w:p>
      <w:pPr>
        <w:spacing w:after="0" w:line="5" w:lineRule="exact"/>
        <w:rPr>
          <w:rFonts w:ascii="Courier New" w:cs="Courier New" w:eastAsia="Courier New" w:hAnsi="Courier New"/>
          <w:sz w:val="15"/>
          <w:szCs w:val="15"/>
          <w:color w:val="auto"/>
        </w:rPr>
      </w:pPr>
    </w:p>
    <w:p>
      <w:pPr>
        <w:ind w:left="440" w:right="1660" w:hanging="430"/>
        <w:spacing w:after="0" w:line="254"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ownership amount for Mr. Warrington includes 15,000 shares issuable pursuant to options exercisable within 60 days and 3,435 shares issuable upon the conversion of the Company's convertible subordinated debentures, 485 of which may be acquired by Mr. Warrington's former wife. Share ownership amount for Mr. Warrington also includes 68,000 shares held by a limited partnership in which Mr. Warrington is a general partner; Mr. Warrington disclaims beneficial ownership of such shares.</w:t>
      </w:r>
    </w:p>
    <w:p>
      <w:pPr>
        <w:spacing w:after="0" w:line="2" w:lineRule="exact"/>
        <w:rPr>
          <w:rFonts w:ascii="Courier New" w:cs="Courier New" w:eastAsia="Courier New" w:hAnsi="Courier New"/>
          <w:sz w:val="14"/>
          <w:szCs w:val="14"/>
          <w:color w:val="auto"/>
        </w:rPr>
      </w:pPr>
    </w:p>
    <w:p>
      <w:pPr>
        <w:ind w:left="440" w:right="1760" w:hanging="430"/>
        <w:spacing w:after="0" w:line="235"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Jones includes 15,000 shares issuable pursuant to options exercisable within 60 days. Share ownership amount for Mr. Jones excludes 300 shares owned by Mr. Jones' minor daughter, as to which Mr. Jones disclaims beneficial ownership.</w:t>
      </w:r>
    </w:p>
    <w:p>
      <w:pPr>
        <w:spacing w:after="0" w:line="7" w:lineRule="exact"/>
        <w:rPr>
          <w:rFonts w:ascii="Courier New" w:cs="Courier New" w:eastAsia="Courier New" w:hAnsi="Courier New"/>
          <w:sz w:val="15"/>
          <w:szCs w:val="15"/>
          <w:color w:val="auto"/>
        </w:rPr>
      </w:pPr>
    </w:p>
    <w:p>
      <w:pPr>
        <w:ind w:left="440" w:right="210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Lynch includes 15,000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228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Cox includes 20,000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210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Loehr includes 15,000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194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Razzouk includes 10,000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176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Brewster includes 102,500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194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Williams includes 9,937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202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amount for Mr. Walton includes 16,500 shares issuable pursuant to options exercisable within 60 days.</w:t>
      </w:r>
    </w:p>
    <w:p>
      <w:pPr>
        <w:spacing w:after="0" w:line="5" w:lineRule="exact"/>
        <w:rPr>
          <w:rFonts w:ascii="Courier New" w:cs="Courier New" w:eastAsia="Courier New" w:hAnsi="Courier New"/>
          <w:sz w:val="15"/>
          <w:szCs w:val="15"/>
          <w:color w:val="auto"/>
        </w:rPr>
      </w:pPr>
    </w:p>
    <w:p>
      <w:pPr>
        <w:ind w:left="440" w:right="246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American Express Financial Corp. is IDS Tower 10, Minneapolis, Minnesota 55140.</w:t>
      </w:r>
    </w:p>
    <w:p>
      <w:pPr>
        <w:spacing w:after="0" w:line="5" w:lineRule="exact"/>
        <w:rPr>
          <w:rFonts w:ascii="Courier New" w:cs="Courier New" w:eastAsia="Courier New" w:hAnsi="Courier New"/>
          <w:sz w:val="15"/>
          <w:szCs w:val="15"/>
          <w:color w:val="auto"/>
        </w:rPr>
      </w:pPr>
    </w:p>
    <w:p>
      <w:pPr>
        <w:ind w:left="440" w:right="184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Pilgrim Baxter &amp; Associates is 1255 Drummers Lane, Suite 300, Wayne, Pennsylvania 19087.</w:t>
      </w:r>
    </w:p>
    <w:p>
      <w:pPr>
        <w:spacing w:after="0" w:line="5" w:lineRule="exact"/>
        <w:rPr>
          <w:rFonts w:ascii="Courier New" w:cs="Courier New" w:eastAsia="Courier New" w:hAnsi="Courier New"/>
          <w:sz w:val="15"/>
          <w:szCs w:val="15"/>
          <w:color w:val="auto"/>
        </w:rPr>
      </w:pPr>
    </w:p>
    <w:p>
      <w:pPr>
        <w:ind w:left="440" w:right="1660" w:hanging="430"/>
        <w:spacing w:after="0" w:line="236"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 Rowe Price &amp; Associates, Inc. is 100 E. Pratt Street, Baltimore, Maryland 21202. These securities are owned by various individual and institutional investors, which T. Rowe Price &amp; Associates, Inc.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10" w:lineRule="exact"/>
        <w:rPr>
          <w:rFonts w:ascii="Courier New" w:cs="Courier New" w:eastAsia="Courier New" w:hAnsi="Courier New"/>
          <w:sz w:val="15"/>
          <w:szCs w:val="15"/>
          <w:color w:val="auto"/>
        </w:rPr>
      </w:pPr>
    </w:p>
    <w:p>
      <w:pPr>
        <w:ind w:left="440" w:right="184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53,333 shares of USA Waste Common Stock currently owned by Mr. Martin.</w:t>
      </w:r>
    </w:p>
    <w:p>
      <w:pPr>
        <w:spacing w:after="0" w:line="5" w:lineRule="exact"/>
        <w:rPr>
          <w:rFonts w:ascii="Courier New" w:cs="Courier New" w:eastAsia="Courier New" w:hAnsi="Courier New"/>
          <w:sz w:val="15"/>
          <w:szCs w:val="15"/>
          <w:color w:val="auto"/>
        </w:rPr>
      </w:pPr>
    </w:p>
    <w:p>
      <w:pPr>
        <w:ind w:left="440" w:right="1940" w:hanging="430"/>
        <w:spacing w:after="0" w:line="234"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1,416 shares of USA Waste Common Stock currently owned by Mr. Proto.</w:t>
      </w:r>
    </w:p>
    <w:p>
      <w:pPr>
        <w:spacing w:after="0" w:line="5" w:lineRule="exact"/>
        <w:rPr>
          <w:rFonts w:ascii="Courier New" w:cs="Courier New" w:eastAsia="Courier New" w:hAnsi="Courier New"/>
          <w:sz w:val="15"/>
          <w:szCs w:val="15"/>
          <w:color w:val="auto"/>
        </w:rPr>
      </w:pPr>
    </w:p>
    <w:p>
      <w:pPr>
        <w:ind w:left="440" w:right="1940" w:hanging="430"/>
        <w:spacing w:after="0" w:line="235"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receivable in respect of an option for an additional 22,500 shares of Sanifill Common Stock that will become exercisable in connection with the Merger.</w:t>
      </w:r>
    </w:p>
    <w:p>
      <w:pPr>
        <w:spacing w:after="0" w:line="174" w:lineRule="exact"/>
        <w:rPr>
          <w:sz w:val="20"/>
          <w:szCs w:val="20"/>
          <w:color w:val="auto"/>
        </w:rPr>
      </w:pPr>
    </w:p>
    <w:p>
      <w:pPr>
        <w:ind w:right="1760" w:firstLine="437"/>
        <w:spacing w:after="0" w:line="236" w:lineRule="auto"/>
        <w:rPr>
          <w:sz w:val="20"/>
          <w:szCs w:val="20"/>
          <w:color w:val="auto"/>
        </w:rPr>
      </w:pPr>
      <w:r>
        <w:rPr>
          <w:rFonts w:ascii="Courier New" w:cs="Courier New" w:eastAsia="Courier New" w:hAnsi="Courier New"/>
          <w:sz w:val="15"/>
          <w:szCs w:val="15"/>
          <w:color w:val="auto"/>
        </w:rPr>
        <w:t>As a result of the Voting Agreements, each of USA Waste and Sanifill may be deemed to beneficially own over 5% of the other's outstanding voting securities. See "The Plan of Merger and Terms of the Merger--Voting Agreements." Each of USA Waste and Sanifill disclaims beneficial ownership with respect to such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332" w:lineRule="exact"/>
        <w:rPr>
          <w:sz w:val="20"/>
          <w:szCs w:val="20"/>
          <w:color w:val="auto"/>
        </w:rPr>
      </w:pPr>
    </w:p>
    <w:p>
      <w:pPr>
        <w:sectPr>
          <w:pgSz w:w="11900" w:h="16838" w:orient="portrait"/>
          <w:cols w:equalWidth="0" w:num="2">
            <w:col w:w="8500" w:space="340"/>
            <w:col w:w="1399"/>
          </w:cols>
          <w:pgMar w:left="220" w:top="281" w:right="1440" w:bottom="0" w:gutter="0" w:footer="0" w:header="0"/>
        </w:sect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1" w:right="1440" w:bottom="0" w:gutter="0" w:footer="0" w:header="0"/>
          <w:type w:val="continuous"/>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81</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MARKET PRICE DATA</w:t>
      </w:r>
    </w:p>
    <w:p>
      <w:pPr>
        <w:spacing w:after="0" w:line="237" w:lineRule="auto"/>
        <w:rPr>
          <w:sz w:val="20"/>
          <w:szCs w:val="20"/>
          <w:color w:val="auto"/>
        </w:rPr>
      </w:pPr>
      <w:r>
        <w:rPr>
          <w:rFonts w:ascii="Courier New" w:cs="Courier New" w:eastAsia="Courier New" w:hAnsi="Courier New"/>
          <w:sz w:val="15"/>
          <w:szCs w:val="15"/>
          <w:color w:val="auto"/>
        </w:rPr>
        <w:t>MARKET INFORMATION</w:t>
      </w:r>
    </w:p>
    <w:p>
      <w:pPr>
        <w:spacing w:after="0" w:line="173"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USA Waste Common Stock is traded on the NYSE under the symbol "UW." Sanifill Common Stock is traded on the NYSE under the symbol "FIL." The following table sets forth the range of high and low sale prices for the USA Waste Common Stock and the Sanifill Common Stock, as reported on the NYSE.</w:t>
      </w:r>
    </w:p>
    <w:p>
      <w:pPr>
        <w:spacing w:after="0" w:line="200" w:lineRule="exact"/>
        <w:rPr>
          <w:sz w:val="20"/>
          <w:szCs w:val="20"/>
          <w:color w:val="auto"/>
        </w:rPr>
      </w:pP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USA Waste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Sanifill</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Common Stock</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620" w:type="dxa"/>
            <w:vAlign w:val="bottom"/>
            <w:gridSpan w:val="2"/>
          </w:tcPr>
          <w:p>
            <w:pPr>
              <w:ind w:left="180"/>
              <w:spacing w:after="0"/>
              <w:rPr>
                <w:sz w:val="20"/>
                <w:szCs w:val="20"/>
                <w:color w:val="auto"/>
              </w:rPr>
            </w:pPr>
            <w:r>
              <w:rPr>
                <w:rFonts w:ascii="Courier New" w:cs="Courier New" w:eastAsia="Courier New" w:hAnsi="Courier New"/>
                <w:sz w:val="4"/>
                <w:szCs w:val="4"/>
                <w:color w:val="auto"/>
                <w:w w:val="79"/>
              </w:rPr>
              <w:t>----------------------</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High</w:t>
            </w:r>
          </w:p>
        </w:tc>
        <w:tc>
          <w:tcPr>
            <w:tcW w:w="10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Low</w:t>
            </w:r>
          </w:p>
        </w:tc>
        <w:tc>
          <w:tcPr>
            <w:tcW w:w="320" w:type="dxa"/>
            <w:vAlign w:val="bottom"/>
          </w:tcPr>
          <w:p>
            <w:pPr>
              <w:spacing w:after="0"/>
              <w:rPr>
                <w:sz w:val="14"/>
                <w:szCs w:val="14"/>
                <w:color w:val="auto"/>
              </w:rPr>
            </w:pPr>
          </w:p>
        </w:tc>
        <w:tc>
          <w:tcPr>
            <w:tcW w:w="7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High</w:t>
            </w: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Low</w:t>
            </w:r>
          </w:p>
        </w:tc>
        <w:tc>
          <w:tcPr>
            <w:tcW w:w="3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First Quarter   . . . . . . . . . . . .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15</w:t>
            </w:r>
          </w:p>
        </w:tc>
        <w:tc>
          <w:tcPr>
            <w:tcW w:w="520" w:type="dxa"/>
            <w:vAlign w:val="bottom"/>
          </w:tcPr>
          <w:p>
            <w:pPr>
              <w:spacing w:after="0"/>
              <w:rPr>
                <w:sz w:val="24"/>
                <w:szCs w:val="24"/>
                <w:color w:val="auto"/>
              </w:rPr>
            </w:pP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$ 11 3/8</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25</w:t>
            </w:r>
          </w:p>
        </w:tc>
        <w:tc>
          <w:tcPr>
            <w:tcW w:w="520" w:type="dxa"/>
            <w:vAlign w:val="bottom"/>
          </w:tcPr>
          <w:p>
            <w:pPr>
              <w:spacing w:after="0"/>
              <w:rPr>
                <w:sz w:val="24"/>
                <w:szCs w:val="24"/>
                <w:color w:val="auto"/>
              </w:rPr>
            </w:pP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 . . . . . . . . . . . .</w:t>
            </w:r>
          </w:p>
        </w:tc>
        <w:tc>
          <w:tcPr>
            <w:tcW w:w="4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13</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5/8</w:t>
            </w: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 . . . . . . . . . . . .</w:t>
            </w:r>
          </w:p>
        </w:tc>
        <w:tc>
          <w:tcPr>
            <w:tcW w:w="4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15</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21</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  . . . . . . . . . . . . .</w:t>
            </w:r>
          </w:p>
        </w:tc>
        <w:tc>
          <w:tcPr>
            <w:tcW w:w="4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15</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First Quarter   . . . . . . . . . . . .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12 3/8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$ 10</w:t>
            </w:r>
          </w:p>
        </w:tc>
        <w:tc>
          <w:tcPr>
            <w:tcW w:w="480" w:type="dxa"/>
            <w:vAlign w:val="bottom"/>
          </w:tcPr>
          <w:p>
            <w:pPr>
              <w:spacing w:after="0"/>
              <w:rPr>
                <w:sz w:val="24"/>
                <w:szCs w:val="24"/>
                <w:color w:val="auto"/>
              </w:rPr>
            </w:pP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27</w:t>
            </w:r>
          </w:p>
        </w:tc>
        <w:tc>
          <w:tcPr>
            <w:tcW w:w="520" w:type="dxa"/>
            <w:vAlign w:val="bottom"/>
          </w:tcPr>
          <w:p>
            <w:pPr>
              <w:spacing w:after="0"/>
              <w:rPr>
                <w:sz w:val="24"/>
                <w:szCs w:val="24"/>
                <w:color w:val="auto"/>
              </w:rPr>
            </w:pP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22</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 . . . . . . . . . . . .</w:t>
            </w:r>
          </w:p>
        </w:tc>
        <w:tc>
          <w:tcPr>
            <w:tcW w:w="4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16</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5/8</w:t>
            </w: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 . . . . . . . . . . . .</w:t>
            </w:r>
          </w:p>
        </w:tc>
        <w:tc>
          <w:tcPr>
            <w:tcW w:w="4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21</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  . . . . . . . . . . . . .</w:t>
            </w:r>
          </w:p>
        </w:tc>
        <w:tc>
          <w:tcPr>
            <w:tcW w:w="4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22</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First Quarter . . . . . . . . . . . . . .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25 5/8</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$ 17 1/4</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39 1/4</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33</w:t>
            </w:r>
          </w:p>
        </w:tc>
        <w:tc>
          <w:tcPr>
            <w:tcW w:w="3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 . . . . . . . . . . . . .</w:t>
            </w:r>
          </w:p>
        </w:tc>
        <w:tc>
          <w:tcPr>
            <w:tcW w:w="4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32</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37</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7/8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(through July 12) . . . . . .</w:t>
            </w:r>
          </w:p>
        </w:tc>
        <w:tc>
          <w:tcPr>
            <w:tcW w:w="4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30</w:t>
            </w:r>
          </w:p>
        </w:tc>
        <w:tc>
          <w:tcPr>
            <w:tcW w:w="5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49</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45</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1/2</w:t>
            </w:r>
          </w:p>
        </w:tc>
      </w:tr>
    </w:tbl>
    <w:p>
      <w:pPr>
        <w:spacing w:after="0" w:line="200" w:lineRule="exact"/>
        <w:rPr>
          <w:sz w:val="20"/>
          <w:szCs w:val="20"/>
          <w:color w:val="auto"/>
        </w:rPr>
      </w:pPr>
    </w:p>
    <w:p>
      <w:pPr>
        <w:spacing w:after="0" w:line="309"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On June 21, 1996, the last trading day prior to announcement by USA Waste and Sanifill that they had reached an agreement concerning the Merger, the closing sale price of USA Waste Common Stock as reported on the NYSE was $27 7/8 per share, and the closing sale price of Sanifill Common Stock as reported on the NYSE was $47 7/8 per share. The equivalent per share price of Sanifill Common Stock on June 21, 1996, calculated by multiplying the closing sale price of USA Waste Common Stock on the same date by the Exchange Ratio, was $47.3875.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ind w:left="800"/>
              <w:spacing w:after="0"/>
              <w:rPr>
                <w:sz w:val="20"/>
                <w:szCs w:val="20"/>
                <w:color w:val="auto"/>
              </w:rPr>
            </w:pPr>
            <w:r>
              <w:rPr>
                <w:rFonts w:ascii="Courier New" w:cs="Courier New" w:eastAsia="Courier New" w:hAnsi="Courier New"/>
                <w:sz w:val="15"/>
                <w:szCs w:val="15"/>
                <w:color w:val="auto"/>
              </w:rPr>
              <w:t>On</w:t>
            </w:r>
          </w:p>
        </w:tc>
        <w:tc>
          <w:tcPr>
            <w:tcW w:w="2580" w:type="dxa"/>
            <w:vAlign w:val="bottom"/>
          </w:tcPr>
          <w:p>
            <w:pPr>
              <w:ind w:left="900"/>
              <w:spacing w:after="0"/>
              <w:rPr>
                <w:sz w:val="20"/>
                <w:szCs w:val="20"/>
                <w:color w:val="auto"/>
              </w:rPr>
            </w:pPr>
            <w:r>
              <w:rPr>
                <w:rFonts w:ascii="Courier New" w:cs="Courier New" w:eastAsia="Courier New" w:hAnsi="Courier New"/>
                <w:sz w:val="15"/>
                <w:szCs w:val="15"/>
                <w:color w:val="auto"/>
                <w:w w:val="97"/>
              </w:rPr>
              <w:t>, 1996, the closing</w:t>
            </w:r>
          </w:p>
        </w:tc>
        <w:tc>
          <w:tcPr>
            <w:tcW w:w="2440" w:type="dxa"/>
            <w:vAlign w:val="bottom"/>
          </w:tcPr>
          <w:p>
            <w:pPr>
              <w:ind w:left="80"/>
              <w:spacing w:after="0"/>
              <w:rPr>
                <w:sz w:val="20"/>
                <w:szCs w:val="20"/>
                <w:color w:val="auto"/>
              </w:rPr>
            </w:pPr>
            <w:r>
              <w:rPr>
                <w:rFonts w:ascii="Courier New" w:cs="Courier New" w:eastAsia="Courier New" w:hAnsi="Courier New"/>
                <w:sz w:val="15"/>
                <w:szCs w:val="15"/>
                <w:color w:val="auto"/>
              </w:rPr>
              <w:t>sale price of USA Waste</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as reported on the NYSE was $</w:t>
            </w:r>
          </w:p>
        </w:tc>
        <w:tc>
          <w:tcPr>
            <w:tcW w:w="2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per share, and the closing</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sale price of Sanifill Common on the NYSE was $</w:t>
            </w:r>
          </w:p>
        </w:tc>
        <w:tc>
          <w:tcPr>
            <w:tcW w:w="2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 share.  Following</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the Merger, USA Waste Common Stock will continue to</w:t>
            </w:r>
          </w:p>
        </w:tc>
        <w:tc>
          <w:tcPr>
            <w:tcW w:w="2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be traded on the NYSE under</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the symbol "UW," and the listing of Sanifill Common</w:t>
            </w:r>
          </w:p>
        </w:tc>
        <w:tc>
          <w:tcPr>
            <w:tcW w:w="2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Stock on the NYSE will be</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2580" w:type="dxa"/>
            <w:vAlign w:val="bottom"/>
          </w:tcPr>
          <w:p>
            <w:pPr>
              <w:spacing w:after="0"/>
              <w:rPr>
                <w:sz w:val="14"/>
                <w:szCs w:val="14"/>
                <w:color w:val="auto"/>
              </w:rPr>
            </w:pPr>
          </w:p>
        </w:tc>
        <w:tc>
          <w:tcPr>
            <w:tcW w:w="24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INFORMATION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USA Waste has never paid cash dividends on its Common Stock. Envirofil paid stock dividends on its preferred stock prior to its acquisition by USA Waste; the holders of such preferred stock received USA Waste Common Stock in that acquisition, and no dividends have been paid by USA Waste. In addition, Chambers paid a dividend on its Class A common stock in November 1990; the holders of Chambers' Class A common stock received USA Waste Common Stock in the merger with Chambers, and no dividends have been paid by USA Waste. The Board of Directors of USA Waste presently intends to retain any earnings in the foreseeable future for USA Waste's business. In addition, payment of dividends on the USA Waste Common Stock is restricted by the terms of USA Waste's bank credit agreement.</w:t>
      </w:r>
    </w:p>
    <w:p>
      <w:pPr>
        <w:spacing w:after="0" w:line="180"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Sanifill has never paid cash dividends on its Common Stock. In addition, payment of dividends on the Sanifill Common Stock is restricted by the terms of its credit facility.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81" w:right="1440" w:bottom="1440" w:gutter="0" w:footer="0" w:header="0"/>
          <w:type w:val="continuous"/>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82</w:t>
      </w:r>
    </w:p>
    <w:p>
      <w:pPr>
        <w:ind w:left="1840"/>
        <w:spacing w:after="0" w:line="237" w:lineRule="auto"/>
        <w:rPr>
          <w:sz w:val="20"/>
          <w:szCs w:val="20"/>
          <w:color w:val="auto"/>
        </w:rPr>
      </w:pPr>
      <w:r>
        <w:rPr>
          <w:rFonts w:ascii="Courier New" w:cs="Courier New" w:eastAsia="Courier New" w:hAnsi="Courier New"/>
          <w:sz w:val="15"/>
          <w:szCs w:val="15"/>
          <w:color w:val="auto"/>
        </w:rPr>
        <w:t>DESCRIPTION OF USA WASTE CAPITAL STOCK</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USA Waste is currently authorized to issue 150,000,000 shares of its</w:t>
      </w:r>
    </w:p>
    <w:p>
      <w:pPr>
        <w:spacing w:after="0" w:line="1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Common Stock, par value $.01 per share, of which shares were outstanding on the Record Date and 10,000,000 shares of Preferred Stock, none of which are outstanding. If the amendment to the Restated Certificate of Incorporation of USA Waste is approved, the number of authorized shares of USA Waste Common Stock will be increased to 300,000,000.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177"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Holders of USA Waste Common Stock have no conversion, redemption or preemptive rights. All outstanding shares of USA Waste Common Stock are validly issued, fully paid and nonassessable.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USA Waste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Authorized but unissued shares of USA Waste Common Stock or Preferred Stock can be reserved for issuance by the Board of Directors of USA Waste from time to time without further stockholder action for proper corporate purposes, including stock dividends or stock splits, raising equity capital and structuring future corporate transactions, including acquisitions.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The transfer agent and registrar for the USA Waste Common Stock is Boston EquiServe, Boston, Massachusetts.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LIABILITY AND INDEMNIFICATION OF OFFICERS AND DIRECTORS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Certificate of Incorporation of USA Waste provides that the directors of USA Waste shall not be liable to USA Waste or its stockholders for monetary damages for breach of fiduciary duty as a director to the fullest extent permitted by the DGCL. The foregoing limitation does not eliminate or limit the liability of a director for any breach of a director's duty of loyalty to USA Waste or its stockholders,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USA Waste also provides that USA Waste shall indemnify, and advance litigation expenses to, its officers, directors, employees, and agents to the fullest extent permitted by the DGCL and all other laws of the State of Delaware.</w:t>
      </w:r>
    </w:p>
    <w:p>
      <w:pPr>
        <w:spacing w:after="0" w:line="16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DGCL provides that USA Waste has the power to indemnify any person who is sued or threatened to be made a named party in a proceeding, other than an action by or in the right of USA Waste, because such person is or was a director, officer, employee, or agent of USA Waste or is or was serving at the request of USA Waste as a director, officer, employee, or agent of another corporation, partnership, joint venture, trust or other enterprise, against expenses actually and reasonably incurred by such person in connection with such proceeding. In order to be indemnified, the person must have (1) acted in good faith; (2) acted in a manner he reasonably believed to be in or not opposed to the best interests of USA Waste; and (3) with respect to any criminal action or proceeding, had no reasonable cause to believe such person's conduct was unlawful. The indemnification includes attorneys' fees, judgments, fines and amounts paid in settlement.</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DGCL also provides that USA Waste may indemnify any person who is sued or threatened to be made a named party in a proceeding by or in the right of USA Waste to procure a judgment in its favor because such person is or was a director, officer, employee or agent of USA Waste, or is or was serving at the request of USA Waste as a director, officer, employee or agent of another corporation, partnership, joint venture, trust or other enterprise. In order to be indemnified, the person must have conducted himself or herself in good faith and in a manner such person reasonably believed to be in or not opposed to the best interests of USA Waste. No indemnification may be made, however,</w:t>
      </w:r>
    </w:p>
    <w:p>
      <w:pPr>
        <w:sectPr>
          <w:pgSz w:w="11900" w:h="16838" w:orient="portrait"/>
          <w:cols w:equalWidth="0" w:num="1">
            <w:col w:w="10239"/>
          </w:cols>
          <w:pgMar w:left="220" w:top="281" w:right="1440" w:bottom="0" w:gutter="0" w:footer="0" w:header="0"/>
        </w:sectPr>
      </w:pPr>
    </w:p>
    <w:bookmarkStart w:id="83" w:name="page84"/>
    <w:bookmarkEnd w:id="83"/>
    <w:p>
      <w:pPr>
        <w:ind w:right="3499"/>
        <w:spacing w:after="0" w:line="234" w:lineRule="auto"/>
        <w:rPr>
          <w:sz w:val="20"/>
          <w:szCs w:val="20"/>
          <w:color w:val="auto"/>
        </w:rPr>
      </w:pPr>
      <w:r>
        <w:rPr>
          <w:rFonts w:ascii="Courier New" w:cs="Courier New" w:eastAsia="Courier New" w:hAnsi="Courier New"/>
          <w:sz w:val="15"/>
          <w:szCs w:val="15"/>
          <w:color w:val="auto"/>
        </w:rPr>
        <w:t>with respect to any claim, issue or matter as to which such person shall have been judged to be liable to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14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Waste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Indemnification by USA Waste is subject to a determination that the director, officer, employee or agent has met the applicable standard of conduct. The determination must be made (1) by a majority vote of a quorum of the USA Waste Board of Directors, consisting only of directors who were not parties to such action, suit or proceeding; (2) if such a quorum cannot be obtained, or even if obtainable, if a quorum of disinterested directors so directs, by independent legal counsel in a written opinion; or (3) by the stockholders of USA Waste.</w:t>
      </w:r>
    </w:p>
    <w:p>
      <w:pPr>
        <w:spacing w:after="0" w:line="177"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USA Waste maintains an officers and directors liability insurance policy insuring officers and directors of USA Waste and its subsidiaries against certain liabilities, including liabilities under the Securities Act. The effect of such policy is to indemnify the officers and directors of USA Waste against losses incurred by them while acting in such capacities.</w:t>
      </w:r>
    </w:p>
    <w:p>
      <w:pPr>
        <w:spacing w:after="0" w:line="16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Insofar as indemnification for liabilities under the Securities Act may be permitted to directors, officers, or persons controlling USA Waste pursuant to the foregoing provisions, USA Waste had been informed that in the opinion of the Commission such indemnification is against public policy as expressed in such Act and is therefore unenforceable.</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PROPOSALS OF STOCKHOLDERS FOR ANNUAL MEETING</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Board of Directors of USA Waste will consider proposals of stockholders intended to be presented for action at the 1997 Annual Meeting of Stockholders. A stockholder proposal must be submitted in writing and be received at USA Waste's principal executive offices, 5400 LBJ Freeway, Suite 300 -- Tower One, Dallas, Texas 75240, no later than December 3, 1996, to be considered for inclusion in USA Waste's proxy statement and form of proxy relating to the 1997 Annual Meeting of Stockholders. Submission of a stockholder proposal does not assure inclusion in the proxy statement or form of proxy because proposals must meet certain Commission rules.</w:t>
      </w:r>
    </w:p>
    <w:p>
      <w:pPr>
        <w:spacing w:after="0" w:line="32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The Boards of Directors of USA Waste and Sanifill do not know of any other matters to be presented for action at the Meetings other than those listed in each company's respective Notice of Meeting and referred to herein.</w:t>
      </w:r>
    </w:p>
    <w:p>
      <w:pPr>
        <w:spacing w:after="0" w:line="3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validity of the USA Waste Common Stock to be issued in connection with the Merger and certain legal issues and tax consequences of the Merger will be passed upon by Andrews &amp; Kurth L.L.P., Houston, Texas. Certain legal issues and tax consequences of the Merger will be passed upon for Sanifill by Baker &amp; Botts, L.L.P., Houston, Texas.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consolidated financial statements of USA Waste and subsidiaries as of December 31, 1994 and 1995, and for each of the three years in the period ended December 31, 1995, which is included in USA Waste's Annual Report on Form 10-K for the fiscal year ended December 31, 1995 and the supplemental consolidated balance sheets of USA Waste as of December 31, 1994 and 1995 and the supplemental consolidated statements of operations, retained earnings and cash flows for each of the years in the three-year period ended December 31, 1995, and the consolidated financial statements of USA Waste Services, Inc. appearing in USA Waste Services, Inc.'s Current Report on Form 8-K/A (Amendment No. 3) filed July 1, 1996 incorporated by reference in this Joint Proxy Statement and Prospectus,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84</w:t>
      </w:r>
    </w:p>
    <w:p>
      <w:pPr>
        <w:spacing w:after="0" w:line="5" w:lineRule="exact"/>
        <w:rPr>
          <w:sz w:val="20"/>
          <w:szCs w:val="20"/>
          <w:color w:val="auto"/>
        </w:rPr>
      </w:pPr>
    </w:p>
    <w:p>
      <w:pPr>
        <w:jc w:val="both"/>
        <w:ind w:right="3759"/>
        <w:spacing w:after="0" w:line="235" w:lineRule="auto"/>
        <w:rPr>
          <w:sz w:val="20"/>
          <w:szCs w:val="20"/>
          <w:color w:val="auto"/>
        </w:rPr>
      </w:pPr>
      <w:r>
        <w:rPr>
          <w:rFonts w:ascii="Courier New" w:cs="Courier New" w:eastAsia="Courier New" w:hAnsi="Courier New"/>
          <w:sz w:val="15"/>
          <w:szCs w:val="15"/>
          <w:color w:val="auto"/>
        </w:rPr>
        <w:t>incorporated herein in reliance on the report of Coopers &amp; Lybrand L.L.P., independent accountants, given on the authority of that firm as experts in accounting and auditing.</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consolidated financial statements of Sanifill appearing in Sanifill's Annual Report on Form 10-K for the year ended December 31, 1995 and the financial statements of various companies acquired by Sanifill appearing in Sanifill's Current Reports on Form 8-K dated February 5, 1996, February 11, 1996 and March 20, 1996 incorporated by reference in this Joint Proxy Statement and Prospectus have been audited by Arthur Andersen LLP, independent public accountants, as indicated in their reports with respect thereto, and are incorporated herein by reference in reliance upon the authority of such firm as experts in accounting and auditing.</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consolidated financial statements of Western Waste Industries at June 30, 1995 and 1994, and for each of the three years in the period ended June 30, 1995, included in USA Waste's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INDEPENDENT AUDITORS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Representatives of Coopers &amp; Lybrand L.L.P., USA Waste's independent auditors, are expected to be present at the USA Waste Special Meeting and will have the opportunity to make a statement if they so desire. Such representatives are also expected to be available to respond to appropriate questions.</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Representatives of Arthur Andersen LLP, Sanifill's independent auditors, are expected to be present at the Sanifill Special Meeting and will have the opportunity to make a statement if they so desire. Such representatives are also expected to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281"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85</w:t>
      </w:r>
    </w:p>
    <w:p>
      <w:pPr>
        <w:jc w:val="right"/>
        <w:ind w:right="3239"/>
        <w:spacing w:after="0" w:line="237" w:lineRule="auto"/>
        <w:rPr>
          <w:sz w:val="20"/>
          <w:szCs w:val="20"/>
          <w:color w:val="auto"/>
        </w:rPr>
      </w:pPr>
      <w:r>
        <w:rPr>
          <w:rFonts w:ascii="Courier New" w:cs="Courier New" w:eastAsia="Courier New" w:hAnsi="Courier New"/>
          <w:sz w:val="15"/>
          <w:szCs w:val="15"/>
          <w:color w:val="auto"/>
        </w:rPr>
        <w:t>ANNEX A</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AGREEMENT AND PLAN OF MERGER</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DATED AS OF JUNE 22, 1996</w:t>
      </w:r>
    </w:p>
    <w:p>
      <w:pPr>
        <w:spacing w:after="0" w:line="16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 AND AMONG</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QUATRO ACQUISITION CORP.</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SANIFILL, INC.</w:t>
      </w:r>
    </w:p>
    <w:p>
      <w:pPr>
        <w:sectPr>
          <w:pgSz w:w="11900" w:h="16838" w:orient="portrait"/>
          <w:cols w:equalWidth="0" w:num="1">
            <w:col w:w="9959"/>
          </w:cols>
          <w:pgMar w:left="50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86</w:t>
      </w: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0" w:type="dxa"/>
            <w:vAlign w:val="bottom"/>
          </w:tcPr>
          <w:p>
            <w:pPr>
              <w:jc w:val="right"/>
              <w:ind w:right="4267"/>
              <w:spacing w:after="0" w:line="168" w:lineRule="exact"/>
              <w:rPr>
                <w:sz w:val="20"/>
                <w:szCs w:val="20"/>
                <w:color w:val="auto"/>
              </w:rPr>
            </w:pPr>
            <w:r>
              <w:rPr>
                <w:rFonts w:ascii="Courier New" w:cs="Courier New" w:eastAsia="Courier New" w:hAnsi="Courier New"/>
                <w:sz w:val="15"/>
                <w:szCs w:val="15"/>
                <w:color w:val="auto"/>
              </w:rPr>
              <w:t>TABLE OF CONTENTS</w:t>
            </w:r>
          </w:p>
        </w:tc>
        <w:tc>
          <w:tcPr>
            <w:tcW w:w="920" w:type="dxa"/>
            <w:vAlign w:val="bottom"/>
          </w:tcPr>
          <w:p>
            <w:pPr>
              <w:spacing w:after="0"/>
              <w:rPr>
                <w:sz w:val="14"/>
                <w:szCs w:val="14"/>
                <w:color w:val="auto"/>
              </w:rPr>
            </w:pPr>
          </w:p>
        </w:tc>
      </w:tr>
      <w:tr>
        <w:trPr>
          <w:trHeight w:val="673"/>
        </w:trPr>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Page No.</w:t>
            </w: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THE MERGER</w:t>
            </w:r>
          </w:p>
        </w:tc>
        <w:tc>
          <w:tcPr>
            <w:tcW w:w="6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 . . . . . . . . . . . . . . . . . . . . . . . . . .</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A-1</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1.1.</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The Merger  . .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1.2.</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Effective Time of the Merger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7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THE SURVIVING AND PARENT CORPORATIONS  . . . . . . . . . . . . . . . . . . . . .</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A-2</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2.1.</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Certificate of Incorporation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2.2.</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By-Laws . . . .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2.3.</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Directors . . .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2.4.</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Officers  . . .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2.5.</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Corporate Offices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A-3</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7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CONVERSION OF SHARES   . . . . . . . . . . . . . . . . . . . . . . . . . . . . .</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3.1.</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Conversion of Company Shares in the Merger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3.2.</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Conversion of Subsidiary Shares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3.3.</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Exchange of Certificates.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3.4.</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No Fractional Securities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3.5.</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Closing . . . .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3.6.</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Closing of the Company's Transfer Books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7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REPRESENTATIONS AND WARRANTIES OF PARENT AND SUBSIDIARY  . . . . . . . . . . . .</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Organization and Qualification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4.2.</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Capitalization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A-6</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4.3.</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Subsidiaries  .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A-6</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4.4.</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Authority; Non-Contravention; Approvals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A-7</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4.5.</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Reports and Financial Statements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A-8</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4.6.</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Absence of Undisclosed Liabilities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4.7.</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Absence of Certain Changes or Events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4.8.</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Litigation  . .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4.9.</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Registration Statement and Proxy Statement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4.10.</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No Violation of Law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A-10</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4.11.</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Compliance with Agreements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A-10</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4.12.</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Taxes . . . . .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A-10</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4.13.</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Employee Benefit Plans; ERISA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A-11</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4.14.</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Labor Controversies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4.15.</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Environmental Matters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4.16.</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Non-competition Agreements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A-14</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4.17.</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Title to Assets . .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A-14</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4.18.</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Reorganization and Pooling of Interests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4.19.</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Parent Stockholders' Approval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4.20.</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Brokers and Finders . . . .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4.21.</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Opinion of Financial Advisor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4.22.</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Ownership of Company Common Stock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4.23.</w:t>
            </w:r>
          </w:p>
        </w:tc>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Parent Disclosure Schedule  . . . . . . . . . . . . . . . . . .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0"/>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87</w:t>
            </w:r>
          </w:p>
        </w:tc>
        <w:tc>
          <w:tcPr>
            <w:tcW w:w="14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7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REPRESENTATIONS AND WARRANTIES OF THE COMPANY  . . . . . . . . . . . . . . . . .</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A-16</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Organization and Qualification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A-16</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5.2.</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Capitalization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A-16</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5.3.</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Subsidiaries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A-17</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5.4.</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Authority; Non-Contravention; Approvals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A-17</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5.5.</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Reports and Financial Statements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A-18</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5.6.</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Absence of Undisclosed Liabilities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A-19</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5.7.</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Absence of Certain Changes or Events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A-19</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5.8.</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Litigation  .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A-19</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5.9.</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Registration Statement and Proxy Statement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A-20</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5.10.</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 Violation of Law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A-20</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5.11.</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Compliance with Agreements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A-21</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5.12.</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Taxes . . . .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A-21</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5.13.</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 Benefit Plans; ERISA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A-21</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5.14.</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Labor Controversies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5.15.</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Environmental Matters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5.16.</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Non-competition Agreements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5.17.</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Title to Assets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5.18.</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Reorganization and Pooling of Interests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5.19.</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Company Stockholders' Approval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5.20.</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Brokers and Finders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5.21.</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Opinion of Financial Advisor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5.22.</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Amendment to Preferred Stock Rights Agreement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5.23.</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Company Disclosure Schedule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7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CONDUCT OF BUSINESS PENDING THE MERGER   . . . . . . . . . . . . . . . . . . . .</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A-25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6.1.</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Conduct of Business by the Company Pending the Merger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6.2.</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Conduct of Business by Parent and Subsidiary</w:t>
            </w:r>
          </w:p>
        </w:tc>
        <w:tc>
          <w:tcPr>
            <w:tcW w:w="6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Pending the Merger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A-27</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6.3.</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Control of the Company's Operations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A-29</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6.4.</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Control of Parent's Operations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A-29</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6.5.</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 Transactions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A-29</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7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AGREEMENTS  . . . . . . . . . . . . . . . . . . . . . . . . . . . . .</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A-30</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7.1.</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Access to Information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A-30</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7.2.</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Registration Statement and Proxy Statement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A-31</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7.3.</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Stockholders' Approvals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A-31</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7.4.</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Compliance with the Securities Act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A-31</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7.5.</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Exchange Listing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A-32</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7.6.</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Expenses and Fees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A-32</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7.7.</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 to Cooperate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A-32</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7.8.</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Public Statements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7.9.</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 Plans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7.10.</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Notification of Certain Matters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A-33</w:t>
            </w:r>
          </w:p>
        </w:tc>
      </w:tr>
      <w:tr>
        <w:trPr>
          <w:trHeight w:val="168"/>
        </w:trPr>
        <w:tc>
          <w:tcPr>
            <w:tcW w:w="11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Section 7.11.</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Directors' and Officers' Indemnification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1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88</w:t>
            </w:r>
          </w:p>
        </w:tc>
        <w:tc>
          <w:tcPr>
            <w:tcW w:w="13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200" w:type="dxa"/>
            <w:vAlign w:val="bottom"/>
          </w:tcPr>
          <w:p>
            <w:pPr>
              <w:spacing w:after="0"/>
              <w:rPr>
                <w:sz w:val="24"/>
                <w:szCs w:val="24"/>
                <w:color w:val="auto"/>
              </w:rPr>
            </w:pPr>
          </w:p>
        </w:tc>
        <w:tc>
          <w:tcPr>
            <w:tcW w:w="1340" w:type="dxa"/>
            <w:vAlign w:val="bottom"/>
          </w:tcPr>
          <w:p>
            <w:pPr>
              <w:ind w:left="120"/>
              <w:spacing w:after="0"/>
              <w:rPr>
                <w:sz w:val="20"/>
                <w:szCs w:val="20"/>
                <w:color w:val="auto"/>
              </w:rPr>
            </w:pPr>
            <w:r>
              <w:rPr>
                <w:rFonts w:ascii="Courier New" w:cs="Courier New" w:eastAsia="Courier New" w:hAnsi="Courier New"/>
                <w:sz w:val="15"/>
                <w:szCs w:val="15"/>
                <w:color w:val="auto"/>
              </w:rPr>
              <w:t>Section 7.12.</w:t>
            </w:r>
          </w:p>
        </w:tc>
        <w:tc>
          <w:tcPr>
            <w:tcW w:w="6080" w:type="dxa"/>
            <w:vAlign w:val="bottom"/>
          </w:tcPr>
          <w:p>
            <w:pPr>
              <w:ind w:left="100"/>
              <w:spacing w:after="0"/>
              <w:rPr>
                <w:sz w:val="20"/>
                <w:szCs w:val="20"/>
                <w:color w:val="auto"/>
              </w:rPr>
            </w:pPr>
            <w:r>
              <w:rPr>
                <w:rFonts w:ascii="Courier New" w:cs="Courier New" w:eastAsia="Courier New" w:hAnsi="Courier New"/>
                <w:sz w:val="15"/>
                <w:szCs w:val="15"/>
                <w:color w:val="auto"/>
              </w:rPr>
              <w:t>Corrections to the Joint Proxy Statement/Prospectus</w:t>
            </w:r>
          </w:p>
        </w:tc>
        <w:tc>
          <w:tcPr>
            <w:tcW w:w="66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and Registration Statement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7.13.</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Effect on Accounting Treatment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7.14.</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Amendment of Certain Acquisition Agreements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1340" w:type="dxa"/>
            <w:vAlign w:val="bottom"/>
          </w:tcPr>
          <w:p>
            <w:pPr>
              <w:ind w:left="120"/>
              <w:spacing w:after="0"/>
              <w:rPr>
                <w:sz w:val="20"/>
                <w:szCs w:val="20"/>
                <w:color w:val="auto"/>
              </w:rPr>
            </w:pPr>
            <w:r>
              <w:rPr>
                <w:rFonts w:ascii="Courier New" w:cs="Courier New" w:eastAsia="Courier New" w:hAnsi="Courier New"/>
                <w:sz w:val="15"/>
                <w:szCs w:val="15"/>
                <w:color w:val="auto"/>
              </w:rPr>
              <w:t>CONDITIONS</w:t>
            </w:r>
          </w:p>
        </w:tc>
        <w:tc>
          <w:tcPr>
            <w:tcW w:w="6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 . . . . . . . . . . . . . . . . . . . . . . . . . . .</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A-35</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8.1.</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Conditions to Each Party's Obligation to Effect the Merger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8.2.</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Conditions to Obligation of the Company to Effect the</w:t>
            </w:r>
          </w:p>
        </w:tc>
        <w:tc>
          <w:tcPr>
            <w:tcW w:w="6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Merger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A-36</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8.3.</w:t>
            </w:r>
          </w:p>
        </w:tc>
        <w:tc>
          <w:tcPr>
            <w:tcW w:w="6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Conditions to Obligations of Parent and Subsidiary</w:t>
            </w:r>
          </w:p>
        </w:tc>
        <w:tc>
          <w:tcPr>
            <w:tcW w:w="6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 Effect the Merger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A-37</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7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TERMINATION, AMENDMENT AND WAIVER  . . . . . . . . . . . . . . . . . . . . . . .</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A-38</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9.1.</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Termination .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A-38</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9.2.</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Effect of Termination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A-40</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9.3.</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Amendment . .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A-40</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9.4.</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Waiver  . . .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A-40</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X</w:t>
            </w:r>
          </w:p>
        </w:tc>
        <w:tc>
          <w:tcPr>
            <w:tcW w:w="74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GENERAL PROVISIONS. . . . . . . . . . . . . . . . . . . . . . . . . . . . .</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A-40</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10.1.</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Non-Survival of Representations and Warranties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A-40</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10.2.</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Notices . . .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A-40</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10.3.</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Interpretation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A-41</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10.4.</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Miscellaneous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A-41</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10.5.</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Counterparts  . . .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A-42</w:t>
            </w:r>
          </w:p>
        </w:tc>
      </w:tr>
      <w:tr>
        <w:trPr>
          <w:trHeight w:val="168"/>
        </w:trPr>
        <w:tc>
          <w:tcPr>
            <w:tcW w:w="120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10.6.</w:t>
            </w:r>
          </w:p>
        </w:tc>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Parties In Interest . . . . . . . . . . . . . . . . . . . . . . .</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A-42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89</w:t>
      </w:r>
    </w:p>
    <w:p>
      <w:pPr>
        <w:ind w:left="2280"/>
        <w:spacing w:after="0" w:line="237" w:lineRule="auto"/>
        <w:rPr>
          <w:sz w:val="20"/>
          <w:szCs w:val="20"/>
          <w:color w:val="auto"/>
        </w:rPr>
      </w:pPr>
      <w:r>
        <w:rPr>
          <w:rFonts w:ascii="Courier New" w:cs="Courier New" w:eastAsia="Courier New" w:hAnsi="Courier New"/>
          <w:sz w:val="15"/>
          <w:szCs w:val="15"/>
          <w:color w:val="auto"/>
        </w:rPr>
        <w:t>AGREEMENT AND PLAN OF MERGER</w:t>
      </w:r>
    </w:p>
    <w:p>
      <w:pPr>
        <w:spacing w:after="0" w:line="342" w:lineRule="exact"/>
        <w:rPr>
          <w:sz w:val="20"/>
          <w:szCs w:val="20"/>
          <w:color w:val="auto"/>
        </w:rPr>
      </w:pPr>
    </w:p>
    <w:p>
      <w:pPr>
        <w:ind w:right="3399" w:firstLine="1312"/>
        <w:spacing w:after="0" w:line="236" w:lineRule="auto"/>
        <w:rPr>
          <w:sz w:val="20"/>
          <w:szCs w:val="20"/>
          <w:color w:val="auto"/>
        </w:rPr>
      </w:pPr>
      <w:r>
        <w:rPr>
          <w:rFonts w:ascii="Courier New" w:cs="Courier New" w:eastAsia="Courier New" w:hAnsi="Courier New"/>
          <w:sz w:val="15"/>
          <w:szCs w:val="15"/>
          <w:color w:val="auto"/>
        </w:rPr>
        <w:t>THIS AGREEMENT AND PLAN OF MERGER, dated as of June 22, 1996 (this "Agreement"), by and among USA Waste Services, Inc., a Delaware corporation ("Parent"), Quatro Acquisition Corp., a Delaware corporation and a wholly owned subsidiary of Parent ("Subsidiary"), and Sanifill, Inc., a Delaware corporation (the "Company");</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319" w:firstLine="1312"/>
        <w:spacing w:after="0" w:line="235" w:lineRule="auto"/>
        <w:rPr>
          <w:sz w:val="20"/>
          <w:szCs w:val="20"/>
          <w:color w:val="auto"/>
        </w:rPr>
      </w:pPr>
      <w:r>
        <w:rPr>
          <w:rFonts w:ascii="Courier New" w:cs="Courier New" w:eastAsia="Courier New" w:hAnsi="Courier New"/>
          <w:sz w:val="15"/>
          <w:szCs w:val="15"/>
          <w:color w:val="auto"/>
        </w:rPr>
        <w:t>WHEREAS, the Boards of Directors of Parent, Subsidiary and the Company have approved the merger of Subsidiary with and into the Company on the terms set forth in this Agreement (the "Merger"); and</w:t>
      </w:r>
    </w:p>
    <w:p>
      <w:pPr>
        <w:spacing w:after="0" w:line="174" w:lineRule="exact"/>
        <w:rPr>
          <w:sz w:val="20"/>
          <w:szCs w:val="20"/>
          <w:color w:val="auto"/>
        </w:rPr>
      </w:pPr>
    </w:p>
    <w:p>
      <w:pPr>
        <w:ind w:right="3319" w:firstLine="1312"/>
        <w:spacing w:after="0" w:line="235" w:lineRule="auto"/>
        <w:rPr>
          <w:sz w:val="20"/>
          <w:szCs w:val="20"/>
          <w:color w:val="auto"/>
        </w:rPr>
      </w:pPr>
      <w:r>
        <w:rPr>
          <w:rFonts w:ascii="Courier New" w:cs="Courier New" w:eastAsia="Courier New" w:hAnsi="Courier New"/>
          <w:sz w:val="15"/>
          <w:szCs w:val="15"/>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175" w:lineRule="exact"/>
        <w:rPr>
          <w:sz w:val="20"/>
          <w:szCs w:val="20"/>
          <w:color w:val="auto"/>
        </w:rPr>
      </w:pPr>
    </w:p>
    <w:p>
      <w:pPr>
        <w:ind w:right="3399" w:firstLine="1312"/>
        <w:spacing w:after="0" w:line="255" w:lineRule="auto"/>
        <w:rPr>
          <w:sz w:val="20"/>
          <w:szCs w:val="20"/>
          <w:color w:val="auto"/>
        </w:rPr>
      </w:pPr>
      <w:r>
        <w:rPr>
          <w:rFonts w:ascii="Courier New" w:cs="Courier New" w:eastAsia="Courier New" w:hAnsi="Courier New"/>
          <w:sz w:val="14"/>
          <w:szCs w:val="14"/>
          <w:color w:val="auto"/>
        </w:rPr>
        <w:t>WHEREAS, in connection with the Merger and as an inducement to the Company to enter into this Agreement, the Company, Parent and the shareholders of Parent listed on the Parent Disclosure Schedule (as defined in Article IV) have executed as of the date hereof a voting agreement in favor of the Company with respect to, among other things, the voting of shares of capital stock of Parent held or to be held by them in favor of the Merger; and</w:t>
      </w:r>
    </w:p>
    <w:p>
      <w:pPr>
        <w:spacing w:after="0" w:line="166" w:lineRule="exact"/>
        <w:rPr>
          <w:sz w:val="20"/>
          <w:szCs w:val="20"/>
          <w:color w:val="auto"/>
        </w:rPr>
      </w:pPr>
    </w:p>
    <w:p>
      <w:pPr>
        <w:ind w:right="3319" w:firstLine="1312"/>
        <w:spacing w:after="0" w:line="254" w:lineRule="auto"/>
        <w:rPr>
          <w:sz w:val="20"/>
          <w:szCs w:val="20"/>
          <w:color w:val="auto"/>
        </w:rPr>
      </w:pPr>
      <w:r>
        <w:rPr>
          <w:rFonts w:ascii="Courier New" w:cs="Courier New" w:eastAsia="Courier New" w:hAnsi="Courier New"/>
          <w:sz w:val="14"/>
          <w:szCs w:val="14"/>
          <w:color w:val="auto"/>
        </w:rPr>
        <w:t>WHEREAS, in connection with the Merger and as an inducement to Parent to enter into this Agreement, Parent, the Company and the shareholders of the Company listed on the Company Disclosure Schedule (as defined in Article</w:t>
      </w:r>
    </w:p>
    <w:p>
      <w:pPr>
        <w:spacing w:after="0" w:line="1" w:lineRule="exact"/>
        <w:rPr>
          <w:sz w:val="20"/>
          <w:szCs w:val="20"/>
          <w:color w:val="auto"/>
        </w:rPr>
      </w:pPr>
    </w:p>
    <w:p>
      <w:pPr>
        <w:ind w:right="3499" w:firstLine="10"/>
        <w:spacing w:after="0" w:line="258" w:lineRule="auto"/>
        <w:tabs>
          <w:tab w:leader="none" w:pos="26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executed as of the date hereof a voting agreement in favor of Parent with respect to, among other things, the voting of shares of capital stock of the Company held or to be held by such shareholder in favor of the Merger.</w:t>
      </w:r>
    </w:p>
    <w:p>
      <w:pPr>
        <w:spacing w:after="0" w:line="161" w:lineRule="exact"/>
        <w:rPr>
          <w:sz w:val="20"/>
          <w:szCs w:val="20"/>
          <w:color w:val="auto"/>
        </w:rPr>
      </w:pPr>
    </w:p>
    <w:p>
      <w:pPr>
        <w:ind w:right="3679" w:firstLine="1312"/>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the representations, warranties, covenants and agreements contained herein, the parties hereto, intending to be legally bound, agree as follows: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ind w:left="3080"/>
        <w:spacing w:after="0" w:line="237" w:lineRule="auto"/>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7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SECTION 1.2. EFFECTIVE TIME OF THE MERGER. The Merger shall become effective at such time (the "Effective Time") as shall be stated in a certificate of merger, in a form mutually acceptable to Parent</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A-1</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90</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34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THE SURVIVING AND PARENT CORPORATIONS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2.1. CERTIFICATE OF INCORPORATION. The Certificate of Incorporation of Subsidiary as in effect immediately prior to the Effective Time shall be the Certificate of Incorporation of the Surviving Corporation after the Effective Time, and thereafter may be amended in accordance with its terms and as provided in the DGCL.</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2.2. BY-LAWS. The By-laws of Subsidiary as in effect immediately prior to the Effective Time shall be the By-laws of the Surviving Corporation after the Effective Time, and thereafter may be amended in accordance with their terms and as provided by the Certificate of Incorporation of the Surviving Corporation and the DGCL.</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2.3. DIRECTORS. (a) The Board of Directors of Parent shall take such action as may be necessary to cause Parent's Board of Directors immediately following the Effective Time to be composed of twelve members, including three members designated by the Board of Directors of the Company prior to the Closing (the "Company Designees"). One of the Company Designees shall be Rodney R. Proto and the remaining two Company Designees shall be non-officers of the Company and its subsidiaries reasonably acceptable to Parent. If the Board positions are of different terms, the Company shall have the right to designate which of the Company Designees shall fill each Board position. Rodney R. Proto shall have an initial term of office expiring in 1997 or thereafter and the remaining two Company Designees shall have initial terms of office expiring in 1998 or thereafter. If the initial term of Rodney R. Proto shall expire in 1997, the Board of Directors of the Company shall take such action as may be necessary to renominate Rodney R. Proto to the Board of Directors of the Company with a term of office expiring in 2000 or thereafter. All of the Company Designees shall serve in accordance with the charter and bylaws of Parent until their respective successors are duly elected or appointed and qualified. One of the Company Designees (to be designated by the Board of Directors of the Company prior to the Closing and reasonably acceptable to Parent) shall be appointed by the Board of Directors of Parent to the Executive Committee of Parent's Board of Directors to serve in accordance with the By-laws of Parent.</w:t>
      </w:r>
    </w:p>
    <w:p>
      <w:pPr>
        <w:spacing w:after="0" w:line="177" w:lineRule="exact"/>
        <w:rPr>
          <w:sz w:val="20"/>
          <w:szCs w:val="20"/>
          <w:color w:val="auto"/>
        </w:rPr>
      </w:pPr>
    </w:p>
    <w:p>
      <w:pPr>
        <w:ind w:right="3319" w:firstLine="797"/>
        <w:spacing w:after="0" w:line="236" w:lineRule="auto"/>
        <w:tabs>
          <w:tab w:leader="none" w:pos="113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Subsidiary in office immediately prior to the Effective Time shall be the directors of the Surviving Corporation after the Effective Time, and such directors shall serve in accordance with the By-laws of the Surviving Corporation until their respective successors are duly elected or appointed and qualified.</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2.4. OFFICERS. (a) Immediately following the Effective Time, the Board of Directors of Parent shall elect Rodney R. Proto as President and Chief Operating Officer of Parent to serve in accordance with the By-laws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A-2</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91</w:t>
      </w:r>
    </w:p>
    <w:p>
      <w:pPr>
        <w:spacing w:after="0" w:line="5" w:lineRule="exact"/>
        <w:rPr>
          <w:sz w:val="20"/>
          <w:szCs w:val="20"/>
          <w:color w:val="auto"/>
        </w:rPr>
      </w:pPr>
    </w:p>
    <w:p>
      <w:pPr>
        <w:ind w:right="3319" w:firstLine="797"/>
        <w:spacing w:after="0" w:line="236" w:lineRule="auto"/>
        <w:tabs>
          <w:tab w:leader="none" w:pos="113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2.5. CORPORATE OFFICES. As soon as practicable following the Effective Time, Parent shall transfer Parent's principal executive offices to Houston, Texas.</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ind w:left="2640"/>
        <w:spacing w:after="0" w:line="237" w:lineRule="auto"/>
        <w:rPr>
          <w:sz w:val="20"/>
          <w:szCs w:val="20"/>
          <w:color w:val="auto"/>
        </w:rPr>
      </w:pPr>
      <w:r>
        <w:rPr>
          <w:rFonts w:ascii="Courier New" w:cs="Courier New" w:eastAsia="Courier New" w:hAnsi="Courier New"/>
          <w:sz w:val="15"/>
          <w:szCs w:val="15"/>
          <w:color w:val="auto"/>
        </w:rPr>
        <w:t>CONVERSION OF SHARES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SECTION 3.1. CONVERSION OF COMPANY SHARES IN THE MERGER. At the Effective Time, by virtue of the Merger and without any action on the part of any holder of any capital stock of Parent or the Company:</w:t>
      </w:r>
    </w:p>
    <w:p>
      <w:pPr>
        <w:spacing w:after="0" w:line="174" w:lineRule="exact"/>
        <w:rPr>
          <w:sz w:val="20"/>
          <w:szCs w:val="20"/>
          <w:color w:val="auto"/>
        </w:rPr>
      </w:pPr>
    </w:p>
    <w:p>
      <w:pPr>
        <w:ind w:left="800" w:right="3499" w:firstLine="347"/>
        <w:spacing w:after="0" w:line="254" w:lineRule="auto"/>
        <w:tabs>
          <w:tab w:leader="none" w:pos="15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the common stock, par value $.01 per share, of the Company (the "Company Common Stock") shall, subject to Sections</w:t>
      </w: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 and 3.4, be converted into the right to receive, without interest,</w:t>
      </w:r>
    </w:p>
    <w:p>
      <w:pPr>
        <w:spacing w:after="0" w:line="9" w:lineRule="exact"/>
        <w:rPr>
          <w:rFonts w:ascii="Courier New" w:cs="Courier New" w:eastAsia="Courier New" w:hAnsi="Courier New"/>
          <w:sz w:val="14"/>
          <w:szCs w:val="14"/>
          <w:color w:val="auto"/>
        </w:rPr>
      </w:pPr>
    </w:p>
    <w:p>
      <w:pPr>
        <w:ind w:left="800"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1.70 (the "Exchange Ratio") shares of the common stock, par value $.01 per share, of Parent ("Parent Common Stock");</w:t>
      </w:r>
    </w:p>
    <w:p>
      <w:pPr>
        <w:spacing w:after="0" w:line="173" w:lineRule="exact"/>
        <w:rPr>
          <w:rFonts w:ascii="Courier New" w:cs="Courier New" w:eastAsia="Courier New" w:hAnsi="Courier New"/>
          <w:sz w:val="14"/>
          <w:szCs w:val="14"/>
          <w:color w:val="auto"/>
        </w:rPr>
      </w:pPr>
    </w:p>
    <w:p>
      <w:pPr>
        <w:ind w:left="800" w:right="3399" w:firstLine="347"/>
        <w:spacing w:after="0" w:line="236" w:lineRule="auto"/>
        <w:tabs>
          <w:tab w:leader="none" w:pos="15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168"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and as more fully provided in Section 7.9,</w:t>
      </w:r>
    </w:p>
    <w:p>
      <w:pPr>
        <w:spacing w:after="0" w:line="5"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each unexpired option or warrant to purchase Company Common Stock that is outstanding at the Effective Time, whether or not exercisable, shall automatically and without any action on the part of the holder thereof be converted into an option or warrant to purchase a number of shares of Parent Common Stock equal to the number of shares of Company Common Stock that could be purchased under such option or warrant multiplied by the Exchange Ratio, at a price per share of Parent Common Stock equal to the per share exercise price of such option or warrant divided by the Exchange Ratio.</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$.01 per share, of the Surviving Corporation.</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A-3</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92</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179" w:lineRule="exact"/>
        <w:rPr>
          <w:sz w:val="20"/>
          <w:szCs w:val="20"/>
          <w:color w:val="auto"/>
        </w:rPr>
      </w:pPr>
    </w:p>
    <w:p>
      <w:pPr>
        <w:ind w:right="3319" w:firstLine="797"/>
        <w:spacing w:after="0" w:line="256" w:lineRule="auto"/>
        <w:tabs>
          <w:tab w:leader="none" w:pos="113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63" w:lineRule="exact"/>
        <w:rPr>
          <w:rFonts w:ascii="Courier New" w:cs="Courier New" w:eastAsia="Courier New" w:hAnsi="Courier New"/>
          <w:sz w:val="14"/>
          <w:szCs w:val="14"/>
          <w:color w:val="auto"/>
        </w:rPr>
      </w:pPr>
    </w:p>
    <w:p>
      <w:pPr>
        <w:jc w:val="both"/>
        <w:ind w:right="3399" w:firstLine="797"/>
        <w:spacing w:after="0" w:line="235" w:lineRule="auto"/>
        <w:tabs>
          <w:tab w:leader="none" w:pos="11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75" w:lineRule="exact"/>
        <w:rPr>
          <w:rFonts w:ascii="Courier New" w:cs="Courier New" w:eastAsia="Courier New" w:hAnsi="Courier New"/>
          <w:sz w:val="15"/>
          <w:szCs w:val="15"/>
          <w:color w:val="auto"/>
        </w:rPr>
      </w:pPr>
    </w:p>
    <w:p>
      <w:pPr>
        <w:ind w:right="3319" w:firstLine="797"/>
        <w:spacing w:after="0" w:line="254" w:lineRule="auto"/>
        <w:tabs>
          <w:tab w:leader="none" w:pos="113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343" w:lineRule="exact"/>
        <w:rPr>
          <w:rFonts w:ascii="Courier New" w:cs="Courier New" w:eastAsia="Courier New" w:hAnsi="Courier New"/>
          <w:sz w:val="14"/>
          <w:szCs w:val="14"/>
          <w:color w:val="auto"/>
        </w:rPr>
      </w:pPr>
    </w:p>
    <w:p>
      <w:pPr>
        <w:ind w:right="3319" w:firstLine="797"/>
        <w:spacing w:after="0" w:line="237" w:lineRule="auto"/>
        <w:tabs>
          <w:tab w:leader="none" w:pos="11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nine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Company Certificate shall have been lost,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stolen or destroyed, upon the making of an affidavit of that fact by the person claiming such Company Certificate to be lost, stolen or destroyed, the Surviving Corporation shall issue in exchange for such lost, stolen or destroyed Company Certificate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A-4</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shares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as reported by the Wall Street Journal, during the 10 trading days immediately preceding the Effective Time.</w:t>
      </w:r>
    </w:p>
    <w:p>
      <w:pPr>
        <w:spacing w:after="0" w:line="16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3.5. CLOSING. The closing (the "Closing") of the transactions contemplated by this Agreement shall take place at a location mutually agreeable to Parent and the Company as promptly as practicable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76"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32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IV</w:t>
      </w:r>
    </w:p>
    <w:p>
      <w:pPr>
        <w:jc w:val="center"/>
        <w:ind w:right="3219"/>
        <w:spacing w:after="0" w:line="237" w:lineRule="auto"/>
        <w:rPr>
          <w:sz w:val="20"/>
          <w:szCs w:val="20"/>
          <w:color w:val="auto"/>
        </w:rPr>
      </w:pPr>
      <w:r>
        <w:rPr>
          <w:rFonts w:ascii="Courier New" w:cs="Courier New" w:eastAsia="Courier New" w:hAnsi="Courier New"/>
          <w:sz w:val="15"/>
          <w:szCs w:val="15"/>
          <w:color w:val="auto"/>
        </w:rPr>
        <w:t>REPRESENTATIONS AND WARRANTIES</w:t>
      </w:r>
    </w:p>
    <w:p>
      <w:pPr>
        <w:jc w:val="center"/>
        <w:ind w:right="3219"/>
        <w:spacing w:after="0" w:line="238" w:lineRule="auto"/>
        <w:rPr>
          <w:sz w:val="20"/>
          <w:szCs w:val="20"/>
          <w:color w:val="auto"/>
        </w:rPr>
      </w:pPr>
      <w:r>
        <w:rPr>
          <w:rFonts w:ascii="Courier New" w:cs="Courier New" w:eastAsia="Courier New" w:hAnsi="Courier New"/>
          <w:sz w:val="15"/>
          <w:szCs w:val="15"/>
          <w:color w:val="auto"/>
        </w:rPr>
        <w:t>OF PARENT AND SUBSIDIARY</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Parent and Subsidiary each represent and warrant to the Company that, except as set forth in the Disclosure Schedule dated as of the date hereof and signed by an authorized officer of Parent (the "Parent Disclosure Schedule"), each of which exceptions shall specifically identify the relevant Section hereof to which it relates: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A-5</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94</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165"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4.2. CAPITALIZATION. (a) As of June 15, 1996, the authorized capital stock of Parent consisted of 150,000,000 shares of Parent Common Stock and 10,000,000 shares of preferred stock, par value $.01 per share ("Parent Preferred Stock"). As of June 15, 1996, (i) 88,330,623 shares of Parent Common Stock were issued and outstanding, all of which were validly issued and are fully paid, nonassessable and free of preemptive rights, (ii) no shares of Parent Preferred Stock were issued and outstanding, (iii) 26,310 shares of Parent Common Stock and no shares of Company Preferred Stock were held in the treasury of Parent and (iv) 13,136,521 shares of Parent Common Stock were reserved for issuance pursuant to the exercise of outstanding options and warrants to purchase Parent Common Stock. Assuming the exercise of all outstanding options and warrants to purchase Parent Common Stock, as of June 15, 1996, there would be 101,467,144 shares of Parent Common Stock issued and outstanding. In addition, as of June 15, 1996, 4,364,152 shares of Parent Common Stock were reserved and unissued pending conversion of shares of acquired companies.</w:t>
      </w:r>
    </w:p>
    <w:p>
      <w:pPr>
        <w:spacing w:after="0" w:line="175" w:lineRule="exact"/>
        <w:rPr>
          <w:sz w:val="20"/>
          <w:szCs w:val="20"/>
          <w:color w:val="auto"/>
        </w:rPr>
      </w:pPr>
    </w:p>
    <w:p>
      <w:pPr>
        <w:ind w:right="3839" w:firstLine="797"/>
        <w:spacing w:after="0" w:line="258" w:lineRule="auto"/>
        <w:tabs>
          <w:tab w:leader="none" w:pos="1137"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Subsidiary consists of 1,000 shares of Subsidiary Common Stock, of which 100 shares are issued and outstanding, which shares are owned beneficially and of record by Parent.</w:t>
      </w:r>
    </w:p>
    <w:p>
      <w:pPr>
        <w:spacing w:after="0" w:line="161" w:lineRule="exact"/>
        <w:rPr>
          <w:rFonts w:ascii="Courier New" w:cs="Courier New" w:eastAsia="Courier New" w:hAnsi="Courier New"/>
          <w:sz w:val="14"/>
          <w:szCs w:val="14"/>
          <w:color w:val="auto"/>
        </w:rPr>
      </w:pPr>
    </w:p>
    <w:p>
      <w:pPr>
        <w:ind w:right="3319" w:firstLine="797"/>
        <w:spacing w:after="0" w:line="237" w:lineRule="auto"/>
        <w:tabs>
          <w:tab w:leader="none" w:pos="113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(as defined in Section 4.5),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Shareholders Agreement dated as of December 18, 1995 between Parent and Donald F. Moorehead, Jr., John E. Drury, John G. Rangos, Sr., John G. Rangos, Jr., Alexander W. Rangos and John Rangos Development Corporation, Inc. has been terminated in connection with the execution of this Agreement. The shares of Parent Common Stock issued to stockholders of the Company in the Merger will be at the Effective Time duly authorized, validly issued, fully paid and nonassessable and free of preemptive rights.</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A-6</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95</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w:t>
      </w:r>
    </w:p>
    <w:p>
      <w:pPr>
        <w:spacing w:after="0" w:line="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16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7.1, 7.2, 7.3, 7.6, 7.7, 7.8, 7.10 and 7.12 is valid, legally binding and enforceable (subject as aforesaid) notwithstanding the absence of the Parent Stockholders' Approval.</w:t>
      </w:r>
    </w:p>
    <w:p>
      <w:pPr>
        <w:spacing w:after="0" w:line="343" w:lineRule="exact"/>
        <w:rPr>
          <w:sz w:val="20"/>
          <w:szCs w:val="20"/>
          <w:color w:val="auto"/>
        </w:rPr>
      </w:pPr>
    </w:p>
    <w:p>
      <w:pPr>
        <w:ind w:right="3319" w:firstLine="797"/>
        <w:spacing w:after="0" w:line="254" w:lineRule="auto"/>
        <w:tabs>
          <w:tab w:leader="none" w:pos="113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A-7</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96</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as specified on the Parent Disclosure Schedule.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of Parent and its subsidiaries, taken as a whole.</w:t>
      </w:r>
    </w:p>
    <w:p>
      <w:pPr>
        <w:spacing w:after="0" w:line="174"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(c) Except for (i) the filings by Parent required by the Hart-Scott-Rodino Antitrust Improvements Act of 1976, as amended (the "HSR Act"), (ii) the filing of the Joint Proxy Statement/Prospectus (as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w:t>
      </w:r>
    </w:p>
    <w:p>
      <w:pPr>
        <w:spacing w:after="0" w:line="3" w:lineRule="exact"/>
        <w:rPr>
          <w:sz w:val="20"/>
          <w:szCs w:val="20"/>
          <w:color w:val="auto"/>
        </w:rPr>
      </w:pPr>
    </w:p>
    <w:p>
      <w:pPr>
        <w:ind w:right="3319" w:firstLine="10"/>
        <w:spacing w:after="0" w:line="255" w:lineRule="auto"/>
        <w:tabs>
          <w:tab w:leader="none" w:pos="43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16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4.5. REPORTS AND FINANCIAL STATEMENTS. Since January 1, 1994, Parent has filed with the SEC all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Parent has previously delivered to the Company copies (including all exhibits, post-effective amendments and supplements thereto) of its (a) Annual Reports on Form 10-K for the fiscal year ended December 31, 1995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Parent with the SEC since January 1, 1994 (other than registration statements filed on Form S-8) (the documents referred to in clauses (a), (b) and (c) filed prior to the date hereof are collectively referred to as the "Parent SEC Reports"). The Parent SEC Reports are identified on the Parent Disclosure Schedule. As of their respective dates,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and unaudited interim consolidated financial statements of Parent included in such reports (collectively, the "Parent Financial Statements") have been prepared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A-8</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97</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1995, or has incurred since that date, any liabilities or obligations (whether absolute, accrued, contingent or otherwise) of any nature, except: (a) liabilities, obligations or contingencies (i) which are accrued or reserved against in the Parent Financial Statements or reflected in the notes thereto or (ii) which were incurred after December 31,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34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176"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A-9</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98</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346"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other than, in the case of clause (b) of this Section 4.11, breaches, violations and defaults which would not have, in the aggregate, a material adverse effect on the business, operations, properties, assets, condition (financial or other) or results of operations of Parent and its subsidiaries, taken as a whole.</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A-10</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99</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for the payment of all Taxes (as defined in Section</w:t>
      </w:r>
    </w:p>
    <w:p>
      <w:pPr>
        <w:spacing w:after="0" w:line="2"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4.12(b)) for all past and current periods. The liabilities and reserves for Taxes reflected in the Parent balance sheet included in the latest Parent SEC Report are adequate to cover all Taxes for all periods ending at or prior to the date of such balance sheet and there is no liability for Taxes for any period beginning after such date other than Taxes arising in the ordinary course of business.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or results of operations of Parent and its subsidiaries, taken as a whole. Neither Parent nor its subsidiaries has waived any statute of limitations in respect of Taxes or agreed to any extension of time with respect to a Tax assessment or deficiency other than waivers and extensions which are no longer in effect.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345" w:lineRule="exact"/>
        <w:rPr>
          <w:sz w:val="20"/>
          <w:szCs w:val="20"/>
          <w:color w:val="auto"/>
        </w:rPr>
      </w:pPr>
    </w:p>
    <w:p>
      <w:pPr>
        <w:ind w:right="3319" w:firstLine="797"/>
        <w:spacing w:after="0" w:line="237" w:lineRule="auto"/>
        <w:tabs>
          <w:tab w:leader="none" w:pos="113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73" w:lineRule="exact"/>
        <w:rPr>
          <w:rFonts w:ascii="Courier New" w:cs="Courier New" w:eastAsia="Courier New" w:hAnsi="Courier New"/>
          <w:sz w:val="15"/>
          <w:szCs w:val="15"/>
          <w:color w:val="auto"/>
        </w:rPr>
      </w:pPr>
    </w:p>
    <w:p>
      <w:pPr>
        <w:ind w:right="3399" w:firstLine="797"/>
        <w:spacing w:after="0" w:line="235" w:lineRule="auto"/>
        <w:tabs>
          <w:tab w:leader="none" w:pos="113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"Tax Return" shall mean any return, report or other document or information required to be supplied to a taxing authority in connection with Taxes.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4.13. EMPLOYEE BENEFIT PLANS; ERISA. (a) Except as disclosed in the Parent SEC Reports, at the date hereof, Parent and its subsidiaries do not maintain or contribute to or have any obligation or liability to or with respect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Parent Disclosure Schedule lists all Multi-employer Plans to which any of them makes contributions or has any obligation or liability to make contributions. Neither Parent nor any of its subsidiaries maintains or has any liability with respect to any Multiple Employer Plan. Neither Parent nor any of its subsidiaries has any obligation to create or contribute to any additional such plan, program, arrangement or practice or to amend any such plan, program, arrangement or practice so as to increase benefits or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A-11</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100</w:t>
      </w:r>
    </w:p>
    <w:p>
      <w:pPr>
        <w:spacing w:after="0" w:line="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thereunder, except as required under the terms of the Parent Plans, under existing collective bargaining agreements or to comply with applicable law.</w:t>
      </w:r>
    </w:p>
    <w:p>
      <w:pPr>
        <w:spacing w:after="0" w:line="160" w:lineRule="exact"/>
        <w:rPr>
          <w:sz w:val="20"/>
          <w:szCs w:val="20"/>
          <w:color w:val="auto"/>
        </w:rPr>
      </w:pPr>
    </w:p>
    <w:p>
      <w:pPr>
        <w:ind w:right="3319" w:firstLine="797"/>
        <w:spacing w:after="0" w:line="254" w:lineRule="auto"/>
        <w:tabs>
          <w:tab w:leader="none" w:pos="1137"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March 31, 1996,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 (vii) 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w:t>
      </w:r>
    </w:p>
    <w:p>
      <w:pPr>
        <w:spacing w:after="0" w:line="178" w:lineRule="exact"/>
        <w:rPr>
          <w:rFonts w:ascii="Courier New" w:cs="Courier New" w:eastAsia="Courier New" w:hAnsi="Courier New"/>
          <w:sz w:val="14"/>
          <w:szCs w:val="14"/>
          <w:color w:val="auto"/>
        </w:rPr>
      </w:pPr>
    </w:p>
    <w:p>
      <w:pPr>
        <w:ind w:right="3319" w:firstLine="10"/>
        <w:spacing w:after="0" w:line="237" w:lineRule="auto"/>
        <w:tabs>
          <w:tab w:leader="none" w:pos="61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Multi-employer Plans, neither Parent nor any of its subsidiaries has made or suffered a "complete withdrawal" or a "partial withdrawal,"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(x) Parent and its subsidiaries have no current material liability under Title IV of ERISA, and Parent and its subsidiaries do not reasonably anticipate that any such liability will be asserted against Parent or any of its subsidiaries, and (xi) no act, omission or transaction (individually or in the aggregate) has occurred with respect to any Parent Plan that has resulted or could result in any material liability (direct or indirect) of Parent or any subsidiary under Sections 409 or 502(c)(i) or (l) of ERISA or Chapter 43 of Subtitle (A) of the Code. None of the Parent Controlled Group Plans has an "accumulated funding deficiency" (as defined in Section 302 of ERISA and Section 412 of the Code) or is required to provide security to a Parent Plan pursuant to Section 401(a)(29) of the Code. Each Parent Plan can be unilaterally terminated by Parent or a subsidiary at any time without material liability, other than for amounts previously reflected in the financial statements (or notes thereto) included in the Parent SEC Reports.</w:t>
      </w:r>
    </w:p>
    <w:p>
      <w:pPr>
        <w:spacing w:after="0" w:line="177"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A-12</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101</w:t>
      </w:r>
    </w:p>
    <w:p>
      <w:pPr>
        <w:spacing w:after="0" w:line="5" w:lineRule="exact"/>
        <w:rPr>
          <w:sz w:val="20"/>
          <w:szCs w:val="20"/>
          <w:color w:val="auto"/>
        </w:rPr>
      </w:pPr>
    </w:p>
    <w:p>
      <w:pPr>
        <w:ind w:right="3399" w:firstLine="797"/>
        <w:spacing w:after="0" w:line="236" w:lineRule="auto"/>
        <w:tabs>
          <w:tab w:leader="none" w:pos="113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agreements which will or may provide payments to any officer, employee, stockholder, or highly compensated individual which will be "parachute payments" under Code Section 280G that are nondeductible to Parent or subject to tax under Code Section 4999 for which Parent or any ERISA Affiliate would have withholding liability.</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4.14. LABOR CONTROVERSIES. Except as disclosed in the Parent SEC Reports,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16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4.15. ENVIRONMENTAL MATTERS. (a) Except as disclosed in the Parent SEC Reports, (i) Parent and its subsidiaries have conducted their respective businesses in compliance with all applicable Environmental Laws (defined in Section 4.15(b)),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(defined in Section 4.15(c))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no underground storage tanks have been installed, closed or removed from any properties owned by Parent or any of its subsidiaries during, in the case of Parent, the time such properties were owned, leased or operated by Parent and during, in the case of each subsidiary, the time such subsidiary has been owned by Parent, (viii)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(ix) neither Parent, its subsidiaries nor any of their respective properties are subject to any liabilities or expenditures (fixed or contingent) relating to any suit, settlement, court order, administrative order, regulatory requirement, judgment or claim asserted or arising under any Environmental Law, except for violations of the foregoing clauses (i) through (ix) that, singly or in the aggregate, would not reasonably be expected to have a material adverse effect on the business, operations, properties, assets, condition (financial or other) or results of operations of Parent and its subsidiaries, taken as a whole.</w:t>
      </w:r>
    </w:p>
    <w:p>
      <w:pPr>
        <w:spacing w:after="0" w:line="200" w:lineRule="exact"/>
        <w:rPr>
          <w:sz w:val="20"/>
          <w:szCs w:val="20"/>
          <w:color w:val="auto"/>
        </w:rPr>
      </w:pPr>
    </w:p>
    <w:p>
      <w:pPr>
        <w:spacing w:after="0" w:line="318" w:lineRule="exact"/>
        <w:rPr>
          <w:sz w:val="20"/>
          <w:szCs w:val="20"/>
          <w:color w:val="auto"/>
        </w:rPr>
      </w:pPr>
    </w:p>
    <w:p>
      <w:pPr>
        <w:ind w:right="3399" w:firstLine="1147"/>
        <w:spacing w:after="0" w:line="235" w:lineRule="auto"/>
        <w:tabs>
          <w:tab w:leader="none" w:pos="148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"Environmental Law" means any Federal, state, local or foreign law, statute, ordinance, rule, regulation, code, license, permit, authorization, approval, consent, legal doctrine,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A-13</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102</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judgment, decree, injunction, requirement or agreement with any governmental entity relating to (x) 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44" w:lineRule="exact"/>
        <w:rPr>
          <w:sz w:val="20"/>
          <w:szCs w:val="20"/>
          <w:color w:val="auto"/>
        </w:rPr>
      </w:pPr>
    </w:p>
    <w:p>
      <w:pPr>
        <w:ind w:right="3399" w:firstLine="1147"/>
        <w:spacing w:after="0" w:line="236" w:lineRule="auto"/>
        <w:tabs>
          <w:tab w:leader="none" w:pos="148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79"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4.16. NON-COMPETITION AGREEMENTS. Neither Parent nor any subsidiary of Parent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A-14</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103</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Parent and its subsidiaries, taken as a whole.</w:t>
      </w:r>
    </w:p>
    <w:p>
      <w:pPr>
        <w:spacing w:after="0" w:line="178"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4.18. REORGANIZATION AND POOLING OF INTERESTS. None of the Parent, Subsidiary or, to their knowledge, any of their affiliates has taken or agreed or intends to take any action or has any knowledge of any fact or circumstance that would prevent the Merger from (a) constituting a reorganization qualifying under the provisions of Section 368(a) of the Code or</w:t>
      </w:r>
    </w:p>
    <w:p>
      <w:pPr>
        <w:spacing w:after="0" w:line="2" w:lineRule="exact"/>
        <w:rPr>
          <w:sz w:val="20"/>
          <w:szCs w:val="20"/>
          <w:color w:val="auto"/>
        </w:rPr>
      </w:pPr>
    </w:p>
    <w:p>
      <w:pPr>
        <w:ind w:right="3319" w:firstLine="10"/>
        <w:spacing w:after="0" w:line="258" w:lineRule="auto"/>
        <w:tabs>
          <w:tab w:leader="none" w:pos="35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being treated for financial accounting purposes as a "pooling of interests" in accordance with generally accepted accounting principles and the rules, regulations and interpretations of the SEC (a "Pooling Transaction").</w:t>
      </w:r>
    </w:p>
    <w:p>
      <w:pPr>
        <w:spacing w:after="0" w:line="161" w:lineRule="exact"/>
        <w:rPr>
          <w:sz w:val="20"/>
          <w:szCs w:val="20"/>
          <w:color w:val="auto"/>
        </w:rPr>
      </w:pPr>
    </w:p>
    <w:p>
      <w:pPr>
        <w:jc w:val="both"/>
        <w:ind w:right="3319" w:firstLine="787"/>
        <w:spacing w:after="0" w:line="256" w:lineRule="auto"/>
        <w:rPr>
          <w:sz w:val="20"/>
          <w:szCs w:val="20"/>
          <w:color w:val="auto"/>
        </w:rPr>
      </w:pPr>
      <w:r>
        <w:rPr>
          <w:rFonts w:ascii="Courier New" w:cs="Courier New" w:eastAsia="Courier New" w:hAnsi="Courier New"/>
          <w:sz w:val="14"/>
          <w:szCs w:val="14"/>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16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4.20. BROKERS AND FINDERS. Except for the fees and expenses payable to Donaldson, Lufkin &amp; Jenrette Securities Corporation ("DLJ"), which fees are reflected in its agreement with Parent (a copy of which has been delivered to the Company),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DLJ,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SECTION 4.21. OPINION OF FINANCIAL ADVISOR. The financial advisor of Parent, DLJ, has rendered a written opinion to the Board of Directors of Parent to the effect that the Exchange Ratio is fair from a financial point of view to Parent.</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4.22. OWNERSHIP OF COMPANY COMMON STOCK. Neither Parent nor any of its subsidiaries beneficially owns any shares of Company Common Stock as of the date hereof.</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4.23. PARENT DISCLOSURE SCHEDULE. The information set forth in the Parent Disclosure Schedule does not contain any untrue statement of a material fact or omit to state a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A-15</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104</w:t>
      </w:r>
    </w:p>
    <w:p>
      <w:pPr>
        <w:jc w:val="center"/>
        <w:ind w:right="3319"/>
        <w:spacing w:after="0" w:line="237" w:lineRule="auto"/>
        <w:rPr>
          <w:sz w:val="20"/>
          <w:szCs w:val="20"/>
          <w:color w:val="auto"/>
        </w:rPr>
      </w:pPr>
      <w:r>
        <w:rPr>
          <w:rFonts w:ascii="Courier New" w:cs="Courier New" w:eastAsia="Courier New" w:hAnsi="Courier New"/>
          <w:sz w:val="15"/>
          <w:szCs w:val="15"/>
          <w:color w:val="auto"/>
        </w:rPr>
        <w:t>ARTICLE V</w:t>
      </w:r>
    </w:p>
    <w:p>
      <w:pPr>
        <w:jc w:val="center"/>
        <w:ind w:right="3319"/>
        <w:spacing w:after="0" w:line="238" w:lineRule="auto"/>
        <w:rPr>
          <w:sz w:val="20"/>
          <w:szCs w:val="20"/>
          <w:color w:val="auto"/>
        </w:rPr>
      </w:pPr>
      <w:r>
        <w:rPr>
          <w:rFonts w:ascii="Courier New" w:cs="Courier New" w:eastAsia="Courier New" w:hAnsi="Courier New"/>
          <w:sz w:val="15"/>
          <w:szCs w:val="15"/>
          <w:color w:val="auto"/>
        </w:rPr>
        <w:t>REPRESENTATIONS AND WARRANTIES OF THE COMPANY</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Articles of Incorporation and By-laws, in each case as in effect on the date hereof, including all amendments thereto, have heretofore been delivered to Parent.</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5.2. CAPITALIZATION. (a) The authorized capital stock of the Company consists of 100,000,000 shares of Company Common Stock and 500,000 shares of preferred stock, par value $10.00 per share ("Company Preferred Stock"). As of June 15, 1996, (i) 25,030,471 shares of Company Common Stock were issued and outstanding, all of which were validly issued and are fully paid, nonassessable and free of preemptive rights, (ii) no shares of Company Common Stock and no shares of Company Preferred Stock were held in the treasury of the Company, (iii) 1,001,866 shares of Company Common Stock were reserved for issuance upon exercise of options issued and outstanding pursuant to the Company's 1989 Stock Option Plan, as amended, (iv) 1,461,360 shares of Company Common Stock were reserved for issuance upon exercise of options issued and outstanding pursuant to the Company's 1994 Long-Term Incentive Plan, (v) 607,266 shares of Company Common Stock were reserved for issuance pursuant to the Company's 1991 Employee Stock Purchase Plan, (vi) 2,389,610 shares of Company Common Stock were reserved for issuance upon conversion of outstanding convertible debentures of the Company, (vii) 103,264 shares of Company Common Stock were reserved for issuance upon exercise of outstanding warrants, (viii) no shares of Company Preferred Stock were issued and outstanding and (ix)</w:t>
      </w:r>
    </w:p>
    <w:p>
      <w:pPr>
        <w:spacing w:after="0" w:line="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83,435 shares of Company Preferred Stock were reserved for issuance upon exercise of Rights ("Preferred Stock Purchase Rights") issued pursuant to that certain Rights Agreement dated as of December 1, 1991 between the Company and First City, Texas - Houston, N.A., a national banking association, as amended by Amendment No. 1 thereto between the Company and Chemical Bank, a New York State banking corporation, (the "Preferred Stock Rights Agreement"). Except as set forth in the preceding sentence, no other Awards (as such term is defined in the Company's 1994 Long-Term Incentive Plan) were issued and outstanding as of June 15, 1996. A true and correct copy of the Preferred Stock Rights Agreement has been made available to Parent. Assuming conversion of all outstanding convertible debentures of the Company and the exercise of all outstanding options, warrants or rights (other than the Preferred Stock Purchase Rights issued under the Preferred Stock Rights Agreement) to purchase Company Common Stock, as of June 15, 1996, there would be 29,988,071 shares of Company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A-16</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105</w:t>
      </w:r>
    </w:p>
    <w:p>
      <w:pPr>
        <w:spacing w:after="0" w:line="5" w:lineRule="exact"/>
        <w:rPr>
          <w:sz w:val="20"/>
          <w:szCs w:val="20"/>
          <w:color w:val="auto"/>
        </w:rPr>
      </w:pPr>
    </w:p>
    <w:p>
      <w:pPr>
        <w:ind w:right="3319" w:firstLine="797"/>
        <w:spacing w:after="0" w:line="237" w:lineRule="auto"/>
        <w:tabs>
          <w:tab w:leader="none" w:pos="113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Company SEC Reports (as defined in Section 5.5),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344" w:lineRule="exact"/>
        <w:rPr>
          <w:sz w:val="20"/>
          <w:szCs w:val="20"/>
          <w:color w:val="auto"/>
        </w:rPr>
      </w:pPr>
    </w:p>
    <w:p>
      <w:pPr>
        <w:ind w:right="3679" w:firstLine="787"/>
        <w:spacing w:after="0" w:line="254" w:lineRule="auto"/>
        <w:rPr>
          <w:sz w:val="20"/>
          <w:szCs w:val="20"/>
          <w:color w:val="auto"/>
        </w:rPr>
      </w:pPr>
      <w:r>
        <w:rPr>
          <w:rFonts w:ascii="Courier New" w:cs="Courier New" w:eastAsia="Courier New" w:hAnsi="Courier New"/>
          <w:sz w:val="14"/>
          <w:szCs w:val="14"/>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5.4(c)), to consummate the transactions contemplated hereby. The Board of Directors of the Company has at a meeting duly called and held and at which a quorum was present and acting throughout, by the requisite affirmative vote of the directors of the Company, (i) determined that the Merger is in the best interests of the Company and its stockholders, (ii) approved this Agreement and the Merger and (iii) determined that such approval satisfies the requirements of subparagraph A.2 of Article Eighth of the Company's Certificate of Incorporation and, as a result, renders inapplicable to the Merger and this Agreement the other provisions of paragraph A of Article Eighth.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A-17</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106</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Sections 6.1, 6.5, 7.1, 7.2, 7.3, 7.6, 7.7, 7.8, 7.10, 7.12 and 7.14 is valid, legally binding and enforceable (subject as aforesaid) notwithstanding the absence of the Company Stockholders' Approval.</w:t>
      </w:r>
    </w:p>
    <w:p>
      <w:pPr>
        <w:spacing w:after="0" w:line="174" w:lineRule="exact"/>
        <w:rPr>
          <w:sz w:val="20"/>
          <w:szCs w:val="20"/>
          <w:color w:val="auto"/>
        </w:rPr>
      </w:pPr>
    </w:p>
    <w:p>
      <w:pPr>
        <w:ind w:right="3319" w:firstLine="797"/>
        <w:spacing w:after="0" w:line="254" w:lineRule="auto"/>
        <w:tabs>
          <w:tab w:leader="none" w:pos="1137"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the Company Disclosure Schedule.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348" w:lineRule="exact"/>
        <w:rPr>
          <w:rFonts w:ascii="Courier New" w:cs="Courier New" w:eastAsia="Courier New" w:hAnsi="Courier New"/>
          <w:sz w:val="14"/>
          <w:szCs w:val="14"/>
          <w:color w:val="auto"/>
        </w:rPr>
      </w:pPr>
    </w:p>
    <w:p>
      <w:pPr>
        <w:ind w:right="3499" w:firstLine="797"/>
        <w:spacing w:after="0" w:line="254" w:lineRule="auto"/>
        <w:tabs>
          <w:tab w:leader="none" w:pos="1137"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(i) the filings by the Company required by the HSR Act, (ii) the filing of the Joint Proxy Statement/Prospectus with the SEC pursuant to the Exchange Act, (iii) the making of the Merger Filing with the Secretary of State of the State of Delaware in connection with the Merger and</w:t>
      </w:r>
    </w:p>
    <w:p>
      <w:pPr>
        <w:spacing w:after="0" w:line="1" w:lineRule="exact"/>
        <w:rPr>
          <w:rFonts w:ascii="Courier New" w:cs="Courier New" w:eastAsia="Courier New" w:hAnsi="Courier New"/>
          <w:sz w:val="14"/>
          <w:szCs w:val="14"/>
          <w:color w:val="auto"/>
        </w:rPr>
      </w:pPr>
    </w:p>
    <w:p>
      <w:pPr>
        <w:ind w:right="3319" w:firstLine="10"/>
        <w:spacing w:after="0" w:line="255" w:lineRule="auto"/>
        <w:tabs>
          <w:tab w:leader="none" w:pos="43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16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5.5. REPORTS AND FINANCIAL STATEMENTS. Since January 1, 1994,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A-18</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107</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complied when filed in all material respects with all applicable requirements of the appropriate act and the rules and regulations thereunder. The Company has previously delivered to Parent copies (including all exhibits, post-effective amendments and supplements thereto) of its (a) Annual Reports on Form 10-K for the year ended December 31, 1995,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the Company with the SEC since January 1, 1994 (other than registration statements filed on Form S-8) (the documents referred to in clauses (a), (b) and (c) filed prior to the date hereof are collectively referred to as the "Company SEC Reports").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SEC Reports are identified on the Company Disclosure Schedule. As of their respective dates,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16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5.6. ABSENCE OF UNDISCLOSED LIABILITIES. Except as disclosed in the Company SEC Reports or as heretofore disclosed to Parent in writing with respect to acquisitions or potential transactions or commitments, neither the Company nor any of its subsidiaries had at December 31, 1995, or has incurred since that date,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December 31,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34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176"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A-19</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108</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actions or 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6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5.9. REGISTRATION STATEMENT AND PROXY STATEMENT. None of the information to be supplied by the Company or its subsidiaries for inclusion in</w:t>
      </w:r>
    </w:p>
    <w:p>
      <w:pPr>
        <w:spacing w:after="0" w:line="1" w:lineRule="exact"/>
        <w:rPr>
          <w:sz w:val="20"/>
          <w:szCs w:val="20"/>
          <w:color w:val="auto"/>
        </w:rPr>
      </w:pPr>
    </w:p>
    <w:p>
      <w:pPr>
        <w:ind w:right="3319" w:firstLine="10"/>
        <w:spacing w:after="0" w:line="255" w:lineRule="auto"/>
        <w:tabs>
          <w:tab w:leader="none" w:pos="35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331"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5.10. NO VIOLATION OF LAW. Except as disclosed in the Company SEC Reports,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A-20</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109</w:t>
      </w:r>
    </w:p>
    <w:p>
      <w:pPr>
        <w:spacing w:after="0" w:line="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 aggregate, a material adverse effect on the business, operations, properties, assets, condition (financial or other) or results of operations of the Company and its subsidiaries, taken as a whole.</w:t>
      </w:r>
    </w:p>
    <w:p>
      <w:pPr>
        <w:spacing w:after="0" w:line="16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for the payment of all Taxes for all past and current periods. The liabilities and reserves for Taxes reflected in the Company balance sheet included in the latest Company SEC Report are adequate to cover all Taxes for all periods ending at or prior to the date of such balance sheet and there is no liability for Taxes for any period beginning after such date other than Taxes arising in the ordinary course of business.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or results of operations of the Company and its subsidiaries, taken as a whole. Neither the Company nor its subsidiaries has waived any statute of limitations in respect of Taxes or agreed to any extension of time with respect to a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34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5.13. EMPLOYEE BENEFIT PLANS; ERISA. (a) Except as disclosed in the Company SEC Reports, at the date hereof, the Company and its subsidiaries do not maintain or contribute to or have any obligation or liability to or with respect to any material employee benefit plans, programs, arrangements or practices (such plans, programs, arrangements or practices of the Company and its subsidiaries being referred to as the "Company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to which any of them makes contributions or has any obligation or liability to make contributions. Neither the Company nor any of its subsidiaries maintains or has any liability with respect to any Multiple Employer Plan. Neither the Company nor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A-21</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110</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175" w:lineRule="exact"/>
        <w:rPr>
          <w:sz w:val="20"/>
          <w:szCs w:val="20"/>
          <w:color w:val="auto"/>
        </w:rPr>
      </w:pPr>
    </w:p>
    <w:p>
      <w:pPr>
        <w:ind w:right="3319" w:firstLine="797"/>
        <w:spacing w:after="0" w:line="254" w:lineRule="auto"/>
        <w:tabs>
          <w:tab w:leader="none" w:pos="1137"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March 31, 1996,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w:t>
      </w:r>
    </w:p>
    <w:p>
      <w:pPr>
        <w:spacing w:after="0" w:line="178" w:lineRule="exact"/>
        <w:rPr>
          <w:rFonts w:ascii="Courier New" w:cs="Courier New" w:eastAsia="Courier New" w:hAnsi="Courier New"/>
          <w:sz w:val="14"/>
          <w:szCs w:val="14"/>
          <w:color w:val="auto"/>
        </w:rPr>
      </w:pPr>
    </w:p>
    <w:p>
      <w:pPr>
        <w:ind w:right="3319" w:firstLine="10"/>
        <w:spacing w:after="0" w:line="254" w:lineRule="auto"/>
        <w:tabs>
          <w:tab w:leader="none" w:pos="61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(x) 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502(c)(i) or (l) of ERISA or Chapter 43 of Subtitle (A) of the Code. None of the Company Controlled Group Plans has an "accumulated funding deficiency" (as defined in Section 302 of ERISA and Section 412 of the Code) or is required to provide security to a Company Plan pursuant to Section 401(a)(29) of the Code. Each Company Plan can be unilaterally terminated by the Company or a subsidiary at any time without material liability, other than for amounts previously reflected in the financial statements (or notes thereto) included in the Company SEC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A-22</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111</w:t>
      </w:r>
    </w:p>
    <w:p>
      <w:pPr>
        <w:spacing w:after="0" w:line="5" w:lineRule="exact"/>
        <w:rPr>
          <w:sz w:val="20"/>
          <w:szCs w:val="20"/>
          <w:color w:val="auto"/>
        </w:rPr>
      </w:pPr>
    </w:p>
    <w:p>
      <w:pPr>
        <w:ind w:right="3579" w:firstLine="797"/>
        <w:spacing w:after="0" w:line="235" w:lineRule="auto"/>
        <w:tabs>
          <w:tab w:leader="none" w:pos="113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75" w:lineRule="exact"/>
        <w:rPr>
          <w:rFonts w:ascii="Courier New" w:cs="Courier New" w:eastAsia="Courier New" w:hAnsi="Courier New"/>
          <w:sz w:val="15"/>
          <w:szCs w:val="15"/>
          <w:color w:val="auto"/>
        </w:rPr>
      </w:pPr>
    </w:p>
    <w:p>
      <w:pPr>
        <w:ind w:right="3399" w:firstLine="797"/>
        <w:spacing w:after="0" w:line="236" w:lineRule="auto"/>
        <w:tabs>
          <w:tab w:leader="none" w:pos="113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ERISA Affiliate would have withholding liability.</w:t>
      </w:r>
    </w:p>
    <w:p>
      <w:pPr>
        <w:spacing w:after="0" w:line="342"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5.14. LABOR CONTROVERSIES. Except as disclosed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180"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5.15. ENVIRONMENTAL MATTERS.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no underground storage tanks have been installed, closed or removed from any properties owned by the Company or any of its subsidiaries during, in the case of the Company, the time such properties were owned, leased or operated by the Company and during, in the case of each subsidiary, the time such subsidiary has been owned by the Company, (viii)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(ix)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(ix) that, singly or in the aggregate, would not reasonably be expected to have a material adverse effect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A-23</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112</w:t>
      </w:r>
    </w:p>
    <w:p>
      <w:pPr>
        <w:spacing w:after="0" w:line="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business, operations, properties, assets, condition (financial or other) or results of operations of the Company and its subsidiaries, taken as a whole.</w:t>
      </w:r>
    </w:p>
    <w:p>
      <w:pPr>
        <w:spacing w:after="0" w:line="160"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5.16. NON-COMPETITION AGREEMENTS. Except as disclosed in the Company SEC Reports, neither the Company nor any subsidiary of the Company is a party to any agreement which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or affiliate of the Company from, directly or indirectly, engaging in any of the businesses described above.</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or any of its subsidiaries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34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5.18. REORGANIZATION AND POOLING OF INTERESTS. Neither the Company nor, to the knowledge of the Company, any of its affiliates has taken or agreed or intends to take any action or has any knowledge of any fact or circumstance that would prevent the Merger from (a) constituting a reorganization qualifying under the provisions of Section 368(a) of the Code or (b) being treated for financial accounting purposes as a Pooling Transaction.</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5.20. BROKERS AND FINDERS. Except for the fees and expenses payable to Merrill Lynch, Pierce, Fenner &amp; Smith Incorporated ("Merrill"), which fees are reflected in its agreement with the Company (a copy of which has been delivered to Parent), the Company has not entered into any contract,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A-24</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113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or understanding with any person or firm which may result in the obligation of the Company to pay any finder's fees, brokerage or agent commissions or other like payments in connection with the transactions contemplated hereby. Except for the fees and expenses paid or payable to Merrill,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77"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5.21. OPINION OF FINANCIAL ADVISOR. The financial advisor of the Company, Merrill, has rendered a written opinion to the Board of Directors of the Company to the effect that the Exchange Ratio is fair from a financial point of view to the stockholders of the Company.</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5.22. AMENDMENT TO PREFERRED STOCK RIGHTS AGREEMENT. (a) The Board of Directors of the Company has taken all necessary action to amend the Preferred Stock Rights Agreement so that none of the execution and delivery of this Agreement, the conversion of shares of Company Common Stock into the right to receive Parent Common Stock in accordance with Article III of this Agreement, and the consummation of the Merger or any other transaction contemplated hereby (but specifically not including any acquisition of beneficial ownership of Common Stock other than through the execution and delivery of this Agreement, the consummation of the Merger or the execution of the voting agreements described in the recitals to this Agreement) will cause</w:t>
      </w:r>
    </w:p>
    <w:p>
      <w:pPr>
        <w:spacing w:after="0" w:line="3" w:lineRule="exact"/>
        <w:rPr>
          <w:sz w:val="20"/>
          <w:szCs w:val="20"/>
          <w:color w:val="auto"/>
        </w:rPr>
      </w:pPr>
    </w:p>
    <w:p>
      <w:pPr>
        <w:ind w:right="3319" w:firstLine="10"/>
        <w:spacing w:after="0" w:line="255" w:lineRule="auto"/>
        <w:tabs>
          <w:tab w:leader="none" w:pos="35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Stock Purchase Rights issued pursuant to the Preferred Stock Rights Agreement to become exercisable under the Preferred Stock Rights Agreement, (ii) Parent or any of Parent's direct or indirect subsidiaries to be deemed an "Acquiring Person" (as such term is defined in the Preferred Stock Rights Agreement), (iii) any such event to be deemed a "Section 11(a)(ii) Event" or a "Section 13 Event" (as such terms are defined in the Preferred Stock Rights Agreement) or (iv) the "Stock Acquisition Date" (as such term is defined in the Preferred Stock Rights Agreement) to occur upon any such event.</w:t>
      </w:r>
    </w:p>
    <w:p>
      <w:pPr>
        <w:spacing w:after="0" w:line="165" w:lineRule="exact"/>
        <w:rPr>
          <w:rFonts w:ascii="Courier New" w:cs="Courier New" w:eastAsia="Courier New" w:hAnsi="Courier New"/>
          <w:sz w:val="14"/>
          <w:szCs w:val="14"/>
          <w:color w:val="auto"/>
        </w:rPr>
      </w:pPr>
    </w:p>
    <w:p>
      <w:pPr>
        <w:ind w:right="3579" w:firstLine="797"/>
        <w:spacing w:after="0" w:line="235" w:lineRule="auto"/>
        <w:tabs>
          <w:tab w:leader="none" w:pos="113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(as such term is defined in the Preferred Stock Rights Agreement) of the Preferred Stock Purchase Rights will occur immediately prior to the Effective Time.</w:t>
      </w:r>
    </w:p>
    <w:p>
      <w:pPr>
        <w:spacing w:after="0" w:line="173" w:lineRule="exact"/>
        <w:rPr>
          <w:rFonts w:ascii="Courier New" w:cs="Courier New" w:eastAsia="Courier New" w:hAnsi="Courier New"/>
          <w:sz w:val="15"/>
          <w:szCs w:val="15"/>
          <w:color w:val="auto"/>
        </w:rPr>
      </w:pPr>
    </w:p>
    <w:p>
      <w:pPr>
        <w:ind w:right="3399" w:firstLine="797"/>
        <w:spacing w:after="0" w:line="234" w:lineRule="auto"/>
        <w:tabs>
          <w:tab w:leader="none" w:pos="113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Date" (as such term is defined in the Preferred Stock Rights Agreement) has not occurred.</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5.23. COMPANY DISCLOSURE SCHEDULE. The information set forth in the Company Disclosure Schedule does not contain any untrue statement of a material fact or omit to state a material fact required to be stated therein or necessary to make the statements therein, in the light of the circumstances under which they were made, not misleading.</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CONDUCT OF BUSINESS PENDING THE MERGER</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A-25</w:t>
      </w:r>
    </w:p>
    <w:p>
      <w:pPr>
        <w:sectPr>
          <w:pgSz w:w="11900" w:h="16838" w:orient="portrait"/>
          <w:cols w:equalWidth="0" w:num="1">
            <w:col w:w="10239"/>
          </w:cols>
          <w:pgMar w:left="220" w:top="281"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114</w:t>
      </w:r>
    </w:p>
    <w:p>
      <w:pPr>
        <w:spacing w:after="0" w:line="5" w:lineRule="exact"/>
        <w:rPr>
          <w:sz w:val="20"/>
          <w:szCs w:val="20"/>
          <w:color w:val="auto"/>
        </w:rPr>
      </w:pPr>
    </w:p>
    <w:p>
      <w:pPr>
        <w:ind w:left="520" w:right="3399" w:firstLine="347"/>
        <w:spacing w:after="0" w:line="234" w:lineRule="auto"/>
        <w:tabs>
          <w:tab w:leader="none" w:pos="122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their respective businesses in the ordinary and usual course of business and consistent with past practice;</w:t>
      </w:r>
    </w:p>
    <w:p>
      <w:pPr>
        <w:spacing w:after="0" w:line="173" w:lineRule="exact"/>
        <w:rPr>
          <w:rFonts w:ascii="Courier New" w:cs="Courier New" w:eastAsia="Courier New" w:hAnsi="Courier New"/>
          <w:sz w:val="15"/>
          <w:szCs w:val="15"/>
          <w:color w:val="auto"/>
        </w:rPr>
      </w:pPr>
    </w:p>
    <w:p>
      <w:pPr>
        <w:ind w:left="520" w:right="3399" w:firstLine="347"/>
        <w:spacing w:after="0" w:line="236" w:lineRule="auto"/>
        <w:tabs>
          <w:tab w:leader="none" w:pos="122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 or 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174" w:lineRule="exact"/>
        <w:rPr>
          <w:rFonts w:ascii="Courier New" w:cs="Courier New" w:eastAsia="Courier New" w:hAnsi="Courier New"/>
          <w:sz w:val="15"/>
          <w:szCs w:val="15"/>
          <w:color w:val="auto"/>
        </w:rPr>
      </w:pPr>
    </w:p>
    <w:p>
      <w:pPr>
        <w:ind w:left="520" w:right="3399" w:firstLine="347"/>
        <w:spacing w:after="0" w:line="254" w:lineRule="auto"/>
        <w:tabs>
          <w:tab w:leader="none" w:pos="122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conversion of convertible securities and exercise of options and warrants outstanding on the date hereof and</w:t>
      </w:r>
    </w:p>
    <w:p>
      <w:pPr>
        <w:spacing w:after="0" w:line="2" w:lineRule="exact"/>
        <w:rPr>
          <w:rFonts w:ascii="Courier New" w:cs="Courier New" w:eastAsia="Courier New" w:hAnsi="Courier New"/>
          <w:sz w:val="14"/>
          <w:szCs w:val="14"/>
          <w:color w:val="auto"/>
        </w:rPr>
      </w:pPr>
    </w:p>
    <w:p>
      <w:pPr>
        <w:ind w:left="520" w:right="3499" w:hanging="3"/>
        <w:spacing w:after="0" w:line="235" w:lineRule="auto"/>
        <w:tabs>
          <w:tab w:leader="none" w:pos="95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issue shares of Company Common Stock in connection with acquisitions of assets or businesses pursuant to the proviso of Section 6.1(d);</w:t>
      </w:r>
    </w:p>
    <w:p>
      <w:pPr>
        <w:spacing w:after="0" w:line="173" w:lineRule="exact"/>
        <w:rPr>
          <w:rFonts w:ascii="Courier New" w:cs="Courier New" w:eastAsia="Courier New" w:hAnsi="Courier New"/>
          <w:sz w:val="15"/>
          <w:szCs w:val="15"/>
          <w:color w:val="auto"/>
        </w:rPr>
      </w:pPr>
    </w:p>
    <w:p>
      <w:pPr>
        <w:ind w:left="520" w:right="3319" w:firstLine="347"/>
        <w:spacing w:after="0" w:line="254" w:lineRule="auto"/>
        <w:tabs>
          <w:tab w:leader="none" w:pos="122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 incur or become contingently liable with respect to any indebtedness for borrowed money other than (A) borrowings in the ordinary course of business or (B) borrowings to refinance existing indebtedness on terms which are reasonably acceptable to Parent or (C) as set forth in the proviso in this Section 6.1(d),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 of the Code, (v) make any acquisition of any assets or businesses other than expenditures for current assets in the ordinary course of business and expenditures for fixed or capital assets in the ordinary course of business and consistent with the Company's capital budget disclosed in Section 6.1 of the Company Disclosure Schedule and other than as set forth in the proviso in this Section 6.1(d), (vi) sell, pledge, dispose of or encumber any material assets or businesses other than sales in the ordinary course of business or (vii) enter into any binding contract, agreement, commitment or arrangement with respect to any of the foregoing; provided, however, that notwithstanding the foregoing (other than subsections (iii) and (iv) of this Section 6.1(d)), the Company shall not be prohibited from acquiring any assets or businesses or issuing Company Common Stock or incurring or assuming indebtedness in connection with such acquisitions so long as (x) the aggregate value of consideration paid or payable in connection with all such acquisitions, including any funded indebtedness assumed and any Company Common Stock (valued for purposes of this limitation at a price per share equal to the price of the Company Common Stock on the date an agreement in respect of an acquisition is entered into) issued or issuable in connection with such acquisitions, does not exceed $80 million (excluding any acquisitions for which a letter of intent has been executed and which are identified on the Company Disclosure Schedule), (y) the aggregate value of consideration paid or payable for any one such acquisition, including any funded indebtedness assumed and any Company Common Stock (valued for purposes of this limitation at a price per share equal to the price of the Company Common Stock on the date an agreement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Page A-26</w:t>
      </w:r>
    </w:p>
    <w:p>
      <w:pPr>
        <w:sectPr>
          <w:pgSz w:w="11900" w:h="16838" w:orient="portrait"/>
          <w:cols w:equalWidth="0" w:num="1">
            <w:col w:w="9959"/>
          </w:cols>
          <w:pgMar w:left="50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115</w:t>
      </w:r>
    </w:p>
    <w:p>
      <w:pPr>
        <w:spacing w:after="0" w:line="5"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respect of an acquisition is entered into) issued or issuable in connection with such acquisition, does not exceed $20 million (excluding any acquisitions for which a letter of intent has been executed and which are identified on the Company Disclosure Schedule) and (z) the Company will not acquire or agree to acquire any assets or businesses if such acquisition or agreement may reasonably be expected to delay the consummation of the Merger;</w:t>
      </w:r>
    </w:p>
    <w:p>
      <w:pPr>
        <w:spacing w:after="0" w:line="176" w:lineRule="exact"/>
        <w:rPr>
          <w:sz w:val="20"/>
          <w:szCs w:val="20"/>
          <w:color w:val="auto"/>
        </w:rPr>
      </w:pPr>
    </w:p>
    <w:p>
      <w:pPr>
        <w:ind w:left="800" w:right="3499" w:firstLine="347"/>
        <w:spacing w:after="0" w:line="255" w:lineRule="auto"/>
        <w:tabs>
          <w:tab w:leader="none" w:pos="15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59" w:lineRule="exact"/>
        <w:rPr>
          <w:rFonts w:ascii="Courier New" w:cs="Courier New" w:eastAsia="Courier New" w:hAnsi="Courier New"/>
          <w:sz w:val="14"/>
          <w:szCs w:val="14"/>
          <w:color w:val="auto"/>
        </w:rPr>
      </w:pPr>
    </w:p>
    <w:p>
      <w:pPr>
        <w:ind w:left="1500" w:hanging="353"/>
        <w:spacing w:after="0"/>
        <w:tabs>
          <w:tab w:leader="none" w:pos="15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restrictions imposed by applicable law,</w:t>
      </w:r>
    </w:p>
    <w:p>
      <w:pPr>
        <w:spacing w:after="0" w:line="5"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confer on a regular and frequent basis with one or more representatives of Parent to report operational matters of materiality and the general status of ongoing operations;</w:t>
      </w:r>
    </w:p>
    <w:p>
      <w:pPr>
        <w:spacing w:after="0" w:line="174" w:lineRule="exact"/>
        <w:rPr>
          <w:sz w:val="20"/>
          <w:szCs w:val="20"/>
          <w:color w:val="auto"/>
        </w:rPr>
      </w:pPr>
    </w:p>
    <w:p>
      <w:pPr>
        <w:ind w:left="800" w:right="3319" w:firstLine="347"/>
        <w:spacing w:after="0" w:line="255" w:lineRule="auto"/>
        <w:tabs>
          <w:tab w:leader="none" w:pos="15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166" w:lineRule="exact"/>
        <w:rPr>
          <w:rFonts w:ascii="Courier New" w:cs="Courier New" w:eastAsia="Courier New" w:hAnsi="Courier New"/>
          <w:sz w:val="14"/>
          <w:szCs w:val="14"/>
          <w:color w:val="auto"/>
        </w:rPr>
      </w:pPr>
    </w:p>
    <w:p>
      <w:pPr>
        <w:ind w:left="800" w:right="3399" w:firstLine="347"/>
        <w:spacing w:after="0" w:line="236" w:lineRule="auto"/>
        <w:tabs>
          <w:tab w:leader="none" w:pos="15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w:t>
      </w:r>
    </w:p>
    <w:p>
      <w:pPr>
        <w:spacing w:after="0" w:line="174" w:lineRule="exact"/>
        <w:rPr>
          <w:rFonts w:ascii="Courier New" w:cs="Courier New" w:eastAsia="Courier New" w:hAnsi="Courier New"/>
          <w:sz w:val="15"/>
          <w:szCs w:val="15"/>
          <w:color w:val="auto"/>
        </w:rPr>
      </w:pPr>
    </w:p>
    <w:p>
      <w:pPr>
        <w:ind w:left="800" w:right="3399" w:firstLine="347"/>
        <w:spacing w:after="0" w:line="235" w:lineRule="auto"/>
        <w:tabs>
          <w:tab w:leader="none" w:pos="15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maintain with financially responsible insurance companies insurance on its tangible assets and its businesses in such amounts and against such risks and losses as are consistent with past practice; and</w:t>
      </w:r>
    </w:p>
    <w:p>
      <w:pPr>
        <w:spacing w:after="0" w:line="175" w:lineRule="exact"/>
        <w:rPr>
          <w:rFonts w:ascii="Courier New" w:cs="Courier New" w:eastAsia="Courier New" w:hAnsi="Courier New"/>
          <w:sz w:val="15"/>
          <w:szCs w:val="15"/>
          <w:color w:val="auto"/>
        </w:rPr>
      </w:pPr>
    </w:p>
    <w:p>
      <w:pPr>
        <w:jc w:val="both"/>
        <w:ind w:left="800" w:right="3499" w:firstLine="347"/>
        <w:spacing w:after="0" w:line="235" w:lineRule="auto"/>
        <w:tabs>
          <w:tab w:leader="none" w:pos="15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make, change or revoke any material Tax election or make any material agreement or settlement regarding Taxes with any taxing authority.</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74" w:lineRule="exact"/>
        <w:rPr>
          <w:sz w:val="20"/>
          <w:szCs w:val="20"/>
          <w:color w:val="auto"/>
        </w:rPr>
      </w:pPr>
    </w:p>
    <w:p>
      <w:pPr>
        <w:ind w:left="800" w:right="3939" w:firstLine="347"/>
        <w:spacing w:after="0" w:line="261" w:lineRule="auto"/>
        <w:tabs>
          <w:tab w:leader="none" w:pos="150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their respective businesses in the ordinary and usual course of business and consistent with past practice;</w:t>
      </w:r>
    </w:p>
    <w:p>
      <w:pPr>
        <w:spacing w:after="0" w:line="159" w:lineRule="exact"/>
        <w:rPr>
          <w:rFonts w:ascii="Courier New" w:cs="Courier New" w:eastAsia="Courier New" w:hAnsi="Courier New"/>
          <w:sz w:val="14"/>
          <w:szCs w:val="14"/>
          <w:color w:val="auto"/>
        </w:rPr>
      </w:pPr>
    </w:p>
    <w:p>
      <w:pPr>
        <w:ind w:left="800" w:right="3499" w:firstLine="347"/>
        <w:spacing w:after="0" w:line="254" w:lineRule="auto"/>
        <w:tabs>
          <w:tab w:leader="none" w:pos="150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 amend or propose to amend their respective charter (except for the amendment by Parent of its Certificate of Incorporation to increase the number of authorized shares of Parent Common Stock) or by-laws, (ii) split, combine or reclassify (whether by stock dividend or otherwise) their outstanding capital stock, or</w:t>
      </w:r>
    </w:p>
    <w:p>
      <w:pPr>
        <w:ind w:left="1320" w:hanging="523"/>
        <w:spacing w:after="0" w:line="237"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A-27</w:t>
      </w:r>
    </w:p>
    <w:p>
      <w:pPr>
        <w:sectPr>
          <w:pgSz w:w="11900" w:h="16838" w:orient="portrait"/>
          <w:cols w:equalWidth="0" w:num="1">
            <w:col w:w="10239"/>
          </w:cols>
          <w:pgMar w:left="220" w:top="281"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116</w:t>
      </w:r>
    </w:p>
    <w:p>
      <w:pPr>
        <w:spacing w:after="0" w:line="5" w:lineRule="exact"/>
        <w:rPr>
          <w:sz w:val="20"/>
          <w:szCs w:val="20"/>
          <w:color w:val="auto"/>
        </w:rPr>
      </w:pPr>
    </w:p>
    <w:p>
      <w:pPr>
        <w:jc w:val="both"/>
        <w:ind w:left="520" w:right="3319"/>
        <w:spacing w:after="0" w:line="235" w:lineRule="auto"/>
        <w:rPr>
          <w:sz w:val="20"/>
          <w:szCs w:val="20"/>
          <w:color w:val="auto"/>
        </w:rPr>
      </w:pPr>
      <w:r>
        <w:rPr>
          <w:rFonts w:ascii="Courier New" w:cs="Courier New" w:eastAsia="Courier New" w:hAnsi="Courier New"/>
          <w:sz w:val="15"/>
          <w:szCs w:val="15"/>
          <w:color w:val="auto"/>
        </w:rPr>
        <w:t>distribution payable in cash, stock, property or otherwise, except for the payment of dividends or distributions by a wholly-owned subsidiary of Parent;</w:t>
      </w:r>
    </w:p>
    <w:p>
      <w:pPr>
        <w:spacing w:after="0" w:line="174" w:lineRule="exact"/>
        <w:rPr>
          <w:sz w:val="20"/>
          <w:szCs w:val="20"/>
          <w:color w:val="auto"/>
        </w:rPr>
      </w:pPr>
    </w:p>
    <w:p>
      <w:pPr>
        <w:ind w:left="520" w:right="3319" w:firstLine="347"/>
        <w:spacing w:after="0" w:line="255" w:lineRule="auto"/>
        <w:tabs>
          <w:tab w:leader="none" w:pos="122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outstanding on the date hereof, (ii) Parent may issue options (and shares upon exercise of such options) pursuant to its employee stock option plans in effect on the date hereof in the ordinary course of business and consistent with past practices and (iii) Parent may issue shares of capital stock (or warrants or options to acquire capital stock) in connection with acquisitions of assets or businesses pursuant to the proviso of Section 6.2(d);</w:t>
      </w:r>
    </w:p>
    <w:p>
      <w:pPr>
        <w:spacing w:after="0" w:line="164" w:lineRule="exact"/>
        <w:rPr>
          <w:rFonts w:ascii="Courier New" w:cs="Courier New" w:eastAsia="Courier New" w:hAnsi="Courier New"/>
          <w:sz w:val="14"/>
          <w:szCs w:val="14"/>
          <w:color w:val="auto"/>
        </w:rPr>
      </w:pPr>
    </w:p>
    <w:p>
      <w:pPr>
        <w:ind w:left="520" w:right="3319" w:firstLine="347"/>
        <w:spacing w:after="0" w:line="254" w:lineRule="auto"/>
        <w:tabs>
          <w:tab w:leader="none" w:pos="122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 incur or become contingently liable with respect to any indebtedness for borrowed money other than (A) borrowings in the ordinary course of business, (B) borrowings to refinance existing indebtedness on terms which are reasonably acceptable to the Company, or (C) as set forth in the proviso in this Section 6.2(d),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APB No. 16,</w:t>
      </w:r>
    </w:p>
    <w:p>
      <w:pPr>
        <w:spacing w:after="0" w:line="3" w:lineRule="exact"/>
        <w:rPr>
          <w:rFonts w:ascii="Courier New" w:cs="Courier New" w:eastAsia="Courier New" w:hAnsi="Courier New"/>
          <w:sz w:val="14"/>
          <w:szCs w:val="14"/>
          <w:color w:val="auto"/>
        </w:rPr>
      </w:pPr>
    </w:p>
    <w:p>
      <w:pPr>
        <w:ind w:left="520" w:right="3319" w:hanging="3"/>
        <w:spacing w:after="0" w:line="254" w:lineRule="auto"/>
        <w:tabs>
          <w:tab w:leader="none" w:pos="95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fail to take any action which action or failure to take action would cause Parent or its stockholders to recognize gain or loss for federal income tax purposes as a result of the consummation of the Merger or would otherwise cause the Merger not to qualify as a reorganization under Section 368 of the Code, (v) sell, pledge, dispose of or encumber any material assets or businesses other than sales in the ordinary course of business, (vi) make any acquisition of any assets or businesses other than expenditures for current assets in the ordinary course of business and expenditures for fixed or capital assets in the ordinary course of business and other than as set forth in the proviso of this Section 6.2(d) or (vii) enter into any binding contract, agreement, commitment or arrangement with respect to any of the foregoing; provided, however, that notwithstanding the foregoing (other than subsections (iii) and (iv) of this Section 6.2(d)), Parent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Parent Common Stock (valued for purposes of this limitation at a price per share equal to the price of Parent Common Stock on the date an agreement in respect of an acquisition is entered into) issued or issuable in connection with such acquisitions, does not exceed $160 million (excluding any acquisitions for which a letter of intent has been executed and which are identified on the Parent Disclosure Schedule), (y) the aggregate value of consideration paid or payable for any one such acquisition, including any funded indebtedness assumed and any Parent Common Stock (valued for purposes of this limitation at a price per share equal to the price of Parent Common Stock on the date an agreement in respect of an acquisition is entered into) issued or issuable in connection with such acquisition, does not exceed $40 million (excluding any acquisitions for which a letter of intent has been executed and which are identified on the Parent Disclosure Schedule) and (z) Parent will not acquire or agree to acquire any assets or businesses if such acquisition or agreement may reasonably be expected to delay the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Page A-28</w:t>
      </w:r>
    </w:p>
    <w:p>
      <w:pPr>
        <w:sectPr>
          <w:pgSz w:w="11900" w:h="16838" w:orient="portrait"/>
          <w:cols w:equalWidth="0" w:num="1">
            <w:col w:w="9959"/>
          </w:cols>
          <w:pgMar w:left="500" w:top="28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117</w:t>
      </w:r>
    </w:p>
    <w:p>
      <w:pPr>
        <w:spacing w:after="0" w:line="5" w:lineRule="exact"/>
        <w:rPr>
          <w:sz w:val="20"/>
          <w:szCs w:val="20"/>
          <w:color w:val="auto"/>
        </w:rPr>
      </w:pPr>
    </w:p>
    <w:p>
      <w:pPr>
        <w:ind w:left="800" w:right="3679" w:firstLine="347"/>
        <w:spacing w:after="0" w:line="236" w:lineRule="auto"/>
        <w:tabs>
          <w:tab w:leader="none" w:pos="15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70"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restrictions imposed by applicable law,</w:t>
      </w:r>
    </w:p>
    <w:p>
      <w:pPr>
        <w:spacing w:after="0" w:line="5" w:lineRule="exact"/>
        <w:rPr>
          <w:sz w:val="20"/>
          <w:szCs w:val="20"/>
          <w:color w:val="auto"/>
        </w:rPr>
      </w:pPr>
    </w:p>
    <w:p>
      <w:pPr>
        <w:ind w:left="800" w:right="3939"/>
        <w:spacing w:after="0" w:line="258" w:lineRule="auto"/>
        <w:rPr>
          <w:sz w:val="20"/>
          <w:szCs w:val="20"/>
          <w:color w:val="auto"/>
        </w:rPr>
      </w:pPr>
      <w:r>
        <w:rPr>
          <w:rFonts w:ascii="Courier New" w:cs="Courier New" w:eastAsia="Courier New" w:hAnsi="Courier New"/>
          <w:sz w:val="14"/>
          <w:szCs w:val="14"/>
          <w:color w:val="auto"/>
        </w:rPr>
        <w:t>confer on a regular and frequent basis with one or more representatives of the Company to report operational matters of materiality and the general status of ongoing operations; and</w:t>
      </w:r>
    </w:p>
    <w:p>
      <w:pPr>
        <w:spacing w:after="0" w:line="161" w:lineRule="exact"/>
        <w:rPr>
          <w:sz w:val="20"/>
          <w:szCs w:val="20"/>
          <w:color w:val="auto"/>
        </w:rPr>
      </w:pPr>
    </w:p>
    <w:p>
      <w:pPr>
        <w:ind w:left="800" w:right="3399" w:firstLine="347"/>
        <w:spacing w:after="0" w:line="235" w:lineRule="auto"/>
        <w:tabs>
          <w:tab w:leader="none" w:pos="15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175"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75"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w:t>
      </w:r>
    </w:p>
    <w:p>
      <w:pPr>
        <w:spacing w:after="0" w:line="174" w:lineRule="exact"/>
        <w:rPr>
          <w:sz w:val="20"/>
          <w:szCs w:val="20"/>
          <w:color w:val="auto"/>
        </w:rPr>
      </w:pPr>
    </w:p>
    <w:p>
      <w:pPr>
        <w:ind w:right="3319" w:firstLine="797"/>
        <w:spacing w:after="0" w:line="237" w:lineRule="auto"/>
        <w:tabs>
          <w:tab w:leader="none" w:pos="113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 (a) above, (i) the Company may, in response to an unsolicited written proposal or indication of interest with respect to a potential or proposed Acquisition Transaction ("Acquisition Proposal"), furnish (subject to the execution of a confidentiality agreement and standstill agreement containing provisions substantially similar to the confidentiality and standstill provisions of the Confidentiality Agreements, as defined in Section 10.4)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constitute a breach of its fiduciary duty to the Company's stockholders and (ii) the Company's Board of Directors may take and disclose to the Company's stockholders a position contemplated by Rule 14e-2 under the Exchange Act. It is understood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A-29</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118</w:t>
      </w:r>
    </w:p>
    <w:p>
      <w:pPr>
        <w:spacing w:after="0" w:line="237" w:lineRule="auto"/>
        <w:rPr>
          <w:sz w:val="20"/>
          <w:szCs w:val="20"/>
          <w:color w:val="auto"/>
        </w:rPr>
      </w:pPr>
      <w:r>
        <w:rPr>
          <w:rFonts w:ascii="Courier New" w:cs="Courier New" w:eastAsia="Courier New" w:hAnsi="Courier New"/>
          <w:sz w:val="15"/>
          <w:szCs w:val="15"/>
          <w:color w:val="auto"/>
        </w:rPr>
        <w:t>and agreed that negotiations conducted in accordance with this paragraph (b)</w:t>
      </w:r>
    </w:p>
    <w:p>
      <w:pPr>
        <w:spacing w:after="0" w:line="238" w:lineRule="auto"/>
        <w:rPr>
          <w:sz w:val="20"/>
          <w:szCs w:val="20"/>
          <w:color w:val="auto"/>
        </w:rPr>
      </w:pPr>
      <w:r>
        <w:rPr>
          <w:rFonts w:ascii="Courier New" w:cs="Courier New" w:eastAsia="Courier New" w:hAnsi="Courier New"/>
          <w:sz w:val="15"/>
          <w:szCs w:val="15"/>
          <w:color w:val="auto"/>
        </w:rPr>
        <w:t>shall not constitute a violation of paragraph (a) of this Section 6.5.</w:t>
      </w:r>
    </w:p>
    <w:p>
      <w:pPr>
        <w:spacing w:after="0" w:line="173" w:lineRule="exact"/>
        <w:rPr>
          <w:sz w:val="20"/>
          <w:szCs w:val="20"/>
          <w:color w:val="auto"/>
        </w:rPr>
      </w:pPr>
    </w:p>
    <w:p>
      <w:pPr>
        <w:ind w:right="3319" w:firstLine="797"/>
        <w:spacing w:after="0" w:line="236" w:lineRule="auto"/>
        <w:tabs>
          <w:tab w:leader="none" w:pos="113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3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ADDITIONAL AGREEMENTS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346" w:lineRule="exact"/>
        <w:rPr>
          <w:sz w:val="20"/>
          <w:szCs w:val="20"/>
          <w:color w:val="auto"/>
        </w:rPr>
      </w:pPr>
    </w:p>
    <w:p>
      <w:pPr>
        <w:ind w:right="3319" w:firstLine="797"/>
        <w:spacing w:after="0" w:line="236" w:lineRule="auto"/>
        <w:tabs>
          <w:tab w:leader="none" w:pos="113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A-30</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119</w:t>
      </w:r>
    </w:p>
    <w:p>
      <w:pPr>
        <w:spacing w:after="0" w:line="5" w:lineRule="exact"/>
        <w:rPr>
          <w:sz w:val="20"/>
          <w:szCs w:val="20"/>
          <w:color w:val="auto"/>
        </w:rPr>
      </w:pPr>
    </w:p>
    <w:p>
      <w:pPr>
        <w:ind w:right="3319" w:firstLine="797"/>
        <w:spacing w:after="0" w:line="236" w:lineRule="auto"/>
        <w:tabs>
          <w:tab w:leader="none" w:pos="113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or results of operations of the Company and its subsidiaries or Parent and its subsidiaries, as the case may be, taken as a whole.</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not contain any untrue statement of a material fact or omit to state a material fact required to be stated therein or necessary to make the statements therein, in the light of the circumstances under which they were made, not misleading.</w:t>
      </w:r>
    </w:p>
    <w:p>
      <w:pPr>
        <w:spacing w:after="0" w:line="16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7.3. STOCKHOLDERS' APPROVALS. (a) 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173" w:lineRule="exact"/>
        <w:rPr>
          <w:sz w:val="20"/>
          <w:szCs w:val="20"/>
          <w:color w:val="auto"/>
        </w:rPr>
      </w:pPr>
    </w:p>
    <w:p>
      <w:pPr>
        <w:ind w:right="3319" w:firstLine="797"/>
        <w:spacing w:after="0" w:line="254" w:lineRule="auto"/>
        <w:tabs>
          <w:tab w:leader="none" w:pos="1137"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subject to the fiduciary duties of the members thereof,</w:t>
      </w:r>
    </w:p>
    <w:p>
      <w:pPr>
        <w:spacing w:after="0" w:line="3"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A-31</w:t>
      </w:r>
    </w:p>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120</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 or to be reserved for issuance upon exercise of stock options or warrants or the conversion of convertible securities.</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174" w:lineRule="exact"/>
        <w:rPr>
          <w:sz w:val="20"/>
          <w:szCs w:val="20"/>
          <w:color w:val="auto"/>
        </w:rPr>
      </w:pPr>
    </w:p>
    <w:p>
      <w:pPr>
        <w:ind w:left="1140" w:hanging="343"/>
        <w:spacing w:after="0"/>
        <w:tabs>
          <w:tab w:leader="none" w:pos="11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pay to Parent a fee equal to $39,000,000 if:</w:t>
      </w:r>
    </w:p>
    <w:p>
      <w:pPr>
        <w:spacing w:after="0" w:line="177" w:lineRule="exact"/>
        <w:rPr>
          <w:rFonts w:ascii="Courier New" w:cs="Courier New" w:eastAsia="Courier New" w:hAnsi="Courier New"/>
          <w:sz w:val="14"/>
          <w:szCs w:val="14"/>
          <w:color w:val="auto"/>
        </w:rPr>
      </w:pPr>
    </w:p>
    <w:p>
      <w:pPr>
        <w:ind w:left="800" w:right="3399" w:firstLine="347"/>
        <w:spacing w:after="0" w:line="234" w:lineRule="auto"/>
        <w:tabs>
          <w:tab w:leader="none" w:pos="150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terminates this Agreement pursuant to clause (iv) or (v) of Section 9.1(a); or</w:t>
      </w:r>
    </w:p>
    <w:p>
      <w:pPr>
        <w:spacing w:after="0" w:line="173" w:lineRule="exact"/>
        <w:rPr>
          <w:rFonts w:ascii="Courier New" w:cs="Courier New" w:eastAsia="Courier New" w:hAnsi="Courier New"/>
          <w:sz w:val="15"/>
          <w:szCs w:val="15"/>
          <w:color w:val="auto"/>
        </w:rPr>
      </w:pPr>
    </w:p>
    <w:p>
      <w:pPr>
        <w:ind w:left="800" w:right="3579" w:firstLine="347"/>
        <w:spacing w:after="0" w:line="234" w:lineRule="auto"/>
        <w:tabs>
          <w:tab w:leader="none" w:pos="1587"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terminates this Agreement pursuant to clause (v) of Section 9.1(b);</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provided, however, that if the provisions of paragraph 5 of the Confidentiality Agreement between Parent as Recipient and the Company as Protected Party have lapsed and are no longer in force and effect as a result of the proviso set forth in paragraph 5 of such Confidentiality Agreement and Parent has taken actions that would otherwise be prohibited by paragraph 5 of such Confidentiality Agreement prior to the time that Parent is entitled to receive the payment required by this Section 7.6(b), Parent shall not be entitled to receive such payment if such payment shall later become payable pursuant to the terms of this Section 7.6(b); and, provided, further, that if Parent has received the payment required by this Section 7.6(b), the proviso set forth in paragraph 5 of such Confidentiality Agreement shall no longer be effective.</w:t>
      </w:r>
    </w:p>
    <w:p>
      <w:pPr>
        <w:spacing w:after="0" w:line="165" w:lineRule="exact"/>
        <w:rPr>
          <w:sz w:val="20"/>
          <w:szCs w:val="20"/>
          <w:color w:val="auto"/>
        </w:rPr>
      </w:pPr>
    </w:p>
    <w:p>
      <w:pPr>
        <w:jc w:val="both"/>
        <w:ind w:right="3679" w:firstLine="797"/>
        <w:spacing w:after="0" w:line="235" w:lineRule="auto"/>
        <w:tabs>
          <w:tab w:leader="none" w:pos="113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to pay to the Company a fee equal to $39,000,000 if the Company terminates this Agreement pursuant to clause (vi) of Section 9.1(a).</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174" w:lineRule="exact"/>
        <w:rPr>
          <w:sz w:val="20"/>
          <w:szCs w:val="20"/>
          <w:color w:val="auto"/>
        </w:rPr>
      </w:pPr>
    </w:p>
    <w:p>
      <w:pPr>
        <w:ind w:right="3679" w:firstLine="797"/>
        <w:spacing w:after="0" w:line="235" w:lineRule="auto"/>
        <w:tabs>
          <w:tab w:leader="none" w:pos="113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of the foregoing, each of Parent and the Company undertakes and agrees to file as soon as practicable after the date hereof a Notification and Report Form under the HSR Act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A-32</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121</w:t>
      </w:r>
    </w:p>
    <w:p>
      <w:pPr>
        <w:spacing w:after="0" w:line="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Federal Trade Commission (the "FTC") and the Antitrust Division of the Department of Justice (the "Antitrust Division"). Each of Parent and the Company shall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written consent of the other parties hereto.</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 In the event any litigation is commenced by any person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entity relating to the transactions contemplated by this Agreement, including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Acquisition Transaction, Parent shall have the right, at its own expense,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participate therein, and the Company will not settle any such litigation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the consent of Parent, which consent will not be unreasonably withheld.</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7.9. OPTION PLANS. Prior to the Effective Time, the Company and Parent shall take such action as may be necessary to cause each unexpired and unexercised option to purchase shares of Company Common Stock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 Exchange Ratio and subject to the same terms and conditions as the Company Option. The date of grant of a substituted Parent Option shall be the date on which the corresponding Company Option was granted.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or file a new registration statement to cover the additional shares of Parent Common Stock subject to Parent Options granted in replacement of Company Options.</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A-33</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122</w:t>
      </w:r>
    </w:p>
    <w:p>
      <w:pPr>
        <w:spacing w:after="0" w:line="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7.11. DIRECTORS' AND OFFICERS' INDEMNIFICATION. (a) The indemnification provisions of the Certificate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unless such modification is required by law.</w:t>
      </w:r>
    </w:p>
    <w:p>
      <w:pPr>
        <w:spacing w:after="0" w:line="166" w:lineRule="exact"/>
        <w:rPr>
          <w:sz w:val="20"/>
          <w:szCs w:val="20"/>
          <w:color w:val="auto"/>
        </w:rPr>
      </w:pPr>
    </w:p>
    <w:p>
      <w:pPr>
        <w:ind w:right="3319" w:firstLine="797"/>
        <w:spacing w:after="0" w:line="254" w:lineRule="auto"/>
        <w:tabs>
          <w:tab w:leader="none" w:pos="113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 (ii) the Parent and the Surviving Corporation will cooperate and use all reasonable efforts to assist in the vigorous defense of any such matter, and (iii) 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 and, provided, further,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350" w:lineRule="exact"/>
        <w:rPr>
          <w:rFonts w:ascii="Courier New" w:cs="Courier New" w:eastAsia="Courier New" w:hAnsi="Courier New"/>
          <w:sz w:val="14"/>
          <w:szCs w:val="14"/>
          <w:color w:val="auto"/>
        </w:rPr>
      </w:pPr>
    </w:p>
    <w:p>
      <w:pPr>
        <w:ind w:right="3319" w:firstLine="797"/>
        <w:spacing w:after="0" w:line="236" w:lineRule="auto"/>
        <w:tabs>
          <w:tab w:leader="none" w:pos="113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177" w:lineRule="exact"/>
        <w:rPr>
          <w:rFonts w:ascii="Courier New" w:cs="Courier New" w:eastAsia="Courier New" w:hAnsi="Courier New"/>
          <w:sz w:val="15"/>
          <w:szCs w:val="15"/>
          <w:color w:val="auto"/>
        </w:rPr>
      </w:pPr>
    </w:p>
    <w:p>
      <w:pPr>
        <w:ind w:right="3499" w:firstLine="797"/>
        <w:spacing w:after="0" w:line="236" w:lineRule="auto"/>
        <w:tabs>
          <w:tab w:leader="none" w:pos="113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in any material respect to the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A-34</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123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Parties and which coverages and amounts shall be no less than the coverages and amounts provided at that time for Parent's directors and officers) with respect to matters rising before the Effective Time, provided that Parent shall not be required to pay an annual premium for such insurance in excess of two times the current annual premium paid by the Company for its existing coverage (the "Cap"); and provided, further, that if equivalent coverage cannot be obtained, or can be obtained only by paying an annual premium in excess of the Cap, Parent shall only be required to obtain as much coverage as can be obtained by paying an annual premium equal to the Cap.</w:t>
      </w:r>
    </w:p>
    <w:p>
      <w:pPr>
        <w:spacing w:after="0" w:line="178" w:lineRule="exact"/>
        <w:rPr>
          <w:sz w:val="20"/>
          <w:szCs w:val="20"/>
          <w:color w:val="auto"/>
        </w:rPr>
      </w:pPr>
    </w:p>
    <w:p>
      <w:pPr>
        <w:ind w:right="3579" w:firstLine="797"/>
        <w:spacing w:after="0" w:line="258" w:lineRule="auto"/>
        <w:tabs>
          <w:tab w:leader="none" w:pos="113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pay all reasonable expenses, including reasonable attorneys' fees, that may be incurred by any indemnified Person in enforcing the indemnity and other obligations provided in this Section 7.11.</w:t>
      </w:r>
    </w:p>
    <w:p>
      <w:pPr>
        <w:spacing w:after="0" w:line="161" w:lineRule="exact"/>
        <w:rPr>
          <w:rFonts w:ascii="Courier New" w:cs="Courier New" w:eastAsia="Courier New" w:hAnsi="Courier New"/>
          <w:sz w:val="14"/>
          <w:szCs w:val="14"/>
          <w:color w:val="auto"/>
        </w:rPr>
      </w:pPr>
    </w:p>
    <w:p>
      <w:pPr>
        <w:ind w:right="3399" w:firstLine="797"/>
        <w:spacing w:after="0" w:line="256" w:lineRule="auto"/>
        <w:tabs>
          <w:tab w:leader="none" w:pos="113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each indemnified Party hereunder shall be in addition to any other rights such indemnified Party may have under the charter or bylaws of the Company, under the DGCL or otherwise. The provisions of this Section 7.11 shall survive the consummation of the Merger and expressly are intended to benefit each of the indemnified Parties.</w:t>
      </w:r>
    </w:p>
    <w:p>
      <w:pPr>
        <w:spacing w:after="0" w:line="16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7.13. EFFECT ON ACCOUNTING TREATMENT. Each of the parties hereto agrees that, notwithstanding anything to the contrary contained in the Agreement, nothing contained in or contemplated by this Agreement shall require any of the parties hereto to take any action which would jeopardize the treatment of the Merger as a pooling of interests under APB No. 16.</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7.14. AMENDMENT OF CERTAIN ACQUISITION AGREEMENTS. The Company shall use its reasonable best efforts to amend the agreements listed on Schedule 5.2 of the Company Disclosure Schedule to eliminate the rights of the other parties to such agreements to receive Company Common Stock, such amendments to be on terms that are reasonably acceptable to Parent.</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VIII</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CONDITIONS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A-35</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124</w:t>
      </w:r>
    </w:p>
    <w:p>
      <w:pPr>
        <w:spacing w:after="0" w:line="5" w:lineRule="exact"/>
        <w:rPr>
          <w:sz w:val="20"/>
          <w:szCs w:val="20"/>
          <w:color w:val="auto"/>
        </w:rPr>
      </w:pPr>
    </w:p>
    <w:p>
      <w:pPr>
        <w:ind w:left="800" w:right="3399" w:firstLine="347"/>
        <w:spacing w:after="0" w:line="235" w:lineRule="auto"/>
        <w:tabs>
          <w:tab w:leader="none" w:pos="15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175" w:lineRule="exact"/>
        <w:rPr>
          <w:rFonts w:ascii="Courier New" w:cs="Courier New" w:eastAsia="Courier New" w:hAnsi="Courier New"/>
          <w:sz w:val="15"/>
          <w:szCs w:val="15"/>
          <w:color w:val="auto"/>
        </w:rPr>
      </w:pPr>
    </w:p>
    <w:p>
      <w:pPr>
        <w:ind w:left="800" w:right="3499" w:firstLine="347"/>
        <w:spacing w:after="0" w:line="256" w:lineRule="auto"/>
        <w:tabs>
          <w:tab w:leader="none" w:pos="15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Parent Common Stock issuable in the Merger and those to be reserved for issuance upon exercise of stock options or warrants or the conversion of convertible securities shall have been authorized for listing on the NYSE upon official notice of issuance;</w:t>
      </w:r>
    </w:p>
    <w:p>
      <w:pPr>
        <w:spacing w:after="0" w:line="164" w:lineRule="exact"/>
        <w:rPr>
          <w:rFonts w:ascii="Courier New" w:cs="Courier New" w:eastAsia="Courier New" w:hAnsi="Courier New"/>
          <w:sz w:val="14"/>
          <w:szCs w:val="14"/>
          <w:color w:val="auto"/>
        </w:rPr>
      </w:pPr>
    </w:p>
    <w:p>
      <w:pPr>
        <w:ind w:left="800" w:right="3839" w:firstLine="347"/>
        <w:spacing w:after="0" w:line="261" w:lineRule="auto"/>
        <w:tabs>
          <w:tab w:leader="none" w:pos="15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waiting period applicable to the consummation of the Merger under the HSR Act shall have expired or been terminated;</w:t>
      </w:r>
    </w:p>
    <w:p>
      <w:pPr>
        <w:spacing w:after="0" w:line="159" w:lineRule="exact"/>
        <w:rPr>
          <w:rFonts w:ascii="Courier New" w:cs="Courier New" w:eastAsia="Courier New" w:hAnsi="Courier New"/>
          <w:sz w:val="14"/>
          <w:szCs w:val="14"/>
          <w:color w:val="auto"/>
        </w:rPr>
      </w:pPr>
    </w:p>
    <w:p>
      <w:pPr>
        <w:ind w:left="800" w:right="3399" w:firstLine="347"/>
        <w:spacing w:after="0" w:line="236" w:lineRule="auto"/>
        <w:tabs>
          <w:tab w:leader="none" w:pos="15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73" w:lineRule="exact"/>
        <w:rPr>
          <w:rFonts w:ascii="Courier New" w:cs="Courier New" w:eastAsia="Courier New" w:hAnsi="Courier New"/>
          <w:sz w:val="15"/>
          <w:szCs w:val="15"/>
          <w:color w:val="auto"/>
        </w:rPr>
      </w:pPr>
    </w:p>
    <w:p>
      <w:pPr>
        <w:ind w:left="800" w:right="3399" w:firstLine="347"/>
        <w:spacing w:after="0" w:line="236" w:lineRule="auto"/>
        <w:tabs>
          <w:tab w:leader="none" w:pos="15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3" w:lineRule="exact"/>
        <w:rPr>
          <w:rFonts w:ascii="Courier New" w:cs="Courier New" w:eastAsia="Courier New" w:hAnsi="Courier New"/>
          <w:sz w:val="15"/>
          <w:szCs w:val="15"/>
          <w:color w:val="auto"/>
        </w:rPr>
      </w:pPr>
    </w:p>
    <w:p>
      <w:pPr>
        <w:ind w:left="800" w:right="3319" w:firstLine="347"/>
        <w:spacing w:after="0" w:line="236" w:lineRule="auto"/>
        <w:tabs>
          <w:tab w:leader="none" w:pos="15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73" w:lineRule="exact"/>
        <w:rPr>
          <w:rFonts w:ascii="Courier New" w:cs="Courier New" w:eastAsia="Courier New" w:hAnsi="Courier New"/>
          <w:sz w:val="15"/>
          <w:szCs w:val="15"/>
          <w:color w:val="auto"/>
        </w:rPr>
      </w:pPr>
    </w:p>
    <w:p>
      <w:pPr>
        <w:ind w:left="800" w:right="3319" w:firstLine="347"/>
        <w:spacing w:after="0" w:line="255" w:lineRule="auto"/>
        <w:tabs>
          <w:tab w:leader="none" w:pos="15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the failure to obtain the same would not be reasonably likely to have a material adverse effect on the business, operations, properties, assets, liabilities, condition (financial or other) or results of operations of the Company and its subsidiaries, taken as a whole, following the Effective Time;</w:t>
      </w:r>
    </w:p>
    <w:p>
      <w:pPr>
        <w:spacing w:after="0" w:line="165" w:lineRule="exact"/>
        <w:rPr>
          <w:rFonts w:ascii="Courier New" w:cs="Courier New" w:eastAsia="Courier New" w:hAnsi="Courier New"/>
          <w:sz w:val="14"/>
          <w:szCs w:val="14"/>
          <w:color w:val="auto"/>
        </w:rPr>
      </w:pPr>
    </w:p>
    <w:p>
      <w:pPr>
        <w:ind w:left="800" w:right="3399" w:firstLine="347"/>
        <w:spacing w:after="0" w:line="236" w:lineRule="auto"/>
        <w:tabs>
          <w:tab w:leader="none" w:pos="15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Coopers &amp; Lybrand L.L.P.,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74" w:lineRule="exact"/>
        <w:rPr>
          <w:rFonts w:ascii="Courier New" w:cs="Courier New" w:eastAsia="Courier New" w:hAnsi="Courier New"/>
          <w:sz w:val="15"/>
          <w:szCs w:val="15"/>
          <w:color w:val="auto"/>
        </w:rPr>
      </w:pPr>
    </w:p>
    <w:p>
      <w:pPr>
        <w:ind w:left="800" w:right="3399" w:firstLine="347"/>
        <w:spacing w:after="0" w:line="236" w:lineRule="auto"/>
        <w:tabs>
          <w:tab w:leader="none" w:pos="15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Arthur Andersen LLP, certified public accountants for the Company, shall have delivered a memorandum dated the Closing Date, addressed to the Company, in form and substance reasonably satisfactory to the Company, stating that the Merger will qualify for a pooling of interests accounting treatment if consummated in accordance with this Agreement.</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A-36</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125</w:t>
      </w:r>
    </w:p>
    <w:p>
      <w:pPr>
        <w:spacing w:after="0" w:line="5" w:lineRule="exact"/>
        <w:rPr>
          <w:sz w:val="20"/>
          <w:szCs w:val="20"/>
          <w:color w:val="auto"/>
        </w:rPr>
      </w:pPr>
    </w:p>
    <w:p>
      <w:pPr>
        <w:ind w:left="800" w:right="3319" w:firstLine="347"/>
        <w:spacing w:after="0" w:line="237" w:lineRule="auto"/>
        <w:tabs>
          <w:tab w:leader="none" w:pos="15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(except to the extent that such representations and warranties speak as of an earlier date)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173" w:lineRule="exact"/>
        <w:rPr>
          <w:rFonts w:ascii="Courier New" w:cs="Courier New" w:eastAsia="Courier New" w:hAnsi="Courier New"/>
          <w:sz w:val="15"/>
          <w:szCs w:val="15"/>
          <w:color w:val="auto"/>
        </w:rPr>
      </w:pPr>
    </w:p>
    <w:p>
      <w:pPr>
        <w:ind w:left="800" w:right="3319" w:firstLine="347"/>
        <w:spacing w:after="0" w:line="255" w:lineRule="auto"/>
        <w:tabs>
          <w:tab w:leader="none" w:pos="15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received an opinion of Baker &amp; Botts, L.L.P.,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166" w:lineRule="exact"/>
        <w:rPr>
          <w:rFonts w:ascii="Courier New" w:cs="Courier New" w:eastAsia="Courier New" w:hAnsi="Courier New"/>
          <w:sz w:val="14"/>
          <w:szCs w:val="14"/>
          <w:color w:val="auto"/>
        </w:rPr>
      </w:pPr>
    </w:p>
    <w:p>
      <w:pPr>
        <w:ind w:left="800" w:right="3319" w:firstLine="347"/>
        <w:spacing w:after="0" w:line="236" w:lineRule="auto"/>
        <w:tabs>
          <w:tab w:leader="none" w:pos="15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Parent and its subsidiaries, taken as a whole, except for changes that affect the industries in which Parent and its subsidiaries operate generally; and</w:t>
      </w:r>
    </w:p>
    <w:p>
      <w:pPr>
        <w:spacing w:after="0" w:line="177" w:lineRule="exact"/>
        <w:rPr>
          <w:rFonts w:ascii="Courier New" w:cs="Courier New" w:eastAsia="Courier New" w:hAnsi="Courier New"/>
          <w:sz w:val="15"/>
          <w:szCs w:val="15"/>
          <w:color w:val="auto"/>
        </w:rPr>
      </w:pPr>
    </w:p>
    <w:p>
      <w:pPr>
        <w:ind w:left="800" w:right="3319" w:firstLine="347"/>
        <w:spacing w:after="0" w:line="237" w:lineRule="auto"/>
        <w:tabs>
          <w:tab w:leader="none" w:pos="15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Parent and its subsidiaries, taken as a whole, following the Effective Time, and no governmental authority shall have promulgated after the date hereof any statute, rule or regulation which, when taken together with all such promulgations, would materially impair the value to Parent of the Merger.</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64" w:lineRule="exact"/>
        <w:rPr>
          <w:sz w:val="20"/>
          <w:szCs w:val="20"/>
          <w:color w:val="auto"/>
        </w:rPr>
      </w:pPr>
    </w:p>
    <w:p>
      <w:pPr>
        <w:ind w:left="800" w:right="3319" w:firstLine="347"/>
        <w:spacing w:after="0" w:line="255" w:lineRule="auto"/>
        <w:tabs>
          <w:tab w:leader="none" w:pos="15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65" w:lineRule="exact"/>
        <w:rPr>
          <w:rFonts w:ascii="Courier New" w:cs="Courier New" w:eastAsia="Courier New" w:hAnsi="Courier New"/>
          <w:sz w:val="14"/>
          <w:szCs w:val="14"/>
          <w:color w:val="auto"/>
        </w:rPr>
      </w:pPr>
    </w:p>
    <w:p>
      <w:pPr>
        <w:ind w:left="800" w:right="3319" w:firstLine="347"/>
        <w:spacing w:after="0" w:line="236" w:lineRule="auto"/>
        <w:tabs>
          <w:tab w:leader="none" w:pos="15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A-37</w:t>
      </w:r>
    </w:p>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126</w:t>
      </w:r>
    </w:p>
    <w:p>
      <w:pPr>
        <w:spacing w:after="0" w:line="5" w:lineRule="exact"/>
        <w:rPr>
          <w:sz w:val="20"/>
          <w:szCs w:val="20"/>
          <w:color w:val="auto"/>
        </w:rPr>
      </w:pPr>
    </w:p>
    <w:p>
      <w:pPr>
        <w:ind w:left="800" w:right="3579" w:firstLine="347"/>
        <w:spacing w:after="0" w:line="235" w:lineRule="auto"/>
        <w:tabs>
          <w:tab w:leader="none" w:pos="15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Affiliate Agreements required to be delivered to Parent pursuant to Section 7.4 shall have been furnished as required by Section 7.4;</w:t>
      </w:r>
    </w:p>
    <w:p>
      <w:pPr>
        <w:spacing w:after="0" w:line="173" w:lineRule="exact"/>
        <w:rPr>
          <w:rFonts w:ascii="Courier New" w:cs="Courier New" w:eastAsia="Courier New" w:hAnsi="Courier New"/>
          <w:sz w:val="15"/>
          <w:szCs w:val="15"/>
          <w:color w:val="auto"/>
        </w:rPr>
      </w:pPr>
    </w:p>
    <w:p>
      <w:pPr>
        <w:ind w:left="800" w:right="3319" w:firstLine="347"/>
        <w:spacing w:after="0" w:line="236" w:lineRule="auto"/>
        <w:tabs>
          <w:tab w:leader="none" w:pos="15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the Company and its subsidiaries, taken as a whole, except for changes that affect the industries in which the Company and its subsidiaries operate generally; and</w:t>
      </w:r>
    </w:p>
    <w:p>
      <w:pPr>
        <w:spacing w:after="0" w:line="177" w:lineRule="exact"/>
        <w:rPr>
          <w:rFonts w:ascii="Courier New" w:cs="Courier New" w:eastAsia="Courier New" w:hAnsi="Courier New"/>
          <w:sz w:val="15"/>
          <w:szCs w:val="15"/>
          <w:color w:val="auto"/>
        </w:rPr>
      </w:pPr>
    </w:p>
    <w:p>
      <w:pPr>
        <w:ind w:left="800" w:right="3319" w:firstLine="347"/>
        <w:spacing w:after="0" w:line="255" w:lineRule="auto"/>
        <w:tabs>
          <w:tab w:leader="none" w:pos="15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governmental waivers, consents, orders and approvals legally required for the consummation of the Merger and the transactions contemplated hereby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the Company and its subsidiaries, taken as a whole, following the Effective Time, and no governmental authority shall have promulgated after the date hereof any statute, rule or regulation which, when taken together with all such promulgations, would materially impair the value to Parent of the Merger.</w:t>
      </w:r>
    </w:p>
    <w:p>
      <w:pPr>
        <w:spacing w:after="0" w:line="32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IX</w:t>
      </w:r>
    </w:p>
    <w:p>
      <w:pPr>
        <w:jc w:val="center"/>
        <w:ind w:right="3319"/>
        <w:spacing w:after="0" w:line="237" w:lineRule="auto"/>
        <w:rPr>
          <w:sz w:val="20"/>
          <w:szCs w:val="20"/>
          <w:color w:val="auto"/>
        </w:rPr>
      </w:pPr>
      <w:r>
        <w:rPr>
          <w:rFonts w:ascii="Courier New" w:cs="Courier New" w:eastAsia="Courier New" w:hAnsi="Courier New"/>
          <w:sz w:val="15"/>
          <w:szCs w:val="15"/>
          <w:color w:val="auto"/>
        </w:rPr>
        <w:t>TERMINATION, AMENDMENT AND WAIVER</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175" w:lineRule="exact"/>
        <w:rPr>
          <w:sz w:val="20"/>
          <w:szCs w:val="20"/>
          <w:color w:val="auto"/>
        </w:rPr>
      </w:pPr>
    </w:p>
    <w:p>
      <w:pPr>
        <w:ind w:left="1500" w:hanging="353"/>
        <w:spacing w:after="0"/>
        <w:tabs>
          <w:tab w:leader="none" w:pos="150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terminate this Agreement:</w:t>
      </w:r>
    </w:p>
    <w:p>
      <w:pPr>
        <w:spacing w:after="0" w:line="177" w:lineRule="exact"/>
        <w:rPr>
          <w:rFonts w:ascii="Courier New" w:cs="Courier New" w:eastAsia="Courier New" w:hAnsi="Courier New"/>
          <w:sz w:val="14"/>
          <w:szCs w:val="14"/>
          <w:color w:val="auto"/>
        </w:rPr>
      </w:pPr>
    </w:p>
    <w:p>
      <w:pPr>
        <w:ind w:left="1140" w:right="3399" w:firstLine="357"/>
        <w:spacing w:after="0" w:line="236" w:lineRule="auto"/>
        <w:tabs>
          <w:tab w:leader="none" w:pos="2015"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representations and warranties of Parent and Subsidiary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Parent by the Company;</w:t>
      </w:r>
    </w:p>
    <w:p>
      <w:pPr>
        <w:spacing w:after="0" w:line="177" w:lineRule="exact"/>
        <w:rPr>
          <w:rFonts w:ascii="Courier New" w:cs="Courier New" w:eastAsia="Courier New" w:hAnsi="Courier New"/>
          <w:sz w:val="15"/>
          <w:szCs w:val="15"/>
          <w:color w:val="auto"/>
        </w:rPr>
      </w:pPr>
    </w:p>
    <w:p>
      <w:pPr>
        <w:ind w:left="1140" w:right="3679" w:firstLine="357"/>
        <w:spacing w:after="0" w:line="261" w:lineRule="auto"/>
        <w:tabs>
          <w:tab w:leader="none" w:pos="201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is not completed by December 31, 1996 (unless due to a delay or default on the part of the Company);</w:t>
      </w:r>
    </w:p>
    <w:p>
      <w:pPr>
        <w:spacing w:after="0" w:line="159" w:lineRule="exact"/>
        <w:rPr>
          <w:rFonts w:ascii="Courier New" w:cs="Courier New" w:eastAsia="Courier New" w:hAnsi="Courier New"/>
          <w:sz w:val="14"/>
          <w:szCs w:val="14"/>
          <w:color w:val="auto"/>
        </w:rPr>
      </w:pPr>
    </w:p>
    <w:p>
      <w:pPr>
        <w:ind w:left="1140" w:right="3399" w:firstLine="357"/>
        <w:spacing w:after="0" w:line="235" w:lineRule="auto"/>
        <w:tabs>
          <w:tab w:leader="none" w:pos="2015"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at the request or with the support of the Company and if the Company shall have used reasonable efforts to prevent the entry of such order;</w:t>
      </w:r>
    </w:p>
    <w:p>
      <w:pPr>
        <w:spacing w:after="0" w:line="175" w:lineRule="exact"/>
        <w:rPr>
          <w:rFonts w:ascii="Courier New" w:cs="Courier New" w:eastAsia="Courier New" w:hAnsi="Courier New"/>
          <w:sz w:val="15"/>
          <w:szCs w:val="15"/>
          <w:color w:val="auto"/>
        </w:rPr>
      </w:pPr>
    </w:p>
    <w:p>
      <w:pPr>
        <w:ind w:left="1140" w:right="3399" w:firstLine="357"/>
        <w:spacing w:after="0" w:line="236" w:lineRule="auto"/>
        <w:tabs>
          <w:tab w:leader="none" w:pos="2015"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the Company receives an offer or proposal from any Potential Acquirer (excluding any affiliate of the Company or any group of which any affiliate of the Company is a member) with respect to a merger, sale of substantial assets or other business combination involving the Company, (B) the Company's Board of Directors determines, in good faith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A-38</w:t>
      </w:r>
    </w:p>
    <w:p>
      <w:pPr>
        <w:sectPr>
          <w:pgSz w:w="11900" w:h="16838" w:orient="portrait"/>
          <w:cols w:equalWidth="0" w:num="1">
            <w:col w:w="10239"/>
          </w:cols>
          <w:pgMar w:left="220" w:top="281"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127</w:t>
      </w:r>
    </w:p>
    <w:p>
      <w:pPr>
        <w:spacing w:after="0" w:line="5" w:lineRule="exact"/>
        <w:rPr>
          <w:sz w:val="20"/>
          <w:szCs w:val="20"/>
          <w:color w:val="auto"/>
        </w:rPr>
      </w:pPr>
    </w:p>
    <w:p>
      <w:pPr>
        <w:ind w:left="860" w:right="3319"/>
        <w:spacing w:after="0" w:line="255" w:lineRule="auto"/>
        <w:rPr>
          <w:sz w:val="20"/>
          <w:szCs w:val="20"/>
          <w:color w:val="auto"/>
        </w:rPr>
      </w:pPr>
      <w:r>
        <w:rPr>
          <w:rFonts w:ascii="Courier New" w:cs="Courier New" w:eastAsia="Courier New" w:hAnsi="Courier New"/>
          <w:sz w:val="14"/>
          <w:szCs w:val="14"/>
          <w:color w:val="auto"/>
        </w:rPr>
        <w:t>after consultation with an independent financial advisor, that such offer or proposal (if consummated pursuant to its terms) would result in an Acquisition Transaction more favorable to the Company's stockholders than the Merger (any such offer or proposal being referred to as a "Superior Proposal") and resolves to accept such Superior Proposal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165" w:lineRule="exact"/>
        <w:rPr>
          <w:sz w:val="20"/>
          <w:szCs w:val="20"/>
          <w:color w:val="auto"/>
        </w:rPr>
      </w:pPr>
    </w:p>
    <w:p>
      <w:pPr>
        <w:ind w:left="860" w:right="3399" w:firstLine="357"/>
        <w:spacing w:after="0" w:line="237" w:lineRule="auto"/>
        <w:tabs>
          <w:tab w:leader="none" w:pos="1735"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 tender or exchange offer is commenced by a Potential Acquirer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173" w:lineRule="exact"/>
        <w:rPr>
          <w:rFonts w:ascii="Courier New" w:cs="Courier New" w:eastAsia="Courier New" w:hAnsi="Courier New"/>
          <w:sz w:val="15"/>
          <w:szCs w:val="15"/>
          <w:color w:val="auto"/>
        </w:rPr>
      </w:pPr>
    </w:p>
    <w:p>
      <w:pPr>
        <w:jc w:val="both"/>
        <w:ind w:left="860" w:right="3499" w:firstLine="357"/>
        <w:spacing w:after="0" w:line="256" w:lineRule="auto"/>
        <w:tabs>
          <w:tab w:leader="none" w:pos="1735"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Parent (A) fails to perform in any material respect any of its material covenants in this Agreement and (B) does not cure such default in all material respects within 30 days after notice of such default is given to Parent by the Company; or</w:t>
      </w:r>
    </w:p>
    <w:p>
      <w:pPr>
        <w:spacing w:after="0" w:line="164" w:lineRule="exact"/>
        <w:rPr>
          <w:rFonts w:ascii="Courier New" w:cs="Courier New" w:eastAsia="Courier New" w:hAnsi="Courier New"/>
          <w:sz w:val="14"/>
          <w:szCs w:val="14"/>
          <w:color w:val="auto"/>
        </w:rPr>
      </w:pPr>
    </w:p>
    <w:p>
      <w:pPr>
        <w:ind w:left="860" w:right="3759" w:firstLine="357"/>
        <w:spacing w:after="0" w:line="235" w:lineRule="auto"/>
        <w:tabs>
          <w:tab w:leader="none" w:pos="1735"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stockholders of Parent fail to approve the Merger at a duly held meeting of stockholders called for such purpose or any adjournment thereof.</w:t>
      </w:r>
    </w:p>
    <w:p>
      <w:pPr>
        <w:spacing w:after="0" w:line="167" w:lineRule="exact"/>
        <w:rPr>
          <w:rFonts w:ascii="Courier New" w:cs="Courier New" w:eastAsia="Courier New" w:hAnsi="Courier New"/>
          <w:sz w:val="15"/>
          <w:szCs w:val="15"/>
          <w:color w:val="auto"/>
        </w:rPr>
      </w:pPr>
    </w:p>
    <w:p>
      <w:pPr>
        <w:ind w:left="1220" w:hanging="353"/>
        <w:spacing w:after="0"/>
        <w:tabs>
          <w:tab w:leader="none" w:pos="12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the right to terminate this Agreement:</w:t>
      </w:r>
    </w:p>
    <w:p>
      <w:pPr>
        <w:spacing w:after="0" w:line="172" w:lineRule="exact"/>
        <w:rPr>
          <w:rFonts w:ascii="Courier New" w:cs="Courier New" w:eastAsia="Courier New" w:hAnsi="Courier New"/>
          <w:sz w:val="15"/>
          <w:szCs w:val="15"/>
          <w:color w:val="auto"/>
        </w:rPr>
      </w:pPr>
    </w:p>
    <w:p>
      <w:pPr>
        <w:ind w:left="860" w:right="3319" w:firstLine="357"/>
        <w:spacing w:after="0" w:line="236" w:lineRule="auto"/>
        <w:tabs>
          <w:tab w:leader="none" w:pos="1735"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representations and warranties of the Company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the Company by Parent;</w:t>
      </w:r>
    </w:p>
    <w:p>
      <w:pPr>
        <w:spacing w:after="0" w:line="177" w:lineRule="exact"/>
        <w:rPr>
          <w:rFonts w:ascii="Courier New" w:cs="Courier New" w:eastAsia="Courier New" w:hAnsi="Courier New"/>
          <w:sz w:val="15"/>
          <w:szCs w:val="15"/>
          <w:color w:val="auto"/>
        </w:rPr>
      </w:pPr>
    </w:p>
    <w:p>
      <w:pPr>
        <w:ind w:left="860" w:right="3759" w:firstLine="357"/>
        <w:spacing w:after="0" w:line="261" w:lineRule="auto"/>
        <w:tabs>
          <w:tab w:leader="none" w:pos="1735"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is not completed by December 31, 1996 (unless due to a delay or default on the part of Parent);</w:t>
      </w:r>
    </w:p>
    <w:p>
      <w:pPr>
        <w:spacing w:after="0" w:line="159" w:lineRule="exact"/>
        <w:rPr>
          <w:rFonts w:ascii="Courier New" w:cs="Courier New" w:eastAsia="Courier New" w:hAnsi="Courier New"/>
          <w:sz w:val="14"/>
          <w:szCs w:val="14"/>
          <w:color w:val="auto"/>
        </w:rPr>
      </w:pPr>
    </w:p>
    <w:p>
      <w:pPr>
        <w:jc w:val="both"/>
        <w:ind w:left="860" w:right="3319" w:firstLine="357"/>
        <w:spacing w:after="0" w:line="235" w:lineRule="auto"/>
        <w:tabs>
          <w:tab w:leader="none" w:pos="1735"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at the request or with the support of Parent and if Parent shall have used reasonable efforts to prevent the entry of such order;</w:t>
      </w:r>
    </w:p>
    <w:p>
      <w:pPr>
        <w:spacing w:after="0" w:line="175" w:lineRule="exact"/>
        <w:rPr>
          <w:rFonts w:ascii="Courier New" w:cs="Courier New" w:eastAsia="Courier New" w:hAnsi="Courier New"/>
          <w:sz w:val="15"/>
          <w:szCs w:val="15"/>
          <w:color w:val="auto"/>
        </w:rPr>
      </w:pPr>
    </w:p>
    <w:p>
      <w:pPr>
        <w:ind w:left="860" w:right="3499" w:firstLine="357"/>
        <w:spacing w:after="0" w:line="236" w:lineRule="auto"/>
        <w:tabs>
          <w:tab w:leader="none" w:pos="1735"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Page A-39</w:t>
      </w:r>
    </w:p>
    <w:p>
      <w:pPr>
        <w:sectPr>
          <w:pgSz w:w="11900" w:h="16838" w:orient="portrait"/>
          <w:cols w:equalWidth="0" w:num="1">
            <w:col w:w="9959"/>
          </w:cols>
          <w:pgMar w:left="50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128</w:t>
      </w:r>
    </w:p>
    <w:p>
      <w:pPr>
        <w:spacing w:after="0" w:line="5" w:lineRule="exact"/>
        <w:rPr>
          <w:sz w:val="20"/>
          <w:szCs w:val="20"/>
          <w:color w:val="auto"/>
        </w:rPr>
      </w:pPr>
    </w:p>
    <w:p>
      <w:pPr>
        <w:ind w:left="1140" w:right="3319" w:firstLine="357"/>
        <w:spacing w:after="0" w:line="256" w:lineRule="auto"/>
        <w:tabs>
          <w:tab w:leader="none" w:pos="201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(A) fails to perform in any material respect any of its material covenants in this Agreement and (B) does not cure such default in all material respects within 30 days after notice of such default is given to the Company by Parent; or</w:t>
      </w:r>
    </w:p>
    <w:p>
      <w:pPr>
        <w:spacing w:after="0" w:line="164" w:lineRule="exact"/>
        <w:rPr>
          <w:rFonts w:ascii="Courier New" w:cs="Courier New" w:eastAsia="Courier New" w:hAnsi="Courier New"/>
          <w:sz w:val="14"/>
          <w:szCs w:val="14"/>
          <w:color w:val="auto"/>
        </w:rPr>
      </w:pPr>
    </w:p>
    <w:p>
      <w:pPr>
        <w:ind w:left="1140" w:right="3499" w:firstLine="357"/>
        <w:spacing w:after="0" w:line="235" w:lineRule="auto"/>
        <w:tabs>
          <w:tab w:leader="none" w:pos="201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stockholders of the Company fail to approve the Merger at a duly held meeting of stockholders called for such purpose or any adjournment thereof.</w:t>
      </w:r>
    </w:p>
    <w:p>
      <w:pPr>
        <w:spacing w:after="0" w:line="174" w:lineRule="exact"/>
        <w:rPr>
          <w:sz w:val="20"/>
          <w:szCs w:val="20"/>
          <w:color w:val="auto"/>
        </w:rPr>
      </w:pPr>
    </w:p>
    <w:p>
      <w:pPr>
        <w:ind w:left="800" w:right="3499" w:firstLine="347"/>
        <w:spacing w:after="0" w:line="235" w:lineRule="auto"/>
        <w:tabs>
          <w:tab w:leader="none" w:pos="15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9.2. EFFECT OF TERMINATION. In the event of termination of this Agreement by either Parent or the Company pursuant to the provisions of Section 9.1, this Agreement shall forthwith become void and there shall be no further obligation on the part of the Company, Parent, Subsidiary or their respective officers or directors (except as set forth in this Section 9.2, in the second sentence of Section 7.1(a) and in Sections 7.1(b) and 7.6, all of which shall survive the termination). Nothing in this Section 9.2 shall relieve any party from liability for any willful or intentional breach of this Agreement.</w:t>
      </w:r>
    </w:p>
    <w:p>
      <w:pPr>
        <w:spacing w:after="0" w:line="178"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 place at any time prior to the Closing Date, whether before or after approval by the stockholders of the Company, Parent or Subsidiary.</w:t>
      </w:r>
    </w:p>
    <w:p>
      <w:pPr>
        <w:spacing w:after="0" w:line="16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w:t>
      </w:r>
    </w:p>
    <w:p>
      <w:pPr>
        <w:ind w:left="2720"/>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the last sentence of Section 7.9, and Section 7.11.</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A-40</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129</w:t>
      </w:r>
    </w:p>
    <w:p>
      <w:pPr>
        <w:ind w:left="2380" w:hanging="883"/>
        <w:spacing w:after="0" w:line="237" w:lineRule="auto"/>
        <w:tabs>
          <w:tab w:leader="none" w:pos="23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Parent or Subsidiary to:</w:t>
      </w:r>
    </w:p>
    <w:p>
      <w:pPr>
        <w:spacing w:after="0" w:line="166"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w:t>
      </w:r>
    </w:p>
    <w:p>
      <w:pPr>
        <w:spacing w:after="0" w:line="4" w:lineRule="exact"/>
        <w:rPr>
          <w:rFonts w:ascii="Courier New" w:cs="Courier New" w:eastAsia="Courier New" w:hAnsi="Courier New"/>
          <w:sz w:val="15"/>
          <w:szCs w:val="15"/>
          <w:color w:val="auto"/>
        </w:rPr>
      </w:pPr>
    </w:p>
    <w:p>
      <w:pPr>
        <w:ind w:left="2380" w:right="60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5400 LBJ Freeway Suite 300 - Tower One Dallas, Texas 75240</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Chief Executive Officer</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Telecopy: 214-383-7919</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Gregory T. Sangalis</w:t>
      </w:r>
    </w:p>
    <w:p>
      <w:pPr>
        <w:ind w:left="2380"/>
        <w:spacing w:after="0" w:line="237" w:lineRule="auto"/>
        <w:rPr>
          <w:sz w:val="20"/>
          <w:szCs w:val="20"/>
          <w:color w:val="auto"/>
        </w:rPr>
      </w:pPr>
      <w:r>
        <w:rPr>
          <w:rFonts w:ascii="Courier New" w:cs="Courier New" w:eastAsia="Courier New" w:hAnsi="Courier New"/>
          <w:sz w:val="15"/>
          <w:szCs w:val="15"/>
          <w:color w:val="auto"/>
        </w:rPr>
        <w:t>5400 LBJ Freeway</w:t>
      </w:r>
    </w:p>
    <w:p>
      <w:pPr>
        <w:ind w:left="2380"/>
        <w:spacing w:after="0" w:line="238" w:lineRule="auto"/>
        <w:rPr>
          <w:sz w:val="20"/>
          <w:szCs w:val="20"/>
          <w:color w:val="auto"/>
        </w:rPr>
      </w:pPr>
      <w:r>
        <w:rPr>
          <w:rFonts w:ascii="Courier New" w:cs="Courier New" w:eastAsia="Courier New" w:hAnsi="Courier New"/>
          <w:sz w:val="15"/>
          <w:szCs w:val="15"/>
          <w:color w:val="auto"/>
        </w:rPr>
        <w:t>Suite 300 - Tower One</w:t>
      </w:r>
    </w:p>
    <w:p>
      <w:pPr>
        <w:ind w:left="2380"/>
        <w:spacing w:after="0" w:line="237" w:lineRule="auto"/>
        <w:rPr>
          <w:sz w:val="20"/>
          <w:szCs w:val="20"/>
          <w:color w:val="auto"/>
        </w:rPr>
      </w:pPr>
      <w:r>
        <w:rPr>
          <w:rFonts w:ascii="Courier New" w:cs="Courier New" w:eastAsia="Courier New" w:hAnsi="Courier New"/>
          <w:sz w:val="15"/>
          <w:szCs w:val="15"/>
          <w:color w:val="auto"/>
        </w:rPr>
        <w:t>Dallas, Texas 75240</w:t>
      </w:r>
    </w:p>
    <w:p>
      <w:pPr>
        <w:ind w:left="2380"/>
        <w:spacing w:after="0" w:line="238" w:lineRule="auto"/>
        <w:rPr>
          <w:sz w:val="20"/>
          <w:szCs w:val="20"/>
          <w:color w:val="auto"/>
        </w:rPr>
      </w:pPr>
      <w:r>
        <w:rPr>
          <w:rFonts w:ascii="Courier New" w:cs="Courier New" w:eastAsia="Courier New" w:hAnsi="Courier New"/>
          <w:sz w:val="15"/>
          <w:szCs w:val="15"/>
          <w:color w:val="auto"/>
        </w:rPr>
        <w:t>Telecopy: 214-383-7919</w:t>
      </w:r>
    </w:p>
    <w:p>
      <w:pPr>
        <w:spacing w:after="0" w:line="167" w:lineRule="exact"/>
        <w:rPr>
          <w:sz w:val="20"/>
          <w:szCs w:val="20"/>
          <w:color w:val="auto"/>
        </w:rPr>
      </w:pPr>
    </w:p>
    <w:p>
      <w:pPr>
        <w:ind w:left="2380" w:hanging="883"/>
        <w:spacing w:after="0"/>
        <w:tabs>
          <w:tab w:leader="none" w:pos="23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72" w:lineRule="exact"/>
        <w:rPr>
          <w:rFonts w:ascii="Courier New" w:cs="Courier New" w:eastAsia="Courier New" w:hAnsi="Courier New"/>
          <w:sz w:val="15"/>
          <w:szCs w:val="15"/>
          <w:color w:val="auto"/>
        </w:rPr>
      </w:pPr>
    </w:p>
    <w:p>
      <w:pPr>
        <w:ind w:left="2380" w:right="66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Sanifill, Inc. Suite 700</w:t>
      </w:r>
    </w:p>
    <w:p>
      <w:pPr>
        <w:ind w:left="2380" w:right="61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2777 Allen Parkway Houston, Texas 77019</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Chief Executive Officer</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Telecopy: 713-942-6277</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Steve Walton</w:t>
      </w:r>
    </w:p>
    <w:p>
      <w:pPr>
        <w:ind w:left="2380"/>
        <w:spacing w:after="0" w:line="237" w:lineRule="auto"/>
        <w:rPr>
          <w:sz w:val="20"/>
          <w:szCs w:val="20"/>
          <w:color w:val="auto"/>
        </w:rPr>
      </w:pPr>
      <w:r>
        <w:rPr>
          <w:rFonts w:ascii="Courier New" w:cs="Courier New" w:eastAsia="Courier New" w:hAnsi="Courier New"/>
          <w:sz w:val="15"/>
          <w:szCs w:val="15"/>
          <w:color w:val="auto"/>
        </w:rPr>
        <w:t>Suite 700</w:t>
      </w:r>
    </w:p>
    <w:p>
      <w:pPr>
        <w:ind w:left="2380"/>
        <w:spacing w:after="0" w:line="238" w:lineRule="auto"/>
        <w:rPr>
          <w:sz w:val="20"/>
          <w:szCs w:val="20"/>
          <w:color w:val="auto"/>
        </w:rPr>
      </w:pPr>
      <w:r>
        <w:rPr>
          <w:rFonts w:ascii="Courier New" w:cs="Courier New" w:eastAsia="Courier New" w:hAnsi="Courier New"/>
          <w:sz w:val="15"/>
          <w:szCs w:val="15"/>
          <w:color w:val="auto"/>
        </w:rPr>
        <w:t>2777 Allen Parkway</w:t>
      </w:r>
    </w:p>
    <w:p>
      <w:pPr>
        <w:ind w:left="2380"/>
        <w:spacing w:after="0" w:line="237" w:lineRule="auto"/>
        <w:rPr>
          <w:sz w:val="20"/>
          <w:szCs w:val="20"/>
          <w:color w:val="auto"/>
        </w:rPr>
      </w:pPr>
      <w:r>
        <w:rPr>
          <w:rFonts w:ascii="Courier New" w:cs="Courier New" w:eastAsia="Courier New" w:hAnsi="Courier New"/>
          <w:sz w:val="15"/>
          <w:szCs w:val="15"/>
          <w:color w:val="auto"/>
        </w:rPr>
        <w:t>Houston, Texas 77019</w:t>
      </w:r>
    </w:p>
    <w:p>
      <w:pPr>
        <w:ind w:left="2380"/>
        <w:spacing w:after="0" w:line="238" w:lineRule="auto"/>
        <w:rPr>
          <w:sz w:val="20"/>
          <w:szCs w:val="20"/>
          <w:color w:val="auto"/>
        </w:rPr>
      </w:pPr>
      <w:r>
        <w:rPr>
          <w:rFonts w:ascii="Courier New" w:cs="Courier New" w:eastAsia="Courier New" w:hAnsi="Courier New"/>
          <w:sz w:val="15"/>
          <w:szCs w:val="15"/>
          <w:color w:val="auto"/>
        </w:rPr>
        <w:t>Telecopy: 713-942-6277</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16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(provided, that the provisions of those two certain agreements dated June 17, 1996 by and between the Company and Parent concerning confidentiality and related matters (the "Confidentiality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A-41</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130</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shall remain in effect), (b) is not intended to confer upon any other person any rights or remedies hereunder, except for rights of indemnified Parties under Section 7.11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w:t>
      </w:r>
    </w:p>
    <w:p>
      <w:pPr>
        <w:spacing w:after="0" w:line="177"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SECTION 10.5. COUNTERPARTS. This Agreement may be executed in two or more counterparts, each of which shall be deemed to be an original, but all of which shall constitute one and the same agreement.</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10.6. PARTIES IN INTEREST. This Agreement shall be binding upon and inure solely to the benefit of each party hereto, and except as set forth in Sections 7.9 and 7.11, nothing in this Agreement, express or implied, is intended to confer upon any other person any rights or remedies of any nature whatsoever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A-42</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131</w:t>
      </w:r>
    </w:p>
    <w:p>
      <w:pPr>
        <w:spacing w:after="0" w:line="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WITNESS WHEREOF, Parent, Subsidiary and the Company have caused this Agreement to be signed by their respective officers and attested to as of the date first written above.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34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USA WASTE SERVICES, INC.</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Attest:</w:t>
            </w:r>
          </w:p>
        </w:tc>
        <w:tc>
          <w:tcPr>
            <w:tcW w:w="10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/s/ GREGORY T. SANGALIS</w:t>
            </w: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By: /s/</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JOHN E. DRURY</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6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Secretary</w:t>
            </w: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Name: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John E. Drury</w:t>
            </w:r>
          </w:p>
        </w:tc>
      </w:tr>
      <w:tr>
        <w:trPr>
          <w:trHeight w:val="168"/>
        </w:trPr>
        <w:tc>
          <w:tcPr>
            <w:tcW w:w="3200" w:type="dxa"/>
            <w:vAlign w:val="bottom"/>
          </w:tcPr>
          <w:p>
            <w:pPr>
              <w:spacing w:after="0"/>
              <w:rPr>
                <w:sz w:val="14"/>
                <w:szCs w:val="14"/>
                <w:color w:val="auto"/>
              </w:rPr>
            </w:pP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Title: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505"/>
        </w:trPr>
        <w:tc>
          <w:tcPr>
            <w:tcW w:w="3200" w:type="dxa"/>
            <w:vAlign w:val="bottom"/>
          </w:tcPr>
          <w:p>
            <w:pPr>
              <w:spacing w:after="0"/>
              <w:rPr>
                <w:sz w:val="24"/>
                <w:szCs w:val="24"/>
                <w:color w:val="auto"/>
              </w:rPr>
            </w:pPr>
          </w:p>
        </w:tc>
        <w:tc>
          <w:tcPr>
            <w:tcW w:w="34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QUATRO ACQUISITION CORP.</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Attest:</w:t>
            </w:r>
          </w:p>
        </w:tc>
        <w:tc>
          <w:tcPr>
            <w:tcW w:w="10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/s/ GREGORY T. SANGALIS</w:t>
            </w: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By: /s/</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JOHN E. DRURY</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6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Secretary</w:t>
            </w: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Name: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John E. Drury</w:t>
            </w:r>
          </w:p>
        </w:tc>
      </w:tr>
      <w:tr>
        <w:trPr>
          <w:trHeight w:val="168"/>
        </w:trPr>
        <w:tc>
          <w:tcPr>
            <w:tcW w:w="3200" w:type="dxa"/>
            <w:vAlign w:val="bottom"/>
          </w:tcPr>
          <w:p>
            <w:pPr>
              <w:spacing w:after="0"/>
              <w:rPr>
                <w:sz w:val="14"/>
                <w:szCs w:val="14"/>
                <w:color w:val="auto"/>
              </w:rPr>
            </w:pP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Title: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505"/>
        </w:trPr>
        <w:tc>
          <w:tcPr>
            <w:tcW w:w="3200" w:type="dxa"/>
            <w:vAlign w:val="bottom"/>
          </w:tcPr>
          <w:p>
            <w:pPr>
              <w:spacing w:after="0"/>
              <w:rPr>
                <w:sz w:val="24"/>
                <w:szCs w:val="24"/>
                <w:color w:val="auto"/>
              </w:rPr>
            </w:pPr>
          </w:p>
        </w:tc>
        <w:tc>
          <w:tcPr>
            <w:tcW w:w="34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SANIFILL, INC.</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Attest:</w:t>
            </w:r>
          </w:p>
        </w:tc>
        <w:tc>
          <w:tcPr>
            <w:tcW w:w="10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/s/ H. STEVEN WALTON</w:t>
            </w: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By: /s/</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LORNE D. BAIN</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6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Secretary</w:t>
            </w: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Name: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Lorne D. Bain</w:t>
            </w:r>
          </w:p>
        </w:tc>
      </w:tr>
      <w:tr>
        <w:trPr>
          <w:trHeight w:val="168"/>
        </w:trPr>
        <w:tc>
          <w:tcPr>
            <w:tcW w:w="3200" w:type="dxa"/>
            <w:vAlign w:val="bottom"/>
          </w:tcPr>
          <w:p>
            <w:pPr>
              <w:spacing w:after="0"/>
              <w:rPr>
                <w:sz w:val="14"/>
                <w:szCs w:val="14"/>
                <w:color w:val="auto"/>
              </w:rPr>
            </w:pP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Title: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Chairman of the Board and</w:t>
            </w:r>
          </w:p>
        </w:tc>
      </w:tr>
      <w:tr>
        <w:trPr>
          <w:trHeight w:val="168"/>
        </w:trPr>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A-43</w:t>
      </w:r>
    </w:p>
    <w:p>
      <w:pPr>
        <w:sectPr>
          <w:pgSz w:w="11900" w:h="16838" w:orient="portrait"/>
          <w:cols w:equalWidth="0" w:num="1">
            <w:col w:w="10239"/>
          </w:cols>
          <w:pgMar w:left="220" w:top="28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132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B</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[Donaldson, Lufkin &amp; Jenrette Letterhead]</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June 21, 1996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238" w:lineRule="auto"/>
        <w:rPr>
          <w:sz w:val="20"/>
          <w:szCs w:val="20"/>
          <w:color w:val="auto"/>
        </w:rPr>
      </w:pPr>
      <w:r>
        <w:rPr>
          <w:rFonts w:ascii="Courier New" w:cs="Courier New" w:eastAsia="Courier New" w:hAnsi="Courier New"/>
          <w:sz w:val="15"/>
          <w:szCs w:val="15"/>
          <w:color w:val="auto"/>
        </w:rPr>
        <w:t>5400 LBJ Freeway</w:t>
      </w:r>
    </w:p>
    <w:p>
      <w:pPr>
        <w:spacing w:after="0" w:line="237" w:lineRule="auto"/>
        <w:rPr>
          <w:sz w:val="20"/>
          <w:szCs w:val="20"/>
          <w:color w:val="auto"/>
        </w:rPr>
      </w:pPr>
      <w:r>
        <w:rPr>
          <w:rFonts w:ascii="Courier New" w:cs="Courier New" w:eastAsia="Courier New" w:hAnsi="Courier New"/>
          <w:sz w:val="15"/>
          <w:szCs w:val="15"/>
          <w:color w:val="auto"/>
        </w:rPr>
        <w:t>Tower One, Suite 300</w:t>
      </w:r>
    </w:p>
    <w:p>
      <w:pPr>
        <w:spacing w:after="0" w:line="238" w:lineRule="auto"/>
        <w:rPr>
          <w:sz w:val="20"/>
          <w:szCs w:val="20"/>
          <w:color w:val="auto"/>
        </w:rPr>
      </w:pPr>
      <w:r>
        <w:rPr>
          <w:rFonts w:ascii="Courier New" w:cs="Courier New" w:eastAsia="Courier New" w:hAnsi="Courier New"/>
          <w:sz w:val="15"/>
          <w:szCs w:val="15"/>
          <w:color w:val="auto"/>
        </w:rPr>
        <w:t>Dallas, TX 75240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You have requested our opinion as to the fairness from a financial</w:t>
      </w:r>
    </w:p>
    <w:p>
      <w:pPr>
        <w:spacing w:after="0" w:line="237" w:lineRule="auto"/>
        <w:rPr>
          <w:sz w:val="20"/>
          <w:szCs w:val="20"/>
          <w:color w:val="auto"/>
        </w:rPr>
      </w:pPr>
      <w:r>
        <w:rPr>
          <w:rFonts w:ascii="Courier New" w:cs="Courier New" w:eastAsia="Courier New" w:hAnsi="Courier New"/>
          <w:sz w:val="15"/>
          <w:szCs w:val="15"/>
          <w:color w:val="auto"/>
        </w:rPr>
        <w:t>point of view to USA Waste Services, Inc. ("USA Waste" or the "Company")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Exchange Ratio (as defined below) provided for in the Agreement and Plan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(the "Agreement") to be entered into by and among USA Waste, Quatro</w:t>
      </w:r>
    </w:p>
    <w:p>
      <w:pPr>
        <w:spacing w:after="0" w:line="237" w:lineRule="auto"/>
        <w:rPr>
          <w:sz w:val="20"/>
          <w:szCs w:val="20"/>
          <w:color w:val="auto"/>
        </w:rPr>
      </w:pPr>
      <w:r>
        <w:rPr>
          <w:rFonts w:ascii="Courier New" w:cs="Courier New" w:eastAsia="Courier New" w:hAnsi="Courier New"/>
          <w:sz w:val="15"/>
          <w:szCs w:val="15"/>
          <w:color w:val="auto"/>
        </w:rPr>
        <w:t>Acquisition Corp. and Sanifill, Inc. ("Sanifill") pursuant to which Quatro</w:t>
      </w:r>
    </w:p>
    <w:p>
      <w:pPr>
        <w:spacing w:after="0" w:line="238" w:lineRule="auto"/>
        <w:rPr>
          <w:sz w:val="20"/>
          <w:szCs w:val="20"/>
          <w:color w:val="auto"/>
        </w:rPr>
      </w:pPr>
      <w:r>
        <w:rPr>
          <w:rFonts w:ascii="Courier New" w:cs="Courier New" w:eastAsia="Courier New" w:hAnsi="Courier New"/>
          <w:sz w:val="15"/>
          <w:szCs w:val="15"/>
          <w:color w:val="auto"/>
        </w:rPr>
        <w:t>Acquisition Corp. will be merged with and into Sanifill.</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Pursuant to the Agreement, each share of common stock of Sanifill will be converted into the right to receive 1.70 shares of common stock, $.01 par value per share of the Company (the "Exchange Ratio").</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arriving at our opinion, we have reviewed the draft of the Agreement dated June 19, 1996 as well as financial and other information that was publicly available or furnished to us by the Company and Sanifill including information provided during discussions with their respective managements. Included in the information provided during discussions with the respective managements were certain financial projections of the Company prepared by the management of the Company, certain financial projections of Sanifill prepared by the management of Sanifill and certain financial information of the Company and Sanifill on a combined basis prepared by the Company. In addition, we have compared certain financial and securities data of the Company and Sanifill with various other companies whose securities are traded in public markets, reviewed the historical stock prices and trading volumes of the common stock of the Company, reviewed prices and premiums paid in other business combinations and conducted such other financial studies, analyses and investigations as we deemed appropriate for purposes of this opinion.</w:t>
      </w:r>
    </w:p>
    <w:p>
      <w:pPr>
        <w:spacing w:after="0" w:line="16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rendering our opinion, we have relied upon and assumed the accuracy, completeness and fairness of all of the financial and other information that was available to us from public sources, that was provided to us by the Company, and Sanifill and their respective representatives, or that was otherwise reviewed by us. In particular, we have relied upon the estimates of the managements of the Company and Sanifill of the operating synergies achievable as a result of the proposed merger and upon our discussion of such synergies with the managements of the Company and Sanifill. With respect to the financial projections supplied to us, we have assumed that they have been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133</w:t>
      </w:r>
    </w:p>
    <w:p>
      <w:pPr>
        <w:spacing w:after="0" w:line="237" w:lineRule="auto"/>
        <w:rPr>
          <w:sz w:val="20"/>
          <w:szCs w:val="20"/>
          <w:color w:val="auto"/>
        </w:rPr>
      </w:pPr>
      <w:r>
        <w:rPr>
          <w:rFonts w:ascii="Courier New" w:cs="Courier New" w:eastAsia="Courier New" w:hAnsi="Courier New"/>
          <w:sz w:val="15"/>
          <w:szCs w:val="15"/>
          <w:color w:val="auto"/>
        </w:rPr>
        <w:t>Board of Directors</w:t>
      </w:r>
    </w:p>
    <w:p>
      <w:pPr>
        <w:spacing w:after="0" w:line="238" w:lineRule="auto"/>
        <w:rPr>
          <w:sz w:val="20"/>
          <w:szCs w:val="20"/>
          <w:color w:val="auto"/>
        </w:rPr>
      </w:pPr>
      <w:r>
        <w:rPr>
          <w:rFonts w:ascii="Courier New" w:cs="Courier New" w:eastAsia="Courier New" w:hAnsi="Courier New"/>
          <w:sz w:val="15"/>
          <w:szCs w:val="15"/>
          <w:color w:val="auto"/>
        </w:rPr>
        <w:t>USA Waste Services, Inc.</w:t>
      </w:r>
    </w:p>
    <w:p>
      <w:pPr>
        <w:spacing w:after="0" w:line="237" w:lineRule="auto"/>
        <w:rPr>
          <w:sz w:val="20"/>
          <w:szCs w:val="20"/>
          <w:color w:val="auto"/>
        </w:rPr>
      </w:pPr>
      <w:r>
        <w:rPr>
          <w:rFonts w:ascii="Courier New" w:cs="Courier New" w:eastAsia="Courier New" w:hAnsi="Courier New"/>
          <w:sz w:val="15"/>
          <w:szCs w:val="15"/>
          <w:color w:val="auto"/>
        </w:rPr>
        <w:t>Page 2</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prepared on the basis reflecting the best currently available estimates and judgments of the management of the Company and Sanifill as to the future operating and financial performance of the Company and Sanifill.</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We have not assumed any responsibility for making any independent evaluation of assets or liabilities of the Company or Sanifill or for independently verifying any of the information reviewed by us. In rendering our opinion, we did not perform any procedures or analysis regarding potential environmental liabilities of either the Company or Sanifill, nor did we consider the impact of changes in the regulatory environment in which the Company and Sanifill operate. We have relied as to all legal matters on advice of counsel to the Company.</w:t>
      </w:r>
    </w:p>
    <w:p>
      <w:pPr>
        <w:spacing w:after="0" w:line="177"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Our opinion is necessarily based on economic, market, financial and other conditions as they exist on, and on the information made available to us as of, the date of this letter and does not represent an opinion as to the price at which shares of the Company will trade following the consummation of the Agreement. It should be understood that, although subsequent developments may affect this opinion, we do not have any obligation to update, revise or reaffirm this opinion. Our opinion addresses only the fairness of the Exchange Ratio to the Company from a financial point of view. Our opinion does not constitute a recommendation to any shareholder as to how such shareholder should vote on the proposed transaction.</w:t>
      </w:r>
    </w:p>
    <w:p>
      <w:pPr>
        <w:spacing w:after="0" w:line="165"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 and valuations for estate, corporate and other purposes. DLJ has performed investment banking and other services for the Company in the past, including (i) acting as USA Waste's financial advisor in connection with USA Waste's merger with Chambers Development Co., Inc. completed in June 1995;</w:t>
      </w:r>
    </w:p>
    <w:p>
      <w:pPr>
        <w:spacing w:after="0" w:line="3" w:lineRule="exact"/>
        <w:rPr>
          <w:sz w:val="20"/>
          <w:szCs w:val="20"/>
          <w:color w:val="auto"/>
        </w:rPr>
      </w:pPr>
    </w:p>
    <w:p>
      <w:pPr>
        <w:ind w:right="3319" w:firstLine="10"/>
        <w:spacing w:after="0" w:line="255" w:lineRule="auto"/>
        <w:tabs>
          <w:tab w:leader="none" w:pos="43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acting as the lead manager in a public offering of USA Waste common stock completed in October 1995; and (iii) acting as USA Waste's financial advisor in connection with USA Waste's merger with Western Waste Industries completed in May 1996. DLJ has performed investment banking and other services for Sanifill in the past, including (i) acting as a co-manager in a public offering of Sanifill common stock completed in August 1995 and (ii) acting as the lead manager in a public offering of Sanifill convertible subordinated debentures completed in March 1996. In addition, in the ordinary course of our business, we trade the securities of the Company and Sanifill for our own account and for the accounts of customers, and, accordingly, may at any time hold a long or short position in such securities.</w:t>
      </w:r>
    </w:p>
    <w:p>
      <w:pPr>
        <w:spacing w:after="0" w:line="16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Based upon the foregoing and such other factors as we deem relevant, we are of the opinion that the Exchange Ratio is fair to the Company from a financial point of view.</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DONALDSON, LUFKIN &amp; JENRETTE</w:t>
      </w:r>
    </w:p>
    <w:p>
      <w:pPr>
        <w:ind w:left="3500"/>
        <w:spacing w:after="0" w:line="237" w:lineRule="auto"/>
        <w:rPr>
          <w:sz w:val="20"/>
          <w:szCs w:val="20"/>
          <w:color w:val="auto"/>
        </w:rPr>
      </w:pPr>
      <w:r>
        <w:rPr>
          <w:rFonts w:ascii="Courier New" w:cs="Courier New" w:eastAsia="Courier New" w:hAnsi="Courier New"/>
          <w:sz w:val="15"/>
          <w:szCs w:val="15"/>
          <w:color w:val="auto"/>
        </w:rPr>
        <w:t>SECURITIES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134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C</w:t>
      </w:r>
    </w:p>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[Merrill Lynch, Pierce, Fenner &amp; Smith Incorporated Letterhead]</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June 21,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Sanifill, Inc.</w:t>
      </w:r>
    </w:p>
    <w:p>
      <w:pPr>
        <w:spacing w:after="0" w:line="238" w:lineRule="auto"/>
        <w:rPr>
          <w:sz w:val="20"/>
          <w:szCs w:val="20"/>
          <w:color w:val="auto"/>
        </w:rPr>
      </w:pPr>
      <w:r>
        <w:rPr>
          <w:rFonts w:ascii="Courier New" w:cs="Courier New" w:eastAsia="Courier New" w:hAnsi="Courier New"/>
          <w:sz w:val="15"/>
          <w:szCs w:val="15"/>
          <w:color w:val="auto"/>
        </w:rPr>
        <w:t>2777 Allen Parkway</w:t>
      </w:r>
    </w:p>
    <w:p>
      <w:pPr>
        <w:spacing w:after="0" w:line="237" w:lineRule="auto"/>
        <w:rPr>
          <w:sz w:val="20"/>
          <w:szCs w:val="20"/>
          <w:color w:val="auto"/>
        </w:rPr>
      </w:pPr>
      <w:r>
        <w:rPr>
          <w:rFonts w:ascii="Courier New" w:cs="Courier New" w:eastAsia="Courier New" w:hAnsi="Courier New"/>
          <w:sz w:val="15"/>
          <w:szCs w:val="15"/>
          <w:color w:val="auto"/>
        </w:rPr>
        <w:t>Suite 700</w:t>
      </w:r>
    </w:p>
    <w:p>
      <w:pPr>
        <w:spacing w:after="0" w:line="238" w:lineRule="auto"/>
        <w:rPr>
          <w:sz w:val="20"/>
          <w:szCs w:val="20"/>
          <w:color w:val="auto"/>
        </w:rPr>
      </w:pPr>
      <w:r>
        <w:rPr>
          <w:rFonts w:ascii="Courier New" w:cs="Courier New" w:eastAsia="Courier New" w:hAnsi="Courier New"/>
          <w:sz w:val="15"/>
          <w:szCs w:val="15"/>
          <w:color w:val="auto"/>
        </w:rPr>
        <w:t>Houston, Texas 77019-2155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Sanifill, Inc. (the "Company"), USA Waste Services, Inc. (the "Issuer") and a wholly owned subsidiary of the Issuer (the "Merger Sub") propose to enter into an agreement (the "Agreement") pursuant to which Merger Sub will be merged with the Company in a transaction (the "Merger") in which each outstanding share of the Company's common stock, par value $.01 per share (the "Shares"), will be converted into the right to receive 1.7 shares (the "Exchange Ratio") of the common stock of the Issuer, par value $.01 per share (the "Issuer Shares"). In connection with the Merger, the parties also propose to enter into a voting agreement with each of certain stockholders of the Issuer and certain stockholders of the Company (each, a "Voting Agreement") pursuant to which such stockholders will agree, among other things, to vote shares held by them in favor of the Merger.</w:t>
      </w:r>
    </w:p>
    <w:p>
      <w:pPr>
        <w:spacing w:after="0" w:line="16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You have asked us whether, in our opinion, the Exchange Ratio is fair to the stockholders of the Company from a financial point of view.</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arriving at the opinion set forth below, we have, among other</w:t>
      </w:r>
    </w:p>
    <w:p>
      <w:pPr>
        <w:spacing w:after="0" w:line="237" w:lineRule="auto"/>
        <w:rPr>
          <w:sz w:val="20"/>
          <w:szCs w:val="20"/>
          <w:color w:val="auto"/>
        </w:rPr>
      </w:pPr>
      <w:r>
        <w:rPr>
          <w:rFonts w:ascii="Courier New" w:cs="Courier New" w:eastAsia="Courier New" w:hAnsi="Courier New"/>
          <w:sz w:val="15"/>
          <w:szCs w:val="15"/>
          <w:color w:val="auto"/>
        </w:rPr>
        <w:t>things:</w:t>
      </w:r>
    </w:p>
    <w:p>
      <w:pPr>
        <w:spacing w:after="0" w:line="173" w:lineRule="exact"/>
        <w:rPr>
          <w:sz w:val="20"/>
          <w:szCs w:val="20"/>
          <w:color w:val="auto"/>
        </w:rPr>
      </w:pPr>
    </w:p>
    <w:p>
      <w:pPr>
        <w:ind w:left="1500" w:right="3399" w:hanging="703"/>
        <w:spacing w:after="0" w:line="236" w:lineRule="auto"/>
        <w:tabs>
          <w:tab w:leader="none" w:pos="15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Company's Annual Reports, Forms 10-K and related financial information for the three fiscal years ended December 31, 1995 and the Company's Form 10-Q and the related unaudited financial information for the quarterly period ending March 31, 1996;</w:t>
      </w:r>
    </w:p>
    <w:p>
      <w:pPr>
        <w:spacing w:after="0" w:line="173" w:lineRule="exact"/>
        <w:rPr>
          <w:rFonts w:ascii="Courier New" w:cs="Courier New" w:eastAsia="Courier New" w:hAnsi="Courier New"/>
          <w:sz w:val="15"/>
          <w:szCs w:val="15"/>
          <w:color w:val="auto"/>
        </w:rPr>
      </w:pPr>
    </w:p>
    <w:p>
      <w:pPr>
        <w:ind w:left="1500" w:right="3499" w:hanging="703"/>
        <w:spacing w:after="0" w:line="236" w:lineRule="auto"/>
        <w:tabs>
          <w:tab w:leader="none" w:pos="15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Issuer's Annual Reports, Forms 10-K and related financial information for the three fiscal years ended December 31, 1995 and the Issuer's Form 10-Q and the related unaudited financial information for the quarterly period ending March 31, 1996 and certain other filings, including registration statements, Form 8-Ks and proxy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135</w:t>
      </w:r>
    </w:p>
    <w:p>
      <w:pPr>
        <w:spacing w:after="0" w:line="5" w:lineRule="exact"/>
        <w:rPr>
          <w:sz w:val="20"/>
          <w:szCs w:val="20"/>
          <w:color w:val="auto"/>
        </w:rPr>
      </w:pPr>
    </w:p>
    <w:p>
      <w:pPr>
        <w:ind w:left="1500" w:right="3499"/>
        <w:spacing w:after="0" w:line="234" w:lineRule="auto"/>
        <w:rPr>
          <w:sz w:val="20"/>
          <w:szCs w:val="20"/>
          <w:color w:val="auto"/>
        </w:rPr>
      </w:pPr>
      <w:r>
        <w:rPr>
          <w:rFonts w:ascii="Courier New" w:cs="Courier New" w:eastAsia="Courier New" w:hAnsi="Courier New"/>
          <w:sz w:val="15"/>
          <w:szCs w:val="15"/>
          <w:color w:val="auto"/>
        </w:rPr>
        <w:t>statements, with the Securities and Exchange Commission made by the Issuer during the last three years;</w:t>
      </w:r>
    </w:p>
    <w:p>
      <w:pPr>
        <w:spacing w:after="0" w:line="173" w:lineRule="exact"/>
        <w:rPr>
          <w:sz w:val="20"/>
          <w:szCs w:val="20"/>
          <w:color w:val="auto"/>
        </w:rPr>
      </w:pPr>
    </w:p>
    <w:p>
      <w:pPr>
        <w:ind w:left="1500" w:right="3499" w:hanging="703"/>
        <w:spacing w:after="0" w:line="235" w:lineRule="auto"/>
        <w:tabs>
          <w:tab w:leader="none" w:pos="15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and prospects of the Company and the Issuer, furnished to us by the Company and the Issuer;</w:t>
      </w:r>
    </w:p>
    <w:p>
      <w:pPr>
        <w:spacing w:after="0" w:line="175" w:lineRule="exact"/>
        <w:rPr>
          <w:rFonts w:ascii="Courier New" w:cs="Courier New" w:eastAsia="Courier New" w:hAnsi="Courier New"/>
          <w:sz w:val="15"/>
          <w:szCs w:val="15"/>
          <w:color w:val="auto"/>
        </w:rPr>
      </w:pPr>
    </w:p>
    <w:p>
      <w:pPr>
        <w:ind w:left="1500" w:right="3319" w:hanging="703"/>
        <w:spacing w:after="0" w:line="235" w:lineRule="auto"/>
        <w:tabs>
          <w:tab w:leader="none" w:pos="15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senior management of the Company and the Issuer concerning their respective businesses and prospects;</w:t>
      </w:r>
    </w:p>
    <w:p>
      <w:pPr>
        <w:spacing w:after="0" w:line="173" w:lineRule="exact"/>
        <w:rPr>
          <w:rFonts w:ascii="Courier New" w:cs="Courier New" w:eastAsia="Courier New" w:hAnsi="Courier New"/>
          <w:sz w:val="15"/>
          <w:szCs w:val="15"/>
          <w:color w:val="auto"/>
        </w:rPr>
      </w:pPr>
    </w:p>
    <w:p>
      <w:pPr>
        <w:ind w:left="1500" w:right="3319" w:hanging="703"/>
        <w:spacing w:after="0" w:line="236" w:lineRule="auto"/>
        <w:tabs>
          <w:tab w:leader="none" w:pos="15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market prices and trading activity for the Shares and the Issuer Shares and compared them with that of certain publicly traded companies which we deemed to be reasonably similar to the Company and the Issuer, respectively;</w:t>
      </w:r>
    </w:p>
    <w:p>
      <w:pPr>
        <w:spacing w:after="0" w:line="173" w:lineRule="exact"/>
        <w:rPr>
          <w:rFonts w:ascii="Courier New" w:cs="Courier New" w:eastAsia="Courier New" w:hAnsi="Courier New"/>
          <w:sz w:val="15"/>
          <w:szCs w:val="15"/>
          <w:color w:val="auto"/>
        </w:rPr>
      </w:pPr>
    </w:p>
    <w:p>
      <w:pPr>
        <w:ind w:left="1500" w:right="3579" w:hanging="703"/>
        <w:spacing w:after="0" w:line="235" w:lineRule="auto"/>
        <w:tabs>
          <w:tab w:leader="none" w:pos="15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results of operations of the Company and the Issuer with that of certain companies which we deemed to be reasonably similar to the Company and the Issuer, respectively;</w:t>
      </w:r>
    </w:p>
    <w:p>
      <w:pPr>
        <w:spacing w:after="0" w:line="175" w:lineRule="exact"/>
        <w:rPr>
          <w:rFonts w:ascii="Courier New" w:cs="Courier New" w:eastAsia="Courier New" w:hAnsi="Courier New"/>
          <w:sz w:val="15"/>
          <w:szCs w:val="15"/>
          <w:color w:val="auto"/>
        </w:rPr>
      </w:pPr>
    </w:p>
    <w:p>
      <w:pPr>
        <w:ind w:left="1500" w:right="3499" w:hanging="703"/>
        <w:spacing w:after="0" w:line="235" w:lineRule="auto"/>
        <w:tabs>
          <w:tab w:leader="none" w:pos="15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terms of the transactions contemplated by the Agreement with the financial terms of certain other mergers and acquisitions which we deemed to be relevant;</w:t>
      </w:r>
    </w:p>
    <w:p>
      <w:pPr>
        <w:spacing w:after="0" w:line="168" w:lineRule="exact"/>
        <w:rPr>
          <w:rFonts w:ascii="Courier New" w:cs="Courier New" w:eastAsia="Courier New" w:hAnsi="Courier New"/>
          <w:sz w:val="15"/>
          <w:szCs w:val="15"/>
          <w:color w:val="auto"/>
        </w:rPr>
      </w:pPr>
    </w:p>
    <w:p>
      <w:pPr>
        <w:ind w:left="1500" w:hanging="703"/>
        <w:spacing w:after="0"/>
        <w:tabs>
          <w:tab w:leader="none" w:pos="15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 draft of the Agreement dated June 19, 1996;</w:t>
      </w:r>
    </w:p>
    <w:p>
      <w:pPr>
        <w:spacing w:after="0" w:line="172" w:lineRule="exact"/>
        <w:rPr>
          <w:rFonts w:ascii="Courier New" w:cs="Courier New" w:eastAsia="Courier New" w:hAnsi="Courier New"/>
          <w:sz w:val="15"/>
          <w:szCs w:val="15"/>
          <w:color w:val="auto"/>
        </w:rPr>
      </w:pPr>
    </w:p>
    <w:p>
      <w:pPr>
        <w:ind w:left="1500" w:right="3399" w:hanging="703"/>
        <w:spacing w:after="0" w:line="234" w:lineRule="auto"/>
        <w:tabs>
          <w:tab w:leader="none" w:pos="15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 draft of the Voting Agreement dated June 15, 1996; and</w:t>
      </w:r>
    </w:p>
    <w:p>
      <w:pPr>
        <w:spacing w:after="0" w:line="173" w:lineRule="exact"/>
        <w:rPr>
          <w:rFonts w:ascii="Courier New" w:cs="Courier New" w:eastAsia="Courier New" w:hAnsi="Courier New"/>
          <w:sz w:val="15"/>
          <w:szCs w:val="15"/>
          <w:color w:val="auto"/>
        </w:rPr>
      </w:pPr>
    </w:p>
    <w:p>
      <w:pPr>
        <w:ind w:left="1500" w:right="3319" w:hanging="703"/>
        <w:spacing w:after="0" w:line="256" w:lineRule="auto"/>
        <w:tabs>
          <w:tab w:leader="none" w:pos="15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such other financial studies and analyses and performed such other investigations and took into account such other matters as we deemed necessary, including our assessment of general economic, market and monetary conditions.</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preparing our opinion, we have relied on the accuracy and completeness of all information supplied or otherwise made available to us by the Company and the Issuer, and we have not independently verified such information or undertaken an independent appraisal of the assets or liabilities of the Company or the Issuer nor have we been furnished with any such appraisals. With respect to the financial forecasts furnished by the Company and the Issuer, we have assumed that they have been reasonably prepared and reflect the best currently available estimates and judgment of the Company's or the Issuer's management as to the expected future financial performance of the Company or the Issuer, as the case may be.</w:t>
      </w:r>
    </w:p>
    <w:p>
      <w:pPr>
        <w:spacing w:after="0" w:line="179"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In connection with the preparation of this opinion, we have not been authorized by the Company or the Board of Directors to solicit, nor have we solicited, third-party indications of interest for the acquisition of all or any part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136</w:t>
      </w:r>
    </w:p>
    <w:p>
      <w:pPr>
        <w:spacing w:after="0" w:line="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We have acted as financial advisor to the Company in connection with the Merger and will receive fees for such services, a portion of which is contingent upon consummation of the Merger. In the ordinary course of our securities business, we may actively trade debt or equity securities of the Issuer and the Company for our own account and the accounts of our customers, and we therefore may from time to time hold a long or short position in such securities.</w:t>
      </w:r>
    </w:p>
    <w:p>
      <w:pPr>
        <w:spacing w:after="0" w:line="17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On the basis of, and subject to the foregoing, we are of the opinion that the Exchange Ratio is fair to the stockholders of the Company from a financial point of view.</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MERRILL LYNCH, PIERCE, FENNER &amp;</w:t>
      </w:r>
    </w:p>
    <w:p>
      <w:pPr>
        <w:ind w:left="3860"/>
        <w:spacing w:after="0" w:line="237" w:lineRule="auto"/>
        <w:rPr>
          <w:sz w:val="20"/>
          <w:szCs w:val="20"/>
          <w:color w:val="auto"/>
        </w:rPr>
      </w:pPr>
      <w:r>
        <w:rPr>
          <w:rFonts w:ascii="Courier New" w:cs="Courier New" w:eastAsia="Courier New" w:hAnsi="Courier New"/>
          <w:sz w:val="15"/>
          <w:szCs w:val="15"/>
          <w:color w:val="auto"/>
        </w:rPr>
        <w:t>SMITH INCORPORATED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MARK SHAFIR</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137</w:t>
      </w:r>
    </w:p>
    <w:p>
      <w:pPr>
        <w:ind w:left="3160"/>
        <w:spacing w:after="0" w:line="237" w:lineRule="auto"/>
        <w:rPr>
          <w:sz w:val="20"/>
          <w:szCs w:val="20"/>
          <w:color w:val="auto"/>
        </w:rPr>
      </w:pPr>
      <w:r>
        <w:rPr>
          <w:rFonts w:ascii="Courier New" w:cs="Courier New" w:eastAsia="Courier New" w:hAnsi="Courier New"/>
          <w:sz w:val="15"/>
          <w:szCs w:val="15"/>
          <w:color w:val="auto"/>
        </w:rPr>
        <w:t>PART II</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proceedings, had no reasonable cause to believe his conduct was unlawful. With respect to actions by or in the right of the corporation, a person may not be indemnified if he has been adjudged to be liable to the corporation, except where, besides meeting the requirements described in the preceding sentence, the court in which such action was brought determines upon application that, despite the adjudication of liability but in view of all the circumstances of the case, such person is fairly and reasonably entitled to indemnity for such expenses as the court deems proper. To the extent that a director, officer, employee or agent of a corporation has been successful on the merits or otherwise in defense of any action, suit or proceeding referred to above, he shall be indemnified against expenses, including attorneys' fees, actually and reasonably incurred by him in connection therewith. A corporation shall have the power to purchase insurance on behalf of the persons referred to above against any liability asserted against them and incurred by them in such capacities referred to whether or not the corporation would have the power to indemnify them against such liability.</w:t>
      </w:r>
    </w:p>
    <w:p>
      <w:pPr>
        <w:spacing w:after="0" w:line="346"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102(b)(7) of the DGCL provides that the certificate of incorporation of a corporation may contain a provision eliminating or limiting the personal liability of a director to the corporation or its shareholders for monetary damages for breach of fiduciary duty as a director, provided that such provision shall not eliminate or limit the liability of a director for (i) any breach of the director's duty of loyalty to the corporation or its shareholders, (ii) acts or omissions not in good faith or which involved intentional misconduct or a knowing violation of law, (iii) unlawful dividend payment or stock purchase or redemption under Section 174 of the DGCL, (iv) any transaction from which the director derived an improper personal benefit, or</w:t>
      </w:r>
    </w:p>
    <w:p>
      <w:pPr>
        <w:spacing w:after="0" w:line="3" w:lineRule="exact"/>
        <w:rPr>
          <w:sz w:val="20"/>
          <w:szCs w:val="20"/>
          <w:color w:val="auto"/>
        </w:rPr>
      </w:pPr>
    </w:p>
    <w:p>
      <w:pPr>
        <w:ind w:right="3319" w:firstLine="10"/>
        <w:spacing w:after="0" w:line="234" w:lineRule="auto"/>
        <w:tabs>
          <w:tab w:leader="none" w:pos="35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 or omission occurring prior to the date when such provision becomes effective.</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Registrant's Certificate of Incorporation provides that (i) the Registrant shall indemnify, and advance litigation expenses to, its officers, directors, employees and agents to the fullest extent permitted by the DGCL and all other laws of the State of Delaware, (ii) to the fullest extent that the DGCL permits the limitation or elimination of the liability of directors, no director of the Registrant shall be personally liable to the Registrant or its shareholders for monetary damages for breach of fiduciary duty as a director,</w:t>
      </w:r>
    </w:p>
    <w:p>
      <w:pPr>
        <w:spacing w:after="0" w:line="2" w:lineRule="exact"/>
        <w:rPr>
          <w:sz w:val="20"/>
          <w:szCs w:val="20"/>
          <w:color w:val="auto"/>
        </w:rPr>
      </w:pPr>
    </w:p>
    <w:p>
      <w:pPr>
        <w:ind w:right="3319" w:firstLine="10"/>
        <w:spacing w:after="0" w:line="236" w:lineRule="auto"/>
        <w:tabs>
          <w:tab w:leader="none" w:pos="52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to or repeal of the provision of the Certificate of Incorporation described in clause (ii) shall apply to or have any effect on the liability or alleged liability of any director of the Registrant for or with respect to any acts or omission of such director occurring prior to the time of such amendment or repeal and (iv) any amendment to the DGCL which further limits or eliminates the liability of directors shall be fully applicable to the Registrant's directors.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USA Waste has indemnification agreements with its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138</w:t>
      </w: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3" w:lineRule="exact"/>
        <w:rPr>
          <w:sz w:val="20"/>
          <w:szCs w:val="20"/>
          <w:color w:val="auto"/>
        </w:rPr>
      </w:pPr>
    </w:p>
    <w:p>
      <w:pPr>
        <w:ind w:right="3660" w:firstLine="797"/>
        <w:spacing w:after="0" w:line="234" w:lineRule="auto"/>
        <w:tabs>
          <w:tab w:leader="none" w:pos="14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complete list of Exhibits filed as part of this Registration Statement: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20" w:type="dxa"/>
            <w:vAlign w:val="bottom"/>
          </w:tcPr>
          <w:p>
            <w:pPr>
              <w:spacing w:after="0"/>
              <w:rPr>
                <w:sz w:val="14"/>
                <w:szCs w:val="14"/>
                <w:color w:val="auto"/>
              </w:rPr>
            </w:pPr>
          </w:p>
        </w:tc>
        <w:tc>
          <w:tcPr>
            <w:tcW w:w="9000" w:type="dxa"/>
            <w:vAlign w:val="bottom"/>
          </w:tcPr>
          <w:p>
            <w:pPr>
              <w:spacing w:after="0"/>
              <w:rPr>
                <w:sz w:val="14"/>
                <w:szCs w:val="14"/>
                <w:color w:val="auto"/>
              </w:rPr>
            </w:pPr>
          </w:p>
        </w:tc>
      </w:tr>
      <w:tr>
        <w:trPr>
          <w:trHeight w:val="336"/>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rPr>
                <w:sz w:val="20"/>
                <w:szCs w:val="20"/>
                <w:color w:val="auto"/>
              </w:rPr>
            </w:pPr>
            <w:r>
              <w:rPr>
                <w:rFonts w:ascii="Courier New" w:cs="Courier New" w:eastAsia="Courier New" w:hAnsi="Courier New"/>
                <w:sz w:val="15"/>
                <w:szCs w:val="15"/>
                <w:color w:val="auto"/>
                <w:w w:val="98"/>
              </w:rPr>
              <w:t>Agreement and Plan of Merger dated as of June 22, 1996, among USA Waste Services, Inc. ("USA Waste"),</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Quatro Acquisition Corporation, a wholly owned subsidiary of USA Waste ("Acquisition"), and Sanifill,</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 ("Sanifill") --included as Annex A to the Joint Proxy Statement and Prospectus herein.</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Restated Certificate of Incorporation  --incorporated by reference to Exhibit 3.1(b) of the</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Registrant's  Quarterly Report on Form 10-Q for the quarterly period ended March 31, 1996.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Bylaws --incorporated by reference to Exhibit 3.2 of the Registrant's Registration Statement on Form S-</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4, File No. 33-60103.</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Specimen Stock Certificate --incorporated by reference to Exhibit 4.3 of the Registrant's Registration</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on Form S-3, File No. 33-76224.</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**5.1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Opinion of Andrews &amp; Kurth L.L.P. as to the legality of the securities being registered.</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Opinion of Baker &amp; Botts, L.L.P. as to certain federal income tax matters.</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Agreement Among USA Waste, D. Moorehead, Jr., J. Drury, J. Rangos, Sr., A. Rangos, J. Rangos, Jr. and</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Rangos Development Corporation, Inc. dated June 21, 1996.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Employment and Noncompetition Agreement between USA Waste and Lorne D. Bain, dated June 22, 1996.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Letter Agreement between USA Waste and Kosti Shirvanian, dated December 18, 1995.</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Letter Agreement between USA Waste and Kosti Shirvanian, dated June 21, 1996.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Letter Agreement between USA Waste and Sanifill, dated June 22, 1996, regarding indemnification</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provisions of certificate of incorporation.</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Confidentiality Agreement, dated June 17, 1996, between USA Waste Services, Inc., as the Protected</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Party, and Sanifill, Inc., as the Recipient.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Confidentiality Agreement, dated June 17, 1996, between Sanifill, Inc., as the Protected Party, and USA</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Waste Services, Inc., as the Recipient.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*21.1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Subsidiaries of the Registrant.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Coopers &amp; Lybrand L.L.P.</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Deloitte &amp; Touche LLP.</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Ernst &amp; Young LLP.</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Arthur Andersen LLP.</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Andrews &amp; Kurth L.L.P. --included in Exhibit 5.1.</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Baker &amp; Botts, L.L.P. --included in Exhibit 8.1.</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Donaldson, Lufkin &amp; Jenrette Securities Corporation.</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Merrill Lynch, Pierce, Fenner &amp; Smith Incorporated.</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*24.1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Powers of Attorney --included on the signature pages in Part II of this Registration Statement.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*99.1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USA Waste Services, Inc's Proxy Card</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*99.2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Sanifill, Inc's Proxy Card</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*99.3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Opinion of Donaldson, Lufkin &amp; Jenrette Securities Corporation --included as Annex B to the Joint Proxy</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and Prospectus herein.</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*99.4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Opinion of Merrill Lynch, Pierce, Fenner &amp; Smith Incorporated--included as Annex C to the Joint Proxy</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and Prospectus herein.</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000" w:type="dxa"/>
            <w:vAlign w:val="bottom"/>
          </w:tcPr>
          <w:p>
            <w:pPr>
              <w:spacing w:after="0"/>
              <w:rPr>
                <w:sz w:val="14"/>
                <w:szCs w:val="14"/>
                <w:color w:val="auto"/>
              </w:rPr>
            </w:pPr>
          </w:p>
        </w:tc>
      </w:tr>
    </w:tbl>
    <w:p>
      <w:pPr>
        <w:spacing w:after="0" w:line="166" w:lineRule="exact"/>
        <w:rPr>
          <w:sz w:val="20"/>
          <w:szCs w:val="20"/>
          <w:color w:val="auto"/>
        </w:rPr>
      </w:pPr>
    </w:p>
    <w:p>
      <w:pPr>
        <w:ind w:left="800" w:hanging="790"/>
        <w:spacing w:after="0"/>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ind w:left="800" w:hanging="790"/>
        <w:spacing w:after="0" w:line="237" w:lineRule="auto"/>
        <w:tabs>
          <w:tab w:leader="none" w:pos="8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22.  UNDERTAKINGS</w:t>
      </w:r>
    </w:p>
    <w:p>
      <w:pPr>
        <w:spacing w:after="0" w:line="173" w:lineRule="exact"/>
        <w:rPr>
          <w:sz w:val="20"/>
          <w:szCs w:val="20"/>
          <w:color w:val="auto"/>
        </w:rPr>
      </w:pPr>
    </w:p>
    <w:p>
      <w:pPr>
        <w:ind w:right="3660" w:firstLine="787"/>
        <w:spacing w:after="0" w:line="235"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500"/>
          </w:cols>
          <w:pgMar w:left="220" w:top="281" w:right="1179"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139</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undersigned Registrant hereby undertakes that every prospectus:</w:t>
      </w:r>
    </w:p>
    <w:p>
      <w:pPr>
        <w:spacing w:after="0" w:line="5" w:lineRule="exact"/>
        <w:rPr>
          <w:sz w:val="20"/>
          <w:szCs w:val="20"/>
          <w:color w:val="auto"/>
        </w:rPr>
      </w:pPr>
    </w:p>
    <w:p>
      <w:pPr>
        <w:ind w:right="3319" w:firstLine="10"/>
        <w:spacing w:after="0" w:line="255" w:lineRule="auto"/>
        <w:tabs>
          <w:tab w:leader="none" w:pos="35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140</w:t>
      </w:r>
    </w:p>
    <w:p>
      <w:pPr>
        <w:jc w:val="center"/>
        <w:ind w:right="3219"/>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DALLAS, STATE OF TEXAS, ON THE 15TH DAY OF JULY, 1996.</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John E. Drury</w:t>
      </w:r>
    </w:p>
    <w:p>
      <w:pPr>
        <w:ind w:left="26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2900" w:space="80"/>
            <w:col w:w="7259"/>
          </w:cols>
          <w:pgMar w:left="220" w:top="281" w:right="1440" w:bottom="1440" w:gutter="0" w:footer="0" w:header="0"/>
          <w:type w:val="continuous"/>
        </w:sectPr>
      </w:pPr>
    </w:p>
    <w:p>
      <w:pPr>
        <w:spacing w:after="0" w:line="1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KNOWN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in connection therewith, with the Securities and Exchange Commission, to sign any and all applications, registration statements, notices or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343" w:lineRule="exact"/>
        <w:rPr>
          <w:sz w:val="20"/>
          <w:szCs w:val="20"/>
          <w:color w:val="auto"/>
        </w:rPr>
      </w:pPr>
    </w:p>
    <w:p>
      <w:pPr>
        <w:ind w:right="383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JULY 15, 1996.</w:t>
      </w:r>
    </w:p>
    <w:p>
      <w:pPr>
        <w:sectPr>
          <w:pgSz w:w="11900" w:h="16838" w:orient="portrait"/>
          <w:cols w:equalWidth="0" w:num="1">
            <w:col w:w="10239"/>
          </w:cols>
          <w:pgMar w:left="220" w:top="281" w:right="1440" w:bottom="1440" w:gutter="0" w:footer="0" w:header="0"/>
          <w:type w:val="continuous"/>
        </w:sectPr>
      </w:pPr>
    </w:p>
    <w:p>
      <w:pPr>
        <w:spacing w:after="0" w:line="17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540" w:space="720"/>
            <w:col w:w="4979"/>
          </w:cols>
          <w:pgMar w:left="220" w:top="281" w:right="1440" w:bottom="1440" w:gutter="0" w:footer="0" w:header="0"/>
          <w:type w:val="continuous"/>
        </w:sectPr>
      </w:pPr>
    </w:p>
    <w:p>
      <w:pPr>
        <w:spacing w:after="0" w:line="14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John E. Drury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Officer (Principal executive officer)</w:t>
      </w:r>
    </w:p>
    <w:p>
      <w:pPr>
        <w:spacing w:after="0" w:line="368" w:lineRule="exact"/>
        <w:rPr>
          <w:sz w:val="20"/>
          <w:szCs w:val="20"/>
          <w:color w:val="auto"/>
        </w:rPr>
      </w:pPr>
    </w:p>
    <w:p>
      <w:pPr>
        <w:sectPr>
          <w:pgSz w:w="11900" w:h="16838" w:orient="portrait"/>
          <w:cols w:equalWidth="0" w:num="2">
            <w:col w:w="3160" w:space="0"/>
            <w:col w:w="7079"/>
          </w:cols>
          <w:pgMar w:left="220" w:top="281" w:right="1440" w:bottom="1440" w:gutter="0" w:footer="0" w:header="0"/>
          <w:type w:val="continuous"/>
        </w:sectPr>
      </w:pPr>
    </w:p>
    <w:p>
      <w:pPr>
        <w:spacing w:after="0" w:line="1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EARL E. DEFRATES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Earl E. DeFrates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 Financial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 (Principal financial officer)</w:t>
      </w:r>
    </w:p>
    <w:p>
      <w:pPr>
        <w:spacing w:after="0" w:line="334" w:lineRule="exact"/>
        <w:rPr>
          <w:sz w:val="20"/>
          <w:szCs w:val="20"/>
          <w:color w:val="auto"/>
        </w:rPr>
      </w:pPr>
    </w:p>
    <w:p>
      <w:pPr>
        <w:sectPr>
          <w:pgSz w:w="11900" w:h="16838" w:orient="portrait"/>
          <w:cols w:equalWidth="0" w:num="2">
            <w:col w:w="3160" w:space="0"/>
            <w:col w:w="7079"/>
          </w:cols>
          <w:pgMar w:left="220" w:top="281" w:right="1440" w:bottom="1440" w:gutter="0" w:footer="0" w:header="0"/>
          <w:type w:val="continuous"/>
        </w:sectPr>
      </w:pPr>
    </w:p>
    <w:p>
      <w:pPr>
        <w:ind w:left="620"/>
        <w:spacing w:after="0"/>
        <w:rPr>
          <w:sz w:val="20"/>
          <w:szCs w:val="20"/>
          <w:color w:val="auto"/>
        </w:rPr>
      </w:pPr>
      <w:r>
        <w:rPr>
          <w:rFonts w:ascii="Courier New" w:cs="Courier New" w:eastAsia="Courier New" w:hAnsi="Courier New"/>
          <w:sz w:val="15"/>
          <w:szCs w:val="15"/>
          <w:color w:val="auto"/>
        </w:rPr>
        <w:t>/S/ BRUCE E. SNYDER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and Controller (Principal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accounting officer)</w:t>
      </w:r>
    </w:p>
    <w:p>
      <w:pPr>
        <w:sectPr>
          <w:pgSz w:w="11900" w:h="16838" w:orient="portrait"/>
          <w:cols w:equalWidth="0" w:num="2">
            <w:col w:w="3160" w:space="0"/>
            <w:col w:w="7079"/>
          </w:cols>
          <w:pgMar w:left="220" w:top="281" w:right="1440" w:bottom="1440" w:gutter="0" w:footer="0" w:header="0"/>
          <w:type w:val="continuous"/>
        </w:sectPr>
      </w:pPr>
    </w:p>
    <w:bookmarkStart w:id="142" w:name="page143"/>
    <w:bookmarkEnd w:id="142"/>
    <w:p>
      <w:pPr>
        <w:ind w:left="270"/>
        <w:spacing w:after="0"/>
        <w:rPr>
          <w:sz w:val="20"/>
          <w:szCs w:val="20"/>
          <w:color w:val="auto"/>
        </w:rPr>
      </w:pPr>
      <w:r>
        <w:rPr>
          <w:rFonts w:ascii="Courier New" w:cs="Courier New" w:eastAsia="Courier New" w:hAnsi="Courier New"/>
          <w:sz w:val="15"/>
          <w:szCs w:val="15"/>
          <w:color w:val="auto"/>
        </w:rPr>
        <w:t>141</w:t>
      </w:r>
    </w:p>
    <w:p>
      <w:pPr>
        <w:spacing w:after="0" w:line="200" w:lineRule="exact"/>
        <w:rPr>
          <w:sz w:val="20"/>
          <w:szCs w:val="20"/>
          <w:color w:val="auto"/>
        </w:rPr>
      </w:pPr>
    </w:p>
    <w:p>
      <w:pPr>
        <w:spacing w:after="0" w:line="303" w:lineRule="exact"/>
        <w:rPr>
          <w:sz w:val="20"/>
          <w:szCs w:val="20"/>
          <w:color w:val="auto"/>
        </w:rPr>
      </w:pPr>
    </w:p>
    <w:p>
      <w:pPr>
        <w:ind w:left="530"/>
        <w:spacing w:after="0"/>
        <w:tabs>
          <w:tab w:leader="none" w:pos="3750" w:val="left"/>
        </w:tabs>
        <w:rPr>
          <w:sz w:val="20"/>
          <w:szCs w:val="20"/>
          <w:color w:val="auto"/>
        </w:rPr>
      </w:pPr>
      <w:r>
        <w:rPr>
          <w:rFonts w:ascii="Courier New" w:cs="Courier New" w:eastAsia="Courier New" w:hAnsi="Courier New"/>
          <w:sz w:val="15"/>
          <w:szCs w:val="15"/>
          <w:color w:val="auto"/>
        </w:rPr>
        <w:t>/S/ DONALD F. MOOREHEAD, JR.</w:t>
      </w:r>
      <w:r>
        <w:rPr>
          <w:sz w:val="20"/>
          <w:szCs w:val="20"/>
          <w:color w:val="auto"/>
        </w:rPr>
        <w:tab/>
      </w:r>
      <w:r>
        <w:rPr>
          <w:rFonts w:ascii="Courier New" w:cs="Courier New" w:eastAsia="Courier New" w:hAnsi="Courier New"/>
          <w:sz w:val="14"/>
          <w:szCs w:val="14"/>
          <w:color w:val="auto"/>
        </w:rPr>
        <w:t>Vice Chairman</w:t>
      </w:r>
    </w:p>
    <w:p>
      <w:pPr>
        <w:ind w:left="170" w:hanging="170"/>
        <w:spacing w:after="0" w:line="237" w:lineRule="auto"/>
        <w:tabs>
          <w:tab w:leader="none" w:pos="17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Donald F. Moorehead, Jr.</w:t>
      </w:r>
    </w:p>
    <w:p>
      <w:pPr>
        <w:spacing w:after="0" w:line="335" w:lineRule="exact"/>
        <w:rPr>
          <w:sz w:val="20"/>
          <w:szCs w:val="20"/>
          <w:color w:val="auto"/>
        </w:rPr>
      </w:pPr>
    </w:p>
    <w:p>
      <w:pPr>
        <w:ind w:left="530"/>
        <w:spacing w:after="0"/>
        <w:tabs>
          <w:tab w:leader="none" w:pos="3750" w:val="left"/>
        </w:tabs>
        <w:rPr>
          <w:sz w:val="20"/>
          <w:szCs w:val="20"/>
          <w:color w:val="auto"/>
        </w:rPr>
      </w:pPr>
      <w:r>
        <w:rPr>
          <w:rFonts w:ascii="Courier New" w:cs="Courier New" w:eastAsia="Courier New" w:hAnsi="Courier New"/>
          <w:sz w:val="15"/>
          <w:szCs w:val="15"/>
          <w:color w:val="auto"/>
        </w:rPr>
        <w:t>/S/ DAVID SUTHERLAND-YOEST</w:t>
      </w:r>
      <w:r>
        <w:rPr>
          <w:sz w:val="20"/>
          <w:szCs w:val="20"/>
          <w:color w:val="auto"/>
        </w:rPr>
        <w:tab/>
      </w:r>
      <w:r>
        <w:rPr>
          <w:rFonts w:ascii="Courier New" w:cs="Courier New" w:eastAsia="Courier New" w:hAnsi="Courier New"/>
          <w:sz w:val="14"/>
          <w:szCs w:val="14"/>
          <w:color w:val="auto"/>
        </w:rPr>
        <w:t>President and Director</w:t>
      </w:r>
    </w:p>
    <w:p>
      <w:pPr>
        <w:ind w:left="170" w:hanging="170"/>
        <w:spacing w:after="0" w:line="237" w:lineRule="auto"/>
        <w:tabs>
          <w:tab w:leader="none" w:pos="17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Sutherland-Yoest</w:t>
      </w:r>
    </w:p>
    <w:p>
      <w:pPr>
        <w:spacing w:after="0" w:line="335" w:lineRule="exact"/>
        <w:rPr>
          <w:sz w:val="20"/>
          <w:szCs w:val="20"/>
          <w:color w:val="auto"/>
        </w:rPr>
      </w:pPr>
    </w:p>
    <w:p>
      <w:pPr>
        <w:ind w:left="870"/>
        <w:spacing w:after="0"/>
        <w:tabs>
          <w:tab w:leader="none" w:pos="3750" w:val="left"/>
        </w:tabs>
        <w:rPr>
          <w:sz w:val="20"/>
          <w:szCs w:val="20"/>
          <w:color w:val="auto"/>
        </w:rPr>
      </w:pPr>
      <w:r>
        <w:rPr>
          <w:rFonts w:ascii="Courier New" w:cs="Courier New" w:eastAsia="Courier New" w:hAnsi="Courier New"/>
          <w:sz w:val="15"/>
          <w:szCs w:val="15"/>
          <w:color w:val="auto"/>
        </w:rPr>
        <w:t>/S/ GEORGE L. BALL</w:t>
      </w:r>
      <w:r>
        <w:rPr>
          <w:sz w:val="20"/>
          <w:szCs w:val="20"/>
          <w:color w:val="auto"/>
        </w:rPr>
        <w:tab/>
      </w:r>
      <w:r>
        <w:rPr>
          <w:rFonts w:ascii="Courier New" w:cs="Courier New" w:eastAsia="Courier New" w:hAnsi="Courier New"/>
          <w:sz w:val="14"/>
          <w:szCs w:val="14"/>
          <w:color w:val="auto"/>
        </w:rPr>
        <w:t>Director</w:t>
      </w:r>
    </w:p>
    <w:p>
      <w:pPr>
        <w:ind w:left="170" w:hanging="170"/>
        <w:spacing w:after="0" w:line="237" w:lineRule="auto"/>
        <w:tabs>
          <w:tab w:leader="none" w:pos="1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George L. Ball</w:t>
      </w:r>
    </w:p>
    <w:p>
      <w:pPr>
        <w:spacing w:after="0" w:line="167" w:lineRule="exact"/>
        <w:rPr>
          <w:sz w:val="20"/>
          <w:szCs w:val="20"/>
          <w:color w:val="auto"/>
        </w:rPr>
      </w:pPr>
    </w:p>
    <w:p>
      <w:pPr>
        <w:ind w:left="870"/>
        <w:spacing w:after="0"/>
        <w:tabs>
          <w:tab w:leader="none" w:pos="3750" w:val="left"/>
        </w:tabs>
        <w:rPr>
          <w:sz w:val="20"/>
          <w:szCs w:val="20"/>
          <w:color w:val="auto"/>
        </w:rPr>
      </w:pPr>
      <w:r>
        <w:rPr>
          <w:rFonts w:ascii="Courier New" w:cs="Courier New" w:eastAsia="Courier New" w:hAnsi="Courier New"/>
          <w:sz w:val="15"/>
          <w:szCs w:val="15"/>
          <w:color w:val="auto"/>
        </w:rPr>
        <w:t>/S/ PETER J. GIBBONS</w:t>
      </w:r>
      <w:r>
        <w:rPr>
          <w:sz w:val="20"/>
          <w:szCs w:val="20"/>
          <w:color w:val="auto"/>
        </w:rPr>
        <w:tab/>
      </w:r>
      <w:r>
        <w:rPr>
          <w:rFonts w:ascii="Courier New" w:cs="Courier New" w:eastAsia="Courier New" w:hAnsi="Courier New"/>
          <w:sz w:val="14"/>
          <w:szCs w:val="14"/>
          <w:color w:val="auto"/>
        </w:rPr>
        <w:t>Director</w:t>
      </w:r>
    </w:p>
    <w:p>
      <w:pPr>
        <w:ind w:left="170" w:hanging="170"/>
        <w:spacing w:after="0" w:line="237" w:lineRule="auto"/>
        <w:tabs>
          <w:tab w:leader="none" w:pos="17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Peter J. Gibbons</w:t>
      </w:r>
    </w:p>
    <w:p>
      <w:pPr>
        <w:spacing w:after="0" w:line="335" w:lineRule="exact"/>
        <w:rPr>
          <w:sz w:val="20"/>
          <w:szCs w:val="20"/>
          <w:color w:val="auto"/>
        </w:rPr>
      </w:pPr>
    </w:p>
    <w:p>
      <w:pPr>
        <w:ind w:left="790"/>
        <w:spacing w:after="0"/>
        <w:tabs>
          <w:tab w:leader="none" w:pos="3750" w:val="left"/>
        </w:tabs>
        <w:rPr>
          <w:sz w:val="20"/>
          <w:szCs w:val="20"/>
          <w:color w:val="auto"/>
        </w:rPr>
      </w:pPr>
      <w:r>
        <w:rPr>
          <w:rFonts w:ascii="Courier New" w:cs="Courier New" w:eastAsia="Courier New" w:hAnsi="Courier New"/>
          <w:sz w:val="15"/>
          <w:szCs w:val="15"/>
          <w:color w:val="auto"/>
        </w:rPr>
        <w:t>/S/ RICHARD J. HECKMAN</w:t>
      </w:r>
      <w:r>
        <w:rPr>
          <w:sz w:val="20"/>
          <w:szCs w:val="20"/>
          <w:color w:val="auto"/>
        </w:rPr>
        <w:tab/>
      </w:r>
      <w:r>
        <w:rPr>
          <w:rFonts w:ascii="Courier New" w:cs="Courier New" w:eastAsia="Courier New" w:hAnsi="Courier New"/>
          <w:sz w:val="14"/>
          <w:szCs w:val="14"/>
          <w:color w:val="auto"/>
        </w:rPr>
        <w:t>Director</w:t>
      </w:r>
    </w:p>
    <w:p>
      <w:pPr>
        <w:ind w:left="170" w:hanging="170"/>
        <w:spacing w:after="0" w:line="237" w:lineRule="auto"/>
        <w:tabs>
          <w:tab w:leader="none" w:pos="17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335" w:lineRule="exact"/>
        <w:rPr>
          <w:sz w:val="20"/>
          <w:szCs w:val="20"/>
          <w:color w:val="auto"/>
        </w:rPr>
      </w:pPr>
    </w:p>
    <w:p>
      <w:pPr>
        <w:ind w:left="790"/>
        <w:spacing w:after="0"/>
        <w:tabs>
          <w:tab w:leader="none" w:pos="3750" w:val="left"/>
        </w:tabs>
        <w:rPr>
          <w:sz w:val="20"/>
          <w:szCs w:val="20"/>
          <w:color w:val="auto"/>
        </w:rPr>
      </w:pPr>
      <w:r>
        <w:rPr>
          <w:rFonts w:ascii="Courier New" w:cs="Courier New" w:eastAsia="Courier New" w:hAnsi="Courier New"/>
          <w:sz w:val="15"/>
          <w:szCs w:val="15"/>
          <w:color w:val="auto"/>
        </w:rPr>
        <w:t>/S/ WILLIAM E. MOFFETT</w:t>
      </w:r>
      <w:r>
        <w:rPr>
          <w:sz w:val="20"/>
          <w:szCs w:val="20"/>
          <w:color w:val="auto"/>
        </w:rPr>
        <w:tab/>
      </w:r>
      <w:r>
        <w:rPr>
          <w:rFonts w:ascii="Courier New" w:cs="Courier New" w:eastAsia="Courier New" w:hAnsi="Courier New"/>
          <w:sz w:val="14"/>
          <w:szCs w:val="14"/>
          <w:color w:val="auto"/>
        </w:rPr>
        <w:t>Director</w:t>
      </w:r>
    </w:p>
    <w:p>
      <w:pPr>
        <w:ind w:left="170" w:hanging="170"/>
        <w:spacing w:after="0" w:line="237" w:lineRule="auto"/>
        <w:tabs>
          <w:tab w:leader="none" w:pos="1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pacing w:after="0" w:line="335" w:lineRule="exact"/>
        <w:rPr>
          <w:sz w:val="20"/>
          <w:szCs w:val="20"/>
          <w:color w:val="auto"/>
        </w:rPr>
      </w:pPr>
    </w:p>
    <w:p>
      <w:pPr>
        <w:ind w:left="610"/>
        <w:spacing w:after="0"/>
        <w:tabs>
          <w:tab w:leader="none" w:pos="3750" w:val="left"/>
        </w:tabs>
        <w:rPr>
          <w:sz w:val="20"/>
          <w:szCs w:val="20"/>
          <w:color w:val="auto"/>
        </w:rPr>
      </w:pPr>
      <w:r>
        <w:rPr>
          <w:rFonts w:ascii="Courier New" w:cs="Courier New" w:eastAsia="Courier New" w:hAnsi="Courier New"/>
          <w:sz w:val="15"/>
          <w:szCs w:val="15"/>
          <w:color w:val="auto"/>
        </w:rPr>
        <w:t>/S/ JOHN G. RANGOS, SR.</w:t>
      </w:r>
      <w:r>
        <w:rPr>
          <w:sz w:val="20"/>
          <w:szCs w:val="20"/>
          <w:color w:val="auto"/>
        </w:rPr>
        <w:tab/>
      </w:r>
      <w:r>
        <w:rPr>
          <w:rFonts w:ascii="Courier New" w:cs="Courier New" w:eastAsia="Courier New" w:hAnsi="Courier New"/>
          <w:sz w:val="14"/>
          <w:szCs w:val="14"/>
          <w:color w:val="auto"/>
        </w:rPr>
        <w:t>Director</w:t>
      </w:r>
    </w:p>
    <w:p>
      <w:pPr>
        <w:ind w:left="170" w:hanging="170"/>
        <w:spacing w:after="0" w:line="237" w:lineRule="auto"/>
        <w:tabs>
          <w:tab w:leader="none" w:pos="1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335" w:lineRule="exact"/>
        <w:rPr>
          <w:sz w:val="20"/>
          <w:szCs w:val="20"/>
          <w:color w:val="auto"/>
        </w:rPr>
      </w:pPr>
    </w:p>
    <w:p>
      <w:pPr>
        <w:jc w:val="right"/>
        <w:ind w:right="4199"/>
        <w:spacing w:after="0"/>
        <w:tabs>
          <w:tab w:leader="none" w:pos="2240" w:val="left"/>
        </w:tabs>
        <w:rPr>
          <w:sz w:val="20"/>
          <w:szCs w:val="20"/>
          <w:color w:val="auto"/>
        </w:rPr>
      </w:pPr>
      <w:r>
        <w:rPr>
          <w:rFonts w:ascii="Courier New" w:cs="Courier New" w:eastAsia="Courier New" w:hAnsi="Courier New"/>
          <w:sz w:val="15"/>
          <w:szCs w:val="15"/>
          <w:color w:val="auto"/>
        </w:rPr>
        <w:t>/S/ ALEXANDER W. RANGOS</w:t>
      </w:r>
      <w:r>
        <w:rPr>
          <w:sz w:val="20"/>
          <w:szCs w:val="20"/>
          <w:color w:val="auto"/>
        </w:rPr>
        <w:tab/>
      </w:r>
      <w:r>
        <w:rPr>
          <w:rFonts w:ascii="Courier New" w:cs="Courier New" w:eastAsia="Courier New" w:hAnsi="Courier New"/>
          <w:sz w:val="14"/>
          <w:szCs w:val="14"/>
          <w:color w:val="auto"/>
        </w:rPr>
        <w:t>Vice Chairman and Director</w:t>
      </w:r>
    </w:p>
    <w:p>
      <w:pPr>
        <w:ind w:left="170" w:hanging="170"/>
        <w:spacing w:after="0" w:line="237" w:lineRule="auto"/>
        <w:tabs>
          <w:tab w:leader="none" w:pos="17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Alexander W. Rangos</w:t>
      </w:r>
    </w:p>
    <w:p>
      <w:pPr>
        <w:spacing w:after="0" w:line="335" w:lineRule="exact"/>
        <w:rPr>
          <w:sz w:val="20"/>
          <w:szCs w:val="20"/>
          <w:color w:val="auto"/>
        </w:rPr>
      </w:pPr>
    </w:p>
    <w:p>
      <w:pPr>
        <w:ind w:left="870"/>
        <w:spacing w:after="0"/>
        <w:tabs>
          <w:tab w:leader="none" w:pos="3750" w:val="left"/>
        </w:tabs>
        <w:rPr>
          <w:sz w:val="20"/>
          <w:szCs w:val="20"/>
          <w:color w:val="auto"/>
        </w:rPr>
      </w:pPr>
      <w:r>
        <w:rPr>
          <w:rFonts w:ascii="Courier New" w:cs="Courier New" w:eastAsia="Courier New" w:hAnsi="Courier New"/>
          <w:sz w:val="15"/>
          <w:szCs w:val="15"/>
          <w:color w:val="auto"/>
        </w:rPr>
        <w:t>/S/ KOSTI SHIRVANIAN</w:t>
      </w:r>
      <w:r>
        <w:rPr>
          <w:sz w:val="20"/>
          <w:szCs w:val="20"/>
          <w:color w:val="auto"/>
        </w:rPr>
        <w:tab/>
      </w:r>
      <w:r>
        <w:rPr>
          <w:rFonts w:ascii="Courier New" w:cs="Courier New" w:eastAsia="Courier New" w:hAnsi="Courier New"/>
          <w:sz w:val="14"/>
          <w:szCs w:val="14"/>
          <w:color w:val="auto"/>
        </w:rPr>
        <w:t>Director</w:t>
      </w:r>
    </w:p>
    <w:p>
      <w:pPr>
        <w:ind w:left="170" w:hanging="170"/>
        <w:spacing w:after="0" w:line="237" w:lineRule="auto"/>
        <w:tabs>
          <w:tab w:leader="none" w:pos="17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Kosti Shirvanian</w:t>
      </w:r>
    </w:p>
    <w:p>
      <w:pPr>
        <w:spacing w:after="0" w:line="335" w:lineRule="exact"/>
        <w:rPr>
          <w:sz w:val="20"/>
          <w:szCs w:val="20"/>
          <w:color w:val="auto"/>
        </w:rPr>
      </w:pPr>
    </w:p>
    <w:p>
      <w:pPr>
        <w:ind w:left="870"/>
        <w:spacing w:after="0"/>
        <w:tabs>
          <w:tab w:leader="none" w:pos="3750" w:val="left"/>
        </w:tabs>
        <w:rPr>
          <w:sz w:val="20"/>
          <w:szCs w:val="20"/>
          <w:color w:val="auto"/>
        </w:rPr>
      </w:pPr>
      <w:r>
        <w:rPr>
          <w:rFonts w:ascii="Courier New" w:cs="Courier New" w:eastAsia="Courier New" w:hAnsi="Courier New"/>
          <w:sz w:val="15"/>
          <w:szCs w:val="15"/>
          <w:color w:val="auto"/>
        </w:rPr>
        <w:t>/S/ SAVEY TUFENKIAN</w:t>
      </w:r>
      <w:r>
        <w:rPr>
          <w:sz w:val="20"/>
          <w:szCs w:val="20"/>
          <w:color w:val="auto"/>
        </w:rPr>
        <w:tab/>
      </w:r>
      <w:r>
        <w:rPr>
          <w:rFonts w:ascii="Courier New" w:cs="Courier New" w:eastAsia="Courier New" w:hAnsi="Courier New"/>
          <w:sz w:val="14"/>
          <w:szCs w:val="14"/>
          <w:color w:val="auto"/>
        </w:rPr>
        <w:t>Director</w:t>
      </w:r>
    </w:p>
    <w:p>
      <w:pPr>
        <w:ind w:left="170" w:hanging="170"/>
        <w:spacing w:after="0" w:line="237" w:lineRule="auto"/>
        <w:tabs>
          <w:tab w:leader="none" w:pos="1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Savey Tufenkian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9"/>
          </w:cols>
          <w:pgMar w:left="23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142</w:t>
      </w:r>
    </w:p>
    <w:tbl>
      <w:tblPr>
        <w:tblLayout w:type="fixed"/>
        <w:tblInd w:w="0" w:type="dxa"/>
        <w:tblCellMar>
          <w:top w:w="0" w:type="dxa"/>
          <w:left w:w="0" w:type="dxa"/>
          <w:bottom w:w="0" w:type="dxa"/>
          <w:right w:w="0" w:type="dxa"/>
        </w:tblCellMar>
      </w:tblP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INDEX TO EXHIBITS</w:t>
            </w:r>
          </w:p>
        </w:tc>
      </w:tr>
      <w:tr>
        <w:trPr>
          <w:trHeight w:val="673"/>
        </w:trPr>
        <w:tc>
          <w:tcPr>
            <w:tcW w:w="8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20" w:type="dxa"/>
            <w:vAlign w:val="bottom"/>
          </w:tcPr>
          <w:p>
            <w:pPr>
              <w:spacing w:after="0"/>
              <w:rPr>
                <w:sz w:val="24"/>
                <w:szCs w:val="24"/>
                <w:color w:val="auto"/>
              </w:rPr>
            </w:pPr>
          </w:p>
        </w:tc>
        <w:tc>
          <w:tcPr>
            <w:tcW w:w="9000" w:type="dxa"/>
            <w:vAlign w:val="bottom"/>
          </w:tcPr>
          <w:p>
            <w:pPr>
              <w:spacing w:after="0"/>
              <w:rPr>
                <w:sz w:val="24"/>
                <w:szCs w:val="24"/>
                <w:color w:val="auto"/>
              </w:rPr>
            </w:pPr>
          </w:p>
        </w:tc>
      </w:tr>
      <w:tr>
        <w:trPr>
          <w:trHeight w:val="336"/>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rPr>
                <w:sz w:val="20"/>
                <w:szCs w:val="20"/>
                <w:color w:val="auto"/>
              </w:rPr>
            </w:pPr>
            <w:r>
              <w:rPr>
                <w:rFonts w:ascii="Courier New" w:cs="Courier New" w:eastAsia="Courier New" w:hAnsi="Courier New"/>
                <w:sz w:val="15"/>
                <w:szCs w:val="15"/>
                <w:color w:val="auto"/>
                <w:w w:val="98"/>
              </w:rPr>
              <w:t>Agreement and Plan of Merger dated as of June 22, 1996, among USA Waste Services, Inc. ("USA Waste"),</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Quatro Acquisition Corporation, a wholly owned subsidiary of USA Waste ("Acquisition"), and Sanifill,</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 ("Sanifill") --included as Annex A to the Joint Proxy Statement and Prospectus herein.</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Restated Certificate of Incorporation  --incorporated by reference to Exhibit 3.1(b) of the</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Registrant's  Quarterly Report on Form 10-Q for the quarterly period ended March 31, 1996.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Bylaws --incorporated by reference to Exhibit 3.2 of the Registrant's Registration Statement on Form S-</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4, File No. 33-60103.</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Specimen Stock Certificate --incorporated by reference to Exhibit 4.3 of the Registrant's Registration</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on Form S-3, File No. 33-76224.</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**5.1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Opinion of Andrews &amp; Kurth L.L.P. as to the legality of the securities being registered.</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Opinion of Baker &amp; Botts, L.L.P. as to certain federal income tax matters.</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Agreement Among USA Waste, D. Moorehead, Jr., J. Drury, J. Rangos, Sr., A. Rangos, J. Rangos, Jr. and</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Rangos Development Corporation, Inc. dated June 21, 1996.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Employment and Noncompetition Agreement between USA Waste and Lorne D. Bain, dated June 22, 1996.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Letter Agreement between USA Waste and Kosti Shirvanian, dated December 18, 1995.</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Letter Agreement between USA Waste and Kosti Shirvanian, dated June 21, 1996.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Letter Agreement between USA Waste and Sanifill, dated June 22, 1996, regarding indemnification</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provisions of certificate of incorporation.</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Confidentiality Agreement, dated June 17, 1996, between USA Waste Services, Inc., as the Protected</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Party, and Sanifill, Inc., as the Recipient.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Confidentiality Agreement, dated June 17, 1996, between Sanifill, Inc., as the Protected Party, and USA</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Waste Services, Inc., as the Recipient.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*21.1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Subsidiaries of the Registrant.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Coopers &amp; Lybrand L.L.P.</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Deloitte &amp; Touche LLP.</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Ernst &amp; Young LLP.</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Arthur Andersen LLP.</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Andrews &amp; Kurth L.L.P. --included in Exhibit 5.1.</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Baker &amp; Botts, L.L.P. --included in Exhibit 8.1.</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Donaldson, Lufkin &amp; Jenrette Securities Corporation.</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of Merrill Lynch, Pierce, Fenner &amp; Smith Incorporated.</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*24.1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Powers of Attorney --included on the signature pages in Part II of this Registration Statement.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*99.1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USA Waste Services, Inc's Proxy Card</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*99.2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Sanifill, Inc's Proxy Card</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*99.3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Opinion of Donaldson, Lufkin &amp; Jenrette Securities Corporation --included as Annex B to the Joint Proxy</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and Prospectus herein.</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*99.4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Opinion of Merrill Lynch, Pierce, Fenner &amp; Smith Incorporated--included as Annex C to the Joint Proxy</w:t>
            </w:r>
          </w:p>
        </w:tc>
      </w:tr>
      <w:tr>
        <w:trPr>
          <w:trHeight w:val="168"/>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and Prospectus herein.</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000" w:type="dxa"/>
            <w:vAlign w:val="bottom"/>
          </w:tcPr>
          <w:p>
            <w:pPr>
              <w:spacing w:after="0"/>
              <w:rPr>
                <w:sz w:val="14"/>
                <w:szCs w:val="14"/>
                <w:color w:val="auto"/>
              </w:rPr>
            </w:pPr>
          </w:p>
        </w:tc>
      </w:tr>
    </w:tbl>
    <w:p>
      <w:pPr>
        <w:spacing w:after="0" w:line="166" w:lineRule="exact"/>
        <w:rPr>
          <w:sz w:val="20"/>
          <w:szCs w:val="20"/>
          <w:color w:val="auto"/>
        </w:rPr>
      </w:pPr>
    </w:p>
    <w:p>
      <w:pPr>
        <w:ind w:left="800" w:hanging="790"/>
        <w:spacing w:after="0"/>
        <w:tabs>
          <w:tab w:leader="none" w:pos="8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ind w:left="800" w:hanging="790"/>
        <w:spacing w:after="0" w:line="237" w:lineRule="auto"/>
        <w:tabs>
          <w:tab w:leader="none" w:pos="8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ectPr>
          <w:pgSz w:w="11900" w:h="16838" w:orient="portrait"/>
          <w:cols w:equalWidth="0" w:num="1">
            <w:col w:w="10500"/>
          </w:cols>
          <w:pgMar w:left="220" w:top="281" w:right="1179"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8.1</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FORM OF OPINION OF</w:t>
      </w:r>
    </w:p>
    <w:p>
      <w:pPr>
        <w:ind w:left="2460"/>
        <w:spacing w:after="0" w:line="237" w:lineRule="auto"/>
        <w:rPr>
          <w:sz w:val="20"/>
          <w:szCs w:val="20"/>
          <w:color w:val="auto"/>
        </w:rPr>
      </w:pPr>
      <w:r>
        <w:rPr>
          <w:rFonts w:ascii="Courier New" w:cs="Courier New" w:eastAsia="Courier New" w:hAnsi="Courier New"/>
          <w:sz w:val="15"/>
          <w:szCs w:val="15"/>
          <w:color w:val="auto"/>
        </w:rPr>
        <w:t>BAKER &amp; BOTTS, L.L.P.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237" w:lineRule="auto"/>
        <w:rPr>
          <w:sz w:val="20"/>
          <w:szCs w:val="20"/>
          <w:color w:val="auto"/>
        </w:rPr>
      </w:pPr>
      <w:r>
        <w:rPr>
          <w:rFonts w:ascii="Courier New" w:cs="Courier New" w:eastAsia="Courier New" w:hAnsi="Courier New"/>
          <w:sz w:val="15"/>
          <w:szCs w:val="15"/>
          <w:color w:val="auto"/>
        </w:rPr>
        <w:t>Suite 700</w:t>
      </w:r>
    </w:p>
    <w:p>
      <w:pPr>
        <w:spacing w:after="0" w:line="238" w:lineRule="auto"/>
        <w:rPr>
          <w:sz w:val="20"/>
          <w:szCs w:val="20"/>
          <w:color w:val="auto"/>
        </w:rPr>
      </w:pPr>
      <w:r>
        <w:rPr>
          <w:rFonts w:ascii="Courier New" w:cs="Courier New" w:eastAsia="Courier New" w:hAnsi="Courier New"/>
          <w:sz w:val="15"/>
          <w:szCs w:val="15"/>
          <w:color w:val="auto"/>
        </w:rPr>
        <w:t>2777 Allen Parkway</w:t>
      </w:r>
    </w:p>
    <w:p>
      <w:pPr>
        <w:spacing w:after="0" w:line="237" w:lineRule="auto"/>
        <w:rPr>
          <w:sz w:val="20"/>
          <w:szCs w:val="20"/>
          <w:color w:val="auto"/>
        </w:rPr>
      </w:pPr>
      <w:r>
        <w:rPr>
          <w:rFonts w:ascii="Courier New" w:cs="Courier New" w:eastAsia="Courier New" w:hAnsi="Courier New"/>
          <w:sz w:val="15"/>
          <w:szCs w:val="15"/>
          <w:color w:val="auto"/>
        </w:rPr>
        <w:t>Houston, Texas 77019</w:t>
      </w:r>
    </w:p>
    <w:p>
      <w:pPr>
        <w:spacing w:after="0" w:line="342" w:lineRule="exact"/>
        <w:rPr>
          <w:sz w:val="20"/>
          <w:szCs w:val="20"/>
          <w:color w:val="auto"/>
        </w:rPr>
      </w:pPr>
    </w:p>
    <w:p>
      <w:pPr>
        <w:ind w:right="3319" w:firstLine="1399"/>
        <w:spacing w:after="0" w:line="255" w:lineRule="auto"/>
        <w:rPr>
          <w:sz w:val="20"/>
          <w:szCs w:val="20"/>
          <w:color w:val="auto"/>
        </w:rPr>
      </w:pPr>
      <w:r>
        <w:rPr>
          <w:rFonts w:ascii="Courier New" w:cs="Courier New" w:eastAsia="Courier New" w:hAnsi="Courier New"/>
          <w:sz w:val="14"/>
          <w:szCs w:val="14"/>
          <w:color w:val="auto"/>
        </w:rPr>
        <w:t>We have acted as counsel to Sanifill, Inc. ("Sanifill") in connection with the planned merger (the "Merger") into Sanifill of Quatro Acquisition Corp. ("Subsidiary"), which is a newly formed, wholly owned subsidiary of USA Waste Services, Inc. ("USA Waste"), pursuant to an Agreement and Plan of Merger dated as of June 22, 1996 (the "Merger Agreement"). Defined terms used in the Merger Agreement have the same meaning when used herein, except that the terms "Sanifill" and "USA Waste" are sometimes used in place of the terms "the Company" and "Parent," respectively.</w:t>
      </w:r>
    </w:p>
    <w:p>
      <w:pPr>
        <w:spacing w:after="0" w:line="166" w:lineRule="exact"/>
        <w:rPr>
          <w:sz w:val="20"/>
          <w:szCs w:val="20"/>
          <w:color w:val="auto"/>
        </w:rPr>
      </w:pPr>
    </w:p>
    <w:p>
      <w:pPr>
        <w:ind w:right="3239" w:firstLine="1399"/>
        <w:spacing w:after="0" w:line="254" w:lineRule="auto"/>
        <w:rPr>
          <w:sz w:val="20"/>
          <w:szCs w:val="20"/>
          <w:color w:val="auto"/>
        </w:rPr>
      </w:pPr>
      <w:r>
        <w:rPr>
          <w:rFonts w:ascii="Courier New" w:cs="Courier New" w:eastAsia="Courier New" w:hAnsi="Courier New"/>
          <w:sz w:val="14"/>
          <w:szCs w:val="14"/>
          <w:color w:val="auto"/>
        </w:rPr>
        <w:t>In rendering this opinion, we have examined and are relying upon (without any independent investigation or review thereof) the truth and accuracy at all relevant times of the statements, covenants, and representations contained in (i) the Merger Agreement (including the Parent Disclosure Schedule and the Company Disclosure Schedule thereto), (ii) the Joint Proxy Statement/Prospectus (which was included in Registration Statement No. _____, as amended, filed by Sanifill and USA Waste with the Securities and Exchange Commission (the "Registration Statement")), (iii) certain of the</w:t>
      </w:r>
    </w:p>
    <w:tbl>
      <w:tblPr>
        <w:tblLayout w:type="fixed"/>
        <w:tblInd w:w="0" w:type="dxa"/>
        <w:tblCellMar>
          <w:top w:w="0" w:type="dxa"/>
          <w:left w:w="0" w:type="dxa"/>
          <w:bottom w:w="0" w:type="dxa"/>
          <w:right w:w="0" w:type="dxa"/>
        </w:tblCellMar>
      </w:tblPr>
      <w:tr>
        <w:trPr>
          <w:trHeight w:val="166"/>
        </w:trPr>
        <w:tc>
          <w:tcPr>
            <w:tcW w:w="6220" w:type="dxa"/>
            <w:vAlign w:val="bottom"/>
            <w:gridSpan w:val="3"/>
          </w:tcPr>
          <w:p>
            <w:pPr>
              <w:spacing w:after="0" w:line="166" w:lineRule="exact"/>
              <w:rPr>
                <w:sz w:val="20"/>
                <w:szCs w:val="20"/>
                <w:color w:val="auto"/>
              </w:rPr>
            </w:pPr>
            <w:r>
              <w:rPr>
                <w:rFonts w:ascii="Courier New" w:cs="Courier New" w:eastAsia="Courier New" w:hAnsi="Courier New"/>
                <w:sz w:val="15"/>
                <w:szCs w:val="15"/>
                <w:color w:val="auto"/>
              </w:rPr>
              <w:t>Company SEC Reports, and (iv) the officers' certificates dated July</w:t>
            </w:r>
          </w:p>
        </w:tc>
        <w:tc>
          <w:tcPr>
            <w:tcW w:w="520" w:type="dxa"/>
            <w:vAlign w:val="bottom"/>
          </w:tcPr>
          <w:p>
            <w:pPr>
              <w:jc w:val="right"/>
              <w:spacing w:after="0" w:line="166" w:lineRule="exact"/>
              <w:rPr>
                <w:sz w:val="20"/>
                <w:szCs w:val="20"/>
                <w:color w:val="auto"/>
              </w:rPr>
            </w:pPr>
            <w:r>
              <w:rPr>
                <w:rFonts w:ascii="Courier New" w:cs="Courier New" w:eastAsia="Courier New" w:hAnsi="Courier New"/>
                <w:sz w:val="15"/>
                <w:szCs w:val="15"/>
                <w:color w:val="auto"/>
                <w:w w:val="92"/>
              </w:rPr>
              <w:t>, 1996</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which were provided to us</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USA</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Waste and Sanifill and which are attached</w:t>
            </w:r>
          </w:p>
        </w:tc>
      </w:tr>
      <w:tr>
        <w:trPr>
          <w:trHeight w:val="168"/>
        </w:trPr>
        <w:tc>
          <w:tcPr>
            <w:tcW w:w="6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hereto. In addition, we assume that the Merger will be consummated in</w:t>
            </w:r>
          </w:p>
        </w:tc>
        <w:tc>
          <w:tcPr>
            <w:tcW w:w="520" w:type="dxa"/>
            <w:vAlign w:val="bottom"/>
          </w:tcPr>
          <w:p>
            <w:pPr>
              <w:spacing w:after="0"/>
              <w:rPr>
                <w:sz w:val="14"/>
                <w:szCs w:val="14"/>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accordance with the Merger Agreement and as described in the Joint Proxy</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Statement/Prospectus. Any</w:t>
            </w:r>
          </w:p>
        </w:tc>
        <w:tc>
          <w:tcPr>
            <w:tcW w:w="45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inaccuracy in any of the aforementioned statements,</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representations, and assumptions</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or breach of any of the aforementioned</w:t>
            </w:r>
          </w:p>
        </w:tc>
        <w:tc>
          <w:tcPr>
            <w:tcW w:w="52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covenants could adversely</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affect</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our opinion.</w:t>
            </w:r>
          </w:p>
        </w:tc>
        <w:tc>
          <w:tcPr>
            <w:tcW w:w="520" w:type="dxa"/>
            <w:vAlign w:val="bottom"/>
          </w:tcPr>
          <w:p>
            <w:pPr>
              <w:spacing w:after="0"/>
              <w:rPr>
                <w:sz w:val="14"/>
                <w:szCs w:val="14"/>
                <w:color w:val="auto"/>
              </w:rPr>
            </w:pPr>
          </w:p>
        </w:tc>
      </w:tr>
    </w:tbl>
    <w:p>
      <w:pPr>
        <w:spacing w:after="0" w:line="173" w:lineRule="exact"/>
        <w:rPr>
          <w:sz w:val="20"/>
          <w:szCs w:val="20"/>
          <w:color w:val="auto"/>
        </w:rPr>
      </w:pPr>
    </w:p>
    <w:p>
      <w:pPr>
        <w:ind w:right="3319" w:firstLine="1399"/>
        <w:spacing w:after="0" w:line="236" w:lineRule="auto"/>
        <w:rPr>
          <w:sz w:val="20"/>
          <w:szCs w:val="20"/>
          <w:color w:val="auto"/>
        </w:rPr>
      </w:pPr>
      <w:r>
        <w:rPr>
          <w:rFonts w:ascii="Courier New" w:cs="Courier New" w:eastAsia="Courier New" w:hAnsi="Courier New"/>
          <w:sz w:val="15"/>
          <w:szCs w:val="15"/>
          <w:color w:val="auto"/>
        </w:rPr>
        <w:t>On the basis of and subject to the foregoing and subject to the limitations set forth below, it is our opinion that, under presently applicable federal income tax law, the Merger will be a tax-free reorganization within the meaning of section 368(a)(2)(E) of the Code. As a result, the following U.S. federal income tax consequences will occur:</w:t>
      </w:r>
    </w:p>
    <w:p>
      <w:pPr>
        <w:sectPr>
          <w:pgSz w:w="11900" w:h="16838" w:orient="portrait"/>
          <w:cols w:equalWidth="0" w:num="1">
            <w:col w:w="10239"/>
          </w:cols>
          <w:pgMar w:left="220" w:top="135"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70"/>
        </w:trPr>
        <w:tc>
          <w:tcPr>
            <w:tcW w:w="220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2</w:t>
            </w:r>
          </w:p>
        </w:tc>
        <w:tc>
          <w:tcPr>
            <w:tcW w:w="1220" w:type="dxa"/>
            <w:vAlign w:val="bottom"/>
          </w:tcPr>
          <w:p>
            <w:pPr>
              <w:spacing w:after="0"/>
              <w:rPr>
                <w:sz w:val="14"/>
                <w:szCs w:val="14"/>
                <w:color w:val="auto"/>
              </w:rPr>
            </w:pPr>
          </w:p>
        </w:tc>
      </w:tr>
      <w:tr>
        <w:trPr>
          <w:trHeight w:val="168"/>
        </w:trPr>
        <w:tc>
          <w:tcPr>
            <w:tcW w:w="22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6"/>
              </w:rPr>
              <w:t>Sanifill, Inc.</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341" w:lineRule="exact"/>
        <w:rPr>
          <w:sz w:val="20"/>
          <w:szCs w:val="20"/>
          <w:color w:val="auto"/>
        </w:rPr>
      </w:pPr>
    </w:p>
    <w:p>
      <w:pPr>
        <w:ind w:left="700" w:right="3679" w:firstLine="709"/>
        <w:spacing w:after="0" w:line="234" w:lineRule="auto"/>
        <w:tabs>
          <w:tab w:leader="none" w:pos="20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Sanifill as a result of the merger of Subsidiary into it.</w:t>
      </w:r>
    </w:p>
    <w:p>
      <w:pPr>
        <w:spacing w:after="0" w:line="173" w:lineRule="exact"/>
        <w:rPr>
          <w:rFonts w:ascii="Courier New" w:cs="Courier New" w:eastAsia="Courier New" w:hAnsi="Courier New"/>
          <w:sz w:val="15"/>
          <w:szCs w:val="15"/>
          <w:color w:val="auto"/>
        </w:rPr>
      </w:pPr>
    </w:p>
    <w:p>
      <w:pPr>
        <w:ind w:left="700" w:right="3579" w:firstLine="709"/>
        <w:spacing w:after="0" w:line="235" w:lineRule="auto"/>
        <w:tabs>
          <w:tab w:leader="none" w:pos="20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holders of Sanifill Common Stock solely upon their receipt in the Merger of USA Waste Common Stock in exchange therefor.</w:t>
      </w:r>
    </w:p>
    <w:p>
      <w:pPr>
        <w:spacing w:after="0" w:line="173" w:lineRule="exact"/>
        <w:rPr>
          <w:rFonts w:ascii="Courier New" w:cs="Courier New" w:eastAsia="Courier New" w:hAnsi="Courier New"/>
          <w:sz w:val="15"/>
          <w:szCs w:val="15"/>
          <w:color w:val="auto"/>
        </w:rPr>
      </w:pPr>
    </w:p>
    <w:p>
      <w:pPr>
        <w:ind w:left="700" w:right="3499" w:firstLine="709"/>
        <w:spacing w:after="0" w:line="256" w:lineRule="auto"/>
        <w:tabs>
          <w:tab w:leader="none" w:pos="209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the shares of USA Waste Common Stock received by a Sanifill stockholder in the Merger (including any fractional share not actually received) will be the same as the tax basis of the Sanifill Common Stock surrendered in exchange therefor.</w:t>
      </w:r>
    </w:p>
    <w:p>
      <w:pPr>
        <w:spacing w:after="0" w:line="164" w:lineRule="exact"/>
        <w:rPr>
          <w:rFonts w:ascii="Courier New" w:cs="Courier New" w:eastAsia="Courier New" w:hAnsi="Courier New"/>
          <w:sz w:val="14"/>
          <w:szCs w:val="14"/>
          <w:color w:val="auto"/>
        </w:rPr>
      </w:pPr>
    </w:p>
    <w:p>
      <w:pPr>
        <w:ind w:left="700" w:right="3499" w:firstLine="709"/>
        <w:spacing w:after="0" w:line="256" w:lineRule="auto"/>
        <w:tabs>
          <w:tab w:leader="none" w:pos="209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shares of USA Waste Common Stock received by a Sanifill stockholder in the Merger will include the holding period of the shares of Sanifill Common Stock surrendered in exchange therefor, provided that such shares of Sanifill Common Stock are held as capital assets at the Effective Time.</w:t>
      </w:r>
    </w:p>
    <w:p>
      <w:pPr>
        <w:spacing w:after="0" w:line="163" w:lineRule="exact"/>
        <w:rPr>
          <w:rFonts w:ascii="Courier New" w:cs="Courier New" w:eastAsia="Courier New" w:hAnsi="Courier New"/>
          <w:sz w:val="14"/>
          <w:szCs w:val="14"/>
          <w:color w:val="auto"/>
        </w:rPr>
      </w:pPr>
    </w:p>
    <w:p>
      <w:pPr>
        <w:ind w:left="700" w:right="3319" w:firstLine="709"/>
        <w:spacing w:after="0" w:line="237" w:lineRule="auto"/>
        <w:tabs>
          <w:tab w:leader="none" w:pos="20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cash payment in lieu of a fractional share will be treated as if a fractional share of USA Waste Common Stock had been received in the Merger and then redeemed by USA Waste. Such redemption should qualify as a distribution in full payment in exchange for the fractional share rather than as a distribution of a dividend. Accordingly, a Sanifill stockholder receiving cash in lieu of a fractional share will recognize gain or loss upon such payment in an amount equal to the difference, if any, between such stockholder's basis in the fractional share (as described in paragraph (c) above) and the amount of cash received. Such gain or loss will be a capital gain or loss if the Sanifill Common Stock is held as a capital asset at the Effective Time.</w:t>
      </w:r>
    </w:p>
    <w:p>
      <w:pPr>
        <w:spacing w:after="0" w:line="173" w:lineRule="exact"/>
        <w:rPr>
          <w:sz w:val="20"/>
          <w:szCs w:val="20"/>
          <w:color w:val="auto"/>
        </w:rPr>
      </w:pPr>
    </w:p>
    <w:p>
      <w:pPr>
        <w:ind w:right="3319" w:firstLine="1399"/>
        <w:spacing w:after="0" w:line="255" w:lineRule="auto"/>
        <w:rPr>
          <w:sz w:val="20"/>
          <w:szCs w:val="20"/>
          <w:color w:val="auto"/>
        </w:rPr>
      </w:pPr>
      <w:r>
        <w:rPr>
          <w:rFonts w:ascii="Courier New" w:cs="Courier New" w:eastAsia="Courier New" w:hAnsi="Courier New"/>
          <w:sz w:val="14"/>
          <w:szCs w:val="14"/>
          <w:color w:val="auto"/>
        </w:rPr>
        <w:t>Our opinion is based on our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conclusions set forth herein. We do not undertake to advise you as to any such future changes or interpretations unless we are specifically retained to do so. Our opinion will not be binding upon the Internal Revenue Service (the "Service"), and the Service will not be precluded from adopting a contrary position.</w:t>
      </w:r>
    </w:p>
    <w:p>
      <w:pPr>
        <w:spacing w:after="0" w:line="165" w:lineRule="exact"/>
        <w:rPr>
          <w:sz w:val="20"/>
          <w:szCs w:val="20"/>
          <w:color w:val="auto"/>
        </w:rPr>
      </w:pPr>
    </w:p>
    <w:p>
      <w:pPr>
        <w:ind w:right="3319" w:firstLine="1399"/>
        <w:spacing w:after="0" w:line="255" w:lineRule="auto"/>
        <w:rPr>
          <w:sz w:val="20"/>
          <w:szCs w:val="20"/>
          <w:color w:val="auto"/>
        </w:rPr>
      </w:pPr>
      <w:r>
        <w:rPr>
          <w:rFonts w:ascii="Courier New" w:cs="Courier New" w:eastAsia="Courier New" w:hAnsi="Courier New"/>
          <w:sz w:val="14"/>
          <w:szCs w:val="14"/>
          <w:color w:val="auto"/>
        </w:rPr>
        <w:t>No opinion is expressed as to any matter not specifically addressed above including, without limitation, the tax consequences to Sanifill of the assumption by USA Waste of liability on, or the guarantee by USA Waste of, Sanifill's 5% convertible subordinated debentures and the tax consequences of the Merger under any foreign, state, or local tax law. Moreover, tax consequences which are different from or in addition to those described herein may apply to Sanifill stockholders who are subject to special treatment under the U.S. federal income tax laws, such as foreign persons, persons who acquired their shares in compensatory transactions, and persons who have a contingent</w:t>
      </w:r>
    </w:p>
    <w:p>
      <w:pPr>
        <w:sectPr>
          <w:pgSz w:w="11900" w:h="16838" w:orient="portrait"/>
          <w:cols w:equalWidth="0" w:num="1">
            <w:col w:w="10239"/>
          </w:cols>
          <w:pgMar w:left="220" w:top="281"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0"/>
        </w:trPr>
        <w:tc>
          <w:tcPr>
            <w:tcW w:w="2240" w:type="dxa"/>
            <w:vAlign w:val="bottom"/>
          </w:tcPr>
          <w:p>
            <w:pPr>
              <w:jc w:val="right"/>
              <w:ind w:right="1807"/>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spacing w:after="0"/>
              <w:rPr>
                <w:sz w:val="14"/>
                <w:szCs w:val="14"/>
                <w:color w:val="auto"/>
              </w:rPr>
            </w:pPr>
          </w:p>
        </w:tc>
      </w:tr>
      <w:tr>
        <w:trPr>
          <w:trHeight w:val="168"/>
        </w:trPr>
        <w:tc>
          <w:tcPr>
            <w:tcW w:w="22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6"/>
              </w:rPr>
              <w:t>Sanifill, Inc.</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34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right to receive additional Sanifill stock as a result of contingency or earn-out provisions in prior acquisitions by Sanifill.</w:t>
      </w:r>
    </w:p>
    <w:p>
      <w:pPr>
        <w:spacing w:after="0" w:line="173" w:lineRule="exact"/>
        <w:rPr>
          <w:sz w:val="20"/>
          <w:szCs w:val="20"/>
          <w:color w:val="auto"/>
        </w:rPr>
      </w:pPr>
    </w:p>
    <w:p>
      <w:pPr>
        <w:ind w:right="3319" w:firstLine="1399"/>
        <w:spacing w:after="0" w:line="236" w:lineRule="auto"/>
        <w:rPr>
          <w:sz w:val="20"/>
          <w:szCs w:val="20"/>
          <w:color w:val="auto"/>
        </w:rPr>
      </w:pPr>
      <w:r>
        <w:rPr>
          <w:rFonts w:ascii="Courier New" w:cs="Courier New" w:eastAsia="Courier New" w:hAnsi="Courier New"/>
          <w:sz w:val="15"/>
          <w:szCs w:val="15"/>
          <w:color w:val="auto"/>
        </w:rPr>
        <w:t>Notwithstanding the qualification of the Merger as a tax-free reorganization, a recipient of USA Waste Common Stock could recognize gain to the extent that such shares were considered by the Service to be received in exchange for consideration other than Sanifill Common Stock. All or a portion of such gain might be taxable as ordinary income. In addition, gain would be recognized to the extent that a Sanifill stockholder was treated by the Service as receiving (directly or indirectly) consideration other than USA Waste Common Stock in exchange for his or her Sanifill Common Stock.</w:t>
      </w:r>
    </w:p>
    <w:p>
      <w:pPr>
        <w:spacing w:after="0" w:line="177" w:lineRule="exact"/>
        <w:rPr>
          <w:sz w:val="20"/>
          <w:szCs w:val="20"/>
          <w:color w:val="auto"/>
        </w:rPr>
      </w:pPr>
    </w:p>
    <w:p>
      <w:pPr>
        <w:ind w:right="3319" w:firstLine="1399"/>
        <w:spacing w:after="0" w:line="255" w:lineRule="auto"/>
        <w:rPr>
          <w:sz w:val="20"/>
          <w:szCs w:val="20"/>
          <w:color w:val="auto"/>
        </w:rPr>
      </w:pPr>
      <w:r>
        <w:rPr>
          <w:rFonts w:ascii="Courier New" w:cs="Courier New" w:eastAsia="Courier New" w:hAnsi="Courier New"/>
          <w:sz w:val="14"/>
          <w:szCs w:val="14"/>
          <w:color w:val="auto"/>
        </w:rPr>
        <w:t>If the Service successfully challenged the status of the Merger as a tax-free reorganization, a Sanifill stockholder would recognize gain or loss in an amount equal to the difference between the stockholder's basis in his or her shares and the fair market value, as of the Effective Date, of the USA Waste Common Stock received in exchange therefor. In such event, the stockholder's basis in the USA Waste Common Stock so received would be equal to its fair market value as of the Effective Date and the holding period for such stock would begin on the day after the Effective Date.</w:t>
      </w:r>
    </w:p>
    <w:p>
      <w:pPr>
        <w:spacing w:after="0" w:line="166" w:lineRule="exact"/>
        <w:rPr>
          <w:sz w:val="20"/>
          <w:szCs w:val="20"/>
          <w:color w:val="auto"/>
        </w:rPr>
      </w:pPr>
    </w:p>
    <w:p>
      <w:pPr>
        <w:ind w:right="3399" w:firstLine="1399"/>
        <w:spacing w:after="0" w:line="236"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This opinion is being delivered to you solely for that purpose. It may not be relied upon or used for any other purpose and may not otherwise be distributed or made available to anyone without our prior written consent.</w:t>
      </w:r>
    </w:p>
    <w:p>
      <w:pPr>
        <w:spacing w:after="0" w:line="33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ATTACHMENT I</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SANIFILL,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OFFICER'S CERTIFICATE</w:t>
      </w:r>
    </w:p>
    <w:p>
      <w:pPr>
        <w:spacing w:after="0" w:line="341"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undersigned officer of Sanifill, Inc., a Delaware corporation (the "Company"), in connection with the opinions to be delivered by Baker &amp; Botts, L.L.P. and Andrews &amp; Kurth L.L.P. pursuant to the Agreement and Plan of Merger by and among the Company, USA Waste Services, Inc., a Delaware corporation ("Parent"), and Quatro Acquisition Corp., a Delaware corporation and a wholly owned subsidiary of Parent ("Subsidiary"), dated as of June 22, 1996 (the "Merger Agreement"), and recognizing that said law firms will rely on this Certificate in delivering such opinion, hereby certifies that the facts described in this Officer's Certificate relating to the proposed merger of Subsidiary with and into the Company (the "Merger") pursuant to the Merger Agreement and any transactions related thereto are true, correct, and complete in all respects and will be true, correct, and complete in all respects at the Effective Time of the Merger, and further certifies as follows (unless otherwise specified, capitalized terms used herein shall have the meaning assigned to them in the Merger Agreement):</w:t>
      </w:r>
    </w:p>
    <w:p>
      <w:pPr>
        <w:spacing w:after="0" w:line="174" w:lineRule="exact"/>
        <w:rPr>
          <w:sz w:val="20"/>
          <w:szCs w:val="20"/>
          <w:color w:val="auto"/>
        </w:rPr>
      </w:pPr>
    </w:p>
    <w:p>
      <w:pPr>
        <w:ind w:right="3319" w:firstLine="797"/>
        <w:spacing w:after="0" w:line="236" w:lineRule="auto"/>
        <w:tabs>
          <w:tab w:leader="none" w:pos="148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certify to you that I am the ____________________________ of the Company. I am familiar with the transactions contemplated by, and the terms and provisions of, the Merger Agreement, have personal knowledge of the matters covered by the following representations, and am authorized to make the following representations on behalf of the Company.</w:t>
      </w:r>
    </w:p>
    <w:p>
      <w:pPr>
        <w:spacing w:after="0" w:line="173" w:lineRule="exact"/>
        <w:rPr>
          <w:rFonts w:ascii="Courier New" w:cs="Courier New" w:eastAsia="Courier New" w:hAnsi="Courier New"/>
          <w:sz w:val="15"/>
          <w:szCs w:val="15"/>
          <w:color w:val="auto"/>
        </w:rPr>
      </w:pPr>
    </w:p>
    <w:p>
      <w:pPr>
        <w:jc w:val="both"/>
        <w:ind w:right="3399" w:firstLine="797"/>
        <w:spacing w:after="0" w:line="235" w:lineRule="auto"/>
        <w:tabs>
          <w:tab w:leader="none" w:pos="148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Parent Common Stock received by each holder of Company Common Stock (a "Company Stockholder") will be approximately equal to the fair market value of Company Common Stock exchanged for such Parent Common Stock in the Merger.</w:t>
      </w:r>
    </w:p>
    <w:p>
      <w:pPr>
        <w:spacing w:after="0" w:line="175" w:lineRule="exact"/>
        <w:rPr>
          <w:rFonts w:ascii="Courier New" w:cs="Courier New" w:eastAsia="Courier New" w:hAnsi="Courier New"/>
          <w:sz w:val="15"/>
          <w:szCs w:val="15"/>
          <w:color w:val="auto"/>
        </w:rPr>
      </w:pPr>
    </w:p>
    <w:p>
      <w:pPr>
        <w:ind w:right="3319" w:firstLine="797"/>
        <w:spacing w:after="0" w:line="237" w:lineRule="auto"/>
        <w:tabs>
          <w:tab w:leader="none" w:pos="148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plan or intention by Company Stockholders who own 5% or more of the Company Common Stock, and, to the best knowledge of the management of the Company, there is no plan or intention on the part of the remaining Company Stockholders, to sell, exchange, or otherwise dispose of a number of shares of Parent Common Stock received in the Merger that would reduce the Company Stockholders' ownership of Parent Common Stock to a number of shares having a value, as of the date of the Merger, of less than 50% of the value of all of the formerly outstanding stock of the Company as of the same date. For purposes of this representation, shares of Company Common Stock exchanged for cash or other property or exchanged for cash in lieu of fractional shares of Parent Common Stock will be treated as outstanding Company Common Stock on the date of the Merger. Moreover, shares of Company Common Stock and shares of Parent</w:t>
      </w:r>
    </w:p>
    <w:p>
      <w:pPr>
        <w:sectPr>
          <w:pgSz w:w="11900" w:h="16838" w:orient="portrait"/>
          <w:cols w:equalWidth="0" w:num="1">
            <w:col w:w="10239"/>
          </w:cols>
          <w:pgMar w:left="220" w:top="28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Common Stock held by Company Stockholders and otherwise sold, redeemed, or disposed of prior or subsequent to the Merger have been considered in making this representation.</w:t>
      </w:r>
    </w:p>
    <w:p>
      <w:pPr>
        <w:spacing w:after="0" w:line="174" w:lineRule="exact"/>
        <w:rPr>
          <w:sz w:val="20"/>
          <w:szCs w:val="20"/>
          <w:color w:val="auto"/>
        </w:rPr>
      </w:pPr>
    </w:p>
    <w:p>
      <w:pPr>
        <w:ind w:right="3319" w:firstLine="797"/>
        <w:spacing w:after="0" w:line="236" w:lineRule="auto"/>
        <w:tabs>
          <w:tab w:leader="none" w:pos="14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the Company will hold at least 90% of the fair market value of the net assets and at least 70% of the fair market value of the gross assets held by the Company immediately prior to the Merger and at least 90% of the fair market value of the net assets and at least 70% of the fair market value of the gross assets held by Subsidiary immediately prior to the Merger.</w:t>
      </w:r>
    </w:p>
    <w:p>
      <w:pPr>
        <w:spacing w:after="0" w:line="175" w:lineRule="exact"/>
        <w:rPr>
          <w:sz w:val="20"/>
          <w:szCs w:val="20"/>
          <w:color w:val="auto"/>
        </w:rPr>
      </w:pPr>
    </w:p>
    <w:p>
      <w:pPr>
        <w:ind w:right="3679" w:firstLine="1487"/>
        <w:spacing w:after="0" w:line="255" w:lineRule="auto"/>
        <w:rPr>
          <w:sz w:val="20"/>
          <w:szCs w:val="20"/>
          <w:color w:val="auto"/>
        </w:rPr>
      </w:pPr>
      <w:r>
        <w:rPr>
          <w:rFonts w:ascii="Courier New" w:cs="Courier New" w:eastAsia="Courier New" w:hAnsi="Courier New"/>
          <w:sz w:val="14"/>
          <w:szCs w:val="14"/>
          <w:color w:val="auto"/>
        </w:rPr>
        <w:t>For purposes of this representation, amounts paid by the Company or Subsidiary to Company Stockholders who receive cash or other property, amounts used by the Company or Subsidiary to pay reorganization expenses, and all redemptions and distributions (except for regular, normal dividends, if any) made by the Company have been included as assets of the Company or Subsidiary, respectively, immediately prior to the Merger.</w:t>
      </w:r>
    </w:p>
    <w:p>
      <w:pPr>
        <w:spacing w:after="0" w:line="166" w:lineRule="exact"/>
        <w:rPr>
          <w:sz w:val="20"/>
          <w:szCs w:val="20"/>
          <w:color w:val="auto"/>
        </w:rPr>
      </w:pPr>
    </w:p>
    <w:p>
      <w:pPr>
        <w:ind w:right="3399" w:firstLine="797"/>
        <w:spacing w:after="0" w:line="258" w:lineRule="auto"/>
        <w:tabs>
          <w:tab w:leader="none" w:pos="148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no redemptions of stock or distributions with respect to its stock at any time on or after the date when a possible business combination of the Company and Parent was first considered.</w:t>
      </w:r>
    </w:p>
    <w:p>
      <w:pPr>
        <w:spacing w:after="0" w:line="161" w:lineRule="exact"/>
        <w:rPr>
          <w:rFonts w:ascii="Courier New" w:cs="Courier New" w:eastAsia="Courier New" w:hAnsi="Courier New"/>
          <w:sz w:val="14"/>
          <w:szCs w:val="14"/>
          <w:color w:val="auto"/>
        </w:rPr>
      </w:pPr>
    </w:p>
    <w:p>
      <w:pPr>
        <w:ind w:right="3399" w:firstLine="797"/>
        <w:spacing w:after="0" w:line="261" w:lineRule="auto"/>
        <w:tabs>
          <w:tab w:leader="none" w:pos="148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 plan or intention to issue additional shares of its stock that would result in Parent losing control of the Company.</w:t>
      </w:r>
    </w:p>
    <w:p>
      <w:pPr>
        <w:spacing w:after="0" w:line="160"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For purposes of this representation and the following representations, and in accordance with Section 368(c) of the Internal Revenue Code of 1986, as amended (the "Code"), control means the ownership of stock possessing at least 80% of the total combined voting power of all classes of stock entitled to vote and at least 80% of the total number of shares of all other classes of stock of the corporation.</w:t>
      </w:r>
    </w:p>
    <w:p>
      <w:pPr>
        <w:spacing w:after="0" w:line="175" w:lineRule="exact"/>
        <w:rPr>
          <w:sz w:val="20"/>
          <w:szCs w:val="20"/>
          <w:color w:val="auto"/>
        </w:rPr>
      </w:pPr>
    </w:p>
    <w:p>
      <w:pPr>
        <w:ind w:right="3499" w:firstLine="797"/>
        <w:spacing w:after="0" w:line="235" w:lineRule="auto"/>
        <w:tabs>
          <w:tab w:leader="none" w:pos="14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the Company will continue its historic business or use a significant portion of its historic business assets in a business.</w:t>
      </w:r>
    </w:p>
    <w:p>
      <w:pPr>
        <w:spacing w:after="0" w:line="173" w:lineRule="exact"/>
        <w:rPr>
          <w:rFonts w:ascii="Courier New" w:cs="Courier New" w:eastAsia="Courier New" w:hAnsi="Courier New"/>
          <w:sz w:val="15"/>
          <w:szCs w:val="15"/>
          <w:color w:val="auto"/>
        </w:rPr>
      </w:pPr>
    </w:p>
    <w:p>
      <w:pPr>
        <w:jc w:val="both"/>
        <w:ind w:right="3319" w:firstLine="797"/>
        <w:spacing w:after="0" w:line="235" w:lineRule="auto"/>
        <w:tabs>
          <w:tab w:leader="none" w:pos="14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Company Stockholders will each pay their respective expenses, if any, incurred in connection with the Merger. Neither the Company nor any of the Company Stockholders will pay any expenses of Parent or Subsidiary incurred in connection with the Merger.</w:t>
      </w:r>
    </w:p>
    <w:p>
      <w:pPr>
        <w:spacing w:after="0" w:line="175" w:lineRule="exact"/>
        <w:rPr>
          <w:rFonts w:ascii="Courier New" w:cs="Courier New" w:eastAsia="Courier New" w:hAnsi="Courier New"/>
          <w:sz w:val="15"/>
          <w:szCs w:val="15"/>
          <w:color w:val="auto"/>
        </w:rPr>
      </w:pPr>
    </w:p>
    <w:p>
      <w:pPr>
        <w:ind w:right="3499" w:firstLine="797"/>
        <w:spacing w:after="0" w:line="235" w:lineRule="auto"/>
        <w:tabs>
          <w:tab w:leader="none" w:pos="14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intercorporate indebtedness existing between Parent and the Company or between Subsidiary and the Company that was issued, acquired or will be settled at a discount.</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4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outstanding stock of the Company is Company Common Stock. The only outstanding rights to acquire stock from the Company are those listed in Section 5.2 of the Merger Agreement and in Schedule 5.2 of the Company Disclosure Schedule. In the Merger, shares of Company Common Stock representing control of the Company will be exchanged solely for voting stock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99" w:firstLine="1487"/>
        <w:spacing w:after="0" w:line="258" w:lineRule="auto"/>
        <w:rPr>
          <w:sz w:val="20"/>
          <w:szCs w:val="20"/>
          <w:color w:val="auto"/>
        </w:rPr>
      </w:pPr>
      <w:r>
        <w:rPr>
          <w:rFonts w:ascii="Courier New" w:cs="Courier New" w:eastAsia="Courier New" w:hAnsi="Courier New"/>
          <w:sz w:val="14"/>
          <w:szCs w:val="14"/>
          <w:color w:val="auto"/>
        </w:rPr>
        <w:t>For purposes of this representation, shares of Company Common Stock exchanged for cash or other property originating with Parent will be treated as outstanding stock of the Company on the date of the Merger.</w:t>
      </w:r>
    </w:p>
    <w:p>
      <w:pPr>
        <w:spacing w:after="0" w:line="161" w:lineRule="exact"/>
        <w:rPr>
          <w:sz w:val="20"/>
          <w:szCs w:val="20"/>
          <w:color w:val="auto"/>
        </w:rPr>
      </w:pPr>
    </w:p>
    <w:p>
      <w:pPr>
        <w:ind w:right="3499" w:firstLine="797"/>
        <w:spacing w:after="0" w:line="236" w:lineRule="auto"/>
        <w:tabs>
          <w:tab w:leader="none" w:pos="148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Company will not have outstanding any warrants, options, convertible securities, or any other type of right pursuant to which any person could acquire stock in the Company that, if exercised or converted, would affect Parent's acquisition or retention of control of the Company.</w:t>
      </w:r>
    </w:p>
    <w:p>
      <w:pPr>
        <w:spacing w:after="0" w:line="167" w:lineRule="exact"/>
        <w:rPr>
          <w:rFonts w:ascii="Courier New" w:cs="Courier New" w:eastAsia="Courier New" w:hAnsi="Courier New"/>
          <w:sz w:val="15"/>
          <w:szCs w:val="15"/>
          <w:color w:val="auto"/>
        </w:rPr>
      </w:pPr>
    </w:p>
    <w:p>
      <w:pPr>
        <w:ind w:left="1500" w:hanging="703"/>
        <w:spacing w:after="0"/>
        <w:tabs>
          <w:tab w:leader="none" w:pos="15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For purposes of this representation, (a) an investment company means a regulated investment company (as defined in the Code), a real estate investment trust (as defined in the Code), or a corporation 50% or more of the value of whose total assets are stock and securities and 80% or more of the value of whose total assets are assets held for investment, (b) in making the 50% and 80% determinations just described, stock and securities in any subsidiary corporation shall be disregarded and the parent corporation shall be deemed to own its ratable share of the subsidiary's assets, and a corporation shall be considered a subsidiary if the parent owns 50% or more of the combined voting power of all classes of stock entitled to vote, or 50% or more of the total value of all classes of stock outstanding, and (c) in determining total assets there shall be excluded cash and cash items (including receivables), government securities, and any assets acquired for purposes of ceasing to be an investment company.</w:t>
      </w:r>
    </w:p>
    <w:p>
      <w:pPr>
        <w:spacing w:after="0" w:line="174" w:lineRule="exact"/>
        <w:rPr>
          <w:sz w:val="20"/>
          <w:szCs w:val="20"/>
          <w:color w:val="auto"/>
        </w:rPr>
      </w:pPr>
    </w:p>
    <w:p>
      <w:pPr>
        <w:ind w:right="3319" w:firstLine="797"/>
        <w:spacing w:after="0" w:line="235" w:lineRule="auto"/>
        <w:tabs>
          <w:tab w:leader="none" w:pos="14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Merger, the fair market value of the assets of the Company will exceed the sum of its liabilities, plus the amount of liabilities, if any, to which its assets are subject.</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4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under the jurisdiction of a court in a case under Title 11 of the United States Code, or a receivership, foreclosure, or similar proceeding in a Federal or State court.</w:t>
      </w:r>
    </w:p>
    <w:p>
      <w:pPr>
        <w:spacing w:after="0" w:line="173" w:lineRule="exact"/>
        <w:rPr>
          <w:rFonts w:ascii="Courier New" w:cs="Courier New" w:eastAsia="Courier New" w:hAnsi="Courier New"/>
          <w:sz w:val="15"/>
          <w:szCs w:val="15"/>
          <w:color w:val="auto"/>
        </w:rPr>
      </w:pPr>
    </w:p>
    <w:p>
      <w:pPr>
        <w:ind w:right="3319" w:firstLine="797"/>
        <w:spacing w:after="0" w:line="255" w:lineRule="auto"/>
        <w:tabs>
          <w:tab w:leader="none" w:pos="148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payments by Parent or Subsidiary to Company Stockholders in lieu of fractional shares of Parent Common Stock are solely for the purpose of avoiding the expense and inconvenience to Parent of issuing fractional shares and do not represent separately bargained for consideration. These payments will not be made pro rata to all Company Stockholders. The total cash consideration that will be paid in the transaction to Company Stockholders instead of issuing fractional shares of Parent Common Stock will not exceed 1% of the total consideration that will be issued in the transaction to Company Stockholders in exchange for their shares of Company Common Stock. The fractional share interests of each Company Stockholder will be aggregated, and no Company Stockholder will receive cash in an amount equal to or greater than the value of one full share of Parent Common Stock.</w:t>
      </w:r>
    </w:p>
    <w:p>
      <w:pPr>
        <w:spacing w:after="0" w:line="164" w:lineRule="exact"/>
        <w:rPr>
          <w:rFonts w:ascii="Courier New" w:cs="Courier New" w:eastAsia="Courier New" w:hAnsi="Courier New"/>
          <w:sz w:val="14"/>
          <w:szCs w:val="14"/>
          <w:color w:val="auto"/>
        </w:rPr>
      </w:pPr>
    </w:p>
    <w:p>
      <w:pPr>
        <w:ind w:right="3319" w:firstLine="797"/>
        <w:spacing w:after="0" w:line="235" w:lineRule="auto"/>
        <w:tabs>
          <w:tab w:leader="none" w:pos="14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compensation received by any shareholder-employees of the Company will be separate consideration for, or allocable to, any of their shares of Company Common Stock; none of the shares of Parent Common Stock received by any shareholder-employees will be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consideration for, or allocable to, any employment agreement; and the compensation paid to any shareholder-employees will be for services actually rendered and will be commensurate with amounts paid to third parties bargaining at arm's-length for similar services.</w:t>
      </w:r>
    </w:p>
    <w:p>
      <w:pPr>
        <w:spacing w:after="0" w:line="175" w:lineRule="exact"/>
        <w:rPr>
          <w:sz w:val="20"/>
          <w:szCs w:val="20"/>
          <w:color w:val="auto"/>
        </w:rPr>
      </w:pPr>
    </w:p>
    <w:p>
      <w:pPr>
        <w:ind w:right="3319" w:firstLine="797"/>
        <w:spacing w:after="0" w:line="234" w:lineRule="auto"/>
        <w:tabs>
          <w:tab w:leader="none" w:pos="14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reasons for consummating the Merger are set forth on pages __-__ of the Joint Proxy Statement/Prospectus.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SANIFILL, INC.</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July __,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2360" w:space="720"/>
            <w:col w:w="7159"/>
          </w:cols>
          <w:pgMar w:left="220" w:top="281"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1" w:right="1440" w:bottom="1440" w:gutter="0" w:footer="0" w:header="0"/>
          <w:type w:val="continuous"/>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ATTACHMENT II</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USA WASTE SERVICES,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w:t>
      </w:r>
    </w:p>
    <w:p>
      <w:pPr>
        <w:jc w:val="center"/>
        <w:ind w:right="3239"/>
        <w:spacing w:after="0" w:line="238" w:lineRule="auto"/>
        <w:rPr>
          <w:sz w:val="20"/>
          <w:szCs w:val="20"/>
          <w:color w:val="auto"/>
        </w:rPr>
      </w:pPr>
      <w:r>
        <w:rPr>
          <w:rFonts w:ascii="Courier New" w:cs="Courier New" w:eastAsia="Courier New" w:hAnsi="Courier New"/>
          <w:sz w:val="15"/>
          <w:szCs w:val="15"/>
          <w:color w:val="auto"/>
        </w:rPr>
        <w:t>QUATRO ACQUISITION CORP.</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OFFICER'S CERTIFICATE</w:t>
      </w:r>
    </w:p>
    <w:p>
      <w:pPr>
        <w:spacing w:after="0" w:line="341"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undersigned officers of USA Waste Services, Inc., a Delaware corporation ("Parent"), and Quatro Acquisition Corp., a Delaware corporation and a wholly owned subsidiary of Parent ("Subsidiary"), in connection with the opinions to be delivered by Baker &amp; Botts, L.L.P. and Andrews &amp; Kurth L.L.P. pursuant to the Agreement and Plan of Merger by and among Sanifill, Inc., a Delaware corporation (the "Company"), Subsidiary and Parent, dated as of June 22, 1996 (the "Merger Agreement"), and recognizing that said law firms will rely on this Certificate in delivering such opinions, hereby certify that the facts described in this Officer's Certificate relating to the proposed merger of Subsidiary with and into the Company (the "Merger") pursuant to the Merger Agreement and any transactions related thereto are true, correct, and complete in all respects and will be true, correct, and complete in all respects at the Effective Time of the Merger, and further certify as follows (unless otherwise specified, capitalized terms used herein shall have the meaning assigned to them in the Merger Agreement):</w:t>
      </w:r>
    </w:p>
    <w:p>
      <w:pPr>
        <w:spacing w:after="0" w:line="157" w:lineRule="exact"/>
        <w:rPr>
          <w:sz w:val="20"/>
          <w:szCs w:val="20"/>
          <w:color w:val="auto"/>
        </w:rPr>
      </w:pPr>
    </w:p>
    <w:p>
      <w:pPr>
        <w:ind w:left="1500" w:hanging="703"/>
        <w:spacing w:after="0"/>
        <w:tabs>
          <w:tab w:leader="none" w:pos="15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certify to you that I am the ______________________________</w:t>
      </w:r>
    </w:p>
    <w:p>
      <w:pPr>
        <w:spacing w:after="0" w:line="4" w:lineRule="exact"/>
        <w:rPr>
          <w:rFonts w:ascii="Courier New" w:cs="Courier New" w:eastAsia="Courier New" w:hAnsi="Courier New"/>
          <w:sz w:val="15"/>
          <w:szCs w:val="15"/>
          <w:color w:val="auto"/>
        </w:rPr>
      </w:pPr>
    </w:p>
    <w:p>
      <w:pPr>
        <w:ind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Parent and Subsidiary. I am familiar with the transactions contemplated by, and the terms and provisions of, the Merger Agreement, have personal knowledge of the matters covered by the representations made herein, and I am authorized to make these representations on behalf of Parent and Subsidiary.</w:t>
      </w:r>
    </w:p>
    <w:p>
      <w:pPr>
        <w:spacing w:after="0" w:line="164" w:lineRule="exact"/>
        <w:rPr>
          <w:rFonts w:ascii="Courier New" w:cs="Courier New" w:eastAsia="Courier New" w:hAnsi="Courier New"/>
          <w:sz w:val="15"/>
          <w:szCs w:val="15"/>
          <w:color w:val="auto"/>
        </w:rPr>
      </w:pPr>
    </w:p>
    <w:p>
      <w:pPr>
        <w:jc w:val="both"/>
        <w:ind w:right="3399" w:firstLine="797"/>
        <w:spacing w:after="0" w:line="235" w:lineRule="auto"/>
        <w:tabs>
          <w:tab w:leader="none" w:pos="14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Parent Common Stock received by each holder of Company Common Stock (a "Company Stockholder") will be approximately equal to the fair market value of Company Common Stock exchanged for such Parent Common Stock in the Merger.</w:t>
      </w:r>
    </w:p>
    <w:p>
      <w:pPr>
        <w:spacing w:after="0" w:line="175" w:lineRule="exact"/>
        <w:rPr>
          <w:rFonts w:ascii="Courier New" w:cs="Courier New" w:eastAsia="Courier New" w:hAnsi="Courier New"/>
          <w:sz w:val="15"/>
          <w:szCs w:val="15"/>
          <w:color w:val="auto"/>
        </w:rPr>
      </w:pPr>
    </w:p>
    <w:p>
      <w:pPr>
        <w:ind w:right="3319" w:firstLine="797"/>
        <w:spacing w:after="0" w:line="236" w:lineRule="auto"/>
        <w:tabs>
          <w:tab w:leader="none" w:pos="14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the Company will hold at least 90% of the fair market value of the net assets and at least 70% of the fair market value of the gross assets held by the Company immediately prior to the Merger and at least 90% of the fair market value of the net assets and at least 70% of the fair market value of the gross assets held by Subsidiary immediately prior to the Merger.</w:t>
      </w:r>
    </w:p>
    <w:p>
      <w:pPr>
        <w:spacing w:after="0" w:line="175" w:lineRule="exact"/>
        <w:rPr>
          <w:sz w:val="20"/>
          <w:szCs w:val="20"/>
          <w:color w:val="auto"/>
        </w:rPr>
      </w:pPr>
    </w:p>
    <w:p>
      <w:pPr>
        <w:ind w:right="3679" w:firstLine="1487"/>
        <w:spacing w:after="0" w:line="255" w:lineRule="auto"/>
        <w:rPr>
          <w:sz w:val="20"/>
          <w:szCs w:val="20"/>
          <w:color w:val="auto"/>
        </w:rPr>
      </w:pPr>
      <w:r>
        <w:rPr>
          <w:rFonts w:ascii="Courier New" w:cs="Courier New" w:eastAsia="Courier New" w:hAnsi="Courier New"/>
          <w:sz w:val="14"/>
          <w:szCs w:val="14"/>
          <w:color w:val="auto"/>
        </w:rPr>
        <w:t>For purposes of this representation, amounts paid by the Company or Subsidiary to Company Stockholders who receive cash or other property, amounts used by the Company or Subsidiary to pay reorganization expenses, and all redemptions and distributions (except for regular, normal dividends, if any) made by the Company have been included as assets of the Company or Subsidiary, respectively, immediately prior to the Merger.</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99" w:firstLine="797"/>
        <w:spacing w:after="0" w:line="234" w:lineRule="auto"/>
        <w:tabs>
          <w:tab w:leader="none" w:pos="148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Merger, Parent will own 100 percent of the stock of Subsidiary and therefore will be in control of Subsidiary.</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For purposes of this representation and the following representations, and in accordance with Section 368(c) of the Internal Revenue Code of 1986, as amended (the "Code"), control means the ownership of stock possessing at least 80% of the total combined voting power of all classes of stock entitled to vote and at least 80% of the total number of shares of all other classes of stock of the corporation.</w:t>
      </w:r>
    </w:p>
    <w:p>
      <w:pPr>
        <w:spacing w:after="0" w:line="175" w:lineRule="exact"/>
        <w:rPr>
          <w:sz w:val="20"/>
          <w:szCs w:val="20"/>
          <w:color w:val="auto"/>
        </w:rPr>
      </w:pPr>
    </w:p>
    <w:p>
      <w:pPr>
        <w:ind w:right="3399" w:firstLine="797"/>
        <w:spacing w:after="0" w:line="235" w:lineRule="auto"/>
        <w:tabs>
          <w:tab w:leader="none" w:pos="14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no plan or intention to cause the Company to issue additional shares of its stock that would result in Parent losing control of the Company.</w:t>
      </w:r>
    </w:p>
    <w:p>
      <w:pPr>
        <w:spacing w:after="0" w:line="173" w:lineRule="exact"/>
        <w:rPr>
          <w:rFonts w:ascii="Courier New" w:cs="Courier New" w:eastAsia="Courier New" w:hAnsi="Courier New"/>
          <w:sz w:val="15"/>
          <w:szCs w:val="15"/>
          <w:color w:val="auto"/>
        </w:rPr>
      </w:pPr>
    </w:p>
    <w:p>
      <w:pPr>
        <w:ind w:right="3399" w:firstLine="797"/>
        <w:spacing w:after="0" w:line="234" w:lineRule="auto"/>
        <w:tabs>
          <w:tab w:leader="none" w:pos="14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no plan or intention to reacquire any of the stock issued in the Merger.</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4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no plan or intention to liquidate the Company, to merge the Company with or into another corporation, to sell or otherwise dispose of the stock of the Company (except for transfers of stock to corporations controlled by Parent), or to cause the Company to sell or otherwise dispose of its assets or any assets acquired from Subsidiary, except for dispositions made in the ordinary course of business or transfers of assets to corporations controlled by the Company.</w:t>
      </w:r>
    </w:p>
    <w:p>
      <w:pPr>
        <w:spacing w:after="0" w:line="175" w:lineRule="exact"/>
        <w:rPr>
          <w:rFonts w:ascii="Courier New" w:cs="Courier New" w:eastAsia="Courier New" w:hAnsi="Courier New"/>
          <w:sz w:val="15"/>
          <w:szCs w:val="15"/>
          <w:color w:val="auto"/>
        </w:rPr>
      </w:pPr>
    </w:p>
    <w:p>
      <w:pPr>
        <w:ind w:right="3399" w:firstLine="797"/>
        <w:spacing w:after="0" w:line="235" w:lineRule="auto"/>
        <w:tabs>
          <w:tab w:leader="none" w:pos="14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will have no liabilities assumed by the Company, and will not transfer to the Company any assets subject to liabilities, in the Merger.</w:t>
      </w:r>
    </w:p>
    <w:p>
      <w:pPr>
        <w:spacing w:after="0" w:line="173" w:lineRule="exact"/>
        <w:rPr>
          <w:rFonts w:ascii="Courier New" w:cs="Courier New" w:eastAsia="Courier New" w:hAnsi="Courier New"/>
          <w:sz w:val="15"/>
          <w:szCs w:val="15"/>
          <w:color w:val="auto"/>
        </w:rPr>
      </w:pPr>
    </w:p>
    <w:p>
      <w:pPr>
        <w:ind w:right="3499" w:firstLine="797"/>
        <w:spacing w:after="0" w:line="235" w:lineRule="auto"/>
        <w:tabs>
          <w:tab w:leader="none" w:pos="14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Parent will cause the Company to continue, and the Company will continue, the historic business of the Company or use a significant portion of the Company's historic business assets in a business.</w:t>
      </w:r>
    </w:p>
    <w:p>
      <w:pPr>
        <w:spacing w:after="0" w:line="175" w:lineRule="exact"/>
        <w:rPr>
          <w:rFonts w:ascii="Courier New" w:cs="Courier New" w:eastAsia="Courier New" w:hAnsi="Courier New"/>
          <w:sz w:val="15"/>
          <w:szCs w:val="15"/>
          <w:color w:val="auto"/>
        </w:rPr>
      </w:pPr>
    </w:p>
    <w:p>
      <w:pPr>
        <w:ind w:right="3499" w:firstLine="797"/>
        <w:spacing w:after="0" w:line="235" w:lineRule="auto"/>
        <w:tabs>
          <w:tab w:leader="none" w:pos="14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Subsidiary will pay their respective expenses, if any, incurred in connection with the Merger. Neither Parent, Subsidiary nor any of their affiliates will pay expenses of the Company or the Company Stockholders incurred in connection with the Merger.</w:t>
      </w:r>
    </w:p>
    <w:p>
      <w:pPr>
        <w:spacing w:after="0" w:line="175" w:lineRule="exact"/>
        <w:rPr>
          <w:rFonts w:ascii="Courier New" w:cs="Courier New" w:eastAsia="Courier New" w:hAnsi="Courier New"/>
          <w:sz w:val="15"/>
          <w:szCs w:val="15"/>
          <w:color w:val="auto"/>
        </w:rPr>
      </w:pPr>
    </w:p>
    <w:p>
      <w:pPr>
        <w:ind w:right="3499" w:firstLine="797"/>
        <w:spacing w:after="0" w:line="235" w:lineRule="auto"/>
        <w:tabs>
          <w:tab w:leader="none" w:pos="14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intercorporate indebtedness existing between Parent and the Company or between Subsidiary and the Company that was issued, acquired, or will be settled at a discount.</w:t>
      </w:r>
    </w:p>
    <w:p>
      <w:pPr>
        <w:spacing w:after="0" w:line="173" w:lineRule="exact"/>
        <w:rPr>
          <w:rFonts w:ascii="Courier New" w:cs="Courier New" w:eastAsia="Courier New" w:hAnsi="Courier New"/>
          <w:sz w:val="15"/>
          <w:szCs w:val="15"/>
          <w:color w:val="auto"/>
        </w:rPr>
      </w:pPr>
    </w:p>
    <w:p>
      <w:pPr>
        <w:ind w:right="3499" w:firstLine="797"/>
        <w:spacing w:after="0" w:line="235" w:lineRule="auto"/>
        <w:tabs>
          <w:tab w:leader="none" w:pos="14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Merger, shares of the common stock of Company representing control of the Company will be exchanged solely for voting stock of Parent.</w:t>
      </w:r>
    </w:p>
    <w:p>
      <w:pPr>
        <w:spacing w:after="0" w:line="174" w:lineRule="exact"/>
        <w:rPr>
          <w:sz w:val="20"/>
          <w:szCs w:val="20"/>
          <w:color w:val="auto"/>
        </w:rPr>
      </w:pPr>
    </w:p>
    <w:p>
      <w:pPr>
        <w:jc w:val="both"/>
        <w:ind w:right="3579" w:firstLine="1487"/>
        <w:spacing w:after="0" w:line="258" w:lineRule="auto"/>
        <w:rPr>
          <w:sz w:val="20"/>
          <w:szCs w:val="20"/>
          <w:color w:val="auto"/>
        </w:rPr>
      </w:pPr>
      <w:r>
        <w:rPr>
          <w:rFonts w:ascii="Courier New" w:cs="Courier New" w:eastAsia="Courier New" w:hAnsi="Courier New"/>
          <w:sz w:val="14"/>
          <w:szCs w:val="14"/>
          <w:color w:val="auto"/>
        </w:rPr>
        <w:t>For purposes of this representation, shares of stock of the Company exchanged for cash or other property originating with Parent will be treated as outstanding stock of the Company on the date of the Merger.</w:t>
      </w:r>
    </w:p>
    <w:p>
      <w:pPr>
        <w:spacing w:after="0" w:line="161" w:lineRule="exact"/>
        <w:rPr>
          <w:sz w:val="20"/>
          <w:szCs w:val="20"/>
          <w:color w:val="auto"/>
        </w:rPr>
      </w:pPr>
    </w:p>
    <w:p>
      <w:pPr>
        <w:ind w:right="3679" w:firstLine="797"/>
        <w:spacing w:after="0" w:line="234" w:lineRule="auto"/>
        <w:tabs>
          <w:tab w:leader="none" w:pos="148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does not own, nor has it owned during the past five years, any shares of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10</w:t>
      </w:r>
    </w:p>
    <w:p>
      <w:pPr>
        <w:ind w:left="1500" w:hanging="703"/>
        <w:spacing w:after="0" w:line="237" w:lineRule="auto"/>
        <w:tabs>
          <w:tab w:leader="none" w:pos="15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Subsidiary is an investment company.</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For purposes of this representation, (a) an investment company means a regulated investment company (as defined in the Code), a real estate investment trust (as defined in the Code) or a corporation 50% or more of the value of whose total assets are stock and securities and 80% or more of the value of whose total assets are assets held for investment, (b) in making the 50% and 80% determinations just described, stock and securities in any subsidiary corporation shall be disregarded and the parent corporation shall be deemed to own its ratable share of the subsidiary's assets, and a corporation shall be considered a subsidiary if the parent owns 50% or more of the combined voting power of all classes of stock entitled to vote, or 50% or more of the total value of all classes of stock outstanding, and (c) in determining total assets there shall be excluded cash and cash items (including receivables), government securities, and any assets acquired for purposes of ceasing to be an investment company.</w:t>
      </w:r>
    </w:p>
    <w:p>
      <w:pPr>
        <w:spacing w:after="0" w:line="174" w:lineRule="exact"/>
        <w:rPr>
          <w:sz w:val="20"/>
          <w:szCs w:val="20"/>
          <w:color w:val="auto"/>
        </w:rPr>
      </w:pPr>
    </w:p>
    <w:p>
      <w:pPr>
        <w:ind w:right="3319" w:firstLine="797"/>
        <w:spacing w:after="0" w:line="255" w:lineRule="auto"/>
        <w:tabs>
          <w:tab w:leader="none" w:pos="148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payments by Parent or Subsidiary to Company Stockholders in lieu of fractional shares of Parent Common Stock are solely for the purpose of avoiding the expense and inconvenience to Parent of issuing fractional shares and do not represent separately bargained for consideration. These payments will not be made pro rata to all Company Stockholders. The total cash consideration that will be paid in the transaction to Company Stockholders instead of issuing fractional shares of Parent Common Stock will not exceed 1% of the total consideration that will be issued in the transaction to Company Stockholders in exchange for their shares of Company Common Stock. The fractional share interests of each Company Stockholder will be aggregated, and no Company Stockholder will receive cash in an amount equal to or greater than the value of one full share of Parent Common Stock.</w:t>
      </w:r>
    </w:p>
    <w:p>
      <w:pPr>
        <w:spacing w:after="0" w:line="164" w:lineRule="exact"/>
        <w:rPr>
          <w:rFonts w:ascii="Courier New" w:cs="Courier New" w:eastAsia="Courier New" w:hAnsi="Courier New"/>
          <w:sz w:val="14"/>
          <w:szCs w:val="14"/>
          <w:color w:val="auto"/>
        </w:rPr>
      </w:pPr>
    </w:p>
    <w:p>
      <w:pPr>
        <w:ind w:right="3319" w:firstLine="797"/>
        <w:spacing w:after="0" w:line="236" w:lineRule="auto"/>
        <w:tabs>
          <w:tab w:leader="none" w:pos="148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compensation received by any shareholder-employees of the Company will be separate consideration for, or allocable to, any of their shares of Company Common Stock; none of the shares of Parent Common Stock received by any shareholder-employees will be separate consideration for, or allocable to, any employment agreement; and the compensation paid to any shareholder-employees will be for services actually rendered and will be commensurate with amounts paid to third parties bargaining at arm's-length for similar services.</w:t>
      </w:r>
    </w:p>
    <w:p>
      <w:pPr>
        <w:spacing w:after="0" w:line="177" w:lineRule="exact"/>
        <w:rPr>
          <w:rFonts w:ascii="Courier New" w:cs="Courier New" w:eastAsia="Courier New" w:hAnsi="Courier New"/>
          <w:sz w:val="15"/>
          <w:szCs w:val="15"/>
          <w:color w:val="auto"/>
        </w:rPr>
      </w:pPr>
    </w:p>
    <w:p>
      <w:pPr>
        <w:ind w:right="3399" w:firstLine="797"/>
        <w:spacing w:after="0" w:line="234" w:lineRule="auto"/>
        <w:tabs>
          <w:tab w:leader="none" w:pos="148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Parent's business reasons for consummating the Merger are set forth on pages __-__ of the Joint Proxy Statement/Prospectus.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Dated: July__, 1996</w:t>
      </w:r>
      <w:r>
        <w:rPr>
          <w:sz w:val="20"/>
          <w:szCs w:val="20"/>
          <w:color w:val="auto"/>
        </w:rPr>
        <w:tab/>
      </w:r>
      <w:r>
        <w:rPr>
          <w:rFonts w:ascii="Courier New" w:cs="Courier New" w:eastAsia="Courier New" w:hAnsi="Courier New"/>
          <w:sz w:val="14"/>
          <w:szCs w:val="14"/>
          <w:color w:val="auto"/>
        </w:rPr>
        <w:t>------------------------------------------</w:t>
      </w:r>
    </w:p>
    <w:p>
      <w:pPr>
        <w:ind w:left="2900"/>
        <w:spacing w:after="0" w:line="237" w:lineRule="auto"/>
        <w:rPr>
          <w:sz w:val="20"/>
          <w:szCs w:val="20"/>
          <w:color w:val="auto"/>
        </w:rPr>
      </w:pPr>
      <w:r>
        <w:rPr>
          <w:rFonts w:ascii="Courier New" w:cs="Courier New" w:eastAsia="Courier New" w:hAnsi="Courier New"/>
          <w:sz w:val="15"/>
          <w:szCs w:val="15"/>
          <w:color w:val="auto"/>
        </w:rPr>
        <w:t>Name:</w:t>
      </w:r>
    </w:p>
    <w:p>
      <w:pPr>
        <w:ind w:left="2900"/>
        <w:spacing w:after="0" w:line="238"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11</w:t>
      </w:r>
    </w:p>
    <w:p>
      <w:pPr>
        <w:ind w:left="3340"/>
        <w:spacing w:after="0" w:line="237" w:lineRule="auto"/>
        <w:rPr>
          <w:sz w:val="20"/>
          <w:szCs w:val="20"/>
          <w:color w:val="auto"/>
        </w:rPr>
      </w:pPr>
      <w:r>
        <w:rPr>
          <w:rFonts w:ascii="Courier New" w:cs="Courier New" w:eastAsia="Courier New" w:hAnsi="Courier New"/>
          <w:sz w:val="15"/>
          <w:szCs w:val="15"/>
          <w:color w:val="auto"/>
        </w:rPr>
        <w:t>QUATRO ACQUISITION CORP.</w:t>
      </w:r>
    </w:p>
    <w:p>
      <w:pPr>
        <w:spacing w:after="0" w:line="200" w:lineRule="exact"/>
        <w:rPr>
          <w:sz w:val="20"/>
          <w:szCs w:val="20"/>
          <w:color w:val="auto"/>
        </w:rPr>
      </w:pPr>
    </w:p>
    <w:p>
      <w:pPr>
        <w:spacing w:after="0" w:line="303"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Dated: July __, 1996</w:t>
      </w:r>
      <w:r>
        <w:rPr>
          <w:sz w:val="20"/>
          <w:szCs w:val="20"/>
          <w:color w:val="auto"/>
        </w:rPr>
        <w:tab/>
      </w:r>
      <w:r>
        <w:rPr>
          <w:rFonts w:ascii="Courier New" w:cs="Courier New" w:eastAsia="Courier New" w:hAnsi="Courier New"/>
          <w:sz w:val="14"/>
          <w:szCs w:val="14"/>
          <w:color w:val="auto"/>
        </w:rPr>
        <w:t>------------------------------------------</w:t>
      </w:r>
    </w:p>
    <w:p>
      <w:pPr>
        <w:ind w:left="2900"/>
        <w:spacing w:after="0" w:line="237" w:lineRule="auto"/>
        <w:rPr>
          <w:sz w:val="20"/>
          <w:szCs w:val="20"/>
          <w:color w:val="auto"/>
        </w:rPr>
      </w:pPr>
      <w:r>
        <w:rPr>
          <w:rFonts w:ascii="Courier New" w:cs="Courier New" w:eastAsia="Courier New" w:hAnsi="Courier New"/>
          <w:sz w:val="15"/>
          <w:szCs w:val="15"/>
          <w:color w:val="auto"/>
        </w:rPr>
        <w:t>Name:</w:t>
      </w:r>
    </w:p>
    <w:p>
      <w:pPr>
        <w:ind w:left="2900"/>
        <w:spacing w:after="0" w:line="238"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10.1</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AGREEMENT</w:t>
      </w:r>
    </w:p>
    <w:p>
      <w:pPr>
        <w:spacing w:after="0" w:line="341" w:lineRule="exact"/>
        <w:rPr>
          <w:sz w:val="20"/>
          <w:szCs w:val="20"/>
          <w:color w:val="auto"/>
        </w:rPr>
      </w:pPr>
    </w:p>
    <w:p>
      <w:pPr>
        <w:ind w:right="3579" w:firstLine="1487"/>
        <w:spacing w:after="0" w:line="254" w:lineRule="auto"/>
        <w:rPr>
          <w:sz w:val="20"/>
          <w:szCs w:val="20"/>
          <w:color w:val="auto"/>
        </w:rPr>
      </w:pPr>
      <w:r>
        <w:rPr>
          <w:rFonts w:ascii="Courier New" w:cs="Courier New" w:eastAsia="Courier New" w:hAnsi="Courier New"/>
          <w:sz w:val="14"/>
          <w:szCs w:val="14"/>
          <w:color w:val="auto"/>
        </w:rPr>
        <w:t>This Agreement (this "Agreement") is entered into this 21st day of June, 1996, between USA Waste Services, Inc., a Delaware corporation (the "Company"), Donald F. Moorehead, Jr. and John E. Drury (Donald F. Moorehead, Jr. and John E. Drury are referred to collectively herein as the</w:t>
      </w:r>
    </w:p>
    <w:p>
      <w:pPr>
        <w:spacing w:after="0" w:line="232" w:lineRule="auto"/>
        <w:rPr>
          <w:sz w:val="20"/>
          <w:szCs w:val="20"/>
          <w:color w:val="auto"/>
        </w:rPr>
      </w:pPr>
      <w:r>
        <w:rPr>
          <w:rFonts w:ascii="Courier New" w:cs="Courier New" w:eastAsia="Courier New" w:hAnsi="Courier New"/>
          <w:sz w:val="15"/>
          <w:szCs w:val="15"/>
          <w:color w:val="auto"/>
        </w:rPr>
        <w:t>"Company Shareholders"); John G. Rangos, Sr., John G. Rangos, Jr., Alexander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Rangos (John G. Rangos, Sr., John G. Rangos, Jr. and Alexander W. Rangos 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referred to collectively herein as the "Rangos Family Members") and John Rangos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Corporation, Inc., a Pennsylvania corporation ("Rangos</w:t>
      </w:r>
    </w:p>
    <w:p>
      <w:pPr>
        <w:spacing w:after="0" w:line="237" w:lineRule="auto"/>
        <w:rPr>
          <w:sz w:val="20"/>
          <w:szCs w:val="20"/>
          <w:color w:val="auto"/>
        </w:rPr>
      </w:pPr>
      <w:r>
        <w:rPr>
          <w:rFonts w:ascii="Courier New" w:cs="Courier New" w:eastAsia="Courier New" w:hAnsi="Courier New"/>
          <w:sz w:val="15"/>
          <w:szCs w:val="15"/>
          <w:color w:val="auto"/>
        </w:rPr>
        <w:t>Development," and together with the Rangos Family Members, the "Rangos</w:t>
      </w:r>
    </w:p>
    <w:p>
      <w:pPr>
        <w:spacing w:after="0" w:line="238" w:lineRule="auto"/>
        <w:rPr>
          <w:sz w:val="20"/>
          <w:szCs w:val="20"/>
          <w:color w:val="auto"/>
        </w:rPr>
      </w:pPr>
      <w:r>
        <w:rPr>
          <w:rFonts w:ascii="Courier New" w:cs="Courier New" w:eastAsia="Courier New" w:hAnsi="Courier New"/>
          <w:sz w:val="15"/>
          <w:szCs w:val="15"/>
          <w:color w:val="auto"/>
        </w:rPr>
        <w:t>Shareholders").</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679" w:firstLine="1487"/>
        <w:spacing w:after="0" w:line="235" w:lineRule="auto"/>
        <w:rPr>
          <w:sz w:val="20"/>
          <w:szCs w:val="20"/>
          <w:color w:val="auto"/>
        </w:rPr>
      </w:pPr>
      <w:r>
        <w:rPr>
          <w:rFonts w:ascii="Courier New" w:cs="Courier New" w:eastAsia="Courier New" w:hAnsi="Courier New"/>
          <w:sz w:val="15"/>
          <w:szCs w:val="15"/>
          <w:color w:val="auto"/>
        </w:rPr>
        <w:t>The parties hereto are parties to a Shareholders Agreement dated December 18, 1995 among the parties hereto (the "Shareholders Agreement").</w:t>
      </w:r>
    </w:p>
    <w:p>
      <w:pPr>
        <w:spacing w:after="0" w:line="174" w:lineRule="exact"/>
        <w:rPr>
          <w:sz w:val="20"/>
          <w:szCs w:val="20"/>
          <w:color w:val="auto"/>
        </w:rPr>
      </w:pPr>
    </w:p>
    <w:p>
      <w:pPr>
        <w:ind w:right="3579" w:firstLine="1487"/>
        <w:spacing w:after="0" w:line="236" w:lineRule="auto"/>
        <w:rPr>
          <w:sz w:val="20"/>
          <w:szCs w:val="20"/>
          <w:color w:val="auto"/>
        </w:rPr>
      </w:pPr>
      <w:r>
        <w:rPr>
          <w:rFonts w:ascii="Courier New" w:cs="Courier New" w:eastAsia="Courier New" w:hAnsi="Courier New"/>
          <w:sz w:val="15"/>
          <w:szCs w:val="15"/>
          <w:color w:val="auto"/>
        </w:rPr>
        <w:t>The Company intends to enter into an Agreement and Plan of Merger on or about the date hereof (the "Merger Agreement") with Quatro Acquisition Corp., a Delaware corporation and wholly-owned subsidiary of the Company ("Acquisition'), and Sanifill, Inc., a Delaware corporation ("Sanifill"), providing for the merger of Acquisition with and into Sanifill (the "Merger"), with Sanifill being the surviving corporation and becoming a subsidiary of the Company.</w:t>
      </w:r>
    </w:p>
    <w:p>
      <w:pPr>
        <w:spacing w:after="0" w:line="176"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In consideration of the foregoing and the respective covenants and agreements set forth in this Agreement, the Company, the Company Shareholders and the Rangos Shareholders agree as follows:</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TERMINATION OF SHAREHOLDERS AGREEMENT.</w:t>
      </w:r>
    </w:p>
    <w:p>
      <w:pPr>
        <w:spacing w:after="0" w:line="173" w:lineRule="exact"/>
        <w:rPr>
          <w:sz w:val="20"/>
          <w:szCs w:val="20"/>
          <w:color w:val="auto"/>
        </w:rPr>
      </w:pPr>
    </w:p>
    <w:p>
      <w:pPr>
        <w:ind w:right="3939" w:firstLine="1487"/>
        <w:spacing w:after="0" w:line="235" w:lineRule="auto"/>
        <w:rPr>
          <w:sz w:val="20"/>
          <w:szCs w:val="20"/>
          <w:color w:val="auto"/>
        </w:rPr>
      </w:pPr>
      <w:r>
        <w:rPr>
          <w:rFonts w:ascii="Courier New" w:cs="Courier New" w:eastAsia="Courier New" w:hAnsi="Courier New"/>
          <w:sz w:val="15"/>
          <w:szCs w:val="15"/>
          <w:color w:val="auto"/>
        </w:rPr>
        <w:t>The Company, the Company Shareholders and the Rangos Shareholders hereby agree to terminate the Shareholders Agreement in its entirety as of the date hereof.</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BOARD OF DIRECTORS OF THE COMPANY.</w:t>
      </w:r>
    </w:p>
    <w:p>
      <w:pPr>
        <w:spacing w:after="0" w:line="173" w:lineRule="exact"/>
        <w:rPr>
          <w:sz w:val="20"/>
          <w:szCs w:val="20"/>
          <w:color w:val="auto"/>
        </w:rPr>
      </w:pPr>
    </w:p>
    <w:p>
      <w:pPr>
        <w:ind w:right="3399" w:firstLine="1497"/>
        <w:spacing w:after="0" w:line="256" w:lineRule="auto"/>
        <w:tabs>
          <w:tab w:leader="none" w:pos="2274"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annual meeting of shareholders of the Company to be held in 1997 for the election of directors, the Company and the Company Shareholders shall use their best efforts to cause John G. Rangos, Sr. to be nominated for election and elected as a director in the class of</w:t>
      </w:r>
    </w:p>
    <w:p>
      <w:pPr>
        <w:sectPr>
          <w:pgSz w:w="11900" w:h="16838" w:orient="portrait"/>
          <w:cols w:equalWidth="0" w:num="1">
            <w:col w:w="10239"/>
          </w:cols>
          <w:pgMar w:left="220" w:top="135"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directors whose terms will expire in 2000; provided, however, that John G. Rangos, Sr. agrees not to seek reelection to the Board of Directors at any time after the Company's Annual Meeting of Shareholders in 1997.</w:t>
      </w:r>
    </w:p>
    <w:p>
      <w:pPr>
        <w:spacing w:after="0" w:line="342" w:lineRule="exact"/>
        <w:rPr>
          <w:sz w:val="20"/>
          <w:szCs w:val="20"/>
          <w:color w:val="auto"/>
        </w:rPr>
      </w:pPr>
    </w:p>
    <w:p>
      <w:pPr>
        <w:ind w:right="3319" w:firstLine="1497"/>
        <w:spacing w:after="0" w:line="236" w:lineRule="auto"/>
        <w:tabs>
          <w:tab w:leader="none" w:pos="227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consummation of the Merger, the Company, the Company Shareholders and the Rangos Shareholders shall use their best efforts to cause the Board of Directors of the Company to consist of twelve directors, three of whom are to be designated by Sanifill pursuant to the Merger Agreement.</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EXECUTIVE COMMITTEE OF THE BOARD OF DIRECTORS OF THE COMPANY.</w:t>
      </w:r>
    </w:p>
    <w:p>
      <w:pPr>
        <w:spacing w:after="0" w:line="173"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The Company and the Company Shareholders agree that all times that either John G. Rangos, Sr. or Alexander W. Rangos is a director of the Company they shall use their best efforts to establish and maintain an Executive Committee of the Board of Directors and to cause the Executive Committee to include each of them, but only so long as they remain directors.</w:t>
      </w:r>
    </w:p>
    <w:p>
      <w:pPr>
        <w:spacing w:after="0" w:line="15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RANGOS DEVELOPMENT MERGER.</w:t>
      </w:r>
    </w:p>
    <w:p>
      <w:pPr>
        <w:spacing w:after="0" w:line="173" w:lineRule="exact"/>
        <w:rPr>
          <w:sz w:val="20"/>
          <w:szCs w:val="20"/>
          <w:color w:val="auto"/>
        </w:rPr>
      </w:pPr>
    </w:p>
    <w:p>
      <w:pPr>
        <w:ind w:right="3399" w:firstLine="1487"/>
        <w:spacing w:after="0" w:line="237" w:lineRule="auto"/>
        <w:rPr>
          <w:sz w:val="20"/>
          <w:szCs w:val="20"/>
          <w:color w:val="auto"/>
        </w:rPr>
      </w:pPr>
      <w:r>
        <w:rPr>
          <w:rFonts w:ascii="Courier New" w:cs="Courier New" w:eastAsia="Courier New" w:hAnsi="Courier New"/>
          <w:sz w:val="15"/>
          <w:szCs w:val="15"/>
          <w:color w:val="auto"/>
        </w:rPr>
        <w:t>The Company, the Company Shareholders and the Rangos Shareholders shall use their best efforts to cause a merger of Rangos Development with and into the Company at the request of Rangos Development at any time after Rangos Development shall have obtained an opinion of counsel to the effect that such merger should qualify as a tax free reorganization under Section 368 of the Internal Revenue Code; provided, however, that the Company may postpone such merger if, and for so long as, it shall have been advised by its independent public accountants that consummation of such merger would prevent a pending transaction to which the Company is a party from being treated as a pooling of interests for accounting purposes. The aggregate number of shares of Common Stock to be issued by the Company in such merger to the shareholders of Rangos Development shall equal the number of shares of Common Stock held by Rangos Development immediately prior to the time such merger is consummated.</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AGREEMENTS OF THE COMPANY.</w:t>
      </w:r>
    </w:p>
    <w:p>
      <w:pPr>
        <w:spacing w:after="0" w:line="166" w:lineRule="exact"/>
        <w:rPr>
          <w:sz w:val="20"/>
          <w:szCs w:val="20"/>
          <w:color w:val="auto"/>
        </w:rPr>
      </w:pPr>
    </w:p>
    <w:p>
      <w:pPr>
        <w:ind w:left="2280" w:hanging="783"/>
        <w:spacing w:after="0"/>
        <w:tabs>
          <w:tab w:leader="none" w:pos="22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register all shares of Common</w:t>
      </w:r>
    </w:p>
    <w:p>
      <w:pPr>
        <w:spacing w:after="0" w:line="4" w:lineRule="exact"/>
        <w:rPr>
          <w:rFonts w:ascii="Courier New" w:cs="Courier New" w:eastAsia="Courier New" w:hAnsi="Courier New"/>
          <w:sz w:val="15"/>
          <w:szCs w:val="15"/>
          <w:color w:val="auto"/>
        </w:rPr>
      </w:pPr>
    </w:p>
    <w:p>
      <w:pPr>
        <w:ind w:right="35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Stock held by the Rangos Shareholders as of the date hereof or hereafter acquired upon the exercise of any warrant issued pursuant to Section 5(c) of this Agreement, on the terms and conditions set forth in Exhibit A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to the Memorandum of Understanding dated December 18, 1995 by and between the Rangos Family Members and the Company; provided, however, that at no time shall more than 4,000,000 shares of Common Stock be so registered; and provided further, however, that such agreement to register shall terminate on the earlier of December 18, 2000, the date on which the Rangos Shareholders may sell all of the shares of Common Stock then owned by them pursuant to Rule 144 without any volume restrictions, or the date on which the number of shares so owned is less than 1% of the total number of shares of Common Stock then outstanding. At any time the number of shares of Common Stock so registered and unsold falls below 2,000,000, the Rangos Shareholders shall be entitled at their request to have the Company register additional shares of Common Stock; provided, however, that at no time shall more than 4,000,000 shares of Common Stock be registered.</w:t>
      </w:r>
    </w:p>
    <w:p>
      <w:pPr>
        <w:spacing w:after="0" w:line="173" w:lineRule="exact"/>
        <w:rPr>
          <w:sz w:val="20"/>
          <w:szCs w:val="20"/>
          <w:color w:val="auto"/>
        </w:rPr>
      </w:pPr>
    </w:p>
    <w:p>
      <w:pPr>
        <w:ind w:right="3499" w:firstLine="1497"/>
        <w:spacing w:after="0" w:line="256" w:lineRule="auto"/>
        <w:tabs>
          <w:tab w:leader="none" w:pos="2186"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pay to the Rangos Shareholders within 15 days of the date hereof $40,000 to be used to pay the expenses incurred by them and to compensate them for their own efforts in connection with the negotiation, preparation, execution and delivery of this Agreement.</w:t>
      </w:r>
    </w:p>
    <w:p>
      <w:pPr>
        <w:spacing w:after="0" w:line="164" w:lineRule="exact"/>
        <w:rPr>
          <w:rFonts w:ascii="Courier New" w:cs="Courier New" w:eastAsia="Courier New" w:hAnsi="Courier New"/>
          <w:sz w:val="14"/>
          <w:szCs w:val="14"/>
          <w:color w:val="auto"/>
        </w:rPr>
      </w:pPr>
    </w:p>
    <w:p>
      <w:pPr>
        <w:ind w:right="3319" w:firstLine="1497"/>
        <w:spacing w:after="0" w:line="256" w:lineRule="auto"/>
        <w:tabs>
          <w:tab w:leader="none" w:pos="227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issue on the date hereof transferable warrants to purchase shares of Common Stock at an initial exercise price of $29 per share in the forms attached as Exhibits A, B and C hereto to John G. Rangos, Sr., John G. Rangos, Jr. and Alexander W. Rangos, respectively, all as consideration for the Rangos Shareholders' entering into this Agreement.</w:t>
      </w:r>
    </w:p>
    <w:p>
      <w:pPr>
        <w:spacing w:after="0" w:line="163" w:lineRule="exact"/>
        <w:rPr>
          <w:rFonts w:ascii="Courier New" w:cs="Courier New" w:eastAsia="Courier New" w:hAnsi="Courier New"/>
          <w:sz w:val="14"/>
          <w:szCs w:val="14"/>
          <w:color w:val="auto"/>
        </w:rPr>
      </w:pPr>
    </w:p>
    <w:p>
      <w:pPr>
        <w:ind w:right="3319" w:firstLine="1497"/>
        <w:spacing w:after="0" w:line="256" w:lineRule="auto"/>
        <w:tabs>
          <w:tab w:leader="none" w:pos="227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Alexander W. Rangos agree that if for any reason he ceases to be a member of the Board of Directors of the Company, the restrictions contained in Section 6 of the Employment Agreement dated as of June 30, 1995 between the Company and him shall thereupon terminate.</w:t>
      </w:r>
    </w:p>
    <w:p>
      <w:pPr>
        <w:spacing w:after="0" w:line="158"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NOTICE.</w:t>
      </w:r>
    </w:p>
    <w:p>
      <w:pPr>
        <w:spacing w:after="0" w:line="173"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All notices called for under this Agreement must be in writing and will be deemed given if:</w:t>
      </w:r>
    </w:p>
    <w:p>
      <w:pPr>
        <w:spacing w:after="0" w:line="167" w:lineRule="exact"/>
        <w:rPr>
          <w:sz w:val="20"/>
          <w:szCs w:val="20"/>
          <w:color w:val="auto"/>
        </w:rPr>
      </w:pPr>
    </w:p>
    <w:p>
      <w:pPr>
        <w:ind w:left="2280" w:hanging="783"/>
        <w:spacing w:after="0"/>
        <w:tabs>
          <w:tab w:leader="none" w:pos="228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personally;</w:t>
      </w:r>
    </w:p>
    <w:p>
      <w:pPr>
        <w:spacing w:after="0" w:line="172" w:lineRule="exact"/>
        <w:rPr>
          <w:rFonts w:ascii="Courier New" w:cs="Courier New" w:eastAsia="Courier New" w:hAnsi="Courier New"/>
          <w:sz w:val="15"/>
          <w:szCs w:val="15"/>
          <w:color w:val="auto"/>
        </w:rPr>
      </w:pPr>
    </w:p>
    <w:p>
      <w:pPr>
        <w:ind w:left="2280" w:right="3579" w:hanging="783"/>
        <w:spacing w:after="0" w:line="234" w:lineRule="auto"/>
        <w:tabs>
          <w:tab w:leader="none" w:pos="228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by facsimile transmission and receipt is acknowledged verbally or electronically;</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telexed;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2280" w:right="3939" w:hanging="783"/>
        <w:spacing w:after="0" w:line="261" w:lineRule="auto"/>
        <w:tabs>
          <w:tab w:leader="none" w:pos="22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mailed by registered or certified mail (return receipt requested), postage prepaid);</w:t>
      </w:r>
    </w:p>
    <w:p>
      <w:pPr>
        <w:spacing w:after="0" w:line="160"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to the parties to this Agreement at the following addresses (or at such other address for a party as is specified by like notice; provided that notices of a change of address will be effective only upon receipt of the notice):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Company or the Company Shareholders: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USA Waste Services, Inc.</w:t>
      </w:r>
    </w:p>
    <w:p>
      <w:pPr>
        <w:ind w:left="1500"/>
        <w:spacing w:after="0" w:line="237" w:lineRule="auto"/>
        <w:rPr>
          <w:sz w:val="20"/>
          <w:szCs w:val="20"/>
          <w:color w:val="auto"/>
        </w:rPr>
      </w:pPr>
      <w:r>
        <w:rPr>
          <w:rFonts w:ascii="Courier New" w:cs="Courier New" w:eastAsia="Courier New" w:hAnsi="Courier New"/>
          <w:sz w:val="15"/>
          <w:szCs w:val="15"/>
          <w:color w:val="auto"/>
        </w:rPr>
        <w:t>5400 LBJ Freeway</w:t>
      </w:r>
    </w:p>
    <w:p>
      <w:pPr>
        <w:ind w:left="1500"/>
        <w:spacing w:after="0" w:line="238" w:lineRule="auto"/>
        <w:rPr>
          <w:sz w:val="20"/>
          <w:szCs w:val="20"/>
          <w:color w:val="auto"/>
        </w:rPr>
      </w:pPr>
      <w:r>
        <w:rPr>
          <w:rFonts w:ascii="Courier New" w:cs="Courier New" w:eastAsia="Courier New" w:hAnsi="Courier New"/>
          <w:sz w:val="15"/>
          <w:szCs w:val="15"/>
          <w:color w:val="auto"/>
        </w:rPr>
        <w:t>Suite 300 - Tower One</w:t>
      </w:r>
    </w:p>
    <w:p>
      <w:pPr>
        <w:ind w:left="1500"/>
        <w:spacing w:after="0"/>
        <w:tabs>
          <w:tab w:leader="none" w:pos="278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75240</w:t>
      </w:r>
    </w:p>
    <w:p>
      <w:pPr>
        <w:spacing w:after="0" w:line="167"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To the Rangos Shareholders: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John G. Rangos, Jr.</w:t>
      </w:r>
    </w:p>
    <w:p>
      <w:pPr>
        <w:ind w:left="1500"/>
        <w:spacing w:after="0" w:line="237" w:lineRule="auto"/>
        <w:rPr>
          <w:sz w:val="20"/>
          <w:szCs w:val="20"/>
          <w:color w:val="auto"/>
        </w:rPr>
      </w:pPr>
      <w:r>
        <w:rPr>
          <w:rFonts w:ascii="Courier New" w:cs="Courier New" w:eastAsia="Courier New" w:hAnsi="Courier New"/>
          <w:sz w:val="15"/>
          <w:szCs w:val="15"/>
          <w:color w:val="auto"/>
        </w:rPr>
        <w:t>4918 Route 910</w:t>
      </w:r>
    </w:p>
    <w:p>
      <w:pPr>
        <w:ind w:left="1500"/>
        <w:spacing w:after="0" w:line="238" w:lineRule="auto"/>
        <w:rPr>
          <w:sz w:val="20"/>
          <w:szCs w:val="20"/>
          <w:color w:val="auto"/>
        </w:rPr>
      </w:pPr>
      <w:r>
        <w:rPr>
          <w:rFonts w:ascii="Courier New" w:cs="Courier New" w:eastAsia="Courier New" w:hAnsi="Courier New"/>
          <w:sz w:val="15"/>
          <w:szCs w:val="15"/>
          <w:color w:val="auto"/>
        </w:rPr>
        <w:t>Allison Park, Pennsylvania 15101</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SEVERABILITY.</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If any provision of this Agreement is held invalid, such invalidity will not affect any other provision of the Agreement that can be given effect without the invalid provision, and to this end, the provisions of this Agreement are separable.</w:t>
      </w:r>
    </w:p>
    <w:p>
      <w:pPr>
        <w:spacing w:after="0" w:line="169"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ASSIGNMENT.</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This Agreement will bind and inure to the benefit of the parties hereto and their respective successors and permitted assigns, but the rights of the Rangos Shareholders may not be assigned to any person other than affiliates of the Rangos Shareholders.</w:t>
      </w:r>
    </w:p>
    <w:p>
      <w:pPr>
        <w:spacing w:after="0" w:line="169"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AMENDMENT.</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This Agreement may be modified only by a written instrument duly executed by all parties to the Agreement and compliance with any provision or condition contained in this Agreement, or the obtaining of any consent provided for in this Agreement, may be waived only by written instrument duly executed by the party to be bound by such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8" w:lineRule="exact"/>
        <w:rPr>
          <w:sz w:val="20"/>
          <w:szCs w:val="20"/>
          <w:color w:val="auto"/>
        </w:rPr>
      </w:pPr>
    </w:p>
    <w:p>
      <w:pPr>
        <w:sectPr>
          <w:pgSz w:w="11900" w:h="16838" w:orient="portrait"/>
          <w:cols w:equalWidth="0" w:num="2">
            <w:col w:w="880" w:space="620"/>
            <w:col w:w="8739"/>
          </w:cols>
          <w:pgMar w:left="220" w:top="281" w:right="1440" w:bottom="1440" w:gutter="0" w:footer="0" w:header="0"/>
        </w:sect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The rights of the parties arising under this Agreement shall be construed and enforced under the laws of the State of Delaware without giving effect to any choice of law or conflict of law rules.</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COUNTERPARTS.</w:t>
      </w:r>
    </w:p>
    <w:p>
      <w:pPr>
        <w:spacing w:after="0" w:line="173"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This Agreement may be executed in two or more counterparts, each of which will be deemed an original but all of which will constitute one and the same instrument.</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BEST EFFORTS OBLIGATIONS.</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For purposes of this Agreement, the term "best efforts" shall,</w:t>
      </w:r>
    </w:p>
    <w:p>
      <w:pPr>
        <w:ind w:left="360" w:hanging="350"/>
        <w:spacing w:after="0" w:line="237" w:lineRule="auto"/>
        <w:tabs>
          <w:tab w:leader="none" w:pos="36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Company Shareholders and the Rangos Shareholders,</w:t>
      </w:r>
    </w:p>
    <w:p>
      <w:pPr>
        <w:spacing w:after="0" w:line="5"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require such persons to take all lawful action in their capacities as members of the Board of Directors and with respect to the voting of the shares of Common Stock held by such persons, and (ii) with respect to the Company, the Company Shareholders and the Rangos Shareholders, require such person to refrain from taking any action which could reasonably be expected to frustrate the purposes intended to be accomplished by the best efforts obligations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type w:val="continuous"/>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579" w:firstLine="1487"/>
        <w:spacing w:after="0" w:line="261" w:lineRule="auto"/>
        <w:rPr>
          <w:sz w:val="20"/>
          <w:szCs w:val="20"/>
          <w:color w:val="auto"/>
        </w:rPr>
      </w:pPr>
      <w:r>
        <w:rPr>
          <w:rFonts w:ascii="Courier New" w:cs="Courier New" w:eastAsia="Courier New" w:hAnsi="Courier New"/>
          <w:sz w:val="14"/>
          <w:szCs w:val="14"/>
          <w:color w:val="auto"/>
        </w:rPr>
        <w:t>IN WITNESS WHEREOF, the undersigned have executed this Agreement as of the date set forth in the first paragraph of this Agreement.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EARL E. DEFRATES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Earl E. DeFrates</w:t>
      </w:r>
    </w:p>
    <w:p>
      <w:pPr>
        <w:ind w:left="3680"/>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JOHN G. RANGOS, SR.</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John G. Rangos, Sr.</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JOHN G. RANGOS, JR.</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John G. Rangos, Jr.</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ALEXANDER W. RANGOS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Alexander W. Rangos</w:t>
      </w: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JOHN RANGOS DEVELOPMENT CORPORATION, INC.</w:t>
      </w:r>
    </w:p>
    <w:p>
      <w:pPr>
        <w:spacing w:after="0" w:line="340"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ALEXANDER W. RANGOS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/s/ DONALD F. MOOREHEAD, JR.</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Donald F. Moorehead, Jr.</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JOHN E. DRURY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John E. Drury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EXHIBIT A</w:t>
      </w:r>
    </w:p>
    <w:p>
      <w:pPr>
        <w:spacing w:after="0" w:line="341" w:lineRule="exact"/>
        <w:rPr>
          <w:sz w:val="20"/>
          <w:szCs w:val="20"/>
          <w:color w:val="auto"/>
        </w:rPr>
      </w:pPr>
    </w:p>
    <w:p>
      <w:pPr>
        <w:jc w:val="both"/>
        <w:ind w:left="540" w:right="3579"/>
        <w:spacing w:after="0" w:line="256" w:lineRule="auto"/>
        <w:rPr>
          <w:sz w:val="20"/>
          <w:szCs w:val="20"/>
          <w:color w:val="auto"/>
        </w:rPr>
      </w:pPr>
      <w:r>
        <w:rPr>
          <w:rFonts w:ascii="Courier New" w:cs="Courier New" w:eastAsia="Courier New" w:hAnsi="Courier New"/>
          <w:sz w:val="14"/>
          <w:szCs w:val="14"/>
          <w:color w:val="auto"/>
        </w:rPr>
        <w:t>THIS WARRANT HAS NOT BEEN REGISTERED UNDER THE SECURITIES ACT OF 1933 OR THE LAWS OF ANY STATE. IT MAY NOT BE SOLD OR OTHERWISE TRANSFERRED UNLESS IT IS REGISTERED UNDER SUCH ACT AND APPLICABLE STATE SECURITIES LAWS OR AN EXEMPTION FROM REGISTRATION IS AVAILABLE.</w:t>
      </w:r>
    </w:p>
    <w:p>
      <w:pPr>
        <w:spacing w:after="0" w:line="15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WARRANT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to Purchase Common Stock of</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Expiring on June 21, 2004</w:t>
      </w:r>
    </w:p>
    <w:p>
      <w:pPr>
        <w:spacing w:after="0" w:line="173"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THIS IS TO CERTIFY THAT, for value received, USA WASTE SERVICES, INC., a Delaware corporation (the "Company"), hereby grants to JOHN G. RANGOS, SR. (together with any registered transferees under Article 2 hereof, the "Holder"), a Warrant to purchase 300,000 shares of the duly authorized, validly issued, fully paid and nonassessable shares (the "Warrant Shares") of Common Stock, $.01 par value, of the Company (the "Common Stock"), at a purchase price per share of $29.00 (as adjusted pursuant to the terms of this Warrant, the "Exercise Price"), and to exercise the other appurtenant rights, powers and privileges hereinafter set forth. The number of Warrant Shares purchasable hereunder and the Exercise Price are subject to adjustment in accordance with Article 4 hereof. This Warrant shall expire at 5:00 p.m., Dallas, Texas time on June 21, 2004.</w:t>
      </w:r>
    </w:p>
    <w:p>
      <w:pPr>
        <w:spacing w:after="0" w:line="158" w:lineRule="exact"/>
        <w:rPr>
          <w:sz w:val="20"/>
          <w:szCs w:val="20"/>
          <w:color w:val="auto"/>
        </w:rPr>
      </w:pPr>
    </w:p>
    <w:p>
      <w:pPr>
        <w:ind w:left="2280" w:hanging="783"/>
        <w:spacing w:after="0"/>
        <w:tabs>
          <w:tab w:leader="none" w:pos="22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66" w:lineRule="exact"/>
        <w:rPr>
          <w:sz w:val="20"/>
          <w:szCs w:val="20"/>
          <w:color w:val="auto"/>
        </w:rPr>
      </w:pPr>
    </w:p>
    <w:p>
      <w:pPr>
        <w:ind w:left="1500"/>
        <w:spacing w:after="0"/>
        <w:tabs>
          <w:tab w:leader="none" w:pos="2260" w:val="left"/>
          <w:tab w:leader="none" w:pos="37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Exercisability.</w:t>
      </w:r>
      <w:r>
        <w:rPr>
          <w:sz w:val="20"/>
          <w:szCs w:val="20"/>
          <w:color w:val="auto"/>
        </w:rPr>
        <w:tab/>
      </w:r>
      <w:r>
        <w:rPr>
          <w:rFonts w:ascii="Courier New" w:cs="Courier New" w:eastAsia="Courier New" w:hAnsi="Courier New"/>
          <w:sz w:val="14"/>
          <w:szCs w:val="14"/>
          <w:color w:val="auto"/>
        </w:rPr>
        <w:t>This Warrant may be exercised as to</w:t>
      </w:r>
    </w:p>
    <w:p>
      <w:pPr>
        <w:spacing w:after="0" w:line="5" w:lineRule="exact"/>
        <w:rPr>
          <w:sz w:val="20"/>
          <w:szCs w:val="20"/>
          <w:color w:val="auto"/>
        </w:rPr>
      </w:pPr>
    </w:p>
    <w:p>
      <w:pPr>
        <w:ind w:right="3319" w:firstLine="10"/>
        <w:spacing w:after="0" w:line="236" w:lineRule="auto"/>
        <w:tabs>
          <w:tab w:leader="none" w:pos="3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of 75,000 Warrant Shares as a whole or in part from time to time commencing on June 21, 1997; (ii) an aggregate of 150,000 Warrant Shares as a whole or in part from time to time commencing on June 21, 1998; (iii) an aggregate of 225,000 Warrant Shares as a whole or in part from time to time commencing on June 21, 1999; and (iv) and an aggregate of 300,000 Warrant Shares as a whole or in part from time to time commencing on June 21, 2000; provided, however, that this Warrant shall immediately become exercisable as to all 300,000 of the Warrant Shares covered hereby in the event of a Change in Control of the Company (as such term is defined in Section 5(a) hereof). All numbers of shares referred to herein shall be subject to adjustment in accordance with Article 4 hereof.</w:t>
      </w:r>
    </w:p>
    <w:p>
      <w:pPr>
        <w:spacing w:after="0" w:line="180"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1.2 Exercise of Right to Purchase. To exercise this Warrant, the Holder shall deliver to the Company, at the Warrant Office designated in Section 2.1, (a) a written notice in the form of the Subscription Notice attached as Exhibit A hereto, stating therein the election of the Holder to exercise this Warrant in the manner provided in the Subscription Notice, (b) payment in full of the Exercise Price (in the manner described below) for all Warrant Shares purchased hereunder, and (c) this Warrant. This Warrant shall be deemed to be exercised on the date of receipt by the Company of the Subscription Notice, accompanied by payment for the Warrant Shares and surrender of this Warrant, as aforesaid, and such date is referred to herein as the "Exercise Date". Upon such exercise (subject as aforesaid), the Company shall issue and deliver to such holder a certificate for the full number of the Warrant Shares purchased by such holder a</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A</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certificate for the full number of the Warrant Shares purchased by such holder hereunder, against the receipt by the Company of the total Exercise Price payable hereunder for all the Warrant Shares so purchased, and if this Warrant is being exercised in part only, a new certificate representing the unexercised portion of this Warrant. The person in whose name the certificate(s) for Common Stock is to be issued shall be deemed to have become a holder of record of such Common Stock on the Exercise Date.</w:t>
      </w:r>
    </w:p>
    <w:p>
      <w:pPr>
        <w:spacing w:after="0" w:line="176"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1.3 Conversion Rights. In lieu of the exercise of this Warrant, in whole or in part, pursuant to Section 1.2 hereof, the Holder may, as to any Warrant Shares then issuable thereunder as to which the Holder wishes to exercise his rights under this Section 1.3 (the "Conversion Shares"), elect instead to convert his right to purchase such Conversion Shares pursuant to Section 1.2 into a number of shares of Common Stock equal to (a) the product of the number of the Conversion Shares times the excess, if any, of (i) the Market Price Per Share (as determined pursuant to Section 5(b) hereof) as of the date of exercise of such conversion right over (ii) the Exercise Price, divided by</w:t>
      </w:r>
    </w:p>
    <w:p>
      <w:pPr>
        <w:spacing w:after="0" w:line="3" w:lineRule="exact"/>
        <w:rPr>
          <w:sz w:val="20"/>
          <w:szCs w:val="20"/>
          <w:color w:val="auto"/>
        </w:rPr>
      </w:pPr>
    </w:p>
    <w:p>
      <w:pPr>
        <w:ind w:right="3319" w:firstLine="10"/>
        <w:spacing w:after="0" w:line="255" w:lineRule="auto"/>
        <w:tabs>
          <w:tab w:leader="none" w:pos="35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Price Per Share as of the date of exercise of such conversion right. In order to exercise such conversion privilege, the Holder shall surrender to the Company, at its offices, this Warrant accompanied by a duly completed Notice of Conversion in the form attached hereto as Exhibit B. This Warrant (or so much thereof as shall have been surrendered for conversion) shall be deemed to have been converted immediately prior to the close of business on the day of surrender of such Warrant for conversion in accordance with the foregoing provisions (the "Conversion Date"). As promptly as practicable on or after the conversion date, the Company shall issue and shall deliver to the Holder (i) a certificate or certificates representing the number of shares of Common Stock to which the Holder shall be entitled as a result of the conversion, and (ii) if this Warrant is being converted in part only, a new certificate representing the unconverted portion of this Warrant.</w:t>
      </w:r>
    </w:p>
    <w:p>
      <w:pPr>
        <w:spacing w:after="0" w:line="16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1.4 Fractional Shares. In lieu of any fractional shares of Common Stock which would otherwise be issuable upon exercise of this Warrant, the Company shall issue a certificate for the next higher number of whole shares of Common Stock for any fraction of a share which is one-half or greater. No shares will be issued for less than one- half of a share of Common Stock.</w:t>
      </w:r>
    </w:p>
    <w:p>
      <w:pPr>
        <w:spacing w:after="0" w:line="168" w:lineRule="exact"/>
        <w:rPr>
          <w:sz w:val="20"/>
          <w:szCs w:val="20"/>
          <w:color w:val="auto"/>
        </w:rPr>
      </w:pPr>
    </w:p>
    <w:p>
      <w:pPr>
        <w:ind w:left="2280" w:hanging="783"/>
        <w:spacing w:after="0"/>
        <w:tabs>
          <w:tab w:leader="none" w:pos="22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Office:  Transfer</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2.1 Warrant Office. The Company shall maintain an office for certain purposes specified herein (the "Warrant Office"), which office shall initially be the Company's office at 5400 LBJ Freeway, Tower One, Suite 300, Dallas, Texas 75240 and may subsequently be such other office of the Company as may be set forth on the cover of the most recent quarterly or annual report filed by the Company under the Exchange Act (as hereinafter defined) or of any transfer agent of the Common Stock in the continental United States as to which written notice has previously been given to the Holder. The Company shall maintain, at the Warrant Office, a register for this Warrant, in which the Company shall record the name and address of the person in whose name this Warrant has been issued, as well as the name and address of each permitted assignee of the rights of the registered owner hereof.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A</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2.2 Ownership of Warrant. The Company may deem and treat the person in whose name this Warrant is registered as the holder and owner hereof (notwithstanding any notations of ownership or writing hereon made by anyone other than the Company) for all purposes and shall not be affected by any notice to the contrary, until presentation of this Warrant for registration of transfer as provided in this Article 2.</w:t>
      </w:r>
    </w:p>
    <w:p>
      <w:pPr>
        <w:spacing w:after="0" w:line="175"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2.3 Transfer of Warrants. The Company agrees to maintain at the Warrant Office books for the registration and transfer of this Warrant. Subject to the restrictions on transfer of Warrants set forth in Section 2.4 hereof, the Company, from time to time, shall register the transfer of this Warrant in such books upon surrender of this Warrant at the Warrant Office properly endorsed or accompanied by appropriate instruments of transfer (with an appropriate signature guarantee or medallion from an eligible guarantor institution, as such term is defined in the Exchange Act and/or the regulations thereunder) and written instructions for transfer satisfactory to the Company. Upon any such transfer, a new Warrant shall be issued to the transferee and the surrendered Warrant shall be canceled by the Company. The Company shall pay all taxes (other than securities transfer taxes) and all other expenses and charges payable in connection with the transfer of Warrants pursuant to this Section 2.3.</w:t>
      </w:r>
    </w:p>
    <w:p>
      <w:pPr>
        <w:spacing w:after="0" w:line="174"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2.4 Restrictions on Transfer. The registered holder of this Warrant, by acceptance hereof, agrees that prior to any transfer of this Warrant to Holder will deliver to the Company notice of the proposed transferee and a signed copy of the opinion of the Holder's counsel, or such other counsel as shall be acceptable to the Company, as to the necessity or non-necessity for registration under the Securities Act of 1933, as amended (the "Securities Act") and any applicable state securities or blue sky laws in connection with such exercise or such transfer. The following provisions shall then apply:</w:t>
      </w:r>
    </w:p>
    <w:p>
      <w:pPr>
        <w:spacing w:after="0" w:line="166" w:lineRule="exact"/>
        <w:rPr>
          <w:sz w:val="20"/>
          <w:szCs w:val="20"/>
          <w:color w:val="auto"/>
        </w:rPr>
      </w:pPr>
    </w:p>
    <w:p>
      <w:pPr>
        <w:ind w:left="800" w:right="3319" w:firstLine="697"/>
        <w:spacing w:after="0" w:line="236" w:lineRule="auto"/>
        <w:tabs>
          <w:tab w:leader="none" w:pos="22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opinion of the Holder's counsel, concurred in by counsel to the Company, the proposed transfer of this Warrant may be effected without registration under the Securities Act and any applicable state securities or blue sky laws, then the Holder shall be entitled to transfer this Warrant in accordance with the notice delivered by the Holder to the Company.</w:t>
      </w:r>
    </w:p>
    <w:p>
      <w:pPr>
        <w:spacing w:after="0" w:line="174"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opinion of said counsel, concurred in by counsel to the Company, the proposed transfer of this Warrant may not be effected without registration under the Securities Act and any applicable state securities or blue sky laws, the Holder shall not be entitled to transfer this Warrant unless and until such registration is effected or until the opinion contemplated by paragraph (a), above, can be delivered.</w:t>
      </w:r>
    </w:p>
    <w:p>
      <w:pPr>
        <w:spacing w:after="0" w:line="176"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2.5 Expenses of Delivery of Warrants. The Company shall pay all expenses, taxes (other than taxes on the income of the Holder) and other charges payable in connection with the preparation, issuance and delivery of Warrants and related Warrant Shares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280" w:hanging="783"/>
        <w:spacing w:after="0"/>
        <w:tabs>
          <w:tab w:leader="none" w:pos="22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The Company covenants that it will at all times reserve and keep available out of its treasury common stock or authorized but unissued Common Stock, solely for the purpose of issue upon exercise of this Warrant, such number of shares of Common Stock as shall then be issuable upon the exercise in full of this Warrant. The Company covenants that all Warrant Shares which shall be issuable upon exercise of the Warrant shall be duly and validly issued and fully paid and non-assessable and free from all taxes, liens and charges with respect to the issue thereof, and that upon issuance such shares shall be listed on each national securities exchange, if any, on which the other shares of outstanding Common Stock are then listed.</w:t>
      </w:r>
    </w:p>
    <w:p>
      <w:pPr>
        <w:spacing w:after="0" w:line="159" w:lineRule="exact"/>
        <w:rPr>
          <w:sz w:val="20"/>
          <w:szCs w:val="20"/>
          <w:color w:val="auto"/>
        </w:rPr>
      </w:pPr>
    </w:p>
    <w:p>
      <w:pPr>
        <w:ind w:left="1500"/>
        <w:spacing w:after="0"/>
        <w:tabs>
          <w:tab w:leader="none" w:pos="226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Adjustment of Purchase Price and Number of Shares</w:t>
      </w:r>
    </w:p>
    <w:p>
      <w:pPr>
        <w:spacing w:after="0" w:line="237" w:lineRule="auto"/>
        <w:rPr>
          <w:sz w:val="20"/>
          <w:szCs w:val="20"/>
          <w:color w:val="auto"/>
        </w:rPr>
      </w:pPr>
      <w:r>
        <w:rPr>
          <w:rFonts w:ascii="Courier New" w:cs="Courier New" w:eastAsia="Courier New" w:hAnsi="Courier New"/>
          <w:sz w:val="15"/>
          <w:szCs w:val="15"/>
          <w:color w:val="auto"/>
        </w:rPr>
        <w:t>Deliverable</w:t>
      </w:r>
    </w:p>
    <w:p>
      <w:pPr>
        <w:spacing w:after="0" w:line="173" w:lineRule="exact"/>
        <w:rPr>
          <w:sz w:val="20"/>
          <w:szCs w:val="20"/>
          <w:color w:val="auto"/>
        </w:rPr>
      </w:pPr>
    </w:p>
    <w:p>
      <w:pPr>
        <w:jc w:val="both"/>
        <w:ind w:right="3679" w:firstLine="1487"/>
        <w:spacing w:after="0" w:line="235" w:lineRule="auto"/>
        <w:rPr>
          <w:sz w:val="20"/>
          <w:szCs w:val="20"/>
          <w:color w:val="auto"/>
        </w:rPr>
      </w:pPr>
      <w:r>
        <w:rPr>
          <w:rFonts w:ascii="Courier New" w:cs="Courier New" w:eastAsia="Courier New" w:hAnsi="Courier New"/>
          <w:sz w:val="15"/>
          <w:szCs w:val="15"/>
          <w:color w:val="auto"/>
        </w:rPr>
        <w:t>4.1 The number of Warrant Shares purchasable upon the exercise of this Warrant and the Exercise Price hereof shall be subject to adjustment as follows:</w:t>
      </w:r>
    </w:p>
    <w:p>
      <w:pPr>
        <w:spacing w:after="0" w:line="174" w:lineRule="exact"/>
        <w:rPr>
          <w:sz w:val="20"/>
          <w:szCs w:val="20"/>
          <w:color w:val="auto"/>
        </w:rPr>
      </w:pPr>
    </w:p>
    <w:p>
      <w:pPr>
        <w:ind w:left="800" w:right="3319" w:firstLine="697"/>
        <w:spacing w:after="0" w:line="254" w:lineRule="auto"/>
        <w:tabs>
          <w:tab w:leader="none" w:pos="2287"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(i) pay a dividend in shares of Common Stock or make a distribution in shares of Common Stock, (ii) subdivide its outstanding shares of Common Stock through stock split or otherwise, (iii) combine its outstanding shares of Common Stock into a smaller number of shares of Common Stock, or (iv) issue in connection with any reorganization, or by reclassification of its shares of Common Stock, other securities of the Company (including any such reorganization or reclassification in connection with a consolidation or merger in which the Company is the continuing corporation), the number of Warrant Shares purchasable upon exercise of this Warrant immediately prior thereto shall be adjusted so that the Holder shall be entitled to receive the kind and number of Warrant Shares or other securities of the Company which such Holder would have owned or have been entitled to receive after the happening of any of the events described above, had this Warrant been exercised immediately prior to the happening of such event or any record date with respect thereto. An adjustment made pursuant to this paragraph</w:t>
      </w:r>
    </w:p>
    <w:p>
      <w:pPr>
        <w:spacing w:after="0" w:line="5" w:lineRule="exact"/>
        <w:rPr>
          <w:rFonts w:ascii="Courier New" w:cs="Courier New" w:eastAsia="Courier New" w:hAnsi="Courier New"/>
          <w:sz w:val="14"/>
          <w:szCs w:val="14"/>
          <w:color w:val="auto"/>
        </w:rPr>
      </w:pPr>
    </w:p>
    <w:p>
      <w:pPr>
        <w:ind w:left="800" w:right="3319" w:hanging="3"/>
        <w:spacing w:after="0" w:line="234" w:lineRule="auto"/>
        <w:tabs>
          <w:tab w:leader="none" w:pos="115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become effective retroactively as of the record date of such event.</w:t>
      </w:r>
    </w:p>
    <w:p>
      <w:pPr>
        <w:spacing w:after="0" w:line="173" w:lineRule="exact"/>
        <w:rPr>
          <w:rFonts w:ascii="Courier New" w:cs="Courier New" w:eastAsia="Courier New" w:hAnsi="Courier New"/>
          <w:sz w:val="15"/>
          <w:szCs w:val="15"/>
          <w:color w:val="auto"/>
        </w:rPr>
      </w:pPr>
    </w:p>
    <w:p>
      <w:pPr>
        <w:ind w:left="800" w:right="3319" w:firstLine="697"/>
        <w:spacing w:after="0" w:line="237" w:lineRule="auto"/>
        <w:tabs>
          <w:tab w:leader="none" w:pos="2287"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options or warrants or securities convertible into Common Stock to the holders of its Common Stock generally, entitling them (for a period expiring within 45 days after the record date mentioned below in this paragraph (b)) to subscribe for or purchase shares of Common Stock at a price per share which (together with the value of the consideration, if any, paid for such rights, options, warrants or convertible securities) is lower at the record date mentioned below than the then Market Price Per Share of Common Stock, the number of Warrant Shares thereafter purchasable upon the exercise of this Warrant shall be determined by multiplying the number of Warrant Shares immediately theretofore purchasable upon exercise of this Warrant by a fraction, of which the numerator shall be the number of shares of Common Stock outstanding on such record date plus the number of additional shares of Common Stock offered for subscription or purchase, and of which the denominator shall be the number of shares of Common Stock outstanding on such record date plus the number of shares which the aggregate offering price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A</w:t>
      </w:r>
    </w:p>
    <w:p>
      <w:pPr>
        <w:spacing w:after="0" w:line="178" w:lineRule="exact"/>
        <w:rPr>
          <w:sz w:val="20"/>
          <w:szCs w:val="20"/>
          <w:color w:val="auto"/>
        </w:rPr>
      </w:pPr>
    </w:p>
    <w:p>
      <w:pPr>
        <w:ind w:left="520" w:right="3579"/>
        <w:spacing w:after="0" w:line="236" w:lineRule="auto"/>
        <w:rPr>
          <w:sz w:val="20"/>
          <w:szCs w:val="20"/>
          <w:color w:val="auto"/>
        </w:rPr>
      </w:pPr>
      <w:r>
        <w:rPr>
          <w:rFonts w:ascii="Courier New" w:cs="Courier New" w:eastAsia="Courier New" w:hAnsi="Courier New"/>
          <w:sz w:val="15"/>
          <w:szCs w:val="15"/>
          <w:color w:val="auto"/>
        </w:rPr>
        <w:t>of the total number of shares of Common Stock so offered would purchase at the then Market Price Per Share of Common Stock. Such adjustment shall be made whenever such rights, options, warrants or convertible securities are issued, and shall become effective retroactively as of the record date for the determination of shareholders entitled to receive such rights, options, warrants or convertible securities.</w:t>
      </w:r>
    </w:p>
    <w:p>
      <w:pPr>
        <w:spacing w:after="0" w:line="176" w:lineRule="exact"/>
        <w:rPr>
          <w:sz w:val="20"/>
          <w:szCs w:val="20"/>
          <w:color w:val="auto"/>
        </w:rPr>
      </w:pPr>
    </w:p>
    <w:p>
      <w:pPr>
        <w:ind w:left="520" w:right="3319" w:firstLine="697"/>
        <w:spacing w:after="0" w:line="254" w:lineRule="auto"/>
        <w:tabs>
          <w:tab w:leader="none" w:pos="200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distribute to the holders of its Common Stock generally, or the holders of its Common Stock generally shall otherwise become entitled to receive, shares of capital stock of the Company (other than dividends or distributions on its Common Stock referred to in paragraph (a) above), evidences of its indebtedness or rights, options, warrants or convertible securities providing the right to subscribe for or purchase any shares of the Company's capital stock or evidences of its indebtedness (other than any rights, options, warrants or convertible securities referred to in paragraph (b), above), then in each case the number of Warrant Shares thereafter purchasable upon the exercise of this Warrant shall be determined by multiplying the number of Warrant Shares theretofore purchasable upon the exercise of this Warrant, by a fraction, of which the numerator shall be the then Market Price Per Share of Common Stock on the record date mentioned below in this paragraph (c), and of which the denominator shall be the then Market Price Per Share of Common Stock on such record date, less the then fair value (as determined by the Board of Directors of the Company, in good faith) of the portion of the shares of the Company's capital stock (other than dividends or distributions on its Common Stock referred to in paragraph (a) above), evidences of indebtedness, or rights, options, warrants or convertible securities, distributable with respect to each share of Common Stock. Such adjustment shall be made whenever any such distribution is made, and shall become effective retroactively as of the record date for the determination of shareholders entitled to receive such distribution.</w:t>
      </w:r>
    </w:p>
    <w:p>
      <w:pPr>
        <w:spacing w:after="0" w:line="176" w:lineRule="exact"/>
        <w:rPr>
          <w:rFonts w:ascii="Courier New" w:cs="Courier New" w:eastAsia="Courier New" w:hAnsi="Courier New"/>
          <w:sz w:val="14"/>
          <w:szCs w:val="14"/>
          <w:color w:val="auto"/>
        </w:rPr>
      </w:pPr>
    </w:p>
    <w:p>
      <w:pPr>
        <w:ind w:left="520" w:right="3319" w:firstLine="697"/>
        <w:spacing w:after="0" w:line="254" w:lineRule="auto"/>
        <w:tabs>
          <w:tab w:leader="none" w:pos="200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capital reorganization or any reclassification of the capital stock of the Company (other than a reorganization or reclassification referred to in paragraph (a) above) or in case of the consolidation or merger of the Company with another corporation (other than a consolidation or merger in which the Company is the surviving corporation), or in the case of any sale, transfer or other disposition to another corporation of all or substantially all the properties and assets of the Company in which holders of Common Stock receive securities or property, the Holder shall thereafter be entitled to purchase (and it shall be a condition to the consummation of any such reorganization, reclassification, consolidation, merger, sale, transfer or other disposition that appropriate provisions shall be made so that such Holder shall thereafter be entitled to purchase) the kind and amount of shares of stock and other securities and property (including cash) receivable in such transaction which this Warrant entitled the Holder to purchase immediately prior to such reorganization, reclassification, consolidation, merger, sale, transfer or other disposition; and in any such case appropriate adjustments shall be made in the application of the provisions of this Article 4 with respect to rights and interest thereafter of the Holder under this Warrant to the end that the provisions of this Article 4 shall thereafter be applicable, as near as reasonably may be, in relation to any shares or other property thereafter purchasable upon the exercise of this Warrant. The provisions of this Section 4.1(d) shall similarly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A</w:t>
      </w:r>
    </w:p>
    <w:p>
      <w:pPr>
        <w:spacing w:after="0" w:line="178" w:lineRule="exact"/>
        <w:rPr>
          <w:sz w:val="20"/>
          <w:szCs w:val="20"/>
          <w:color w:val="auto"/>
        </w:rPr>
      </w:pPr>
    </w:p>
    <w:p>
      <w:pPr>
        <w:ind w:left="520" w:right="4019"/>
        <w:spacing w:after="0" w:line="261" w:lineRule="auto"/>
        <w:rPr>
          <w:sz w:val="20"/>
          <w:szCs w:val="20"/>
          <w:color w:val="auto"/>
        </w:rPr>
      </w:pPr>
      <w:r>
        <w:rPr>
          <w:rFonts w:ascii="Courier New" w:cs="Courier New" w:eastAsia="Courier New" w:hAnsi="Courier New"/>
          <w:sz w:val="14"/>
          <w:szCs w:val="14"/>
          <w:color w:val="auto"/>
        </w:rPr>
        <w:t>successive reorganizations, reclassifications, consolidations, mergers, sales, transfers or other dispositions.</w:t>
      </w:r>
    </w:p>
    <w:p>
      <w:pPr>
        <w:spacing w:after="0" w:line="160" w:lineRule="exact"/>
        <w:rPr>
          <w:sz w:val="20"/>
          <w:szCs w:val="20"/>
          <w:color w:val="auto"/>
        </w:rPr>
      </w:pPr>
    </w:p>
    <w:p>
      <w:pPr>
        <w:jc w:val="both"/>
        <w:ind w:left="520" w:right="3839" w:firstLine="697"/>
        <w:spacing w:after="0" w:line="254" w:lineRule="auto"/>
        <w:tabs>
          <w:tab w:leader="none" w:pos="200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adjustment in the number of Warrant Shares issuable and/or the Exercise Price under Sections</w:t>
      </w:r>
    </w:p>
    <w:p>
      <w:pPr>
        <w:ind w:left="52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4.1(b), (c), (d) or (g) resulting from the issuance or distribution of any rights, options, warrants or convertible securities providing for the right to purchase or subscribe for Common Stock of the Company ("Common Stock Equivalents"):</w:t>
      </w:r>
    </w:p>
    <w:p>
      <w:pPr>
        <w:spacing w:after="0" w:line="175" w:lineRule="exact"/>
        <w:rPr>
          <w:rFonts w:ascii="Courier New" w:cs="Courier New" w:eastAsia="Courier New" w:hAnsi="Courier New"/>
          <w:sz w:val="14"/>
          <w:szCs w:val="14"/>
          <w:color w:val="auto"/>
        </w:rPr>
      </w:pPr>
    </w:p>
    <w:p>
      <w:pPr>
        <w:ind w:left="1220" w:right="3399" w:firstLine="696"/>
        <w:spacing w:after="0" w:line="235" w:lineRule="auto"/>
        <w:tabs>
          <w:tab w:leader="none" w:pos="2707"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adjustment of the number of Warrant Shares issuable or the Exercise Price will be made upon the subsequent issue or sale of, the exercise of, or the conversion or exchange of, such Common Stock;</w:t>
      </w:r>
    </w:p>
    <w:p>
      <w:pPr>
        <w:spacing w:after="0" w:line="175" w:lineRule="exact"/>
        <w:rPr>
          <w:rFonts w:ascii="Courier New" w:cs="Courier New" w:eastAsia="Courier New" w:hAnsi="Courier New"/>
          <w:sz w:val="15"/>
          <w:szCs w:val="15"/>
          <w:color w:val="auto"/>
        </w:rPr>
      </w:pPr>
    </w:p>
    <w:p>
      <w:pPr>
        <w:ind w:left="1220" w:right="3319" w:firstLine="609"/>
        <w:spacing w:after="0" w:line="255" w:lineRule="auto"/>
        <w:tabs>
          <w:tab w:leader="none" w:pos="2707"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Common Stock Equivalents by their terms provide, with the passage of time or otherwise, for any increase or decrease in the consideration payable to the Company, or increase or decrease in the number of shares of Common Stock issuable upon the exercise, conversion, or exchange of such Common Stock Equivalent (by change of rate or otherwise), the number of Warrant Shares issuable pursuant to this Warrant and the Exercise Price computed upon original issuance or distribution (or upon the occurrence of the record date with respect thereto), and any subsequent adjustments based on the existence of such Common Stock Equivalent will, as to any Warrant Shares remaining unissued upon any such increase or decrease becoming effective, be recomputed to reflect such increase or decrease or any change in the rights of conversion or exchange under such Common Stock Equivalents that are outstanding at such time;</w:t>
      </w:r>
    </w:p>
    <w:p>
      <w:pPr>
        <w:spacing w:after="0" w:line="163" w:lineRule="exact"/>
        <w:rPr>
          <w:rFonts w:ascii="Courier New" w:cs="Courier New" w:eastAsia="Courier New" w:hAnsi="Courier New"/>
          <w:sz w:val="14"/>
          <w:szCs w:val="14"/>
          <w:color w:val="auto"/>
        </w:rPr>
      </w:pPr>
    </w:p>
    <w:p>
      <w:pPr>
        <w:ind w:left="1220" w:right="3319" w:firstLine="521"/>
        <w:spacing w:after="0" w:line="254" w:lineRule="auto"/>
        <w:tabs>
          <w:tab w:leader="none" w:pos="2707"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expiration (or purchase by the Company and cancellation or retirement) of any such Common Stock Equivalent that has not been exercised or the expiration of any rights of conversion or exchange under any such Common Stock Equivalent that (or purchase by the Company and cancellation or retirement of any such Common Stock Equivalent the rights of conversion or exchange under which) have not been exercised, the number of Warrant Shares issuable pursuant to this Warrant and the Exercise Price computed upon the original issuance or distribution of such Common Stock Equivalent (or upon the occurrence of the record date with respect thereto), and any subsequent adjustments based on the existence of such Common Stock Equivalent, will, as to any Warrant Shares remaining unissued upon such expiration (or such cancellation or retirement, as the case may be), be recomputed as if the only shares of Common Stock issued or sold were the shares of Common Stock, if any, actually issued or sold upon the exercise of such rights, options or warrants or the conversion or exchange of such convertible securities and the consideration received therefor was the consideration actually received by the Company for the issuance or distribution of all such rights, options or warrants, whether or not exercised, plus the consideration actually received by the Company upon such exercise, or for the issuance or distribution of all such convertible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A</w:t>
      </w:r>
    </w:p>
    <w:p>
      <w:pPr>
        <w:spacing w:after="0" w:line="178" w:lineRule="exact"/>
        <w:rPr>
          <w:sz w:val="20"/>
          <w:szCs w:val="20"/>
          <w:color w:val="auto"/>
        </w:rPr>
      </w:pPr>
    </w:p>
    <w:p>
      <w:pPr>
        <w:ind w:left="1500" w:right="3319"/>
        <w:spacing w:after="0" w:line="235" w:lineRule="auto"/>
        <w:rPr>
          <w:sz w:val="20"/>
          <w:szCs w:val="20"/>
          <w:color w:val="auto"/>
        </w:rPr>
      </w:pPr>
      <w:r>
        <w:rPr>
          <w:rFonts w:ascii="Courier New" w:cs="Courier New" w:eastAsia="Courier New" w:hAnsi="Courier New"/>
          <w:sz w:val="15"/>
          <w:szCs w:val="15"/>
          <w:color w:val="auto"/>
        </w:rPr>
        <w:t>that were actually converted or exchanged, plus the additional consideration, if any, actually received by the Company upon such conversion or exchange;</w:t>
      </w:r>
    </w:p>
    <w:p>
      <w:pPr>
        <w:spacing w:after="0" w:line="167" w:lineRule="exact"/>
        <w:rPr>
          <w:sz w:val="20"/>
          <w:szCs w:val="20"/>
          <w:color w:val="auto"/>
        </w:rPr>
      </w:pPr>
    </w:p>
    <w:p>
      <w:pPr>
        <w:ind w:left="2980" w:hanging="871"/>
        <w:spacing w:after="0"/>
        <w:tabs>
          <w:tab w:leader="none" w:pos="298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readjustment pursuant to clause (ii) or</w:t>
      </w:r>
    </w:p>
    <w:p>
      <w:pPr>
        <w:spacing w:after="0" w:line="4" w:lineRule="exact"/>
        <w:rPr>
          <w:rFonts w:ascii="Courier New" w:cs="Courier New" w:eastAsia="Courier New" w:hAnsi="Courier New"/>
          <w:sz w:val="15"/>
          <w:szCs w:val="15"/>
          <w:color w:val="auto"/>
        </w:rPr>
      </w:pPr>
    </w:p>
    <w:p>
      <w:pPr>
        <w:ind w:left="1500" w:right="3319" w:hanging="3"/>
        <w:spacing w:after="0" w:line="256" w:lineRule="auto"/>
        <w:tabs>
          <w:tab w:leader="none" w:pos="202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will have the effect of increasing the Exercise Price by an amount in excess of the amount of the adjustment of the Exercise Price originally made in respect of the issuance or distribution of such Common Stock Equivalents; and</w:t>
      </w:r>
    </w:p>
    <w:p>
      <w:pPr>
        <w:spacing w:after="0" w:line="164" w:lineRule="exact"/>
        <w:rPr>
          <w:rFonts w:ascii="Courier New" w:cs="Courier New" w:eastAsia="Courier New" w:hAnsi="Courier New"/>
          <w:sz w:val="14"/>
          <w:szCs w:val="14"/>
          <w:color w:val="auto"/>
        </w:rPr>
      </w:pPr>
    </w:p>
    <w:p>
      <w:pPr>
        <w:ind w:left="1500" w:right="3579" w:firstLine="696"/>
        <w:spacing w:after="0" w:line="236" w:lineRule="auto"/>
        <w:tabs>
          <w:tab w:leader="none" w:pos="2987"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rights, options or warrants that expire by their terms not more than 60 days after the date of their issuance or distribution, no adjustment of the Exercise Price will be made until the expiration or exercise of all such rights, options or warrants, whereupon such adjustment shall be made in the manner provided in clause (iii) above.</w:t>
      </w:r>
    </w:p>
    <w:p>
      <w:pPr>
        <w:spacing w:after="0" w:line="176" w:lineRule="exact"/>
        <w:rPr>
          <w:sz w:val="20"/>
          <w:szCs w:val="20"/>
          <w:color w:val="auto"/>
        </w:rPr>
      </w:pPr>
    </w:p>
    <w:p>
      <w:pPr>
        <w:ind w:left="800" w:right="3579" w:firstLine="697"/>
        <w:spacing w:after="0" w:line="235" w:lineRule="auto"/>
        <w:tabs>
          <w:tab w:leader="none" w:pos="228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avoidance of doubt, any adjustment pursuant to this Section 4.1 shall be apportioned ratably among all unissued Warrant Shares issuable pursuant to this Warrant.</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number of Warrant Shares purchasable upon the exercise of this Warrant is adjusted, as provided in this Section 4.1, the Exercise Price payable upon exercise of this Warrant shall be adjusted by multiplying such Exercise Price immediately prior to such adjustment by a fraction, of which the numerator shall be the number of Warrant Shares purchasable upon the exercise of each Warrant immediately prior to such adjustment, and of which the denominator shall be the number of Warrant Shares so purchasable immediately thereafter.</w:t>
      </w:r>
    </w:p>
    <w:p>
      <w:pPr>
        <w:spacing w:after="0" w:line="178"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4.2 In the event the Company shall declare a dividend, or make a distribution to the holders of its Common Stock generally, whether in cash, property or assets of any kind, including any dividend payable in stock or securities of any other issuer owned by the Company (excluding regularly payable cash dividends declared from time to time by the Company's Board of Directors or any dividend or distribution referred to in Section 4.1(a) or (c) above), the Exercise Price shall be reduced, without any further action by the parties hereto, by the Per Share Value (as hereinafter defined) of the dividend. For purposes of this Section 4.2, the "Per Share Value" of a cash dividend or other distribution shall be the dollar amount of the distribution on each share of Common Stock and the "Per Share Value" of any dividend or distribution other than cash shall be equal to the fair market value of such non-cash distribution on each share of Common Stock as determined in good faith by the Board of Directors of the Company.</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4.3 No adjustment in the number of Warrant Shares purchasable under this Warrant, or in the Exercise Price thereof, shall be required unless such adjustment would require an increase or decrease of at least $.10 in the Exercise Price; provided, however, that any adjustments which by reason of this Section 4.3 are not required to be made shall be carried forward and taken into account in any subsequent adjustment. All final results of adjustments to the Exercise Price and the number of Warrant Shares shall</w:t>
      </w:r>
    </w:p>
    <w:p>
      <w:pPr>
        <w:spacing w:after="0" w:line="2"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be rounded to the nearest cent or the nearest one thousandth of a share, as the case may be. Anything in this Section 4 to the contrary notwithstanding,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A</w:t>
      </w:r>
    </w:p>
    <w:p>
      <w:pPr>
        <w:spacing w:after="0" w:line="178"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shall be entitled, but shall not be required, to make such changes in the number of Warrant Shares purchasable upon the exercise of this Warrant, or in the Exercise Price, in addition to those required by such Section, as in its discretion shall determine to be advisable in order that any event referred to in Section 4.1 or 4.2 of this Agreement shall not result in any tax to the holders of its Common Stock or securities convertible into Common Stock, provided that the Holder is not otherwise prejudiced by such changes.</w:t>
      </w:r>
    </w:p>
    <w:p>
      <w:pPr>
        <w:spacing w:after="0" w:line="166"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4.4 Whenever the number of Warrant Shares purchasable upon the exercise of this Warrant and/or the Exercise Price is adjusted, as herein provided, the Company shall mail to the Holder, at the address of the Holder shown on the books of the Company, a notice of such adjustment or adjustments, prepared and signed by the Chief Financial Officer or Secretary of the Company, which sets forth the number of Warrant Shares purchasable upon the exercise of this Warrant and the Exercise Price after such adjustment, together with a brief statement of the facts requiring such adjustment and the computation by which such adjustment was made.</w:t>
      </w:r>
    </w:p>
    <w:p>
      <w:pPr>
        <w:spacing w:after="0" w:line="178"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4.5 If at any time prior to the expiration of this Warrant and prior to its exercise any event referred to in Section 4.1 or 4.2 of this Agreement occurs which has an effect on the Exercise Price or the kind and amount of the shares of stock or other securities or property deliverable upon exercise of this Warrant (each such event hereinafter being referred to as a "Notification Event"), the Company shall cause to be mailed to the Holder not less than 20 days prior to the record date, if any, in connection with such Notification Event (or such other date as such notice is given to the holders of Common Stock generally; provided, however, that if there is no record date, or if 20 days prior notice is impracticable, such notice shall be given as soon as is practicable) written notice specifying the nature of such event and the effective date of, or the date on which the books of the Company shall close or a record shall be taken with respect to, such event. Such notice shall also set forth facts indicating the effect of such action (to the extent such effect may be known at the date of such notice) on the Exercise Price and the kind and amount of the shares of stock or other securities or property deliverable upon exercise of this Warrant.</w:t>
      </w:r>
    </w:p>
    <w:p>
      <w:pPr>
        <w:spacing w:after="0" w:line="331"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4.6 The form of the certificate representing this Warrant need not be changed because of any change in the Exercise Price or any change in the kind or amount of the shares of stock or other securities or property deliverable upon exercise of this Warrant, and any such certificates issued before or after such change may state the same Exercise Price and the same kind or amount of shares of stock or other securities or property deliverable upon exercise as certificates theretofore issued. The Company may, however, at any time, in its sole discretion, make any change in the form of such certificate that it may deem appropriate in order to give effect to the provisions of this Article 4, and such certificates thereafter issued or countersigned, whether in exchange or substitution for an outstanding certificate or otherwise, may be in the form as so changed.</w:t>
      </w:r>
    </w:p>
    <w:p>
      <w:pPr>
        <w:spacing w:after="0" w:line="173" w:lineRule="exact"/>
        <w:rPr>
          <w:sz w:val="20"/>
          <w:szCs w:val="20"/>
          <w:color w:val="auto"/>
        </w:rPr>
      </w:pPr>
    </w:p>
    <w:p>
      <w:pPr>
        <w:ind w:left="2280" w:right="3679" w:hanging="783"/>
        <w:spacing w:after="0" w:line="234" w:lineRule="auto"/>
        <w:tabs>
          <w:tab w:leader="none" w:pos="22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Change in Control; Determination of Market Price Per Share</w:t>
      </w:r>
    </w:p>
    <w:p>
      <w:pPr>
        <w:spacing w:after="0" w:line="173" w:lineRule="exact"/>
        <w:rPr>
          <w:sz w:val="20"/>
          <w:szCs w:val="20"/>
          <w:color w:val="auto"/>
        </w:rPr>
      </w:pPr>
    </w:p>
    <w:p>
      <w:pPr>
        <w:ind w:right="3499" w:firstLine="1497"/>
        <w:spacing w:after="0" w:line="235" w:lineRule="auto"/>
        <w:tabs>
          <w:tab w:leader="none" w:pos="227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"Change in Control" shall mean a change in control of the Company of a nature that would be required to be reported in response to Item 6(e)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A</w:t>
      </w:r>
    </w:p>
    <w:p>
      <w:pPr>
        <w:spacing w:after="0" w:line="178"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Schedule 14A of Regulation 14A under the Securities Exchange Act of 1934, as amended (the "Exchange Act"), provided, that, without limitation, such a change in control shall be deemed to have occurred if (i) any "person" (as such term is used in Sections 13(d) and 14(d) of the Exchange Act) is or becomes the "beneficial owner" (as defined in Rule 13d-3 under the Exchange Act), directly or indirectly, of securities of the Company representing 50% or more of the combined voting power of the Company's then outstanding voting securities or</w:t>
      </w:r>
    </w:p>
    <w:p>
      <w:pPr>
        <w:spacing w:after="0" w:line="2" w:lineRule="exact"/>
        <w:rPr>
          <w:sz w:val="20"/>
          <w:szCs w:val="20"/>
          <w:color w:val="auto"/>
        </w:rPr>
      </w:pPr>
    </w:p>
    <w:p>
      <w:pPr>
        <w:ind w:right="3579" w:firstLine="10"/>
        <w:spacing w:after="0" w:line="254" w:lineRule="auto"/>
        <w:tabs>
          <w:tab w:leader="none" w:pos="43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24 consecutive months, individuals (y) who at the beginning of such period constitute the Board of Directors of the Company or</w:t>
      </w:r>
    </w:p>
    <w:p>
      <w:pPr>
        <w:ind w:right="3399" w:firstLine="10"/>
        <w:spacing w:after="0" w:line="236" w:lineRule="auto"/>
        <w:tabs>
          <w:tab w:leader="none" w:pos="35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whose election, appointment or nomination for election was approved prior to such election or appointment by a vote of a majority of the directors in office immediately prior to such election or appointment who were directors at the beginning of such two-year period (other than any directors who prior to the Change in Control were associated or affiliated with any person involved with any Change in Control or attempted Change in Control), cease for any reason to constitute at least a majority of the Board of Directors of the Company.</w:t>
      </w:r>
    </w:p>
    <w:p>
      <w:pPr>
        <w:spacing w:after="0" w:line="177" w:lineRule="exact"/>
        <w:rPr>
          <w:rFonts w:ascii="Courier New" w:cs="Courier New" w:eastAsia="Courier New" w:hAnsi="Courier New"/>
          <w:sz w:val="15"/>
          <w:szCs w:val="15"/>
          <w:color w:val="auto"/>
        </w:rPr>
      </w:pPr>
    </w:p>
    <w:p>
      <w:pPr>
        <w:ind w:right="3319" w:firstLine="1497"/>
        <w:spacing w:after="0" w:line="237" w:lineRule="auto"/>
        <w:tabs>
          <w:tab w:leader="none" w:pos="2274"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"Market Price Per Share" with respect to any date shall mean the closing price per share of Common Stock for the trading day immediately preceding such date; provided, that for purposes of Article 4 hereof, such term shall mean the average of the closing prices per share of the Common Stock for the 20 consecutive trading days ending on the trading day immediately preceding such date. The closing price for each such day shall be the last sale price regular way or, in case no such sale takes place on such day, the average of the closing bid and asked prices regular way, in either case on the principal securities exchange on which the shares of Common Stock of the Company are listed or admitted to trading; the last sale price, or in case no sale takes place on such day, the average of the closing bid and asked prices of the Common Stock on NASDAQ or any comparable system; or if the Common Stock is not reported on NASDAQ or a comparable system, the average of the closing bid and asked prices as furnished by two members of the National Association of Securities Dealers, Inc. selected from time to time by the Company for that purpose. If such bid and asked prices are not available, then "Market Price Per Share" shall be equal to the fair market value of the Company's Common Stock as determined in good faith by the Board of Directors of the Company.</w:t>
      </w:r>
    </w:p>
    <w:p>
      <w:pPr>
        <w:spacing w:after="0" w:line="169" w:lineRule="exact"/>
        <w:rPr>
          <w:sz w:val="20"/>
          <w:szCs w:val="20"/>
          <w:color w:val="auto"/>
        </w:rPr>
      </w:pPr>
    </w:p>
    <w:p>
      <w:pPr>
        <w:ind w:left="2280" w:hanging="783"/>
        <w:spacing w:after="0"/>
        <w:tabs>
          <w:tab w:leader="none" w:pos="228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Transfer</w:t>
      </w:r>
    </w:p>
    <w:p>
      <w:pPr>
        <w:spacing w:after="0" w:line="173" w:lineRule="exact"/>
        <w:rPr>
          <w:sz w:val="20"/>
          <w:szCs w:val="20"/>
          <w:color w:val="auto"/>
        </w:rPr>
      </w:pPr>
    </w:p>
    <w:p>
      <w:pPr>
        <w:ind w:right="4099" w:firstLine="1487"/>
        <w:spacing w:after="0" w:line="234" w:lineRule="auto"/>
        <w:rPr>
          <w:sz w:val="20"/>
          <w:szCs w:val="20"/>
          <w:color w:val="auto"/>
        </w:rPr>
      </w:pPr>
      <w:r>
        <w:rPr>
          <w:rFonts w:ascii="Courier New" w:cs="Courier New" w:eastAsia="Courier New" w:hAnsi="Courier New"/>
          <w:sz w:val="15"/>
          <w:szCs w:val="15"/>
          <w:color w:val="auto"/>
        </w:rPr>
        <w:t>All Warrant Shares issuable hereunder shall be freely transferable by the Holder.</w:t>
      </w:r>
    </w:p>
    <w:p>
      <w:pPr>
        <w:spacing w:after="0" w:line="167" w:lineRule="exact"/>
        <w:rPr>
          <w:sz w:val="20"/>
          <w:szCs w:val="20"/>
          <w:color w:val="auto"/>
        </w:rPr>
      </w:pPr>
    </w:p>
    <w:p>
      <w:pPr>
        <w:ind w:left="2280" w:hanging="783"/>
        <w:spacing w:after="0"/>
        <w:tabs>
          <w:tab w:leader="none" w:pos="22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of the Company</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Company covenants and agrees that this Warrant shall be binding upon any corporation succeeding to the Company by merger, consolidation or acquisition of all or substantially all of the Company's assets, and that any agreement providing for any such acquisition of all or substantially all of the Company's assets will expressly so provide.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280" w:hanging="783"/>
        <w:spacing w:after="0"/>
        <w:tabs>
          <w:tab w:leader="none" w:pos="22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1487"/>
        <w:spacing w:after="0" w:line="258" w:lineRule="auto"/>
        <w:rPr>
          <w:sz w:val="20"/>
          <w:szCs w:val="20"/>
          <w:color w:val="auto"/>
        </w:rPr>
      </w:pPr>
      <w:r>
        <w:rPr>
          <w:rFonts w:ascii="Courier New" w:cs="Courier New" w:eastAsia="Courier New" w:hAnsi="Courier New"/>
          <w:sz w:val="14"/>
          <w:szCs w:val="14"/>
          <w:color w:val="auto"/>
        </w:rPr>
        <w:t>8.1 Entire Agreement. This Warrant contains the entire agreement between the Holder and the Company with respect to its subject matter and supersedes all prior arrangements or understanding with respect thereto.</w:t>
      </w:r>
    </w:p>
    <w:p>
      <w:pPr>
        <w:spacing w:after="0" w:line="330"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8.2 Governing Law. This Warrant shall be governed by and construed in accordance with the laws of the State of Delaware.</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8.3 Waiver and Amendment. Any term or provision of this Warrant may be waived at any time by the party which is entitled to the benefits thereof and any term or provision of this Warrant may be amended or supplemented at any time by agreement of the holder hereof and the Company, except that any waiver of any term or condition of this Warrant, or any amendment or supplement thereto, must be in writing signed by each party to be charged. A waiver of any breach or failure to enforce any of the terms or conditions of this Warrant by a party shall not in any way affect, limit or waive such party's rights hereunder at any time to enforce strict compliance thereafter with every term or condition of this Warrant.</w:t>
      </w:r>
    </w:p>
    <w:p>
      <w:pPr>
        <w:spacing w:after="0" w:line="179"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8.4 Illegality. In the event that any one or more of the provisions contained in this Warrant shall be determined to be invalid, illegal or unenforceable in any respect for any reason, the validity, legality and enforceability of any such provision in any other respect and the remaining provisions of this Warrant shall not be in any way impaired.</w:t>
      </w:r>
    </w:p>
    <w:p>
      <w:pPr>
        <w:spacing w:after="0" w:line="174" w:lineRule="exact"/>
        <w:rPr>
          <w:sz w:val="20"/>
          <w:szCs w:val="20"/>
          <w:color w:val="auto"/>
        </w:rPr>
      </w:pPr>
    </w:p>
    <w:p>
      <w:pPr>
        <w:ind w:right="3679" w:firstLine="1487"/>
        <w:spacing w:after="0" w:line="234" w:lineRule="auto"/>
        <w:rPr>
          <w:sz w:val="20"/>
          <w:szCs w:val="20"/>
          <w:color w:val="auto"/>
        </w:rPr>
      </w:pPr>
      <w:r>
        <w:rPr>
          <w:rFonts w:ascii="Courier New" w:cs="Courier New" w:eastAsia="Courier New" w:hAnsi="Courier New"/>
          <w:sz w:val="15"/>
          <w:szCs w:val="15"/>
          <w:color w:val="auto"/>
        </w:rPr>
        <w:t>8.5 Copy of Warrant. A copy of this Warrant shall be filed among the records of the Company.</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8.6 Notices. Any notice or other document required or permitted to be given or delivered to the Holder shall be delivered at, or sent by overnight courier or certified or registered mail to such Holder at, the last address shown on the books of the Company maintained at the Warrant Office for the registration of this Warrant or at any more recent address of which the Holder hereof shall have notified the Company in writing. Any notice or other document required or permitted to be given or delivered to the Company, other than such notice or documents required to be delivered to the Warrant Office, shall be delivered at, or sent by overnight courier or certified or registered mail to, the office of the Company at 5400 LBJ Freeway, Tower One, Suite 300, Dallas, Texas 75240 or such other address within the continental United States of America as shall have been furnished by the Company to the holders of this Warrant.</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8.7 Limitation of Liability; Not Stockholders. No provision of this Warrant shall be construed as conferring upon the Holder the right to vote, consent, receive dividends or receive notices other than as herein expressly provided in respect of meetings of stockholders for the election of directors of the Company or any other matter whatsoever as a stockholder of the Company. No provision hereof, in the absence of affirmative action by the Holder to purchase or otherwise acquire shares of Common Stock, and no mere enumeration herein of the rights or privileges of the Holder, shall give rise to any liability of the Holder for the purchase price of any shares of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EXHIBIT A</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as a stockholder of the Company, whether such liability is asserted by the Company or by creditors of the Company.</w:t>
      </w:r>
    </w:p>
    <w:p>
      <w:pPr>
        <w:spacing w:after="0" w:line="173"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4"/>
          <w:szCs w:val="14"/>
          <w:color w:val="auto"/>
        </w:rPr>
        <w:t>8.8 Exchange, Loss, Destruction, etc. of Warrant. Upon receipt of evidence satisfactory to the Company of the loss, theft, mutilation or destruction of this Warrant, and in the case of any such loss, theft or destruction upon delivery of a bond of indemnity in such form and amount as shall be reasonably satisfactory to the Company, or in the event of such mutilation upon surrender and cancellation of this Warrant, the Company will make and deliver a new Warrant of like tenor, in lieu of such lost, stolen, destroyed or mutilated Warrant. Any Warrant issued under the provisions of this Section 8.8 in lieu of any Warrant alleged to be lost, destroyed or stolen, or in lieu of any mutilated Warrant, shall constitute an original contractual obligation on the part of the Company. This Warrant shall be promptly canceled by the Company upon the surrender hereof in connection with any exchange or replacement. The Company shall pay all taxes (other than securities transfer taxes) and all other expenses and charges payable in connection with the preparation, execution and delivery of Warrants pursuant to this Section 8.8.</w:t>
      </w:r>
    </w:p>
    <w:p>
      <w:pPr>
        <w:spacing w:after="0" w:line="16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8.9 Headings. The Article and Section and other headings herein are for convenience only and are not a part of this Warrant and shall not affect the interpretation thereof.</w:t>
      </w:r>
    </w:p>
    <w:p>
      <w:pPr>
        <w:spacing w:after="0" w:line="174" w:lineRule="exact"/>
        <w:rPr>
          <w:sz w:val="20"/>
          <w:szCs w:val="20"/>
          <w:color w:val="auto"/>
        </w:rPr>
      </w:pPr>
    </w:p>
    <w:p>
      <w:pPr>
        <w:jc w:val="both"/>
        <w:ind w:right="3399" w:firstLine="1487"/>
        <w:spacing w:after="0" w:line="235" w:lineRule="auto"/>
        <w:rPr>
          <w:sz w:val="20"/>
          <w:szCs w:val="20"/>
          <w:color w:val="auto"/>
        </w:rPr>
      </w:pPr>
      <w:r>
        <w:rPr>
          <w:rFonts w:ascii="Courier New" w:cs="Courier New" w:eastAsia="Courier New" w:hAnsi="Courier New"/>
          <w:sz w:val="15"/>
          <w:szCs w:val="15"/>
          <w:color w:val="auto"/>
        </w:rPr>
        <w:t>IN WITNESS WHEREOF, the Company has caused this Warrant to be duly executed by its officers thereunto duly authorized and its corporate seal to be affixed hereon, as of this 21st day of June, 1996.</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ind w:left="180" w:hanging="170"/>
        <w:spacing w:after="0"/>
        <w:tabs>
          <w:tab w:leader="none" w:pos="18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18</w:t>
      </w:r>
    </w:p>
    <w:p>
      <w:pPr>
        <w:ind w:left="6140"/>
        <w:spacing w:after="0" w:line="237" w:lineRule="auto"/>
        <w:rPr>
          <w:sz w:val="20"/>
          <w:szCs w:val="20"/>
          <w:color w:val="auto"/>
        </w:rPr>
      </w:pPr>
      <w:r>
        <w:rPr>
          <w:rFonts w:ascii="Courier New" w:cs="Courier New" w:eastAsia="Courier New" w:hAnsi="Courier New"/>
          <w:sz w:val="15"/>
          <w:szCs w:val="15"/>
          <w:color w:val="auto"/>
        </w:rPr>
        <w:t>EXHIBIT A</w:t>
      </w:r>
    </w:p>
    <w:p>
      <w:pPr>
        <w:spacing w:after="0" w:line="335"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SUBSCRIPTION NOTICE</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undersigned, the Holder of the Warrant accompanying this notice, hereby elects to exercise purchase rights represented by said Warrant for, and to purchase thereunder, ___ Warrant Shares covered by said Warrant and herewith makes payment in full therefor pursuant to Section 1.2 of such Warrant.</w:t>
      </w:r>
    </w:p>
    <w:p>
      <w:pPr>
        <w:spacing w:after="0" w:line="174" w:lineRule="exact"/>
        <w:rPr>
          <w:sz w:val="20"/>
          <w:szCs w:val="20"/>
          <w:color w:val="auto"/>
        </w:rPr>
      </w:pPr>
    </w:p>
    <w:p>
      <w:pPr>
        <w:jc w:val="both"/>
        <w:ind w:right="3939" w:firstLine="1487"/>
        <w:spacing w:after="0" w:line="235" w:lineRule="auto"/>
        <w:rPr>
          <w:sz w:val="20"/>
          <w:szCs w:val="20"/>
          <w:color w:val="auto"/>
        </w:rPr>
      </w:pPr>
      <w:r>
        <w:rPr>
          <w:rFonts w:ascii="Courier New" w:cs="Courier New" w:eastAsia="Courier New" w:hAnsi="Courier New"/>
          <w:sz w:val="15"/>
          <w:szCs w:val="15"/>
          <w:color w:val="auto"/>
        </w:rPr>
        <w:t>The undersigned requests (a) that certificates for such Warrant Shares (and any other securities or property issuable upon such exercise) be issued in the name of, and delivered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 and (b) if such Warrant Shares shall not include</w:t>
      </w:r>
    </w:p>
    <w:p>
      <w:pPr>
        <w:spacing w:after="0" w:line="1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all of the Warrant Shares issuable as provided in said Warrant, that a new Warrant of like tenor and date for the balance of the Warrant Shares issuable thereunder be delivered to the undersigned.</w:t>
      </w:r>
    </w:p>
    <w:p>
      <w:pPr>
        <w:spacing w:after="0" w:line="200" w:lineRule="exact"/>
        <w:rPr>
          <w:sz w:val="20"/>
          <w:szCs w:val="20"/>
          <w:color w:val="auto"/>
        </w:rPr>
      </w:pPr>
    </w:p>
    <w:p>
      <w:pPr>
        <w:spacing w:after="0" w:line="3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of Holder</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Address:</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19</w:t>
      </w:r>
    </w:p>
    <w:p>
      <w:pPr>
        <w:ind w:left="6140"/>
        <w:spacing w:after="0" w:line="237" w:lineRule="auto"/>
        <w:rPr>
          <w:sz w:val="20"/>
          <w:szCs w:val="20"/>
          <w:color w:val="auto"/>
        </w:rPr>
      </w:pPr>
      <w:r>
        <w:rPr>
          <w:rFonts w:ascii="Courier New" w:cs="Courier New" w:eastAsia="Courier New" w:hAnsi="Courier New"/>
          <w:sz w:val="15"/>
          <w:szCs w:val="15"/>
          <w:color w:val="auto"/>
        </w:rPr>
        <w:t>EXHIBIT A</w:t>
      </w:r>
    </w:p>
    <w:p>
      <w:pPr>
        <w:spacing w:after="0" w:line="167"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Exhibit B</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NOTICE OF CONVERSION</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The undersigned hereby irrevocably elects to convert, pursuant to Section 1.3 of the Warrant, the undersigned's right to purchase __________</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Conversion Shares pursuant to the accompanying Warrant into shares of the Common Stock of the Company. The number of shares of the Common Stock of the Company to be received by the undersigned shall be calculated in accordance with the provisions of Section 1.3 of the accompanying Warrant.</w:t>
      </w:r>
    </w:p>
    <w:p>
      <w:pPr>
        <w:spacing w:after="0" w:line="175"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The undersigned hereby requests (a) that certificates for such shares (and any other securities or property issuable upon such exercise) be issued in the name of, and delivered to, ______________ and (b) the Conversion</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Shares referred to above shall not include all of the Warrant Shares issuable as provided in said Warrant, that a new Warrant of like tenor and date for the balance of the Warrant Shares issuable thereunder be delivered to the undersigned.</w:t>
      </w:r>
    </w:p>
    <w:p>
      <w:pPr>
        <w:spacing w:after="0" w:line="200" w:lineRule="exact"/>
        <w:rPr>
          <w:sz w:val="20"/>
          <w:szCs w:val="20"/>
          <w:color w:val="auto"/>
        </w:rPr>
      </w:pPr>
    </w:p>
    <w:p>
      <w:pPr>
        <w:spacing w:after="0" w:line="312"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of Holder</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Address:</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03"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EXHIBIT B</w:t>
      </w:r>
    </w:p>
    <w:p>
      <w:pPr>
        <w:spacing w:after="0" w:line="173" w:lineRule="exact"/>
        <w:rPr>
          <w:sz w:val="20"/>
          <w:szCs w:val="20"/>
          <w:color w:val="auto"/>
        </w:rPr>
      </w:pPr>
    </w:p>
    <w:p>
      <w:pPr>
        <w:jc w:val="both"/>
        <w:ind w:left="540" w:right="3579"/>
        <w:spacing w:after="0" w:line="256" w:lineRule="auto"/>
        <w:rPr>
          <w:sz w:val="20"/>
          <w:szCs w:val="20"/>
          <w:color w:val="auto"/>
        </w:rPr>
      </w:pPr>
      <w:r>
        <w:rPr>
          <w:rFonts w:ascii="Courier New" w:cs="Courier New" w:eastAsia="Courier New" w:hAnsi="Courier New"/>
          <w:sz w:val="14"/>
          <w:szCs w:val="14"/>
          <w:color w:val="auto"/>
        </w:rPr>
        <w:t>THIS WARRANT HAS NOT BEEN REGISTERED UNDER THE SECURITIES ACT OF 1933 OR THE LAWS OF ANY STATE. IT MAY NOT BE SOLD OR OTHERWISE TRANSFERRED UNLESS IT IS REGISTERED UNDER SUCH ACT AND APPLICABLE STATE SECURITIES LAWS OR AN EXEMPTION FROM REGISTRATION IS AVAILABLE.</w:t>
      </w:r>
    </w:p>
    <w:p>
      <w:pPr>
        <w:spacing w:after="0" w:line="15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WARRANT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to Purchase Common Stock of</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Expiring on June 21, 2004</w:t>
      </w:r>
    </w:p>
    <w:p>
      <w:pPr>
        <w:spacing w:after="0" w:line="173"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THIS IS TO CERTIFY THAT, for value received, USA WASTE SERVICES, INC., a Delaware corporation (the "Company"), hereby grants to JOHN G. RANGOS, JR. (together with any registered transferees under Article 2 hereof, the "Holder"), a Warrant to purchase 100,000 shares of the duly authorized, validly issued, fully paid and nonassessable shares (the "Warrant Shares") of Common Stock, $.01 par value, of the Company (the "Common Stock"), at a purchase price per share of $29.00 (as adjusted pursuant to the terms of this Warrant, the "Exercise Price"), and to exercise the other appurtenant rights, powers and privileges hereinafter set forth. The number of Warrant Shares purchasable hereunder and the Exercise Price are subject to adjustment in accordance with Article 4 hereof. This Warrant shall expire at 5:00 p.m., Dallas, Texas time on June 21, 2004.</w:t>
      </w:r>
    </w:p>
    <w:p>
      <w:pPr>
        <w:spacing w:after="0" w:line="158" w:lineRule="exact"/>
        <w:rPr>
          <w:sz w:val="20"/>
          <w:szCs w:val="20"/>
          <w:color w:val="auto"/>
        </w:rPr>
      </w:pPr>
    </w:p>
    <w:p>
      <w:pPr>
        <w:ind w:left="2280" w:hanging="783"/>
        <w:spacing w:after="0"/>
        <w:tabs>
          <w:tab w:leader="none" w:pos="22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66" w:lineRule="exact"/>
        <w:rPr>
          <w:sz w:val="20"/>
          <w:szCs w:val="20"/>
          <w:color w:val="auto"/>
        </w:rPr>
      </w:pPr>
    </w:p>
    <w:p>
      <w:pPr>
        <w:ind w:left="1500"/>
        <w:spacing w:after="0"/>
        <w:tabs>
          <w:tab w:leader="none" w:pos="2260" w:val="left"/>
          <w:tab w:leader="none" w:pos="37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Exercisability.</w:t>
      </w:r>
      <w:r>
        <w:rPr>
          <w:sz w:val="20"/>
          <w:szCs w:val="20"/>
          <w:color w:val="auto"/>
        </w:rPr>
        <w:tab/>
      </w:r>
      <w:r>
        <w:rPr>
          <w:rFonts w:ascii="Courier New" w:cs="Courier New" w:eastAsia="Courier New" w:hAnsi="Courier New"/>
          <w:sz w:val="14"/>
          <w:szCs w:val="14"/>
          <w:color w:val="auto"/>
        </w:rPr>
        <w:t>This Warrant may be exercised as to</w:t>
      </w:r>
    </w:p>
    <w:p>
      <w:pPr>
        <w:spacing w:after="0" w:line="5" w:lineRule="exact"/>
        <w:rPr>
          <w:sz w:val="20"/>
          <w:szCs w:val="20"/>
          <w:color w:val="auto"/>
        </w:rPr>
      </w:pPr>
    </w:p>
    <w:p>
      <w:pPr>
        <w:ind w:right="3319" w:firstLine="10"/>
        <w:spacing w:after="0" w:line="236" w:lineRule="auto"/>
        <w:tabs>
          <w:tab w:leader="none" w:pos="35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of 25,000 Warrant Shares as a whole or in part from time to time commencing on June 21, 1997; (ii) an aggregate of 50,000 Warrant Shares as a whole or in part from time to time commencing on June 21, 1998; (iii) an aggregate of 75,000 Warrant Shares as a whole or in part from time to time commencing on June 21, 1999; and (iv) and an aggregate of 100,000 Warrant Shares as a whole or in part from time to time commencing on June 21, 2000; provided, however, that this Warrant shall immediately become exercisable as to all 100,000 of the Warrant Shares covered hereby in the event of a Change in Control of the Company (as such term is defined in Section 5(a) hereof). All numbers of shares referred to herein shall be subject to adjustment in accordance with Article 4 hereof.</w:t>
      </w:r>
    </w:p>
    <w:p>
      <w:pPr>
        <w:spacing w:after="0" w:line="180"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1.2 Exercise of Right to Purchase. To exercise this Warrant, the Holder shall deliver to the Company, at the Warrant Office designated in Section 2.1, (a) a written notice in the form of the Subscription Notice attached as Exhibit A hereto, stating therein the election of the Holder to exercise this Warrant in the manner provided in the Subscription Notice, (b) payment in full of the Exercise Price (in the manner described below) for all Warrant Shares purchased</w:t>
      </w:r>
    </w:p>
    <w:p>
      <w:pPr>
        <w:spacing w:after="0" w:line="176" w:lineRule="exact"/>
        <w:rPr>
          <w:sz w:val="20"/>
          <w:szCs w:val="20"/>
          <w:color w:val="auto"/>
        </w:rPr>
      </w:pPr>
    </w:p>
    <w:p>
      <w:pPr>
        <w:jc w:val="both"/>
        <w:ind w:right="3319"/>
        <w:spacing w:after="0" w:line="256" w:lineRule="auto"/>
        <w:rPr>
          <w:sz w:val="20"/>
          <w:szCs w:val="20"/>
          <w:color w:val="auto"/>
        </w:rPr>
      </w:pPr>
      <w:r>
        <w:rPr>
          <w:rFonts w:ascii="Courier New" w:cs="Courier New" w:eastAsia="Courier New" w:hAnsi="Courier New"/>
          <w:sz w:val="14"/>
          <w:szCs w:val="14"/>
          <w:color w:val="auto"/>
        </w:rPr>
        <w:t>hereunder, and (c) this Warrant. This Warrant shall be deemed to be exercised on the date of receipt by the Company of the Subscription Notice, accompanied by payment for the Warrant Shares and surrender of this Warrant, as aforesaid, and such date is referred to herein as the "Exercise Date". Upon such exercise (subject as aforesaid), the Company shall issue and deliver to such holder a</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B</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certificate for the full number of the Warrant Shares purchased by such holder hereunder, against the receipt by the Company of the total Exercise Price payable hereunder for all the Warrant Shares so purchased, and if this Warrant is being exercised in part only, a new certificate representing the unexercised portion of this Warrant. The person in whose name the certificate(s) for Common Stock is to be issued shall be deemed to have become a holder of record of such Common Stock on the Exercise Date.</w:t>
      </w:r>
    </w:p>
    <w:p>
      <w:pPr>
        <w:spacing w:after="0" w:line="176"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1.3 Conversion Rights. In lieu of the exercise of this Warrant, in whole or in part, pursuant to Section 1.2 hereof, the Holder may, as to any Warrant Shares then issuable thereunder as to which the Holder wishes to exercise his rights under this Section 1.3 (the "Conversion Shares"), elect instead to convert his right to purchase such Conversion Shares pursuant to Section 1.2 into a number of shares of Common Stock equal to (a) the product of the number of the Conversion Shares times the excess, if any, of (i) the Market Price Per Share (as determined pursuant to Section 5(b) hereof) as of the date of exercise of such conversion right over (ii) the Exercise Price, divided by</w:t>
      </w:r>
    </w:p>
    <w:p>
      <w:pPr>
        <w:spacing w:after="0" w:line="3" w:lineRule="exact"/>
        <w:rPr>
          <w:sz w:val="20"/>
          <w:szCs w:val="20"/>
          <w:color w:val="auto"/>
        </w:rPr>
      </w:pPr>
    </w:p>
    <w:p>
      <w:pPr>
        <w:ind w:right="3319" w:firstLine="10"/>
        <w:spacing w:after="0" w:line="255" w:lineRule="auto"/>
        <w:tabs>
          <w:tab w:leader="none" w:pos="35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Price Per Share as of the date of exercise of such conversion right. In order to exercise such conversion privilege, the Holder shall surrender to the Company, at its offices, this Warrant accompanied by a duly completed Notice of Conversion in the form attached hereto as Exhibit B. This Warrant (or so much thereof as shall have been surrendered for conversion) shall be deemed to have been converted immediately prior to the close of business on the day of surrender of such Warrant for conversion in accordance with the foregoing provisions (the "Conversion Date"). As promptly as practicable on or after the conversion date, the Company shall issue and shall deliver to the Holder (i) a certificate or certificates representing the number of shares of Common Stock to which the Holder shall be entitled as a result of the conversion, and (ii) if this Warrant is being converted in part only, a new certificate representing the unconverted portion of this Warrant.</w:t>
      </w:r>
    </w:p>
    <w:p>
      <w:pPr>
        <w:spacing w:after="0" w:line="16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1.4 Fractional Shares. In lieu of any fractional shares of Common Stock which would otherwise be issuable upon exercise of this Warrant, the Company shall issue a certificate for the next higher number of whole shares of Common Stock for any fraction of a share which is one-half or greater. No shares will be issued for less than one- half of a share of Common Stock.</w:t>
      </w:r>
    </w:p>
    <w:p>
      <w:pPr>
        <w:spacing w:after="0" w:line="168" w:lineRule="exact"/>
        <w:rPr>
          <w:sz w:val="20"/>
          <w:szCs w:val="20"/>
          <w:color w:val="auto"/>
        </w:rPr>
      </w:pPr>
    </w:p>
    <w:p>
      <w:pPr>
        <w:ind w:left="2280" w:hanging="783"/>
        <w:spacing w:after="0"/>
        <w:tabs>
          <w:tab w:leader="none" w:pos="22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Office:  Transfer</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2.1 Warrant Office. The Company shall maintain an office for certain purposes specified herein (the "Warrant Office"), which office shall initially be the Company's office at 5400 LBJ Freeway, Tower One, Suite 300, Dallas, Texas 75240 and may subsequently be such other office of the Company as may be set forth on the cover of the most recent quarterly or annual report filed by the Company under the Exchange Act (as hereinafter defined) or of any transfer agent of the Common Stock in the continental United States as to which written notice has previously been given to the Holder. The Company shall maintain, at the Warrant Office, a register for this Warrant, in which the Company shall record the name and address of the person in whose name this Warrant has been issued, as well as the name and address of each permitted assignee of the rights of the registered owner hereof.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B</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2.2 Ownership of Warrant. The Company may deem and treat the person in whose name this Warrant is registered as the holder and owner hereof (notwithstanding any notations of ownership or writing hereon made by anyone other than the Company) for all purposes and shall not be affected by any notice to the contrary, until presentation of this Warrant for registration of transfer as provided in this Article 2.</w:t>
      </w:r>
    </w:p>
    <w:p>
      <w:pPr>
        <w:spacing w:after="0" w:line="175"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2.3 Transfer of Warrants. The Company agrees to maintain at the Warrant Office books for the registration and transfer of this Warrant. Subject to the restrictions on transfer of Warrants set forth in Section 2.4 hereof, the Company, from time to time, shall register the transfer of this Warrant in such books upon surrender of this Warrant at the Warrant Office properly endorsed or accompanied by appropriate instruments of transfer (with an appropriate signature guarantee or medallion from an eligible guarantor institution, as such term is defined in the Exchange Act and/or the regulations thereunder) and written instructions for transfer satisfactory to the Company. Upon any such transfer, a new Warrant shall be issued to the transferee and the surrendered Warrant shall be canceled by the Company. The Company shall pay all taxes (other than securities transfer taxes) and all other expenses and charges payable in connection with the transfer of Warrants pursuant to this Section 2.3.</w:t>
      </w:r>
    </w:p>
    <w:p>
      <w:pPr>
        <w:spacing w:after="0" w:line="174"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2.4 Restrictions on Transfer. The registered holder of this Warrant, by acceptance hereof, agrees that prior to any transfer of this Warrant to Holder will deliver to the Company notice of the proposed transferee and a signed copy of the opinion of the Holder's counsel, or such other counsel as shall be acceptable to the Company, as to the necessity or non-necessity for registration under the Securities Act of 1933, as amended (the "Securities Act") and any applicable state securities or blue sky laws in connection with such exercise or such transfer. The following provisions shall then apply:</w:t>
      </w:r>
    </w:p>
    <w:p>
      <w:pPr>
        <w:spacing w:after="0" w:line="166" w:lineRule="exact"/>
        <w:rPr>
          <w:sz w:val="20"/>
          <w:szCs w:val="20"/>
          <w:color w:val="auto"/>
        </w:rPr>
      </w:pPr>
    </w:p>
    <w:p>
      <w:pPr>
        <w:ind w:left="800" w:right="3319" w:firstLine="697"/>
        <w:spacing w:after="0" w:line="236" w:lineRule="auto"/>
        <w:tabs>
          <w:tab w:leader="none" w:pos="228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opinion of the Holder's counsel, concurred in by counsel to the Company, the proposed transfer of this Warrant may be effected without registration under the Securities Act and any applicable state securities or blue sky laws, then the Holder shall be entitled to transfer this Warrant in accordance with the notice delivered by the Holder to the Company.</w:t>
      </w:r>
    </w:p>
    <w:p>
      <w:pPr>
        <w:spacing w:after="0" w:line="174"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opinion of said counsel, concurred in by counsel to the Company, the proposed transfer of this Warrant may not be effected without registration under the Securities Act and any applicable state securities or blue sky laws, the Holder shall not be entitled to transfer this Warrant unless and until such registration is effected or until the opinion contemplated by paragraph (a), above, can be delivered.</w:t>
      </w:r>
    </w:p>
    <w:p>
      <w:pPr>
        <w:spacing w:after="0" w:line="176"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2.5 Expenses of Delivery of Warrants. The Company shall pay all expenses, taxes (other than taxes on the income of the Holder) and other charges payable in connection with the preparation, issuance and delivery of Warrants and related Warrant Shares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280" w:hanging="783"/>
        <w:spacing w:after="0"/>
        <w:tabs>
          <w:tab w:leader="none" w:pos="22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The Company covenants that it will at all times reserve and keep available out of its treasury common stock or authorized but unissued Common Stock, solely for the purpose of issue upon exercise of this Warrant, such number of shares of Common Stock as shall then be issuable upon the exercise in full of this Warrant. The Company covenants that all Warrant Shares which shall be issuable upon exercise of the Warrant shall be duly and validly issued and fully paid and non-assessable and free from all taxes, liens and charges with respect to the issue thereof, and that upon issuance such shares shall be listed on each national securities exchange, if any, on which the other shares of outstanding Common Stock are then listed.</w:t>
      </w:r>
    </w:p>
    <w:p>
      <w:pPr>
        <w:spacing w:after="0" w:line="159" w:lineRule="exact"/>
        <w:rPr>
          <w:sz w:val="20"/>
          <w:szCs w:val="20"/>
          <w:color w:val="auto"/>
        </w:rPr>
      </w:pPr>
    </w:p>
    <w:p>
      <w:pPr>
        <w:ind w:left="1500"/>
        <w:spacing w:after="0"/>
        <w:tabs>
          <w:tab w:leader="none" w:pos="226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Adjustment of Purchase Price and Number of Shares</w:t>
      </w:r>
    </w:p>
    <w:p>
      <w:pPr>
        <w:spacing w:after="0" w:line="237" w:lineRule="auto"/>
        <w:rPr>
          <w:sz w:val="20"/>
          <w:szCs w:val="20"/>
          <w:color w:val="auto"/>
        </w:rPr>
      </w:pPr>
      <w:r>
        <w:rPr>
          <w:rFonts w:ascii="Courier New" w:cs="Courier New" w:eastAsia="Courier New" w:hAnsi="Courier New"/>
          <w:sz w:val="15"/>
          <w:szCs w:val="15"/>
          <w:color w:val="auto"/>
        </w:rPr>
        <w:t>Deliverable</w:t>
      </w:r>
    </w:p>
    <w:p>
      <w:pPr>
        <w:spacing w:after="0" w:line="173" w:lineRule="exact"/>
        <w:rPr>
          <w:sz w:val="20"/>
          <w:szCs w:val="20"/>
          <w:color w:val="auto"/>
        </w:rPr>
      </w:pPr>
    </w:p>
    <w:p>
      <w:pPr>
        <w:jc w:val="both"/>
        <w:ind w:right="3679" w:firstLine="1487"/>
        <w:spacing w:after="0" w:line="235" w:lineRule="auto"/>
        <w:rPr>
          <w:sz w:val="20"/>
          <w:szCs w:val="20"/>
          <w:color w:val="auto"/>
        </w:rPr>
      </w:pPr>
      <w:r>
        <w:rPr>
          <w:rFonts w:ascii="Courier New" w:cs="Courier New" w:eastAsia="Courier New" w:hAnsi="Courier New"/>
          <w:sz w:val="15"/>
          <w:szCs w:val="15"/>
          <w:color w:val="auto"/>
        </w:rPr>
        <w:t>4.1 The number of Warrant Shares purchasable upon the exercise of this Warrant and the Exercise Price hereof shall be subject to adjustment as follows:</w:t>
      </w:r>
    </w:p>
    <w:p>
      <w:pPr>
        <w:spacing w:after="0" w:line="174" w:lineRule="exact"/>
        <w:rPr>
          <w:sz w:val="20"/>
          <w:szCs w:val="20"/>
          <w:color w:val="auto"/>
        </w:rPr>
      </w:pPr>
    </w:p>
    <w:p>
      <w:pPr>
        <w:ind w:left="800" w:right="3319" w:firstLine="697"/>
        <w:spacing w:after="0" w:line="254" w:lineRule="auto"/>
        <w:tabs>
          <w:tab w:leader="none" w:pos="2287"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(i) pay a dividend in shares of Common Stock or make a distribution in shares of Common Stock, (ii) subdivide its outstanding shares of Common Stock through stock split or otherwise, (iii) combine its outstanding shares of Common Stock into a smaller number of shares of Common Stock, or (iv) issue in connection with any reorganization, or by reclassification of its shares of Common Stock, other securities of the Company (including any such reorganization or reclassification in connection with a consolidation or merger in which the Company is the continuing corporation), the number of Warrant Shares purchasable upon exercise of this Warrant immediately prior thereto shall be adjusted so that the Holder shall be entitled to receive the kind and number of Warrant Shares or other securities of the Company which such Holder would have owned or have been entitled to receive after the happening of any of the events described above, had this Warrant been exercised immediately prior to the happening of such event or any record date with respect thereto. An adjustment made pursuant to this paragraph</w:t>
      </w:r>
    </w:p>
    <w:p>
      <w:pPr>
        <w:spacing w:after="0" w:line="5" w:lineRule="exact"/>
        <w:rPr>
          <w:rFonts w:ascii="Courier New" w:cs="Courier New" w:eastAsia="Courier New" w:hAnsi="Courier New"/>
          <w:sz w:val="14"/>
          <w:szCs w:val="14"/>
          <w:color w:val="auto"/>
        </w:rPr>
      </w:pPr>
    </w:p>
    <w:p>
      <w:pPr>
        <w:ind w:left="800" w:right="3319" w:hanging="3"/>
        <w:spacing w:after="0" w:line="234" w:lineRule="auto"/>
        <w:tabs>
          <w:tab w:leader="none" w:pos="115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become effective retroactively as of the record date of such event.</w:t>
      </w:r>
    </w:p>
    <w:p>
      <w:pPr>
        <w:spacing w:after="0" w:line="173" w:lineRule="exact"/>
        <w:rPr>
          <w:rFonts w:ascii="Courier New" w:cs="Courier New" w:eastAsia="Courier New" w:hAnsi="Courier New"/>
          <w:sz w:val="15"/>
          <w:szCs w:val="15"/>
          <w:color w:val="auto"/>
        </w:rPr>
      </w:pPr>
    </w:p>
    <w:p>
      <w:pPr>
        <w:ind w:left="800" w:right="3319" w:firstLine="697"/>
        <w:spacing w:after="0" w:line="237" w:lineRule="auto"/>
        <w:tabs>
          <w:tab w:leader="none" w:pos="228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options or warrants or securities convertible into Common Stock to the holders of its Common Stock generally, entitling them (for a period expiring within 45 days after the record date mentioned below in this paragraph (b)) to subscribe for or purchase shares of Common Stock at a price per share which (together with the value of the consideration, if any, paid for such rights, options, warrants or convertible securities) is lower at the record date mentioned below than the then Market Price Per Share of Common Stock, the number of Warrant Shares thereafter purchasable upon the exercise of this Warrant shall be determined by multiplying the number of Warrant Shares immediately theretofore purchasable upon exercise of this Warrant by a fraction, of which the numerator shall be the number of shares of Common Stock outstanding on such record date plus the number of additional shares of Common Stock offered for subscription or purchase, and of which the denominator shall be the number of shares of Common Stock outstanding on such record date plus the number of shares which the aggregate offering price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B</w:t>
      </w:r>
    </w:p>
    <w:p>
      <w:pPr>
        <w:spacing w:after="0" w:line="178" w:lineRule="exact"/>
        <w:rPr>
          <w:sz w:val="20"/>
          <w:szCs w:val="20"/>
          <w:color w:val="auto"/>
        </w:rPr>
      </w:pPr>
    </w:p>
    <w:p>
      <w:pPr>
        <w:ind w:left="520" w:right="3579"/>
        <w:spacing w:after="0" w:line="236" w:lineRule="auto"/>
        <w:rPr>
          <w:sz w:val="20"/>
          <w:szCs w:val="20"/>
          <w:color w:val="auto"/>
        </w:rPr>
      </w:pPr>
      <w:r>
        <w:rPr>
          <w:rFonts w:ascii="Courier New" w:cs="Courier New" w:eastAsia="Courier New" w:hAnsi="Courier New"/>
          <w:sz w:val="15"/>
          <w:szCs w:val="15"/>
          <w:color w:val="auto"/>
        </w:rPr>
        <w:t>of the total number of shares of Common Stock so offered would purchase at the then Market Price Per Share of Common Stock. Such adjustment shall be made whenever such rights, options, warrants or convertible securities are issued, and shall become effective retroactively as of the record date for the determination of shareholders entitled to receive such rights, options, warrants or convertible securities.</w:t>
      </w:r>
    </w:p>
    <w:p>
      <w:pPr>
        <w:spacing w:after="0" w:line="176" w:lineRule="exact"/>
        <w:rPr>
          <w:sz w:val="20"/>
          <w:szCs w:val="20"/>
          <w:color w:val="auto"/>
        </w:rPr>
      </w:pPr>
    </w:p>
    <w:p>
      <w:pPr>
        <w:ind w:left="520" w:right="3319" w:firstLine="697"/>
        <w:spacing w:after="0" w:line="254" w:lineRule="auto"/>
        <w:tabs>
          <w:tab w:leader="none" w:pos="200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distribute to the holders of its Common Stock generally, or the holders of its Common Stock generally shall otherwise become entitled to receive, shares of capital stock of the Company (other than dividends or distributions on its Common Stock referred to in paragraph (a) above), evidences of its indebtedness or rights, options, warrants or convertible securities providing the right to subscribe for or purchase any shares of the Company's capital stock or evidences of its indebtedness (other than any rights, options, warrants or convertible securities referred to in paragraph (b), above), then in each case the number of Warrant Shares thereafter purchasable upon the exercise of this Warrant shall be determined by multiplying the number of Warrant Shares theretofore purchasable upon the exercise of this Warrant, by a fraction, of which the numerator shall be the then Market Price Per Share of Common Stock on the record date mentioned below in this paragraph (c), and of which the denominator shall be the then Market Price Per Share of Common Stock on such record date, less the then fair value (as determined by the Board of Directors of the Company, in good faith) of the portion of the shares of the Company's capital stock (other than dividends or distributions on its Common Stock referred to in paragraph (a) above), evidences of indebtedness, or rights, options, warrants or convertible securities, distributable with respect to each share of Common Stock. Such adjustment shall be made whenever any such distribution is made, and shall become effective retroactively as of the record date for the determination of shareholders entitled to receive such distribution.</w:t>
      </w:r>
    </w:p>
    <w:p>
      <w:pPr>
        <w:spacing w:after="0" w:line="176" w:lineRule="exact"/>
        <w:rPr>
          <w:rFonts w:ascii="Courier New" w:cs="Courier New" w:eastAsia="Courier New" w:hAnsi="Courier New"/>
          <w:sz w:val="14"/>
          <w:szCs w:val="14"/>
          <w:color w:val="auto"/>
        </w:rPr>
      </w:pPr>
    </w:p>
    <w:p>
      <w:pPr>
        <w:ind w:left="520" w:right="3319" w:firstLine="697"/>
        <w:spacing w:after="0" w:line="254" w:lineRule="auto"/>
        <w:tabs>
          <w:tab w:leader="none" w:pos="200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capital reorganization or any reclassification of the capital stock of the Company (other than a reorganization or reclassification referred to in paragraph (a) above) or in case of the consolidation or merger of the Company with another corporation (other than a consolidation or merger in which the Company is the surviving corporation), or in the case of any sale, transfer or other disposition to another corporation of all or substantially all the properties and assets of the Company in which holders of Common Stock receive securities or property, the Holder shall thereafter be entitled to purchase (and it shall be a condition to the consummation of any such reorganization, reclassification, consolidation, merger, sale, transfer or other disposition that appropriate provisions shall be made so that such Holder shall thereafter be entitled to purchase) the kind and amount of shares of stock and other securities and property (including cash) receivable in such transaction which this Warrant entitled the Holder to purchase immediately prior to such reorganization, reclassification, consolidation, merger, sale, transfer or other disposition; and in any such case appropriate adjustments shall be made in the application of the provisions of this Article 4 with respect to rights and interest thereafter of the Holder under this Warrant to the end that the provisions of this Article 4 shall thereafter be applicable, as near as reasonably may be, in relation to any shares or other property thereafter purchasable upon the exercise of this Warrant. The provisions of this Section 4.1(d) shall similarly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B</w:t>
      </w:r>
    </w:p>
    <w:p>
      <w:pPr>
        <w:spacing w:after="0" w:line="178" w:lineRule="exact"/>
        <w:rPr>
          <w:sz w:val="20"/>
          <w:szCs w:val="20"/>
          <w:color w:val="auto"/>
        </w:rPr>
      </w:pPr>
    </w:p>
    <w:p>
      <w:pPr>
        <w:ind w:left="520" w:right="4019"/>
        <w:spacing w:after="0" w:line="261" w:lineRule="auto"/>
        <w:rPr>
          <w:sz w:val="20"/>
          <w:szCs w:val="20"/>
          <w:color w:val="auto"/>
        </w:rPr>
      </w:pPr>
      <w:r>
        <w:rPr>
          <w:rFonts w:ascii="Courier New" w:cs="Courier New" w:eastAsia="Courier New" w:hAnsi="Courier New"/>
          <w:sz w:val="14"/>
          <w:szCs w:val="14"/>
          <w:color w:val="auto"/>
        </w:rPr>
        <w:t>successive reorganizations, reclassifications, consolidations, mergers, sales, transfers or other dispositions.</w:t>
      </w:r>
    </w:p>
    <w:p>
      <w:pPr>
        <w:spacing w:after="0" w:line="160" w:lineRule="exact"/>
        <w:rPr>
          <w:sz w:val="20"/>
          <w:szCs w:val="20"/>
          <w:color w:val="auto"/>
        </w:rPr>
      </w:pPr>
    </w:p>
    <w:p>
      <w:pPr>
        <w:jc w:val="both"/>
        <w:ind w:left="520" w:right="3839" w:firstLine="697"/>
        <w:spacing w:after="0" w:line="254" w:lineRule="auto"/>
        <w:tabs>
          <w:tab w:leader="none" w:pos="200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adjustment in the number of Warrant Shares issuable and/or the Exercise Price under Sections</w:t>
      </w:r>
    </w:p>
    <w:p>
      <w:pPr>
        <w:ind w:left="52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4.1(b), (c), (d) or (g) resulting from the issuance or distribution of any rights, options, warrants or convertible securities providing for the right to purchase or subscribe for Common Stock of the Company ("Common Stock Equivalents"):</w:t>
      </w:r>
    </w:p>
    <w:p>
      <w:pPr>
        <w:spacing w:after="0" w:line="175" w:lineRule="exact"/>
        <w:rPr>
          <w:rFonts w:ascii="Courier New" w:cs="Courier New" w:eastAsia="Courier New" w:hAnsi="Courier New"/>
          <w:sz w:val="14"/>
          <w:szCs w:val="14"/>
          <w:color w:val="auto"/>
        </w:rPr>
      </w:pPr>
    </w:p>
    <w:p>
      <w:pPr>
        <w:ind w:left="1220" w:right="3399" w:firstLine="696"/>
        <w:spacing w:after="0" w:line="235" w:lineRule="auto"/>
        <w:tabs>
          <w:tab w:leader="none" w:pos="270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adjustment of the number of Warrant Shares issuable or the Exercise Price will be made upon the subsequent issue or sale of, the exercise of, or the conversion or exchange of, such Common Stock;</w:t>
      </w:r>
    </w:p>
    <w:p>
      <w:pPr>
        <w:spacing w:after="0" w:line="175" w:lineRule="exact"/>
        <w:rPr>
          <w:rFonts w:ascii="Courier New" w:cs="Courier New" w:eastAsia="Courier New" w:hAnsi="Courier New"/>
          <w:sz w:val="15"/>
          <w:szCs w:val="15"/>
          <w:color w:val="auto"/>
        </w:rPr>
      </w:pPr>
    </w:p>
    <w:p>
      <w:pPr>
        <w:ind w:left="1220" w:right="3319" w:firstLine="609"/>
        <w:spacing w:after="0" w:line="255" w:lineRule="auto"/>
        <w:tabs>
          <w:tab w:leader="none" w:pos="2707"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Common Stock Equivalents by their terms provide, with the passage of time or otherwise, for any increase or decrease in the consideration payable to the Company, or increase or decrease in the number of shares of Common Stock issuable upon the exercise, conversion, or exchange of such Common Stock Equivalent (by change of rate or otherwise), the number of Warrant Shares issuable pursuant to this Warrant and the Exercise Price computed upon original issuance or distribution (or upon the occurrence of the record date with respect thereto), and any subsequent adjustments based on the existence of such Common Stock Equivalent will, as to any Warrant Shares remaining unissued upon any such increase or decrease becoming effective, be recomputed to reflect such increase or decrease or any change in the rights of conversion or exchange under such Common Stock Equivalents that are outstanding at such time;</w:t>
      </w:r>
    </w:p>
    <w:p>
      <w:pPr>
        <w:spacing w:after="0" w:line="163" w:lineRule="exact"/>
        <w:rPr>
          <w:rFonts w:ascii="Courier New" w:cs="Courier New" w:eastAsia="Courier New" w:hAnsi="Courier New"/>
          <w:sz w:val="14"/>
          <w:szCs w:val="14"/>
          <w:color w:val="auto"/>
        </w:rPr>
      </w:pPr>
    </w:p>
    <w:p>
      <w:pPr>
        <w:ind w:left="1220" w:right="3319" w:firstLine="521"/>
        <w:spacing w:after="0" w:line="254" w:lineRule="auto"/>
        <w:tabs>
          <w:tab w:leader="none" w:pos="2707"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expiration (or purchase by the Company and cancellation or retirement) of any such Common Stock Equivalent that has not been exercised or the expiration of any rights of conversion or exchange under any such Common Stock Equivalent that (or purchase by the Company and cancellation or retirement of any such Common Stock Equivalent the rights of conversion or exchange under which) have not been exercised, the number of Warrant Shares issuable pursuant to this Warrant and the Exercise Price computed upon the original issuance or distribution of such Common Stock Equivalent (or upon the occurrence of the record date with respect thereto), and any subsequent adjustments based on the existence of such Common Stock Equivalent, will, as to any Warrant Shares remaining unissued upon such expiration (or such cancellation or retirement, as the case may be), be recomputed as if the only shares of Common Stock issued or sold were the shares of Common Stock, if any, actually issued or sold upon the exercise of such rights, options or warrants or the conversion or exchange of such convertible securities and the consideration received therefor was the consideration actually received by the Company for the issuance or distribution of all such rights, options or warrants, whether or not exercised, plus the consideration actually received by the Company upon such exercise, or for the issuance or distribution of all such convertible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B</w:t>
      </w:r>
    </w:p>
    <w:p>
      <w:pPr>
        <w:spacing w:after="0" w:line="178" w:lineRule="exact"/>
        <w:rPr>
          <w:sz w:val="20"/>
          <w:szCs w:val="20"/>
          <w:color w:val="auto"/>
        </w:rPr>
      </w:pPr>
    </w:p>
    <w:p>
      <w:pPr>
        <w:ind w:left="1500" w:right="3319"/>
        <w:spacing w:after="0" w:line="235" w:lineRule="auto"/>
        <w:rPr>
          <w:sz w:val="20"/>
          <w:szCs w:val="20"/>
          <w:color w:val="auto"/>
        </w:rPr>
      </w:pPr>
      <w:r>
        <w:rPr>
          <w:rFonts w:ascii="Courier New" w:cs="Courier New" w:eastAsia="Courier New" w:hAnsi="Courier New"/>
          <w:sz w:val="15"/>
          <w:szCs w:val="15"/>
          <w:color w:val="auto"/>
        </w:rPr>
        <w:t>that were actually converted or exchanged, plus the additional consideration, if any, actually received by the Company upon sucH conversion or exchange;</w:t>
      </w:r>
    </w:p>
    <w:p>
      <w:pPr>
        <w:spacing w:after="0" w:line="167" w:lineRule="exact"/>
        <w:rPr>
          <w:sz w:val="20"/>
          <w:szCs w:val="20"/>
          <w:color w:val="auto"/>
        </w:rPr>
      </w:pPr>
    </w:p>
    <w:p>
      <w:pPr>
        <w:ind w:left="2980" w:hanging="871"/>
        <w:spacing w:after="0"/>
        <w:tabs>
          <w:tab w:leader="none" w:pos="298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readjustment pursuant to clause (ii) or</w:t>
      </w:r>
    </w:p>
    <w:p>
      <w:pPr>
        <w:spacing w:after="0" w:line="4" w:lineRule="exact"/>
        <w:rPr>
          <w:rFonts w:ascii="Courier New" w:cs="Courier New" w:eastAsia="Courier New" w:hAnsi="Courier New"/>
          <w:sz w:val="15"/>
          <w:szCs w:val="15"/>
          <w:color w:val="auto"/>
        </w:rPr>
      </w:pPr>
    </w:p>
    <w:p>
      <w:pPr>
        <w:ind w:left="1500" w:right="3319" w:hanging="3"/>
        <w:spacing w:after="0" w:line="256" w:lineRule="auto"/>
        <w:tabs>
          <w:tab w:leader="none" w:pos="202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will have the effect of increasing the Exercise Price by an amount in excess of the amount of the adjustment of the Exercise Price originally made in respect of the issuance or distribution of such Common Stock Equivalents; and</w:t>
      </w:r>
    </w:p>
    <w:p>
      <w:pPr>
        <w:spacing w:after="0" w:line="164" w:lineRule="exact"/>
        <w:rPr>
          <w:rFonts w:ascii="Courier New" w:cs="Courier New" w:eastAsia="Courier New" w:hAnsi="Courier New"/>
          <w:sz w:val="14"/>
          <w:szCs w:val="14"/>
          <w:color w:val="auto"/>
        </w:rPr>
      </w:pPr>
    </w:p>
    <w:p>
      <w:pPr>
        <w:ind w:left="1500" w:right="3579" w:firstLine="696"/>
        <w:spacing w:after="0" w:line="236" w:lineRule="auto"/>
        <w:tabs>
          <w:tab w:leader="none" w:pos="2987"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rights, options or warrants that expire by their terms not more than 60 days after the date of their issuance or distribution, no adjustment of the Exercise Price will be made until the expiration or exercise of all such rights, options or warrants, whereupon such adjustment shall be made in the manner provided in clause (iii) above.</w:t>
      </w:r>
    </w:p>
    <w:p>
      <w:pPr>
        <w:spacing w:after="0" w:line="176" w:lineRule="exact"/>
        <w:rPr>
          <w:sz w:val="20"/>
          <w:szCs w:val="20"/>
          <w:color w:val="auto"/>
        </w:rPr>
      </w:pPr>
    </w:p>
    <w:p>
      <w:pPr>
        <w:ind w:left="800" w:right="3579" w:firstLine="697"/>
        <w:spacing w:after="0" w:line="235" w:lineRule="auto"/>
        <w:tabs>
          <w:tab w:leader="none" w:pos="22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avoidance of doubt, any adjustment pursuant to this Section 4.1 shall be apportioned ratably among all unissued Warrant Shares issuable pursuant to this Warrant.</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number of Warrant Shares purchasable upon the exercise of this Warrant is adjusted, as provided in this Section 4.1, the Exercise Price payable upon exercise of this Warrant shall be adjusted by multiplying such Exercise Price immediately prior to such adjustment by a fraction, of which the numerator shall be the number of Warrant Shares purchasable upon the exercise of each Warrant immediately prior to such adjustment, and of which the denominator shall be the number of Warrant Shares so purchasable immediately thereafter.</w:t>
      </w:r>
    </w:p>
    <w:p>
      <w:pPr>
        <w:spacing w:after="0" w:line="178"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4.2 In the event the Company shall declare a dividend, or make a distribution to the holders of its Common Stock generally, whether in cash, property or assets of any kind, including any dividend payable in stock or securities of any other issuer owned by the Company (excluding regularly payable cash dividends declared from time to time by the Company's Board of Directors or any dividend or distribution referred to in Section 4.1(a) or (c) above), the Exercise Price shall be reduced, without any further action by the parties hereto, by the Per Share Value (as hereinafter defined) of the dividend. For purposes of this Section 4.2, the "Per Share Value" of a cash dividend or other distribution shall be the dollar amount of the distribution on each share of Common Stock and the "Per Share Value" of any dividend or distribution other than cash shall be equal to the fair market value of such non-cash distribution on each share of Common Stock as determined in good faith by the Board of Directors of the Company.</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4.3 No adjustment in the number of Warrant Shares purchasable under this Warrant, or in the Exercise Price thereof, shall be required unless such adjustment would require an increase or decrease of at least $.10 in the Exercise Price; provided, however, that any adjustments which by reason of this Section 4.3 are not required to be made shall be carried forward and taken into account in any subsequent adjustment. All final results of adjustments to the Exercise Price and the number of Warrant Shares shall be rounded to the nearest cent or the nearest one thousandth of a share, as the case may be. Anything in this Section 4 to the contrary notwithstanding,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entitled, but shall not be required, to make such changes in</w:t>
      </w:r>
    </w:p>
    <w:p>
      <w:pPr>
        <w:spacing w:after="0" w:line="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number of WarrantShares purchasable upon the exercise of this Warrant, or in the Exercise Price, in addition to those required by such Section, as in its discretion shall determine to be advisable in order that any event referred to in Section 4.1 or 4.2 of this Agreement shall not result in any tax to the holders of its Common Stock or securities convertible into Common Stock, provided that the Holder is not otherwise prejudiced by such changes.</w:t>
      </w:r>
    </w:p>
    <w:p>
      <w:pPr>
        <w:spacing w:after="0" w:line="166"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4.4 Whenever the number of Warrant Shares purchasable upon the exercise of this Warrant and/or the Exercise Price is adjusted, as herein provided, the Company shall mail to the Holder, at the address of the Holder shown on the books of the Company, a notice of such adjustment or adjustments, prepared and signed by the Chief Financial Officer or Secretary of the Company, which sets forth the number of Warrant Shares purchasable upon the exercise of this Warrant and the Exercise Price after such adjustment, together with a brief statement of the facts requiring such adjustment and the computation by which such adjustment was made.</w:t>
      </w:r>
    </w:p>
    <w:p>
      <w:pPr>
        <w:spacing w:after="0" w:line="178"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4.5 If at any time prior to the expiration of this Warrant and prior to its exercise any event referred to in Section 4.1 or 4.2 of this Agreement occurs which has an effect on the Exercise Price or the kind and amount of the shares of stock or other securities or property deliverable upon exercise of this Warrant (each such event hereinafter being referred to as a "Notification Event"), the Company shall cause to be mailed to the Holder not less than 20 days prior to the record date, if any, in connection with such Notification Event (or such other date as such notice is given to the holders of Common Stock generally; provided, however, that if there is no record date, or if 20 days prior notice is impracticable, such notice shall be given as soon as is practicable) written notice specifying the nature of such event and the effective date of, or the date on which the books of the Company shall close or a record shall be taken with respect to, such event. Such notice shall also set forth facts indicating the effect of such action (to the extent such effect may be known at the date of such notice) on the Exercise Price and the kind and amount of the shares of stock or other securities or property deliverable upon exercise of this Warrant.</w:t>
      </w:r>
    </w:p>
    <w:p>
      <w:pPr>
        <w:spacing w:after="0" w:line="331"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4.6 The form of the certificate representing this Warrant need not be changed because of any change in the Exercise Price or any change in the kind or amount of the shares of stock or other securities or property deliverable upon exercise of this Warrant, and any such certificates issued before or after such change may state the same Exercise Price and the same kind or amount of shares of stock or other securities or property deliverable upon exercise as certificates theretofore issued. The Company may, however, at any time, in its sole discretion, make any change in the form of such certificate that it may deem appropriate in order to give effect to the provisions of this Article 4, and such certificates thereafter issued or countersigned, whether in exchange or substitution for an outstanding certificate or otherwise, may be in the form as so changed.</w:t>
      </w:r>
    </w:p>
    <w:p>
      <w:pPr>
        <w:spacing w:after="0" w:line="173" w:lineRule="exact"/>
        <w:rPr>
          <w:sz w:val="20"/>
          <w:szCs w:val="20"/>
          <w:color w:val="auto"/>
        </w:rPr>
      </w:pPr>
    </w:p>
    <w:p>
      <w:pPr>
        <w:ind w:left="2280" w:right="3679" w:hanging="783"/>
        <w:spacing w:after="0" w:line="234" w:lineRule="auto"/>
        <w:tabs>
          <w:tab w:leader="none" w:pos="22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Change in Control; Determination of Market Price Per Share</w:t>
      </w:r>
    </w:p>
    <w:p>
      <w:pPr>
        <w:spacing w:after="0" w:line="173" w:lineRule="exact"/>
        <w:rPr>
          <w:sz w:val="20"/>
          <w:szCs w:val="20"/>
          <w:color w:val="auto"/>
        </w:rPr>
      </w:pPr>
    </w:p>
    <w:p>
      <w:pPr>
        <w:ind w:right="3499" w:firstLine="1497"/>
        <w:spacing w:after="0" w:line="235" w:lineRule="auto"/>
        <w:tabs>
          <w:tab w:leader="none" w:pos="227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"Change in Control" shall mean a change in control of the Company of a nature that would be required to be reported in response to Item 6(e)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EXHIBIT B</w:t>
      </w:r>
    </w:p>
    <w:p>
      <w:pPr>
        <w:spacing w:after="0" w:line="178"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Schedule 14A of Regulation 14A under the Securities Exchange Act of 1934, as amended (the "Exchange Act"), provided, that, without limitation, such a change in control shall be deemed to have occurred if (i) any "person" (as such term is used in Sections 13(d) and 14(d) of the Exchange Act) is or becomes the "beneficial owner" (as defined in Rule 13d-3 under the Exchange Act), directly or indirectly, of securities of the Company representing 50% or more of the combined voting power of the Company's then outstanding voting securities or</w:t>
      </w:r>
    </w:p>
    <w:p>
      <w:pPr>
        <w:spacing w:after="0" w:line="2" w:lineRule="exact"/>
        <w:rPr>
          <w:sz w:val="20"/>
          <w:szCs w:val="20"/>
          <w:color w:val="auto"/>
        </w:rPr>
      </w:pPr>
    </w:p>
    <w:p>
      <w:pPr>
        <w:ind w:right="3579" w:firstLine="10"/>
        <w:spacing w:after="0" w:line="254" w:lineRule="auto"/>
        <w:tabs>
          <w:tab w:leader="none" w:pos="43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24 consecutive months, individuals (y) who at the beginning of such period constitute the Board of Directors of the Company or</w:t>
      </w:r>
    </w:p>
    <w:p>
      <w:pPr>
        <w:ind w:right="3399" w:firstLine="10"/>
        <w:spacing w:after="0" w:line="236" w:lineRule="auto"/>
        <w:tabs>
          <w:tab w:leader="none" w:pos="35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whose election, appointment or nomination for election was approved prior to such election or appointment by a vote of a majority of the directors in office immediately prior to such election or appointment who were directors at the beginning of such two-year period (other than any directors who prior to the Change in Control were associated or affiliated with any person involved with any Change in Control or attempted Change in Control), cease for any reason to constitute at least a majority of the Board of Directors of the Company.</w:t>
      </w:r>
    </w:p>
    <w:p>
      <w:pPr>
        <w:spacing w:after="0" w:line="177" w:lineRule="exact"/>
        <w:rPr>
          <w:rFonts w:ascii="Courier New" w:cs="Courier New" w:eastAsia="Courier New" w:hAnsi="Courier New"/>
          <w:sz w:val="15"/>
          <w:szCs w:val="15"/>
          <w:color w:val="auto"/>
        </w:rPr>
      </w:pPr>
    </w:p>
    <w:p>
      <w:pPr>
        <w:ind w:right="3319" w:firstLine="1497"/>
        <w:spacing w:after="0" w:line="237" w:lineRule="auto"/>
        <w:tabs>
          <w:tab w:leader="none" w:pos="2274"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"Market Price Per Share" with respect to any date shall mean the closing price per share of Common Stock for the trading day immediately preceding such date; provided, that for purposes of Article 4 hereof, such term shall mean the average of the closing prices per share of the Common Stock for the 20 consecutive trading days ending on the trading day immediately preceding such date. The closing price for each such day shall be the last sale price regular way or, in case no such sale takes place on such day, the average of the closing bid and asked prices regular way, in either case on the principal securities exchange on which the shares of Common Stock of the Company are listed or admitted to trading; the last sale price, or in case no sale takes place on such day, the average of the closing bid and asked prices of the Common Stock on NASDAQ or any comparable system; or if the Common Stock is not reported on NASDAQ or a comparable system, the average of the closing bid and asked prices as furnished by two members of the National Association of Securities Dealers, Inc. selected from time to time by the Company for that purpose. If such bid and asked prices are not available, then "Market Price Per Share" shall be equal to the fair market value of the Company's Common Stock as determined in good faith by the Board of Directors of the Company.</w:t>
      </w:r>
    </w:p>
    <w:p>
      <w:pPr>
        <w:spacing w:after="0" w:line="169" w:lineRule="exact"/>
        <w:rPr>
          <w:sz w:val="20"/>
          <w:szCs w:val="20"/>
          <w:color w:val="auto"/>
        </w:rPr>
      </w:pPr>
    </w:p>
    <w:p>
      <w:pPr>
        <w:ind w:left="2280" w:hanging="783"/>
        <w:spacing w:after="0"/>
        <w:tabs>
          <w:tab w:leader="none" w:pos="22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Transfer</w:t>
      </w:r>
    </w:p>
    <w:p>
      <w:pPr>
        <w:spacing w:after="0" w:line="173" w:lineRule="exact"/>
        <w:rPr>
          <w:sz w:val="20"/>
          <w:szCs w:val="20"/>
          <w:color w:val="auto"/>
        </w:rPr>
      </w:pPr>
    </w:p>
    <w:p>
      <w:pPr>
        <w:ind w:right="4099" w:firstLine="1487"/>
        <w:spacing w:after="0" w:line="234" w:lineRule="auto"/>
        <w:rPr>
          <w:sz w:val="20"/>
          <w:szCs w:val="20"/>
          <w:color w:val="auto"/>
        </w:rPr>
      </w:pPr>
      <w:r>
        <w:rPr>
          <w:rFonts w:ascii="Courier New" w:cs="Courier New" w:eastAsia="Courier New" w:hAnsi="Courier New"/>
          <w:sz w:val="15"/>
          <w:szCs w:val="15"/>
          <w:color w:val="auto"/>
        </w:rPr>
        <w:t>All Warrant Shares issuable hereunder shall be freely transferable by the Holder.</w:t>
      </w:r>
    </w:p>
    <w:p>
      <w:pPr>
        <w:spacing w:after="0" w:line="167" w:lineRule="exact"/>
        <w:rPr>
          <w:sz w:val="20"/>
          <w:szCs w:val="20"/>
          <w:color w:val="auto"/>
        </w:rPr>
      </w:pPr>
    </w:p>
    <w:p>
      <w:pPr>
        <w:ind w:left="2280" w:hanging="783"/>
        <w:spacing w:after="0"/>
        <w:tabs>
          <w:tab w:leader="none" w:pos="22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of the Company</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Company covenants and agrees that this Warrant shall be binding upon any corporation succeeding to the Company by merger, consolidation or acquisition of all or substantially all of the Company's assets, and that any agreement providing for any such acquisition of all or substantially all of the Company's assets will expressly so provide.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280" w:hanging="783"/>
        <w:spacing w:after="0"/>
        <w:tabs>
          <w:tab w:leader="none" w:pos="228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1487"/>
        <w:spacing w:after="0" w:line="258" w:lineRule="auto"/>
        <w:rPr>
          <w:sz w:val="20"/>
          <w:szCs w:val="20"/>
          <w:color w:val="auto"/>
        </w:rPr>
      </w:pPr>
      <w:r>
        <w:rPr>
          <w:rFonts w:ascii="Courier New" w:cs="Courier New" w:eastAsia="Courier New" w:hAnsi="Courier New"/>
          <w:sz w:val="14"/>
          <w:szCs w:val="14"/>
          <w:color w:val="auto"/>
        </w:rPr>
        <w:t>8.1 Entire Agreement. This Warrant contains the entire agreement between the Holder and the Company with respect to its subject matter and supersedes all prior arrangements or understanding with respect thereto.</w:t>
      </w:r>
    </w:p>
    <w:p>
      <w:pPr>
        <w:spacing w:after="0" w:line="161"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8.2 Governing Law. This Warrant shall be governed by and construed in accordance with the laws of the State of Delaware.</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8.3 Waiver and Amendment. Any term or provision of this Warrant may be waived at any time by the party which is entitled to the benefits thereof and any term or provision of this Warrant may be amended or supplemented at any time by agreement of the holder hereof and the Company, except that any waiver of any term or condition of this Warrant, or any amendment or supplement thereto, must be in writing signed by each party to be charged. A waiver of any breach or failure to enforce any of the terms or conditions of this Warrant by a party shall not in any way affect, limit or waive such party's rights hereunder at any time to enforce strict compliance thereafter with every term or condition of this Warrant.</w:t>
      </w:r>
    </w:p>
    <w:p>
      <w:pPr>
        <w:spacing w:after="0" w:line="179"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8.4 Illegality. In the event that any one or more of the provisions contained in this Warrant shall be determined to be invalid, illegal or unenforceable in any respect for any reason, the validity, legality and enforceability of any such provision in any other respect and the remaining provisions of this Warrant shall not be in any way impaired.</w:t>
      </w:r>
    </w:p>
    <w:p>
      <w:pPr>
        <w:spacing w:after="0" w:line="174" w:lineRule="exact"/>
        <w:rPr>
          <w:sz w:val="20"/>
          <w:szCs w:val="20"/>
          <w:color w:val="auto"/>
        </w:rPr>
      </w:pPr>
    </w:p>
    <w:p>
      <w:pPr>
        <w:ind w:right="3679" w:firstLine="1487"/>
        <w:spacing w:after="0" w:line="234" w:lineRule="auto"/>
        <w:rPr>
          <w:sz w:val="20"/>
          <w:szCs w:val="20"/>
          <w:color w:val="auto"/>
        </w:rPr>
      </w:pPr>
      <w:r>
        <w:rPr>
          <w:rFonts w:ascii="Courier New" w:cs="Courier New" w:eastAsia="Courier New" w:hAnsi="Courier New"/>
          <w:sz w:val="15"/>
          <w:szCs w:val="15"/>
          <w:color w:val="auto"/>
        </w:rPr>
        <w:t>8.5 Copy of Warrant. A copy of this Warrant shall be filed among the records of the Company.</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8.6 Notices. Any notice or other document required or permitted to be given or delivered to the Holder shall be delivered at, or sent by overnight courier or certified or registered mail to such Holder at, the last address shown on the books of the Company maintained at the Warrant Office for the registration of this Warrant or at any more recent address of which the Holder hereof shall have notified the Company in writing. Any notice or other document required or permitted to be given or delivered to the Company, other than such notice or documents required to be delivered to the Warrant Office, shall be delivered at, or sent by overnight courier or certified or registered mail to, the office of the Company at 5400 LBJ Freeway, Tower One, Suite 300, Dallas, Texas 75240 or such other address within the continental United States of America as shall have been furnished by the Company to the holders of this Warrant.</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8.7 Limitation of Liability; Not Stockholders. No provision of this Warrant shall be construed as conferring upon the Holder the right to vote, consent, receive dividends or receive notices other than as herein expressly provided in respect of meetings of stockholders for the election of directors of the Company or any other matter whatsoever as a stockholder of the Company. No provision hereof, in the absence of affirmative action by the Holder to purchase or otherwise acquire shares of Common Stock, and no mere enumeration herein of the rights or privileges of the Holder, shall give rise to any liability of the Holder for the purchase price of any shares of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EXHIBIT B</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as a stockholder of the Company, whether such liability is asserted by the Company or by creditors of the Company.</w:t>
      </w:r>
    </w:p>
    <w:p>
      <w:pPr>
        <w:spacing w:after="0" w:line="173" w:lineRule="exact"/>
        <w:rPr>
          <w:sz w:val="20"/>
          <w:szCs w:val="20"/>
          <w:color w:val="auto"/>
        </w:rPr>
      </w:pPr>
    </w:p>
    <w:p>
      <w:pPr>
        <w:ind w:right="3399" w:firstLine="1487"/>
        <w:spacing w:after="0" w:line="237" w:lineRule="auto"/>
        <w:rPr>
          <w:sz w:val="20"/>
          <w:szCs w:val="20"/>
          <w:color w:val="auto"/>
        </w:rPr>
      </w:pPr>
      <w:r>
        <w:rPr>
          <w:rFonts w:ascii="Courier New" w:cs="Courier New" w:eastAsia="Courier New" w:hAnsi="Courier New"/>
          <w:sz w:val="15"/>
          <w:szCs w:val="15"/>
          <w:color w:val="auto"/>
        </w:rPr>
        <w:t>8.8 Exchange, Loss, Destruction, etc. of Warrant. Upon receipt of evidence satisfactory to the Company of the loss, theft, mutilation or destruction of this Warrant, and in the case of any such loss, theft or destruction upon delivery of a bond of indemnity in such form and amount as shall be reasonably satisfactory to the Company, or in the event of such mutilation upon surrender and cancellation of this Warrant, the Company will make and deliver a new Warrant of like tenor, in lieu of such lost, stolen, destroyed or mutilated Warrant. Any Warrant issued under the provisions of this Section 8.8 in lieu of any Warrant alleged to be lost, destroyed or stolen, or in lieu of any mutilated Warrant, shall constitute an original contractual obligation on the part of the Company. This Warrant shall be promptly canceled by the Company upon the surrender hereof in connection with any exchange or replacement. The Company shall pay all taxes (other than securities transfer taxes) and all other expenses and charges payable in connection with the preparation, execution and delivery of Warrants pursuant to this Section 8.8.</w:t>
      </w:r>
    </w:p>
    <w:p>
      <w:pPr>
        <w:spacing w:after="0" w:line="175"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8.9 Headings. The Article and Section and other headings herein are for convenience only and are not a part of this Warrant and shall not affect the interpretation thereof.</w:t>
      </w:r>
    </w:p>
    <w:p>
      <w:pPr>
        <w:spacing w:after="0" w:line="174" w:lineRule="exact"/>
        <w:rPr>
          <w:sz w:val="20"/>
          <w:szCs w:val="20"/>
          <w:color w:val="auto"/>
        </w:rPr>
      </w:pPr>
    </w:p>
    <w:p>
      <w:pPr>
        <w:jc w:val="both"/>
        <w:ind w:right="3399" w:firstLine="1487"/>
        <w:spacing w:after="0" w:line="235" w:lineRule="auto"/>
        <w:rPr>
          <w:sz w:val="20"/>
          <w:szCs w:val="20"/>
          <w:color w:val="auto"/>
        </w:rPr>
      </w:pPr>
      <w:r>
        <w:rPr>
          <w:rFonts w:ascii="Courier New" w:cs="Courier New" w:eastAsia="Courier New" w:hAnsi="Courier New"/>
          <w:sz w:val="15"/>
          <w:szCs w:val="15"/>
          <w:color w:val="auto"/>
        </w:rPr>
        <w:t>IN WITNESS WHEREOF, the Company has caused this Warrant to be duly executed by its officers thereunto duly authorized and its corporate seal to be affixed hereon, as of this 21st day of June, 1996.</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ind w:left="180" w:hanging="170"/>
        <w:spacing w:after="0"/>
        <w:tabs>
          <w:tab w:leader="none" w:pos="18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31</w:t>
      </w:r>
    </w:p>
    <w:p>
      <w:pPr>
        <w:ind w:left="6140"/>
        <w:spacing w:after="0" w:line="237" w:lineRule="auto"/>
        <w:rPr>
          <w:sz w:val="20"/>
          <w:szCs w:val="20"/>
          <w:color w:val="auto"/>
        </w:rPr>
      </w:pPr>
      <w:r>
        <w:rPr>
          <w:rFonts w:ascii="Courier New" w:cs="Courier New" w:eastAsia="Courier New" w:hAnsi="Courier New"/>
          <w:sz w:val="15"/>
          <w:szCs w:val="15"/>
          <w:color w:val="auto"/>
        </w:rPr>
        <w:t>EXHIBIT B</w:t>
      </w:r>
    </w:p>
    <w:p>
      <w:pPr>
        <w:spacing w:after="0" w:line="167"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SUBSCRIPTION NOTICE</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undersigned, the Holder of the Warrant accompanying this notice, hereby elects to exercise purchase rights represented by said Warrant for, and to purchase thereunder, ___ Warrant Shares covered by said Warrant and herewith makes payment in full therefor pursuant to Section 1.2 of such Warrant.</w:t>
      </w:r>
    </w:p>
    <w:p>
      <w:pPr>
        <w:spacing w:after="0" w:line="174" w:lineRule="exact"/>
        <w:rPr>
          <w:sz w:val="20"/>
          <w:szCs w:val="20"/>
          <w:color w:val="auto"/>
        </w:rPr>
      </w:pPr>
    </w:p>
    <w:p>
      <w:pPr>
        <w:ind w:right="3579" w:firstLine="1487"/>
        <w:spacing w:after="0" w:line="254" w:lineRule="auto"/>
        <w:rPr>
          <w:sz w:val="20"/>
          <w:szCs w:val="20"/>
          <w:color w:val="auto"/>
        </w:rPr>
      </w:pPr>
      <w:r>
        <w:rPr>
          <w:rFonts w:ascii="Courier New" w:cs="Courier New" w:eastAsia="Courier New" w:hAnsi="Courier New"/>
          <w:sz w:val="14"/>
          <w:szCs w:val="14"/>
          <w:color w:val="auto"/>
        </w:rPr>
        <w:t>The undersigned requests (a) that certificates for such Warrant Shares (and any other securities or property issuable upon such exercise) be issued in the name of, and delivered to, __________________ and</w:t>
      </w:r>
    </w:p>
    <w:p>
      <w:pPr>
        <w:ind w:left="360" w:hanging="350"/>
        <w:spacing w:after="0" w:line="232" w:lineRule="auto"/>
        <w:tabs>
          <w:tab w:leader="none" w:pos="36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Warrant Shares shall not include all of the Warrant Shares</w:t>
      </w:r>
    </w:p>
    <w:p>
      <w:pPr>
        <w:spacing w:after="0" w:line="4" w:lineRule="exact"/>
        <w:rPr>
          <w:rFonts w:ascii="Courier New" w:cs="Courier New" w:eastAsia="Courier New" w:hAnsi="Courier New"/>
          <w:sz w:val="15"/>
          <w:szCs w:val="15"/>
          <w:color w:val="auto"/>
        </w:rPr>
      </w:pPr>
    </w:p>
    <w:p>
      <w:pPr>
        <w:ind w:right="3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issuable as provided in said Warrant, that a new Warrant of like tenor and date for the balance of the Warrant Shares issuable thereunder be delivered to the undersigned.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of Holder</w:t>
      </w: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Address:</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32</w:t>
      </w:r>
    </w:p>
    <w:p>
      <w:pPr>
        <w:ind w:left="6140"/>
        <w:spacing w:after="0" w:line="237" w:lineRule="auto"/>
        <w:rPr>
          <w:sz w:val="20"/>
          <w:szCs w:val="20"/>
          <w:color w:val="auto"/>
        </w:rPr>
      </w:pPr>
      <w:r>
        <w:rPr>
          <w:rFonts w:ascii="Courier New" w:cs="Courier New" w:eastAsia="Courier New" w:hAnsi="Courier New"/>
          <w:sz w:val="15"/>
          <w:szCs w:val="15"/>
          <w:color w:val="auto"/>
        </w:rPr>
        <w:t>EXHIBIT B</w:t>
      </w:r>
    </w:p>
    <w:p>
      <w:pPr>
        <w:spacing w:after="0" w:line="167"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NOTICE OF CONVERSION</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The undersigned hereby irrevocably elects to convert, pursuant to Section 1.3 of the Warrant, the undersigned's right to purchase __________</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Conversion Shares pursuant to the accompanying Warrant into shares of the Common Stock of the Company. The number of shares of the Common Stock of the Company to be received by the undersigned shall be calculated in accordance with the provisions of Section 1.3 of the accompanying Warrant.</w:t>
      </w:r>
    </w:p>
    <w:p>
      <w:pPr>
        <w:spacing w:after="0" w:line="175"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The undersigned hereby requests (a) that certificates for such shares (and any other securities or property issuable upon such exercise) be issued in the name of, and delivered to, ______________ and (b) the Conversion</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Shares referred to above shall not include all of the Warrant Shares issuable as provided in said Warrant, that a new Warrant of like tenor and date for the balance of the Warrant Shares issuable thereunder be delivered to the undersigned.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of Holder</w:t>
      </w: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Address:</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03"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EXHIBIT C</w:t>
      </w:r>
    </w:p>
    <w:p>
      <w:pPr>
        <w:spacing w:after="0" w:line="173" w:lineRule="exact"/>
        <w:rPr>
          <w:sz w:val="20"/>
          <w:szCs w:val="20"/>
          <w:color w:val="auto"/>
        </w:rPr>
      </w:pPr>
    </w:p>
    <w:p>
      <w:pPr>
        <w:jc w:val="both"/>
        <w:ind w:left="540" w:right="3579"/>
        <w:spacing w:after="0" w:line="256" w:lineRule="auto"/>
        <w:rPr>
          <w:sz w:val="20"/>
          <w:szCs w:val="20"/>
          <w:color w:val="auto"/>
        </w:rPr>
      </w:pPr>
      <w:r>
        <w:rPr>
          <w:rFonts w:ascii="Courier New" w:cs="Courier New" w:eastAsia="Courier New" w:hAnsi="Courier New"/>
          <w:sz w:val="14"/>
          <w:szCs w:val="14"/>
          <w:color w:val="auto"/>
        </w:rPr>
        <w:t>THIS WARRANT HAS NOT BEEN REGISTERED UNDER THE SECURITIES ACT OF 1933 OR THE LAWS OF ANY STATE. IT MAY NOT BE SOLD OR OTHERWISE TRANSFERRED UNLESS IT IS REGISTERED UNDER SUCH ACT AND APPLICABLE STATE SECURITIES LAWS OR AN EXEMPTION FROM REGISTRATION IS AVAILABLE.</w:t>
      </w:r>
    </w:p>
    <w:p>
      <w:pPr>
        <w:spacing w:after="0" w:line="15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WARRANT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to Purchase Common Stock of</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Expiring on June 21, 2004</w:t>
      </w:r>
    </w:p>
    <w:p>
      <w:pPr>
        <w:spacing w:after="0" w:line="173"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THIS IS TO CERTIFY THAT, for value received, USA WASTE SERVICES, INC., a Delaware corporation (the "Company"), hereby grants to ALEXANDER W. RANGOS (together with any registered transferees under Article 2 hereof, the "Holder"), a Warrant to purchase 300,000 shares of the duly authorized, validly issued, fully paid and nonassessable shares (the "Warrant Shares") of Common Stock, $.01 par value, of the Company (the "Common Stock"), at a purchase price per share of $29.00 (as adjusted pursuant to the terms of this Warrant, the "Exercise Price"), and to exercise the other appurtenant rights, powers and privileges hereinafter set forth. The number of Warrant Shares purchasable hereunder and the Exercise Price are subject to adjustment in accordance with Article 4 hereof. This Warrant shall expire at 5:00 p.m., Dallas, Texas time on June 21, 2004.</w:t>
      </w:r>
    </w:p>
    <w:p>
      <w:pPr>
        <w:spacing w:after="0" w:line="158" w:lineRule="exact"/>
        <w:rPr>
          <w:sz w:val="20"/>
          <w:szCs w:val="20"/>
          <w:color w:val="auto"/>
        </w:rPr>
      </w:pPr>
    </w:p>
    <w:p>
      <w:pPr>
        <w:ind w:left="2280" w:hanging="783"/>
        <w:spacing w:after="0"/>
        <w:tabs>
          <w:tab w:leader="none" w:pos="228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66" w:lineRule="exact"/>
        <w:rPr>
          <w:sz w:val="20"/>
          <w:szCs w:val="20"/>
          <w:color w:val="auto"/>
        </w:rPr>
      </w:pPr>
    </w:p>
    <w:p>
      <w:pPr>
        <w:ind w:left="1500"/>
        <w:spacing w:after="0"/>
        <w:tabs>
          <w:tab w:leader="none" w:pos="2260" w:val="left"/>
          <w:tab w:leader="none" w:pos="37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Exercisability.</w:t>
      </w:r>
      <w:r>
        <w:rPr>
          <w:sz w:val="20"/>
          <w:szCs w:val="20"/>
          <w:color w:val="auto"/>
        </w:rPr>
        <w:tab/>
      </w:r>
      <w:r>
        <w:rPr>
          <w:rFonts w:ascii="Courier New" w:cs="Courier New" w:eastAsia="Courier New" w:hAnsi="Courier New"/>
          <w:sz w:val="14"/>
          <w:szCs w:val="14"/>
          <w:color w:val="auto"/>
        </w:rPr>
        <w:t>This Warrant may be exercised as to</w:t>
      </w:r>
    </w:p>
    <w:p>
      <w:pPr>
        <w:spacing w:after="0" w:line="5" w:lineRule="exact"/>
        <w:rPr>
          <w:sz w:val="20"/>
          <w:szCs w:val="20"/>
          <w:color w:val="auto"/>
        </w:rPr>
      </w:pPr>
    </w:p>
    <w:p>
      <w:pPr>
        <w:ind w:right="3319" w:firstLine="10"/>
        <w:spacing w:after="0" w:line="236" w:lineRule="auto"/>
        <w:tabs>
          <w:tab w:leader="none" w:pos="35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of 75,000 Warrant Shares as a whole or in part from time to time commencing on June 21, 1997; (ii) an aggregate of 150,000 Warrant Shares as a whole or in part from time to time commencing on June 21, 1998; (iii) an aggregate of 225,000 Warrant Shares as a whole or in part from time to time commencing on June 21, 1999; and (iv) and an aggregate of 300,000 Warrant Shares as a whole or in part from time to time commencing on June 21, 2000; provided, however, that this Warrant shall immediately become exercisable as to all 300,000 of the Warrant Shares covered hereby in the event of a Change in Control of the Company (as such term is defined in Section 5(a) hereof). All numbers of shares referred to herein shall be subject to adjustment in accordance with Article 4 hereof.</w:t>
      </w:r>
    </w:p>
    <w:p>
      <w:pPr>
        <w:spacing w:after="0" w:line="180"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1.2 Exercise of Right to Purchase. To exercise this Warrant, the Holder shall deliver to the Company, at the Warrant Office designated in Section 2.1, (a) a written notice in the form of the Subscription Notice attached as Exhibit A hereto, stating therein the election of the Holder to exercise this Warrant in the manner provided in the Subscription Notice, (b) payment in full of the Exercise Price (in the manner described below) for all Warrant Shares purchased hereunder, and (c) this Warrant. This Warrant shall be deemed to be exercised on the date of receipt by the Company of the Subscription Notice, accompanied by payment for the Warrant Shares and surrender of this Warrant, as aforesaid, and such date is referred to herein as the "Exercise Date". Upon such exercise (subject as aforesaid), the Company shall issue and deliver to such holder a</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EXHIBIT C</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certificate for the full number of the Warrant Shares purchased by such holder hereunder, against the receipt by the Company of the total Exercise Price payable hereunder for all the Warrant Shares so purchased, and if this Warrant is being exercised in part only, a new certificate representing the unexercised portion of this Warrant. The person in whose name the certificate(s) for Common Stock is to be issued shall be deemed to have become a holder of record of such Common Stock on the Exercise Date.</w:t>
      </w:r>
    </w:p>
    <w:p>
      <w:pPr>
        <w:spacing w:after="0" w:line="176"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1.3 Conversion Rights. In lieu of the exercise of this Warrant, in whole or in part, pursuant to Section 1.2 hereof, the Holder may, as to any Warrant Shares then issuable thereunder as to which the Holder wishes to exercise his rights under this Section 1.3 (the "Conversion Shares"), elect instead to convert his right to purchase such Conversion Shares pursuant to Section 1.2 into a number of shares of Common Stock equal to (a) the product of the number of the Conversion Shares times the excess, if any, of (i) the Market Price Per Share (as determined pursuant to Section 5(b) hereof) as of the date of exercise of such conversion right over (ii) the Exercise Price, divided by</w:t>
      </w:r>
    </w:p>
    <w:p>
      <w:pPr>
        <w:spacing w:after="0" w:line="3" w:lineRule="exact"/>
        <w:rPr>
          <w:sz w:val="20"/>
          <w:szCs w:val="20"/>
          <w:color w:val="auto"/>
        </w:rPr>
      </w:pPr>
    </w:p>
    <w:p>
      <w:pPr>
        <w:ind w:right="3319" w:firstLine="10"/>
        <w:spacing w:after="0" w:line="255" w:lineRule="auto"/>
        <w:tabs>
          <w:tab w:leader="none" w:pos="35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Price Per Share as of the date of exercise of such conversion right. In order to exercise such conversion privilege, the Holder shall surrender to the Company, at its offices, this Warrant accompanied by a duly completed Notice of Conversion in the form attached hereto as Exhibit B. This Warrant (or so much thereof as shall have been surrendered for conversion) shall be deemed to have been converted immediately prior to the close of business on the day of surrender of such Warrant for conversion in accordance with the foregoing provisions (the "Conversion Date"). As promptly as practicable on or after the conversion date, the Company shall issue and shall deliver to the Holder (i) a certificate or certificates representing the number of shares of Common Stock to which the Holder shall be entitled as a result of the conversion, and (ii) if this Warrant is being converted in part only, a new certificate representing the unconverted portion of this Warrant.</w:t>
      </w:r>
    </w:p>
    <w:p>
      <w:pPr>
        <w:spacing w:after="0" w:line="16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1.4 Fractional Shares. In lieu of any fractional shares of Common Stock which would otherwise be issuable upon exercise of this Warrant, the Company shall issue a certificate for the next higher number of whole shares of Common Stock for any fraction of a share which is one-half or greater. No shares will be issued for less than one-half of a share of Common Stock.</w:t>
      </w:r>
    </w:p>
    <w:p>
      <w:pPr>
        <w:spacing w:after="0" w:line="168" w:lineRule="exact"/>
        <w:rPr>
          <w:sz w:val="20"/>
          <w:szCs w:val="20"/>
          <w:color w:val="auto"/>
        </w:rPr>
      </w:pPr>
    </w:p>
    <w:p>
      <w:pPr>
        <w:ind w:left="2280" w:hanging="783"/>
        <w:spacing w:after="0"/>
        <w:tabs>
          <w:tab w:leader="none" w:pos="22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Office:  Transfer</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2.1 Warrant Office. The Company shall maintain an office for certain purposes specified herein (the "Warrant Office"), which office shall initially be the Company's office at 5400 LBJ Freeway, Tower One, Suite 300, Dallas, Texas 75240 and may subsequently be such other office of the Company as may be set forth on the cover of the most recent quarterly or annual report filed by the Company under the Exchange Act (as hereinafter defined) or of any transfer agent of the Common Stock in the continental United States as to which written notice has previously been given to the Holder. The Company shall maintain, at the Warrant Office, a register for this Warrant, in which the Company shall record the name and address of the person in whose name this Warrant has been issued, as well as the name and address of each permitted assignee of the rights of the registered owner hereof.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C</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2.2 Ownership of Warrant. The Company may deem and treat the person in whose name this Warrant is registered as the holder and owner hereof (notwithstanding any notations of ownership or writing hereon made by anyone other than the Company) for all purposes and shall not be affected by any notice to the contrary, until presentation of this Warrant for registration of transfer as provided in this Article 2.</w:t>
      </w:r>
    </w:p>
    <w:p>
      <w:pPr>
        <w:spacing w:after="0" w:line="175"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2.3 Transfer of Warrants. The Company agrees to maintain at the Warrant Office books for the registration and transfer of this Warrant. Subject to the restrictions on transfer of Warrants set forth in Section 2.4 hereof, the Company, from time to time, shall register the transfer of this Warrant in such books upon surrender of this Warrant at the Warrant Office properly endorsed or accompanied by appropriate instruments of transfer (with an appropriate signature guarantee or medallion from an eligible guarantor institution, as such term is defined in the Exchange Act and/or the regulations thereunder) and written instructions for transfer satisfactory to the Company. Upon any such transfer, a new Warrant shall be issued to the transferee and the surrendered Warrant shall be canceled by the Company. The Company shall pay all taxes (other than securities transfer taxes) and all other expenses and charges payable in connection with the transfer of Warrants pursuant to this Section 2.3.</w:t>
      </w:r>
    </w:p>
    <w:p>
      <w:pPr>
        <w:spacing w:after="0" w:line="174"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2.4 Restrictions on Transfer. The registered holder of this Warrant, by acceptance hereof, agrees that prior to any transfer of this Warrant to Holder will deliver to the Company notice of the proposed transferee and a signed copy of the opinion of the Holder's counsel, or such other counsel as shall be acceptable to the Company, as to the necessity or non-necessity for registration under the Securities Act of 1933, as amended (the "Securities Act") and any applicable state securities or blue sky laws in connection with such exercise or such transfer. The following provisions shall then apply:</w:t>
      </w:r>
    </w:p>
    <w:p>
      <w:pPr>
        <w:spacing w:after="0" w:line="166" w:lineRule="exact"/>
        <w:rPr>
          <w:sz w:val="20"/>
          <w:szCs w:val="20"/>
          <w:color w:val="auto"/>
        </w:rPr>
      </w:pPr>
    </w:p>
    <w:p>
      <w:pPr>
        <w:ind w:left="800" w:right="3319" w:firstLine="697"/>
        <w:spacing w:after="0" w:line="236" w:lineRule="auto"/>
        <w:tabs>
          <w:tab w:leader="none" w:pos="22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opinion of the Holder's counsel, concurred in by counsel to the Company, the proposed transfer of this Warrant may be effected without registration under the Securities Act and any applicable state securities or blue sky laws, then the Holder shall be entitled to transfer this Warrant in accordance with the notice delivered by the Holder to the Company.</w:t>
      </w:r>
    </w:p>
    <w:p>
      <w:pPr>
        <w:spacing w:after="0" w:line="174"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opinion of said counsel, concurred in by counsel to the Company, the proposed transfer of this Warrant may not be effected without registration under the Securities Act and any applicable state securities or blue sky laws, the Holder shall not be entitled to transfer this Warrant unless and until such registration is effected or until the opinion contemplated by paragraph (a), above, can be delivered.</w:t>
      </w:r>
    </w:p>
    <w:p>
      <w:pPr>
        <w:spacing w:after="0" w:line="176"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2.5 Expenses of Delivery of Warrants. The Company shall pay all expenses, taxes (other than taxes on the income of the Holder) and other charges payable in connection with the preparation, issuance and delivery of Warrants and related Warrant Shares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36</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2280" w:hanging="783"/>
        <w:spacing w:after="0"/>
        <w:tabs>
          <w:tab w:leader="none" w:pos="22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The Company covenants that it will at all times reserve and keep available out of its treasury common stock or authorized but unissued Common Stock, solely for the purpose of issue upon exercise of this Warrant, such number of shares of Common Stock as shall then be issuable upon the exercise in full of this Warrant. The Company covenants that all Warrant Shares which shall be issuable upon exercise of the Warrant shall be duly and validly issued and fully paid and non-assessable and free from all taxes, liens and charges with respect to the issue thereof, and that upon issuance such shares shall be listed on each national securities exchange, if any, on which the other shares of outstanding Common Stock are then listed.</w:t>
      </w:r>
    </w:p>
    <w:p>
      <w:pPr>
        <w:spacing w:after="0" w:line="165" w:lineRule="exact"/>
        <w:rPr>
          <w:sz w:val="20"/>
          <w:szCs w:val="20"/>
          <w:color w:val="auto"/>
        </w:rPr>
      </w:pPr>
    </w:p>
    <w:p>
      <w:pPr>
        <w:ind w:left="2280" w:right="3679" w:hanging="783"/>
        <w:spacing w:after="0" w:line="234" w:lineRule="auto"/>
        <w:tabs>
          <w:tab w:leader="none" w:pos="22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Purchase Price and Number of Shares Deliverable</w:t>
      </w:r>
    </w:p>
    <w:p>
      <w:pPr>
        <w:spacing w:after="0" w:line="173" w:lineRule="exact"/>
        <w:rPr>
          <w:sz w:val="20"/>
          <w:szCs w:val="20"/>
          <w:color w:val="auto"/>
        </w:rPr>
      </w:pPr>
    </w:p>
    <w:p>
      <w:pPr>
        <w:jc w:val="both"/>
        <w:ind w:right="3679" w:firstLine="1487"/>
        <w:spacing w:after="0" w:line="235" w:lineRule="auto"/>
        <w:rPr>
          <w:sz w:val="20"/>
          <w:szCs w:val="20"/>
          <w:color w:val="auto"/>
        </w:rPr>
      </w:pPr>
      <w:r>
        <w:rPr>
          <w:rFonts w:ascii="Courier New" w:cs="Courier New" w:eastAsia="Courier New" w:hAnsi="Courier New"/>
          <w:sz w:val="15"/>
          <w:szCs w:val="15"/>
          <w:color w:val="auto"/>
        </w:rPr>
        <w:t>4.1 The number of Warrant Shares purchasable upon the exercise of this Warrant and the Exercise Price hereof shall be subject to adjustment as follows:</w:t>
      </w:r>
    </w:p>
    <w:p>
      <w:pPr>
        <w:spacing w:after="0" w:line="174" w:lineRule="exact"/>
        <w:rPr>
          <w:sz w:val="20"/>
          <w:szCs w:val="20"/>
          <w:color w:val="auto"/>
        </w:rPr>
      </w:pPr>
    </w:p>
    <w:p>
      <w:pPr>
        <w:ind w:left="800" w:right="3319" w:firstLine="697"/>
        <w:spacing w:after="0" w:line="254" w:lineRule="auto"/>
        <w:tabs>
          <w:tab w:leader="none" w:pos="2287"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(i) pay a dividend in shares of Common Stock or make a distribution in shares of Common Stock, (ii) subdivide its outstanding shares of Common Stock through stock split or otherwise, (iii) combine its outstanding shares of Common Stock into a smaller number of shares of Common Stock, or (iv) issue in connection with any reorganization, or by reclassification of its shares of Common Stock, other securities of the Company (including any such reorganization or reclassification in connection with a consolidation or merger in which the Company is the continuing corporation), the number of Warrant Shares purchasable upon exercise of this Warrant immediately prior thereto shall be adjusted so that the Holder shall be entitled to receive the kind and number of Warrant Shares or other securities of the Company which such Holder would have owned or have been entitled to receive after the happening of any of the events described above, had this Warrant been exercised immediately prior to the happening of such event or any record date with respect thereto. An adjustment made pursuant to this paragraph</w:t>
      </w:r>
    </w:p>
    <w:p>
      <w:pPr>
        <w:spacing w:after="0" w:line="5" w:lineRule="exact"/>
        <w:rPr>
          <w:rFonts w:ascii="Courier New" w:cs="Courier New" w:eastAsia="Courier New" w:hAnsi="Courier New"/>
          <w:sz w:val="14"/>
          <w:szCs w:val="14"/>
          <w:color w:val="auto"/>
        </w:rPr>
      </w:pPr>
    </w:p>
    <w:p>
      <w:pPr>
        <w:ind w:left="800" w:right="3319" w:hanging="3"/>
        <w:spacing w:after="0" w:line="234" w:lineRule="auto"/>
        <w:tabs>
          <w:tab w:leader="none" w:pos="115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become effective retroactively as of the record date of such event.</w:t>
      </w:r>
    </w:p>
    <w:p>
      <w:pPr>
        <w:spacing w:after="0" w:line="173" w:lineRule="exact"/>
        <w:rPr>
          <w:rFonts w:ascii="Courier New" w:cs="Courier New" w:eastAsia="Courier New" w:hAnsi="Courier New"/>
          <w:sz w:val="15"/>
          <w:szCs w:val="15"/>
          <w:color w:val="auto"/>
        </w:rPr>
      </w:pPr>
    </w:p>
    <w:p>
      <w:pPr>
        <w:ind w:left="800" w:right="3319" w:firstLine="697"/>
        <w:spacing w:after="0" w:line="237" w:lineRule="auto"/>
        <w:tabs>
          <w:tab w:leader="none" w:pos="2287"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options or warrants or securities convertible into Common Stock to the holders of its Common Stock generally, entitling them (for a period expiring within 45 days after the record date mentioned below in this paragraph (b)) to subscribe for or purchase shares of Common Stock at a price per share which (together with the value of the consideration, if any, paid for such rights, options, warrants or convertible securities) is lower at the record date mentioned below than the then Market Price Per Share of Common Stock, the number of Warrant Shares thereafter purchasable upon the exercise of this Warrant shall be determined by multiplying the number of Warrant Shares immediately theretofore purchasable upon exercise of this Warrant by a fraction, of which the numerator shall be the number of shares of Common Stock outstanding on such record date plus the number of additional shares of Common Stock offered for subscription or purchase, and of which the denominator shall be the number of shares of Common Stock outstanding on such record date plus the number of shares which the aggregate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C</w:t>
      </w:r>
    </w:p>
    <w:p>
      <w:pPr>
        <w:spacing w:after="0" w:line="178" w:lineRule="exact"/>
        <w:rPr>
          <w:sz w:val="20"/>
          <w:szCs w:val="20"/>
          <w:color w:val="auto"/>
        </w:rPr>
      </w:pPr>
    </w:p>
    <w:p>
      <w:pPr>
        <w:ind w:left="520" w:right="3579"/>
        <w:spacing w:after="0" w:line="236" w:lineRule="auto"/>
        <w:rPr>
          <w:sz w:val="20"/>
          <w:szCs w:val="20"/>
          <w:color w:val="auto"/>
        </w:rPr>
      </w:pPr>
      <w:r>
        <w:rPr>
          <w:rFonts w:ascii="Courier New" w:cs="Courier New" w:eastAsia="Courier New" w:hAnsi="Courier New"/>
          <w:sz w:val="15"/>
          <w:szCs w:val="15"/>
          <w:color w:val="auto"/>
        </w:rPr>
        <w:t>of the total number of shares of Common Stock so offered would purchase at the then Market Price Per Share of Common Stock. Such adjustment shall be made whenever such rights, options, warrants or convertible securities are issued, and shall become effective retroactively as of the record date for the determination of shareholders entitled to receive such rights, options, warrants or convertible securities.</w:t>
      </w:r>
    </w:p>
    <w:p>
      <w:pPr>
        <w:spacing w:after="0" w:line="176" w:lineRule="exact"/>
        <w:rPr>
          <w:sz w:val="20"/>
          <w:szCs w:val="20"/>
          <w:color w:val="auto"/>
        </w:rPr>
      </w:pPr>
    </w:p>
    <w:p>
      <w:pPr>
        <w:ind w:left="520" w:right="3319" w:firstLine="697"/>
        <w:spacing w:after="0" w:line="254" w:lineRule="auto"/>
        <w:tabs>
          <w:tab w:leader="none" w:pos="200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distribute to the holders of its Common Stock generally, or the holders of its Common Stock generally shall otherwise become entitled to receive, shares of capital stock of the Company (other than dividends or distributions on its Common Stock referred to in paragraph (a) above), evidences of its indebtedness or rights, options, warrants or convertible securities providing the right to subscribe for or purchase any shares of the Company's capital stock or evidences of its indebtedness (other than any rights, options, warrants or convertible securities referred to in paragraph (b), above), then in each case the number of Warrant Shares thereafter purchasable upon the exercise of this Warrant shall be determined by multiplying the number of Warrant Shares theretofore purchasable upon the exercise of this Warrant, by a fraction, of which the numerator shall be the then Market Price Per Share of Common Stock on the record date mentioned below in this paragraph (c), and of which the denominator shall be the then Market Price Per Share of Common Stock on such record date, less the then fair value (as determined by the Board of Directors of the Company, in good faith) of the portion of the shares of the Company's capital stock (other than dividends or distributions on its Common Stock referred to in paragraph (a) above), evidences of indebtedness, or rights, options, warrants or convertible securities, distributable with respect to each share of Common Stock. Such adjustment shall be made whenever any such distribution is made, and shall become effective retroactively as of the record date for the determination of shareholders entitled to receive such distribution.</w:t>
      </w:r>
    </w:p>
    <w:p>
      <w:pPr>
        <w:spacing w:after="0" w:line="176" w:lineRule="exact"/>
        <w:rPr>
          <w:rFonts w:ascii="Courier New" w:cs="Courier New" w:eastAsia="Courier New" w:hAnsi="Courier New"/>
          <w:sz w:val="14"/>
          <w:szCs w:val="14"/>
          <w:color w:val="auto"/>
        </w:rPr>
      </w:pPr>
    </w:p>
    <w:p>
      <w:pPr>
        <w:ind w:left="520" w:right="3319" w:firstLine="697"/>
        <w:spacing w:after="0" w:line="254" w:lineRule="auto"/>
        <w:tabs>
          <w:tab w:leader="none" w:pos="200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capital reorganization or any reclassification of the capital stock of the Company (other than a reorganization or reclassification referred to in paragraph (a) above) or in case of the consolidation or merger of the Company with another corporation (other than a consolidation or merger in which the Company is the surviving corporation), or in the case of any sale, transfer or other disposition to another corporation of all or substantially all the properties and assets of the Company in which holders of Common Stock receive securities or property, the Holder shall thereafter be entitled to purchase (and it shall be a condition to the consummation of any such reorganization, reclassification, consolidation, merger, sale, transfer or other disposition that appropriate provisions shall be made so that such Holder shall thereafter be entitled to purchase) the kind and amount of shares of stock and other securities and property (including cash) receivable in such transaction which this Warrant entitled the Holder to purchase immediately prior to such reorganization, reclassification, consolidation, merger, sale, transfer or other disposition; and in any such case appropriate adjustments shall be made in the application of the provisions of this Article 4 with respect to rights and interest thereafter of the Holder under this Warrant to the end that the provisions of this Article 4 shall thereafter be applicable, as near as reasonably may be, in relation to any shares or other property thereafter purchasable upon the exercise of this Warrant. The provisions of this Section 4.1(d) shall similarly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C</w:t>
      </w:r>
    </w:p>
    <w:p>
      <w:pPr>
        <w:spacing w:after="0" w:line="178" w:lineRule="exact"/>
        <w:rPr>
          <w:sz w:val="20"/>
          <w:szCs w:val="20"/>
          <w:color w:val="auto"/>
        </w:rPr>
      </w:pPr>
    </w:p>
    <w:p>
      <w:pPr>
        <w:ind w:left="520" w:right="4019"/>
        <w:spacing w:after="0" w:line="261" w:lineRule="auto"/>
        <w:rPr>
          <w:sz w:val="20"/>
          <w:szCs w:val="20"/>
          <w:color w:val="auto"/>
        </w:rPr>
      </w:pPr>
      <w:r>
        <w:rPr>
          <w:rFonts w:ascii="Courier New" w:cs="Courier New" w:eastAsia="Courier New" w:hAnsi="Courier New"/>
          <w:sz w:val="14"/>
          <w:szCs w:val="14"/>
          <w:color w:val="auto"/>
        </w:rPr>
        <w:t>successive reorganizations, reclassifications, consolidations, mergers, sales, transfers or other dispositions.</w:t>
      </w:r>
    </w:p>
    <w:p>
      <w:pPr>
        <w:spacing w:after="0" w:line="160" w:lineRule="exact"/>
        <w:rPr>
          <w:sz w:val="20"/>
          <w:szCs w:val="20"/>
          <w:color w:val="auto"/>
        </w:rPr>
      </w:pPr>
    </w:p>
    <w:p>
      <w:pPr>
        <w:jc w:val="both"/>
        <w:ind w:left="520" w:right="3839" w:firstLine="697"/>
        <w:spacing w:after="0" w:line="254" w:lineRule="auto"/>
        <w:tabs>
          <w:tab w:leader="none" w:pos="200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adjustment in the number of Warrant Shares issuable and/or the Exercise Price under Sections</w:t>
      </w:r>
    </w:p>
    <w:p>
      <w:pPr>
        <w:ind w:left="52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4.1(b), (c), (d) or (g) resulting from the issuance or distribution of any rights, options, warrants or convertible securities providing for the right to purchase or subscribe for Common Stock of the Company ("Common Stock Equivalents"):</w:t>
      </w:r>
    </w:p>
    <w:p>
      <w:pPr>
        <w:spacing w:after="0" w:line="175" w:lineRule="exact"/>
        <w:rPr>
          <w:rFonts w:ascii="Courier New" w:cs="Courier New" w:eastAsia="Courier New" w:hAnsi="Courier New"/>
          <w:sz w:val="14"/>
          <w:szCs w:val="14"/>
          <w:color w:val="auto"/>
        </w:rPr>
      </w:pPr>
    </w:p>
    <w:p>
      <w:pPr>
        <w:ind w:left="1220" w:right="3399" w:firstLine="696"/>
        <w:spacing w:after="0" w:line="235" w:lineRule="auto"/>
        <w:tabs>
          <w:tab w:leader="none" w:pos="270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adjustment of the number of Warrant Shares issuable or the Exercise Price will be made upon the subsequent issue or sale of, the exercise of, or the conversion or exchange of, such Common Stock;</w:t>
      </w:r>
    </w:p>
    <w:p>
      <w:pPr>
        <w:spacing w:after="0" w:line="175" w:lineRule="exact"/>
        <w:rPr>
          <w:rFonts w:ascii="Courier New" w:cs="Courier New" w:eastAsia="Courier New" w:hAnsi="Courier New"/>
          <w:sz w:val="15"/>
          <w:szCs w:val="15"/>
          <w:color w:val="auto"/>
        </w:rPr>
      </w:pPr>
    </w:p>
    <w:p>
      <w:pPr>
        <w:ind w:left="1220" w:right="3319" w:firstLine="609"/>
        <w:spacing w:after="0" w:line="255" w:lineRule="auto"/>
        <w:tabs>
          <w:tab w:leader="none" w:pos="2707"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Common Stock Equivalents by their terms provide, with the passage of time or otherwise, for any increase or decrease in the consideration payable to the Company, or increase or decrease in the number of shares of Common Stock issuable upon the exercise, conversion, or exchange of such Common Stock Equivalent (by change of rate or otherwise), the number of Warrant Shares issuable pursuant to this Warrant and the Exercise Price computed upon original issuance or distribution (or upon the occurrence of the record date with respect thereto), and any subsequent adjustments based on the existence of such Common Stock Equivalent will, as to any Warrant Shares remaining unissued upon any such increase or decrease becoming effective, be recomputed to reflect such increase or decrease or any change in the rights of conversion or exchange under such Common Stock Equivalents that are outstanding at such time;</w:t>
      </w:r>
    </w:p>
    <w:p>
      <w:pPr>
        <w:spacing w:after="0" w:line="163" w:lineRule="exact"/>
        <w:rPr>
          <w:rFonts w:ascii="Courier New" w:cs="Courier New" w:eastAsia="Courier New" w:hAnsi="Courier New"/>
          <w:sz w:val="14"/>
          <w:szCs w:val="14"/>
          <w:color w:val="auto"/>
        </w:rPr>
      </w:pPr>
    </w:p>
    <w:p>
      <w:pPr>
        <w:ind w:left="1220" w:right="3319" w:firstLine="521"/>
        <w:spacing w:after="0" w:line="254" w:lineRule="auto"/>
        <w:tabs>
          <w:tab w:leader="none" w:pos="2707"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expiration (or purchase by the Company and cancellation or retirement) of any such Common Stock Equivalent that has not been exercised or the expiration of any rights of conversion or exchange under any such Common Stock Equivalent that (or purchase by the Company and cancellation or retirement of any such Common Stock Equivalent the rights of conversion or exchange under which) have not been exercised, the number of Warrant Shares issuable pursuant to this Warrant and the Exercise Price computed upon the original issuance or distribution of such Common Stock Equivalent (or upon the occurrence of the record date with respect thereto), and any subsequent adjustments based on the existence of such Common Stock Equivalent, will, as to any Warrant Shares remaining unissued upon such expiration (or such cancellation or retirement, as the case may be), be recomputed as if the only shares of Common Stock issued or sold were the shares of Common Stock, if any, actually issued or sold upon the exercise of such rights, options or warrants or the conversion or exchange of such convertible securities and the consideration received therefor was the consideration actually received by the Company for the issuance or distribution of all such rights, options or warrants, whether or not exercised, plus the consideration actually received by the Company upon such exercise, or for the issuance or distribution of all such convertible securities</w:t>
      </w:r>
    </w:p>
    <w:p>
      <w:pPr>
        <w:spacing w:after="0" w:line="200" w:lineRule="exact"/>
        <w:rPr>
          <w:sz w:val="20"/>
          <w:szCs w:val="20"/>
          <w:color w:val="auto"/>
        </w:rPr>
      </w:pPr>
    </w:p>
    <w:p>
      <w:pPr>
        <w:spacing w:after="0" w:line="30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that were actually converted or exchanged, plus the</w:t>
      </w:r>
    </w:p>
    <w:p>
      <w:pPr>
        <w:ind w:left="1500"/>
        <w:spacing w:after="0" w:line="237" w:lineRule="auto"/>
        <w:rPr>
          <w:sz w:val="20"/>
          <w:szCs w:val="20"/>
          <w:color w:val="auto"/>
        </w:rPr>
      </w:pPr>
      <w:r>
        <w:rPr>
          <w:rFonts w:ascii="Courier New" w:cs="Courier New" w:eastAsia="Courier New" w:hAnsi="Courier New"/>
          <w:sz w:val="15"/>
          <w:szCs w:val="15"/>
          <w:color w:val="auto"/>
        </w:rPr>
        <w:t>additional consideration, if any, actually received by the</w:t>
      </w:r>
    </w:p>
    <w:p>
      <w:pPr>
        <w:ind w:left="1500"/>
        <w:spacing w:after="0" w:line="238" w:lineRule="auto"/>
        <w:rPr>
          <w:sz w:val="20"/>
          <w:szCs w:val="20"/>
          <w:color w:val="auto"/>
        </w:rPr>
      </w:pPr>
      <w:r>
        <w:rPr>
          <w:rFonts w:ascii="Courier New" w:cs="Courier New" w:eastAsia="Courier New" w:hAnsi="Courier New"/>
          <w:sz w:val="15"/>
          <w:szCs w:val="15"/>
          <w:color w:val="auto"/>
        </w:rPr>
        <w:t>Company upon such conversion or exchange;</w:t>
      </w:r>
    </w:p>
    <w:p>
      <w:pPr>
        <w:spacing w:after="0" w:line="167" w:lineRule="exact"/>
        <w:rPr>
          <w:sz w:val="20"/>
          <w:szCs w:val="20"/>
          <w:color w:val="auto"/>
        </w:rPr>
      </w:pPr>
    </w:p>
    <w:p>
      <w:pPr>
        <w:ind w:left="2980" w:hanging="871"/>
        <w:spacing w:after="0"/>
        <w:tabs>
          <w:tab w:leader="none" w:pos="2980"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readjustment pursuant to clause (ii) or</w:t>
      </w:r>
    </w:p>
    <w:p>
      <w:pPr>
        <w:spacing w:after="0" w:line="4" w:lineRule="exact"/>
        <w:rPr>
          <w:rFonts w:ascii="Courier New" w:cs="Courier New" w:eastAsia="Courier New" w:hAnsi="Courier New"/>
          <w:sz w:val="15"/>
          <w:szCs w:val="15"/>
          <w:color w:val="auto"/>
        </w:rPr>
      </w:pPr>
    </w:p>
    <w:p>
      <w:pPr>
        <w:ind w:left="1500" w:right="3319" w:hanging="3"/>
        <w:spacing w:after="0" w:line="256" w:lineRule="auto"/>
        <w:tabs>
          <w:tab w:leader="none" w:pos="202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will have the effect of increasing the Exercise Price by an amount in excess of the amount of the adjustment of the Exercise Price originally made in respect of the issuance or distribution of such Common Stock Equivalents; and</w:t>
      </w:r>
    </w:p>
    <w:p>
      <w:pPr>
        <w:spacing w:after="0" w:line="164" w:lineRule="exact"/>
        <w:rPr>
          <w:rFonts w:ascii="Courier New" w:cs="Courier New" w:eastAsia="Courier New" w:hAnsi="Courier New"/>
          <w:sz w:val="14"/>
          <w:szCs w:val="14"/>
          <w:color w:val="auto"/>
        </w:rPr>
      </w:pPr>
    </w:p>
    <w:p>
      <w:pPr>
        <w:ind w:left="1500" w:right="3579" w:firstLine="696"/>
        <w:spacing w:after="0" w:line="236" w:lineRule="auto"/>
        <w:tabs>
          <w:tab w:leader="none" w:pos="2987"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rights, options or warrants that expire by their terms not more than 60 days after the date of their issuance or distribution, no adjustment of the Exercise Price will be made until the expiration or exercise of all such rights, options or warrants, whereupon such adjustment shall be made in the manner provided in clause (iii) above.</w:t>
      </w:r>
    </w:p>
    <w:p>
      <w:pPr>
        <w:spacing w:after="0" w:line="176" w:lineRule="exact"/>
        <w:rPr>
          <w:sz w:val="20"/>
          <w:szCs w:val="20"/>
          <w:color w:val="auto"/>
        </w:rPr>
      </w:pPr>
    </w:p>
    <w:p>
      <w:pPr>
        <w:ind w:left="800" w:right="3579" w:firstLine="697"/>
        <w:spacing w:after="0" w:line="235" w:lineRule="auto"/>
        <w:tabs>
          <w:tab w:leader="none" w:pos="22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avoidance of doubt, any adjustment pursuant to this Section 4.1 shall be apportioned ratably among all unissued Warrant Shares issuable pursuant to this Warrant.</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number of Warrant Shares purchasable upon the exercise of this Warrant is adjusted, as provided in this Section 4.1, the Exercise Price payable upon exercise of this Warrant shall be adjusted by multiplying such Exercise Price immediately prior to such adjustment by a fraction, of which the numerator shall be the number of Warrant Shares purchasable upon the exercise of each Warrant immediately prior to such adjustment, and of which the denominator shall be the number of Warrant Shares so purchasable immediately thereafter.</w:t>
      </w:r>
    </w:p>
    <w:p>
      <w:pPr>
        <w:spacing w:after="0" w:line="178"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4.2 In the event the Company shall declare a dividend, or make a distribution to the holders of its Common Stock generally, whether in cash, property or assets of any kind, including any dividend payable in stock or securities of any other issuer owned by the Company (excluding regularly payable cash dividends declared from time to time by the Company's Board of Directors or any dividend or distribution referred to in Section 4.1(a) or (c) above), the Exercise Price shall be reduced, without any further action by the parties hereto, by the Per Share Value (as hereinafter defined) of the dividend. For purposes of this Section 4.2, the "Per Share Value" of a cash dividend or other distribution shall be the dollar amount of the distribution on each share of Common Stock and the "Per Share Value" of any dividend or distribution other than cash shall be equal to the fair market value of such non-cash distribution on each share of Common Stock as determined in good faith by the Board of Directors of the Company.</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4.3 No adjustment in the number of Warrant Shares purchasable under this Warrant, or in the Exercise Price thereof, shall be required unless such adjustment would require an increase or decrease of at least $.10 in the Exercise Price; provided, however, that any adjustments which by reason of this Section 4.3 are not required to be made shall be carried forward and taken into account in any subsequent adjustment. All final results of adjustments to the Exercise Price and the number of Warrant Shares shall be rounded to the nearest cent or the nearest one thousandth of a share, as the case may be. Anything in this Section 4 to the contrary notwithstanding,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entitled, but shall not be required, to make such changes in</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number of Warrant Shares purchasable upon the exercise of this Warrant, or in the Exercise Price, in addition to those required by such Section, as in its discretion shall determine to be advisable in order that any event referred to in Section 4.1 or 4.2 of this Agreement shall not result in any tax to the holders of its Common Stock or securities convertible into Common Stock, provided that the Holder is not otherwise prejudiced by such changes.</w:t>
      </w:r>
    </w:p>
    <w:p>
      <w:pPr>
        <w:spacing w:after="0" w:line="166"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4.4 Whenever the number of Warrant Shares purchasable upon the exercise of this Warrant and/or the Exercise Price is adjusted, as herein provided, the Company shall mail to the Holder, at the address of the Holder shown on the books of the Company, a notice of such adjustment or adjustments, prepared and signed by the Chief Financial Officer or Secretary of the Company, which sets forth the number of Warrant Shares purchasable upon the exercise of this Warrant and the Exercise Price after such adjustment, together with a brief statement of the facts requiring such adjustment and the computation by which such adjustment was made.</w:t>
      </w:r>
    </w:p>
    <w:p>
      <w:pPr>
        <w:spacing w:after="0" w:line="178"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4.5 If at any time prior to the expiration of this Warrant and prior to its exercise any event referred to in Section 4.1 or 4.2 of this Agreement occurs which has an effect on the Exercise Price or the kind and amount of the shares of stock or other securities or property deliverable upon exercise of this Warrant (each such event hereinafter being referred to as a "Notification Event"), the Company shall cause to be mailed to the Holder not less than 20 days prior to the record date, if any, in connection with such Notification Event (or such other date as such notice is given to the holders of Common Stock generally; provided, however, that if there is no record date, or if 20 days prior notice is impracticable, such notice shall be given as soon as is practicable) written notice specifying the nature of such event and the effective date of, or the date on which the books of the Company shall close or a record shall be taken with respect to, such event. Such notice shall also set forth facts indicating the effect of such action (to the extent such effect may be known at the date of such notice) on the Exercise Price and the kind and amount of the shares of stock or other securities or property deliverable upon exercise of this Warrant.</w:t>
      </w:r>
    </w:p>
    <w:p>
      <w:pPr>
        <w:spacing w:after="0" w:line="331"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4.6 The form of the certificate representing this Warrant need not be changed because of any change in the Exercise Price or any change in the kind or amount of the shares of stock or other securities or property deliverable upon exercise of this Warrant, and any such certificates issued before or after such change may state the same Exercise Price and the same kind or amount of shares of stock or other securities or property deliverable upon exercise as certificates theretofore issued. The Company may, however, at any time, in its sole discretion, make any change in the form of such certificate that it may deem appropriate in order to give effect to the provisions of this Article 4, and such certificates thereafter issued or countersigned, whether in exchange or substitution for an outstanding certificate or otherwise, may be in the form as so changed.</w:t>
      </w:r>
    </w:p>
    <w:p>
      <w:pPr>
        <w:spacing w:after="0" w:line="173" w:lineRule="exact"/>
        <w:rPr>
          <w:sz w:val="20"/>
          <w:szCs w:val="20"/>
          <w:color w:val="auto"/>
        </w:rPr>
      </w:pPr>
    </w:p>
    <w:p>
      <w:pPr>
        <w:ind w:left="2280" w:right="3679" w:hanging="783"/>
        <w:spacing w:after="0" w:line="234" w:lineRule="auto"/>
        <w:tabs>
          <w:tab w:leader="none" w:pos="228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Change in Control; Determination of Market Price Per Share</w:t>
      </w:r>
    </w:p>
    <w:p>
      <w:pPr>
        <w:spacing w:after="0" w:line="173" w:lineRule="exact"/>
        <w:rPr>
          <w:sz w:val="20"/>
          <w:szCs w:val="20"/>
          <w:color w:val="auto"/>
        </w:rPr>
      </w:pPr>
    </w:p>
    <w:p>
      <w:pPr>
        <w:ind w:right="3499" w:firstLine="1497"/>
        <w:spacing w:after="0" w:line="235" w:lineRule="auto"/>
        <w:tabs>
          <w:tab w:leader="none" w:pos="227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"Change in Control" shall mean a change in control of the Company of a nature that would be required to be reported in response to Item 6(e)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C</w:t>
      </w:r>
    </w:p>
    <w:p>
      <w:pPr>
        <w:spacing w:after="0" w:line="178"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Schedule 14A of Regulation 14A under the Securities Exchange Act of 1934, as amended (the "Exchange Act"), provided, that, without limitation, such a change in control shall be deemed tohave occurred if (i) any "person" (as such term is used in Sections 13(d) and 14(d) of the Exchange Act) is or becomes the "beneficial owner" (as defined in Rule 13d-3 under the Exchange Act), directly or indirectly, of securities of the Company representing 50% or more of the combined voting power of the Company's then outstanding voting securities or</w:t>
      </w:r>
    </w:p>
    <w:p>
      <w:pPr>
        <w:spacing w:after="0" w:line="2" w:lineRule="exact"/>
        <w:rPr>
          <w:sz w:val="20"/>
          <w:szCs w:val="20"/>
          <w:color w:val="auto"/>
        </w:rPr>
      </w:pPr>
    </w:p>
    <w:p>
      <w:pPr>
        <w:ind w:right="3579" w:firstLine="10"/>
        <w:spacing w:after="0" w:line="254" w:lineRule="auto"/>
        <w:tabs>
          <w:tab w:leader="none" w:pos="437"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24 consecutive months, individuals (y) who at the beginning of such period constitute the Board of Directors of the Company or</w:t>
      </w:r>
    </w:p>
    <w:p>
      <w:pPr>
        <w:ind w:right="3399" w:firstLine="10"/>
        <w:spacing w:after="0" w:line="236" w:lineRule="auto"/>
        <w:tabs>
          <w:tab w:leader="none" w:pos="35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whose election, appointment or nomination for election was approved prior to such election or appointment by a vote of a majority of the directors in office immediately prior to such election or appointment who were directors at the beginning of such two-year period (other than any directors who prior to the Change in Control were associated or affiliated with any person involved with any Change in Control or attempted Change in Control), cease for any reason to constitute at least a majority of the Board of Directors of the Company.</w:t>
      </w:r>
    </w:p>
    <w:p>
      <w:pPr>
        <w:spacing w:after="0" w:line="177" w:lineRule="exact"/>
        <w:rPr>
          <w:rFonts w:ascii="Courier New" w:cs="Courier New" w:eastAsia="Courier New" w:hAnsi="Courier New"/>
          <w:sz w:val="15"/>
          <w:szCs w:val="15"/>
          <w:color w:val="auto"/>
        </w:rPr>
      </w:pPr>
    </w:p>
    <w:p>
      <w:pPr>
        <w:ind w:right="3319" w:firstLine="1497"/>
        <w:spacing w:after="0" w:line="237" w:lineRule="auto"/>
        <w:tabs>
          <w:tab w:leader="none" w:pos="2274"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"Market Price Per Share" with respect to any date shall mean the closing price per share of Common Stock for the trading day immediately preceding such date; provided, that for purposes of Article 4 hereof, such term shall mean the average of the closing prices per share of the Common Stock for the 20 consecutive trading days ending on the trading day immediately preceding such date. The closing price for each such day shall be the last sale price regular way or, in case no such sale takes place on such day, the average of the closing bid and asked prices regular way, in either case on the principal securities exchange on which the shares of Common Stock of the Company are listed or admitted to trading; the last sale price, or in case no sale takes place on such day, the average of the closing bid and asked prices of the Common Stock on NASDAQ or any comparable system; or if the Common Stock is not reported on NASDAQ or a comparable system, the average of the closing bid and asked prices as furnished by two members of the National Association of Securities Dealers, Inc. selected from time to time by the Company for that purpose. If such bid and asked prices are not available, then "Market Price Per Share" shall be equal to the fair market value of the Company's Common Stock as determined in good faith by the Board of Directors of the Company.</w:t>
      </w:r>
    </w:p>
    <w:p>
      <w:pPr>
        <w:spacing w:after="0" w:line="169" w:lineRule="exact"/>
        <w:rPr>
          <w:sz w:val="20"/>
          <w:szCs w:val="20"/>
          <w:color w:val="auto"/>
        </w:rPr>
      </w:pPr>
    </w:p>
    <w:p>
      <w:pPr>
        <w:ind w:left="2280" w:hanging="783"/>
        <w:spacing w:after="0"/>
        <w:tabs>
          <w:tab w:leader="none" w:pos="228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Transfer</w:t>
      </w:r>
    </w:p>
    <w:p>
      <w:pPr>
        <w:spacing w:after="0" w:line="173" w:lineRule="exact"/>
        <w:rPr>
          <w:sz w:val="20"/>
          <w:szCs w:val="20"/>
          <w:color w:val="auto"/>
        </w:rPr>
      </w:pPr>
    </w:p>
    <w:p>
      <w:pPr>
        <w:ind w:right="4099" w:firstLine="1487"/>
        <w:spacing w:after="0" w:line="234" w:lineRule="auto"/>
        <w:rPr>
          <w:sz w:val="20"/>
          <w:szCs w:val="20"/>
          <w:color w:val="auto"/>
        </w:rPr>
      </w:pPr>
      <w:r>
        <w:rPr>
          <w:rFonts w:ascii="Courier New" w:cs="Courier New" w:eastAsia="Courier New" w:hAnsi="Courier New"/>
          <w:sz w:val="15"/>
          <w:szCs w:val="15"/>
          <w:color w:val="auto"/>
        </w:rPr>
        <w:t>All Warrant Shares issuable hereunder shall be freely transferable by the Holder.</w:t>
      </w:r>
    </w:p>
    <w:p>
      <w:pPr>
        <w:spacing w:after="0" w:line="167" w:lineRule="exact"/>
        <w:rPr>
          <w:sz w:val="20"/>
          <w:szCs w:val="20"/>
          <w:color w:val="auto"/>
        </w:rPr>
      </w:pPr>
    </w:p>
    <w:p>
      <w:pPr>
        <w:ind w:left="2280" w:hanging="783"/>
        <w:spacing w:after="0"/>
        <w:tabs>
          <w:tab w:leader="none" w:pos="228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of the Company</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Company covenants and agrees that this Warrant shall be binding upon any corporation succeeding to the Company by merger, consolidation or acquisition of all or substantially all of the Company's assets, and that any agreement providing for any such acquisition of all or substantially all of the Company's assets will expressly so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42</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2280" w:hanging="783"/>
        <w:spacing w:after="0"/>
        <w:tabs>
          <w:tab w:leader="none" w:pos="228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1487"/>
        <w:spacing w:after="0" w:line="258" w:lineRule="auto"/>
        <w:rPr>
          <w:sz w:val="20"/>
          <w:szCs w:val="20"/>
          <w:color w:val="auto"/>
        </w:rPr>
      </w:pPr>
      <w:r>
        <w:rPr>
          <w:rFonts w:ascii="Courier New" w:cs="Courier New" w:eastAsia="Courier New" w:hAnsi="Courier New"/>
          <w:sz w:val="14"/>
          <w:szCs w:val="14"/>
          <w:color w:val="auto"/>
        </w:rPr>
        <w:t>8.1 Entire Agreement. This Warrant contains the entire agreement between the Holder and the Company with respect to its subject matter and supersedes all prior arrangements or understanding with respect thereto.</w:t>
      </w:r>
    </w:p>
    <w:p>
      <w:pPr>
        <w:spacing w:after="0" w:line="161"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8.2 Governing Law. This Warrant shall be governed by and construed in accordance with the laws of the State of Delaware.</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8.3 Waiver and Amendment. Any term or provision of this Warrant may be waived at any time by the party which is entitled to the benefits thereof and any term or provision of this Warrant may be amended or supplemented at any time by agreement of the holder hereof and the Company, except that any waiver of any term or condition of this Warrant, or any amendment or supplement thereto, must be in writing signed by each party to be charged. A waiver of any breach or failure to enforce any of the terms or conditions of this Warrant by a party shall not in any way affect, limit or waive such party's rights hereunder at any time to enforce strict compliance thereafter with every term or condition of this Warrant.</w:t>
      </w:r>
    </w:p>
    <w:p>
      <w:pPr>
        <w:spacing w:after="0" w:line="179"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8.4 Illegality. In the event that any one or more of the provisions contained in this Warrant shall be determined to be invalid, illegal or unenforceable in any respect for any reason, the validity, legality and enforceability of any such provision in any other respect and the remaining provisions of this Warrant shall not be in any way impaired.</w:t>
      </w:r>
    </w:p>
    <w:p>
      <w:pPr>
        <w:spacing w:after="0" w:line="174" w:lineRule="exact"/>
        <w:rPr>
          <w:sz w:val="20"/>
          <w:szCs w:val="20"/>
          <w:color w:val="auto"/>
        </w:rPr>
      </w:pPr>
    </w:p>
    <w:p>
      <w:pPr>
        <w:ind w:right="3679" w:firstLine="1487"/>
        <w:spacing w:after="0" w:line="234" w:lineRule="auto"/>
        <w:rPr>
          <w:sz w:val="20"/>
          <w:szCs w:val="20"/>
          <w:color w:val="auto"/>
        </w:rPr>
      </w:pPr>
      <w:r>
        <w:rPr>
          <w:rFonts w:ascii="Courier New" w:cs="Courier New" w:eastAsia="Courier New" w:hAnsi="Courier New"/>
          <w:sz w:val="15"/>
          <w:szCs w:val="15"/>
          <w:color w:val="auto"/>
        </w:rPr>
        <w:t>8.5 Copy of Warrant. A copy of this Warrant shall be filed among the records of the Company.</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8.6 Notices. Any notice or other document required or permitted to be given or delivered to the Holder shall be delivered at, or sent by overnight courier or certified or registered mail to such Holder at, the last address shown on the books of the Company maintained at the Warrant Office for the registration of this Warrant or at any more recent address of which the Holder hereof shall have notified the Company in writing. Any notice or other document required or permitted to be given or delivered to the Company, other than such notice or documents required to be delivered to the Warrant Office, shall be delivered at, or sent by overnight courier or certified or registered mail to, the office of the Company at 5400 LBJ Freeway, Tower One, Suite 300, Dallas, Texas 75240 or such other address within the continental United States of America as shall have been furnished by the Company to the holders of this Warrant.</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8.7 Limitation of Liability; Not Stockholders. No provision of this Warrant shall be construed as conferring upon the Holder the right to vote, consent, receive dividends or receive notices other than as herein expressly provided in respect of meetings of stockholders for the election of directors of the Company or any other matter whatsoever as a stockholder of the Company. No provision hereof, in the absence of affirmative action by the Holder to purchase or otherwise acquire shares of Common Stock, and no mere enumeration herein of the rights or privileges of the Holder, shall give rise to any liability of the Holder for the purchase price of any shares of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43</w:t>
      </w:r>
    </w:p>
    <w:p>
      <w:pPr>
        <w:ind w:left="6140"/>
        <w:spacing w:after="0" w:line="237" w:lineRule="auto"/>
        <w:rPr>
          <w:sz w:val="20"/>
          <w:szCs w:val="20"/>
          <w:color w:val="auto"/>
        </w:rPr>
      </w:pPr>
      <w:r>
        <w:rPr>
          <w:rFonts w:ascii="Courier New" w:cs="Courier New" w:eastAsia="Courier New" w:hAnsi="Courier New"/>
          <w:sz w:val="15"/>
          <w:szCs w:val="15"/>
          <w:color w:val="auto"/>
        </w:rPr>
        <w:t>EXHIBIT C</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as a stockholder of the Company, whether such liability is asserted by the Company or by creditors of the Company.</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8.8 Exchange, Loss, Destruction, etc. of Warrant. Upon receipt of evidence satisfactory to the Company of the loss, theft, mutilation or destruction of this Warrant, and in the case of any such loss, theft or destruction upon delivery of a bond of indemnity in such form and amount as shall be reasonably satisfactory to the Company, or in the event of such mutilation upon surrender and cancellation of this Warrant, the Company will make and deliver a new Warrant of like tenor, in lieu of such lost, stolen, destroyed or mutilated Warrant. Any Warrant issued under the provisions of this Section 8.8 in lieu of any Warrant alleged to be lost, destroyed or stolen, or in lieu of any mutilated Warrant, shall constitute an original contractual obligation on the part of the Company. This Warrant shall be promptly canceled by the Company upon the surrender hereof in connection with any exchange or replacement. The Company shall pay all taxes (other than securities transfer taxes) and all other expenses and charges payable in connection with the preparation, execution and delivery of Warrants pursuant to this Section 8.8.</w:t>
      </w:r>
    </w:p>
    <w:p>
      <w:pPr>
        <w:spacing w:after="0" w:line="175"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8.9 Headings. The Article and Section and other headings herein are for convenience only and are not a part of this Warrant and shall not affect the interpretation thereof.</w:t>
      </w:r>
    </w:p>
    <w:p>
      <w:pPr>
        <w:spacing w:after="0" w:line="174" w:lineRule="exact"/>
        <w:rPr>
          <w:sz w:val="20"/>
          <w:szCs w:val="20"/>
          <w:color w:val="auto"/>
        </w:rPr>
      </w:pPr>
    </w:p>
    <w:p>
      <w:pPr>
        <w:jc w:val="both"/>
        <w:ind w:right="3399" w:firstLine="1487"/>
        <w:spacing w:after="0" w:line="235" w:lineRule="auto"/>
        <w:rPr>
          <w:sz w:val="20"/>
          <w:szCs w:val="20"/>
          <w:color w:val="auto"/>
        </w:rPr>
      </w:pPr>
      <w:r>
        <w:rPr>
          <w:rFonts w:ascii="Courier New" w:cs="Courier New" w:eastAsia="Courier New" w:hAnsi="Courier New"/>
          <w:sz w:val="15"/>
          <w:szCs w:val="15"/>
          <w:color w:val="auto"/>
        </w:rPr>
        <w:t>IN WITNESS WHEREOF, the Company has caused this Warrant to be duly executed by its officers thereunto duly authorized and its corporate seal to be affixed hereon, as of this 21st day of June, 1996.</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44</w:t>
      </w:r>
    </w:p>
    <w:p>
      <w:pPr>
        <w:ind w:left="6140"/>
        <w:spacing w:after="0" w:line="237" w:lineRule="auto"/>
        <w:rPr>
          <w:sz w:val="20"/>
          <w:szCs w:val="20"/>
          <w:color w:val="auto"/>
        </w:rPr>
      </w:pPr>
      <w:r>
        <w:rPr>
          <w:rFonts w:ascii="Courier New" w:cs="Courier New" w:eastAsia="Courier New" w:hAnsi="Courier New"/>
          <w:sz w:val="15"/>
          <w:szCs w:val="15"/>
          <w:color w:val="auto"/>
        </w:rPr>
        <w:t>EXHIBIT C</w:t>
      </w:r>
    </w:p>
    <w:p>
      <w:pPr>
        <w:spacing w:after="0" w:line="167"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Exhibit A</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SUBSCRIPTION NOTICE</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undersigned, the Holder of the Warrant accompanying this notice, hereby elects to exercise purchase rights represented by said Warrant for, and to purchase thereunder, ___ Warrant Shares covered by said Warrant and herewith makes payment in full therefor pursuant to Section 1.2 of such Warrant.</w:t>
      </w:r>
    </w:p>
    <w:p>
      <w:pPr>
        <w:spacing w:after="0" w:line="174" w:lineRule="exact"/>
        <w:rPr>
          <w:sz w:val="20"/>
          <w:szCs w:val="20"/>
          <w:color w:val="auto"/>
        </w:rPr>
      </w:pPr>
    </w:p>
    <w:p>
      <w:pPr>
        <w:ind w:right="3839" w:firstLine="1487"/>
        <w:spacing w:after="0" w:line="254" w:lineRule="auto"/>
        <w:rPr>
          <w:sz w:val="20"/>
          <w:szCs w:val="20"/>
          <w:color w:val="auto"/>
        </w:rPr>
      </w:pPr>
      <w:r>
        <w:rPr>
          <w:rFonts w:ascii="Courier New" w:cs="Courier New" w:eastAsia="Courier New" w:hAnsi="Courier New"/>
          <w:sz w:val="14"/>
          <w:szCs w:val="14"/>
          <w:color w:val="auto"/>
        </w:rPr>
        <w:t>The undersigned requests (a) that certificates for such Warrant Shares (and any other securities or property issuable upon such exercise) be issued in the name of, and delivered to, _______________ and</w:t>
      </w:r>
    </w:p>
    <w:p>
      <w:pPr>
        <w:ind w:left="360" w:hanging="350"/>
        <w:spacing w:after="0" w:line="232" w:lineRule="auto"/>
        <w:tabs>
          <w:tab w:leader="none" w:pos="36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Warrant Shares shall not include all of the Warrant Shares</w:t>
      </w:r>
    </w:p>
    <w:p>
      <w:pPr>
        <w:spacing w:after="0" w:line="4" w:lineRule="exact"/>
        <w:rPr>
          <w:rFonts w:ascii="Courier New" w:cs="Courier New" w:eastAsia="Courier New" w:hAnsi="Courier New"/>
          <w:sz w:val="15"/>
          <w:szCs w:val="15"/>
          <w:color w:val="auto"/>
        </w:rPr>
      </w:pPr>
    </w:p>
    <w:p>
      <w:pPr>
        <w:ind w:right="3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issuable as provided in said Warrant, that a new Warrant of like tenor and date for the balance of the Warrant Shares issuable thereunder be delivered to the undersigned.</w:t>
      </w:r>
    </w:p>
    <w:p>
      <w:pPr>
        <w:spacing w:after="0" w:line="200" w:lineRule="exact"/>
        <w:rPr>
          <w:sz w:val="20"/>
          <w:szCs w:val="20"/>
          <w:color w:val="auto"/>
        </w:rPr>
      </w:pPr>
    </w:p>
    <w:p>
      <w:pPr>
        <w:spacing w:after="0" w:line="3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of Holder</w:t>
      </w: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Address:</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5"/>
          <w:szCs w:val="15"/>
          <w:color w:val="auto"/>
        </w:rPr>
        <w:t>45</w:t>
      </w:r>
    </w:p>
    <w:p>
      <w:pPr>
        <w:ind w:left="6140"/>
        <w:spacing w:after="0" w:line="237" w:lineRule="auto"/>
        <w:rPr>
          <w:sz w:val="20"/>
          <w:szCs w:val="20"/>
          <w:color w:val="auto"/>
        </w:rPr>
      </w:pPr>
      <w:r>
        <w:rPr>
          <w:rFonts w:ascii="Courier New" w:cs="Courier New" w:eastAsia="Courier New" w:hAnsi="Courier New"/>
          <w:sz w:val="15"/>
          <w:szCs w:val="15"/>
          <w:color w:val="auto"/>
        </w:rPr>
        <w:t>EXHIBIT C</w:t>
      </w:r>
    </w:p>
    <w:p>
      <w:pPr>
        <w:spacing w:after="0" w:line="167"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Exhibit B</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NOTICE OF CONVERSION</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The undersigned hereby irrevocably elects to convert, pursuant to Section 1.3 of the Warrant, the undersigned's right to purchase __________</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Conversion Shares pursuant to the accompanying Warrant into shares of the Common Stock of the Company. The number of shares of the Common Stock of the Company to be received by the undersigned shall be calculated in accordance with the provisions of Section 1.3 of the accompanying Warrant.</w:t>
      </w:r>
    </w:p>
    <w:p>
      <w:pPr>
        <w:spacing w:after="0" w:line="175"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The undersigned hereby requests (a) that certificates for such shares (and any other securities or property issuable upon such exercise) be issued in the name of, and delivered to, ______________ and (b) the Conversion</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Shares referred to above shall not include all of the Warrant Shares issuable as provided in said Warrant, that a new Warrant of like tenor and date for the balance of the Warrant Shares issuable thereunder be delivered to the undersigned.</w:t>
      </w:r>
    </w:p>
    <w:p>
      <w:pPr>
        <w:spacing w:after="0" w:line="200" w:lineRule="exact"/>
        <w:rPr>
          <w:sz w:val="20"/>
          <w:szCs w:val="20"/>
          <w:color w:val="auto"/>
        </w:rPr>
      </w:pPr>
    </w:p>
    <w:p>
      <w:pPr>
        <w:spacing w:after="0" w:line="312"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of Holder</w:t>
      </w: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Address:</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10.2</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EMPLOYMENT AND NONCOMPETITION AGREEMENT</w:t>
      </w:r>
    </w:p>
    <w:p>
      <w:pPr>
        <w:spacing w:after="0" w:line="34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THIS AGREEMENT dated as of June 22, 1996 by and among Sanifill, Inc., a Delaware corporation ("Sanifill"), USA Waste Services, Inc., a Delaware corporation ("USA"), and Lorne D. Bain, an individual residing in Houston, Texas ("Bain").</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 E C I T A L S:</w:t>
      </w:r>
    </w:p>
    <w:p>
      <w:pPr>
        <w:spacing w:after="0" w:line="173"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USA is acquiring through merger into one of its wholly-owned subsidiaries all of the stock of Sanifill; and</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Bain is the Chairman of the Board and Chief Executive Officer of Sanifill; and</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USA and Sanifill desire to retain the services and assistance of Bain as an employee for a significant period after consummation of the acquisition of Sanifill by USA and to secure from Bain a noncompetition agreement which will supplant Bain's existing non-competition agreement with Sanifill, the terms of which will, among other things, increase the length of the restriction term, increase the breadth of the location in which such restrictions apply and broaden the scope of activities restricted; and</w:t>
      </w:r>
    </w:p>
    <w:p>
      <w:pPr>
        <w:spacing w:after="0" w:line="17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Bain is willing to provide services and assistance to USA and Sanifill for such a significant period and is agreeable to entering into a noncompetition agreement; and</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Bain has certain contractual relationships with Sanifill concerning his employment and compensation; and</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USA, Sanifill and Bain desire to enter into this Agreement which will amend, as specifically stated herein, certain contractual agreements between Bain and Sanifill.</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NOW, THEREFORE, it is hereby covenanted and agreed by and among the parties as follows:</w:t>
      </w:r>
    </w:p>
    <w:p>
      <w:pPr>
        <w:spacing w:after="0" w:line="173" w:lineRule="exact"/>
        <w:rPr>
          <w:sz w:val="20"/>
          <w:szCs w:val="20"/>
          <w:color w:val="auto"/>
        </w:rPr>
      </w:pPr>
    </w:p>
    <w:p>
      <w:pPr>
        <w:ind w:right="3319" w:firstLine="797"/>
        <w:spacing w:after="0" w:line="236" w:lineRule="auto"/>
        <w:tabs>
          <w:tab w:leader="none" w:pos="14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USA and Sanifill (the "Companies") hereby retain and engage Bain as an employee to provide services and advice during the term of this Agreement hereinafter stated and subject to the further terms and conditions of this Agreement. Bain hereby agrees to provide such services during the term of this Agreement hereinafter stated and subject to the further terms and conditions of this Agreement.</w:t>
      </w:r>
    </w:p>
    <w:p>
      <w:pPr>
        <w:spacing w:after="0" w:line="174" w:lineRule="exact"/>
        <w:rPr>
          <w:rFonts w:ascii="Courier New" w:cs="Courier New" w:eastAsia="Courier New" w:hAnsi="Courier New"/>
          <w:sz w:val="15"/>
          <w:szCs w:val="15"/>
          <w:color w:val="auto"/>
        </w:rPr>
      </w:pPr>
    </w:p>
    <w:p>
      <w:pPr>
        <w:ind w:right="3399" w:firstLine="797"/>
        <w:spacing w:after="0" w:line="255" w:lineRule="auto"/>
        <w:tabs>
          <w:tab w:leader="none" w:pos="148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Term: The employment period ("Employment Period") shall commence upon the consummation of the acquisition of the stock of Sanifill by USA through merger of Sanifill with a wholly-owned subsidiary of USA (the "Merger") pursuant to that certain Agreement and Plan of Merger of even date herewith ("Merger Agreement") by and among USA, Quatro Acquisition Corp., and Sanifill ("Employment Commencement Date") and shall end on the earlier of (i) the first anniversary of the Employment Commencement Date or such subsequent anniversary thereof as may be selected by the Companies provided they give Bain notice thereof at least 60 days prior to the</w:t>
      </w:r>
    </w:p>
    <w:p>
      <w:pPr>
        <w:sectPr>
          <w:pgSz w:w="11900" w:h="16838" w:orient="portrait"/>
          <w:cols w:equalWidth="0" w:num="1">
            <w:col w:w="10239"/>
          </w:cols>
          <w:pgMar w:left="220" w:top="135"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then-scheduled termination of the Employment Period or (ii) such earlier 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any, as may be selected by Bain provided he gives 30 days' notice thereof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 ("Employment Termination Date").</w:t>
      </w:r>
    </w:p>
    <w:p>
      <w:pPr>
        <w:spacing w:after="0" w:line="173" w:lineRule="exact"/>
        <w:rPr>
          <w:sz w:val="20"/>
          <w:szCs w:val="20"/>
          <w:color w:val="auto"/>
        </w:rPr>
      </w:pPr>
    </w:p>
    <w:p>
      <w:pPr>
        <w:ind w:right="3319" w:firstLine="797"/>
        <w:spacing w:after="0" w:line="254" w:lineRule="auto"/>
        <w:tabs>
          <w:tab w:leader="none" w:pos="148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Duties and Services: During the Employment Period Bain shall provide advice and services to assist with the integration of the Companies following the consummation of the Merger, as well as such other services as reasonably requested from time to time by the chief executive officer of USA. The services to be provided shall be commensurate with Bain's training, background and experience as an experienced and highly sophisticated executive in the waste management business, and shall be of a type that might reasonably be expected to be provided by a senior executive of a publicly traded company (such duties and services are hereinafter sometimes referred to as "Employment Services"). In providing the Employment Services, Bain shall not be called upon to travel excessively or remain apart from his principal place of residence (which is presently in Houston, Texas and may be changed by Bain in his sole discretion) for unreasonably extended periods and the parties contemplate that in the usual course the Employment Services will be performed either at the location of Bain's choice (including from his residence) or at USA's principal executive offices (which are being relocated to Houston, Texas to the present executive offices of Sanifill). All services provided by Bain hereunder shall be in the capacity of a common law employee of USA, and in connection therewith Bain shall be subject to the direction of the chief executive officer of USA with respect to both the manner in which he performs his duties hereunder and the results to be accomplished thereby.</w:t>
      </w:r>
    </w:p>
    <w:p>
      <w:pPr>
        <w:spacing w:after="0" w:line="343" w:lineRule="exact"/>
        <w:rPr>
          <w:rFonts w:ascii="Courier New" w:cs="Courier New" w:eastAsia="Courier New" w:hAnsi="Courier New"/>
          <w:sz w:val="14"/>
          <w:szCs w:val="14"/>
          <w:color w:val="auto"/>
        </w:rPr>
      </w:pPr>
    </w:p>
    <w:p>
      <w:pPr>
        <w:ind w:right="3399" w:firstLine="797"/>
        <w:spacing w:after="0" w:line="235" w:lineRule="auto"/>
        <w:tabs>
          <w:tab w:leader="none" w:pos="14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 For and in consideration of the agreement by Bain to provide the Employment Services and to be available to perform such services, USA and Sanifill hereby jointly and severally agree to provide the following compensation:</w:t>
      </w:r>
    </w:p>
    <w:p>
      <w:pPr>
        <w:spacing w:after="0" w:line="169" w:lineRule="exact"/>
        <w:rPr>
          <w:sz w:val="20"/>
          <w:szCs w:val="20"/>
          <w:color w:val="auto"/>
        </w:rPr>
      </w:pPr>
    </w:p>
    <w:p>
      <w:pPr>
        <w:ind w:left="2280" w:hanging="783"/>
        <w:spacing w:after="0"/>
        <w:tabs>
          <w:tab w:leader="none" w:pos="228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Bain shall be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$41,666.67 on a monthly basis (or $19,230.77 on a biweekly basis), in arrears.</w:t>
      </w:r>
    </w:p>
    <w:p>
      <w:pPr>
        <w:spacing w:after="0" w:line="178" w:lineRule="exact"/>
        <w:rPr>
          <w:sz w:val="20"/>
          <w:szCs w:val="20"/>
          <w:color w:val="auto"/>
        </w:rPr>
      </w:pPr>
    </w:p>
    <w:p>
      <w:pPr>
        <w:ind w:right="3319" w:firstLine="1497"/>
        <w:spacing w:after="0" w:line="236" w:lineRule="auto"/>
        <w:tabs>
          <w:tab w:leader="none" w:pos="227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Bain shall be provided health, hospitalization and major medical insurance or equivalent coverage not less favorable to Bain and his family than that presently available to Bain under Sanifill's medical benefits plans, at no premium cost to Bain; provided, Bain shall not be required to participate, as a condition to maximum medical benefits, in any health maintenance organization, preferred provider arrangement or any other similar program or practice that might restrict Bain's selection of medical services providers. Such coverage shall be continued for the entire period for the benefit of Bain's family even should Bain die prior to the Employment Termination Date.</w:t>
      </w:r>
    </w:p>
    <w:p>
      <w:pPr>
        <w:spacing w:after="0" w:line="179" w:lineRule="exact"/>
        <w:rPr>
          <w:sz w:val="20"/>
          <w:szCs w:val="20"/>
          <w:color w:val="auto"/>
        </w:rPr>
      </w:pPr>
    </w:p>
    <w:p>
      <w:pPr>
        <w:ind w:right="3399" w:firstLine="1497"/>
        <w:spacing w:after="0" w:line="255" w:lineRule="auto"/>
        <w:tabs>
          <w:tab w:leader="none" w:pos="2274"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Bain agreeing to the noncompetition provisions of paragraph 7, commencing with August 26, 2001, the day on which Bain becomes 60 years old ("Annuity Commencement Date"), USA hereby agrees to pay Bain $25,000 on a monthly basis, in arrears ("Primary Annuity"). The Primary Annuity shall be paid until and terminate on the last day of the month during which the death of Bain occurs ("Primary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Termination Date"). Commencing with the day after the Primary Annuity Termination Date (or, if Bain dies before reaching age 60, commencing with the date on which he would have become 60 years old), if Bain was married to his present wife, Michelle Bain, on the date of his death ("Spouse"), such spouse shall be paid on a monthly basis, in arrears, $12,500 ("Spouse Annuity"). The Spouse Annuity shall be paid until and terminate upon the last day of the month during which the death of Spouse occurs.</w:t>
      </w:r>
    </w:p>
    <w:p>
      <w:pPr>
        <w:spacing w:after="0" w:line="176" w:lineRule="exact"/>
        <w:rPr>
          <w:sz w:val="20"/>
          <w:szCs w:val="20"/>
          <w:color w:val="auto"/>
        </w:rPr>
      </w:pPr>
    </w:p>
    <w:p>
      <w:pPr>
        <w:ind w:right="3679" w:firstLine="797"/>
        <w:spacing w:after="0" w:line="261" w:lineRule="auto"/>
        <w:tabs>
          <w:tab w:leader="none" w:pos="1487"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Secretary: During the Employment Period, Bain shall be provided with appropriate office space and secretarial assistance.</w:t>
      </w:r>
    </w:p>
    <w:p>
      <w:pPr>
        <w:spacing w:after="0" w:line="159" w:lineRule="exact"/>
        <w:rPr>
          <w:rFonts w:ascii="Courier New" w:cs="Courier New" w:eastAsia="Courier New" w:hAnsi="Courier New"/>
          <w:sz w:val="14"/>
          <w:szCs w:val="14"/>
          <w:color w:val="auto"/>
        </w:rPr>
      </w:pPr>
    </w:p>
    <w:p>
      <w:pPr>
        <w:ind w:right="4199" w:firstLine="797"/>
        <w:spacing w:after="0" w:line="234" w:lineRule="auto"/>
        <w:tabs>
          <w:tab w:leader="none" w:pos="148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Bain shall be promptly reimbursed for all reasonable expenses incurred in performing Employment Services.</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48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 Bain covenants and agrees that except in connection with his duties under this Agreement, during a period of 10 years commencing with the Employment Commencement Date (the "Non-Compete Term") he will not, without the prior written consent of the board of directors of USA</w:t>
      </w:r>
    </w:p>
    <w:p>
      <w:pPr>
        <w:spacing w:after="0" w:line="2" w:lineRule="exact"/>
        <w:rPr>
          <w:rFonts w:ascii="Courier New" w:cs="Courier New" w:eastAsia="Courier New" w:hAnsi="Courier New"/>
          <w:sz w:val="15"/>
          <w:szCs w:val="15"/>
          <w:color w:val="auto"/>
        </w:rPr>
      </w:pPr>
    </w:p>
    <w:p>
      <w:pPr>
        <w:ind w:left="360" w:hanging="350"/>
        <w:spacing w:after="0" w:line="237" w:lineRule="auto"/>
        <w:tabs>
          <w:tab w:leader="none" w:pos="3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directly or indirectly as an officer, director, employee,</w:t>
      </w:r>
    </w:p>
    <w:p>
      <w:pPr>
        <w:spacing w:after="0" w:line="5" w:lineRule="exact"/>
        <w:rPr>
          <w:rFonts w:ascii="Courier New" w:cs="Courier New" w:eastAsia="Courier New" w:hAnsi="Courier New"/>
          <w:sz w:val="15"/>
          <w:szCs w:val="15"/>
          <w:color w:val="auto"/>
        </w:rPr>
      </w:pPr>
    </w:p>
    <w:p>
      <w:pPr>
        <w:ind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consultant, partner, agent, independent contractor, advisor, shareholder exceeding 1/2% of the capital stock or for reasons other than passive investment, or owner in any business entity or venture (i) in substantial competition with the business of USA or its affiliates (for purposes of this paragraph USA and its affiliates shall be collectively referred to as the "Company") as that business is constituted from time to time within a 75 mile radius of the home offices of the Company or any location where the Company is engaged in business or (ii) which acquires or attempts to acquire a business which was considered for acquisition by the Company during the Non- Compete Term and which the Company is then continuing to pursue as a prospective acquisition; (2) call upon any customers of the Company for the purposes of soliciting or selling any services nor (3) solicit, take away, hire, employ or endeavor to employ any person who is an employee of the Company at that time.</w:t>
      </w:r>
    </w:p>
    <w:p>
      <w:pPr>
        <w:spacing w:after="0" w:line="164" w:lineRule="exact"/>
        <w:rPr>
          <w:rFonts w:ascii="Courier New" w:cs="Courier New" w:eastAsia="Courier New" w:hAnsi="Courier New"/>
          <w:sz w:val="15"/>
          <w:szCs w:val="15"/>
          <w:color w:val="auto"/>
        </w:rPr>
      </w:pPr>
    </w:p>
    <w:p>
      <w:pPr>
        <w:ind w:right="3939" w:firstLine="1497"/>
        <w:spacing w:after="0" w:line="234" w:lineRule="auto"/>
        <w:tabs>
          <w:tab w:leader="none" w:pos="2274"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"soliciting" or "selling" of services shall include:</w:t>
      </w:r>
    </w:p>
    <w:p>
      <w:pPr>
        <w:spacing w:after="0" w:line="173" w:lineRule="exact"/>
        <w:rPr>
          <w:sz w:val="20"/>
          <w:szCs w:val="20"/>
          <w:color w:val="auto"/>
        </w:rPr>
      </w:pPr>
    </w:p>
    <w:p>
      <w:pPr>
        <w:ind w:left="2280" w:right="3399" w:hanging="783"/>
        <w:spacing w:after="0" w:line="236" w:lineRule="auto"/>
        <w:tabs>
          <w:tab w:leader="none" w:pos="228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or participating or aiding in the solicitation of, as an employee, owner, consultant, partner, agent or otherwise, customers for the sale or provision of the same or similar products sold or services provided by the Company, its parent, affiliates or subsidiaries; or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2000" w:right="3319" w:hanging="783"/>
        <w:spacing w:after="0" w:line="236" w:lineRule="auto"/>
        <w:tabs>
          <w:tab w:leader="none" w:pos="20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Employing or attempting to employ any executive of the Company, or inducing any executive of the Company to leave the Company's employ, or interfering with, disrupting or attempting to disrupt any past, present or prospective relationship, contractual or otherwise, between the Company, its parent, affiliates or subsidiaries and any customer, supplier or employee of the Company, its parent, affiliates or subsidiaries; or</w:t>
      </w:r>
    </w:p>
    <w:p>
      <w:pPr>
        <w:spacing w:after="0" w:line="178" w:lineRule="exact"/>
        <w:rPr>
          <w:rFonts w:ascii="Courier New" w:cs="Courier New" w:eastAsia="Courier New" w:hAnsi="Courier New"/>
          <w:sz w:val="15"/>
          <w:szCs w:val="15"/>
          <w:color w:val="auto"/>
        </w:rPr>
      </w:pPr>
    </w:p>
    <w:p>
      <w:pPr>
        <w:ind w:left="2000" w:right="3319" w:hanging="783"/>
        <w:spacing w:after="0" w:line="236" w:lineRule="auto"/>
        <w:tabs>
          <w:tab w:leader="none" w:pos="20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entering into, becoming employed by or for, advising, consulting with or becoming a part of, any company, partnership, corporation or other business entity or venture or in any way engaging in business for himself or for others, in competition with the Company.</w:t>
      </w:r>
    </w:p>
    <w:p>
      <w:pPr>
        <w:spacing w:after="0" w:line="175" w:lineRule="exact"/>
        <w:rPr>
          <w:sz w:val="20"/>
          <w:szCs w:val="20"/>
          <w:color w:val="auto"/>
        </w:rPr>
      </w:pPr>
    </w:p>
    <w:p>
      <w:pPr>
        <w:ind w:left="-280" w:right="3399" w:firstLine="1497"/>
        <w:spacing w:after="0" w:line="236" w:lineRule="auto"/>
        <w:tabs>
          <w:tab w:leader="none" w:pos="1994"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 business shall be considered to be in substantial competition with the Company or its affiliates only if a substantial portion of its business is involved in waste handling, disposal, treatment, collection, waste minimization or recycling or other businesses in which the Company has been engaged or is the subject of then current planning and development activities.</w:t>
      </w:r>
    </w:p>
    <w:p>
      <w:pPr>
        <w:spacing w:after="0" w:line="174" w:lineRule="exact"/>
        <w:rPr>
          <w:rFonts w:ascii="Courier New" w:cs="Courier New" w:eastAsia="Courier New" w:hAnsi="Courier New"/>
          <w:sz w:val="15"/>
          <w:szCs w:val="15"/>
          <w:color w:val="auto"/>
        </w:rPr>
      </w:pPr>
    </w:p>
    <w:p>
      <w:pPr>
        <w:ind w:left="-280" w:right="3319" w:firstLine="797"/>
        <w:spacing w:after="0" w:line="237" w:lineRule="auto"/>
        <w:tabs>
          <w:tab w:leader="none" w:pos="120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Payments by the Companies: (a) Anything in this Agreement to the contrary notwithstanding, in the event it shall be determined that any payment or distribution by or on behalf of any of the Companies or any of their affiliates to or for the benefit of Bain (whether paid or payable or distributed or distributable pursuant to the terms of this Agreement or otherwise, but determined without regard to any additional payments required under this paragraph 8) (a "Payment") would be subject to the excise tax imposed by Section 4999 of the Internal Revenue Code of 1986, as amended ("Code"), or any interest or penalties are incurred by Bain with respect to such excise tax (such excise tax, together with any such interest and penalties, are hereinafter collectively referred to as the "Excise Tax"), then Bain shall be entitled to receive an additional payment (a "Gross-Up Payment") in an amount such that after payment by Bain of all taxes (including any interest or penalties imposed with respect to such taxes), including, without limitation, any income taxes (and any interest and penalties imposed with respect thereto) and Excise Tax imposed upon the Gross-Up Payment, Bain retains an amount of the Gross-Up Payment equal to the Excise Tax imposed upon the Payments.</w:t>
      </w:r>
    </w:p>
    <w:p>
      <w:pPr>
        <w:spacing w:after="0" w:line="175" w:lineRule="exact"/>
        <w:rPr>
          <w:rFonts w:ascii="Courier New" w:cs="Courier New" w:eastAsia="Courier New" w:hAnsi="Courier New"/>
          <w:sz w:val="15"/>
          <w:szCs w:val="15"/>
          <w:color w:val="auto"/>
        </w:rPr>
      </w:pPr>
    </w:p>
    <w:p>
      <w:pPr>
        <w:ind w:left="-280" w:right="3399" w:firstLine="1497"/>
        <w:spacing w:after="0" w:line="255" w:lineRule="auto"/>
        <w:tabs>
          <w:tab w:leader="none" w:pos="1994"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paragraph 8 (c), all determinations required to be made under this paragraph 8, including whether and when Gross-Up Payment is required and the amount of such Gross-Up Payment and the assumptions to be utilized in arriving at such determination, shall be made by a nationally recognized accounting firm selected by USA (the "Accounting Firm"); provided, however, that the Accounting Firm shall not determine that no Excise Tax is payable by Bain unless it delivers to Bain a written opinion (the "Accounting Opinion") that failure to report the Excise Tax on Bain's applicable federal income tax return would not result in the imposition of a negligence or similar penalty. All fees and expenses of the Accounting Firm shall be borne solely by the Companies. Within 15 business days of the receipt of notice from Bain that there has been 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Payment, or such earlier time as is requested by the Companies, the Accounting Firm shall make all determinations required under this paragraph 8, shall provide to the Companies and Bain a written report setting forth such determinations, together with detailed supporting calculations, and, if the Accounting Firm determines that no Excise Tax is payable, shall deliver the Accounting Opinion to Bain. Any Gross-Up Payment, as determined pursuant to this paragraph 8, shall be paid by the Companies to Bain within five days of the receipt of the Accounting Firm's determination. Subject to the remainder of this paragraph 8, any determination by the Accounting Firm shall be binding upon the Companies and Bain. As a result of the uncertainty in the application of Section 4999 of the Code at the time of the initial determination by the Accounting Firm hereunder, it is possible that Gross-Up Payments which will not have been made by the Companies should have been made ("Underpayment"), consistent with the calculations required to be made hereunder. In the event that it is ultimately determined in accordance with the procedures set forth in paragraph 8(c) that Bain is required to make a payment of any Excise Tax, the Accounting Firm shall determine the amount of the Underpayment that has occurred and any such Underpayment shall be promptly paid by the Companies to or for the benefit of Bain.</w:t>
      </w:r>
    </w:p>
    <w:p>
      <w:pPr>
        <w:spacing w:after="0" w:line="176" w:lineRule="exact"/>
        <w:rPr>
          <w:sz w:val="20"/>
          <w:szCs w:val="20"/>
          <w:color w:val="auto"/>
        </w:rPr>
      </w:pPr>
    </w:p>
    <w:p>
      <w:pPr>
        <w:ind w:right="3319" w:firstLine="1497"/>
        <w:spacing w:after="0" w:line="237" w:lineRule="auto"/>
        <w:tabs>
          <w:tab w:leader="none" w:pos="2274"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Bain shall notify the Companies in writing of any claims by the Internal Revenue Service that, if successful, would require the payment by the Companies of the Gross-Up Payment. Such notification shall be given as soon as practicable but no later than 30 days after Bain actually receives notice in writing of such claim and shall apprise the Companies of the nature of such claim and the date on which such claim is requested to be paid; provided, however, that the failure of Bain to notify the Companies of such claim (or to provide any required information with respect thereto) shall not affect any rights granted to Bain under this paragraph 8 except to the extent that the Companies are materially prejudiced in the defense of such claim as a direct result of such failure. Bain shall not pay such claim prior to the expiration of the 30-day period following the date on which he gives such notice to the Companies (or such shorter period ending on the date that any payment of taxes with respect to such claim is due). If the Companies notify Bain in writing prior to the expiration of such period that it desires to contest such claim, Bain shall:</w:t>
      </w:r>
    </w:p>
    <w:p>
      <w:pPr>
        <w:spacing w:after="0" w:line="175" w:lineRule="exact"/>
        <w:rPr>
          <w:sz w:val="20"/>
          <w:szCs w:val="20"/>
          <w:color w:val="auto"/>
        </w:rPr>
      </w:pPr>
    </w:p>
    <w:p>
      <w:pPr>
        <w:ind w:left="800" w:right="4019" w:firstLine="697"/>
        <w:spacing w:after="0" w:line="261" w:lineRule="auto"/>
        <w:tabs>
          <w:tab w:leader="none" w:pos="2287"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Companies any information reasonably requested by the Companies relating to such claim;</w:t>
      </w:r>
    </w:p>
    <w:p>
      <w:pPr>
        <w:spacing w:after="0" w:line="159"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the Companies shall reasonably request in writing from time to time, including, without limitation, accepting legal representation with respect to such claim by an attorney selected by the Companies and reasonably acceptable to Bain;</w:t>
      </w:r>
    </w:p>
    <w:p>
      <w:pPr>
        <w:spacing w:after="0" w:line="173"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Companies in good faith in order effectively to contest such claim; and</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Companies elects not to assume and control the defense of such claim, permit the Companies to participate in any proceedings relating to such claim;</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provided, however, that the Companies shall bear and pay directly all costs and expenses (including additional interest and penalties) incurred in connection with such contest and shall indemnify and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hold Bain harmless, on an after-tax basis, for any Excise Tax or income tax (including interest and penalties with respect thereto) imposed as a result of such representation and payment of costs and expenses. Without limitation on the foregoing provisions of this paragraph 8(c), the Companies shall have the right, at their sole option, to assume the defense of and control all proceedings in connection with such contest, in which case it may pursue or forego any and all administrative appeals, proceedings, hearings and conferences with the taxing authority in respect of such claim and may either direct Bain to pay the tax claimed and sue for a refund or contest the claim in any permissible manner, and Bain agrees to prosecute such contest to a determination before any administrative tribunal, in a court of initial jurisdiction and in one or more appellate courts, as the Companies shall determine; provided, however, that if the Companies direct Bain to pay such claim and sue for a refund, the Companies shall advance the amount of such payment to Bain, on an interest-free basis and shall indemnify and hold Bain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Bain with respect to which such contested amount is claimed to be due is limited solely to such contested amount. Furthermore, the Companies's right to assume the defense of and control the contest shall be limited to issues with respect to which a Gross-Up Payment would be payable hereunder and Bain shall be entitled to settle or contest, as the case may be, any other issue raised by the Internal Revenue Service or any other taxing authority.</w:t>
      </w:r>
    </w:p>
    <w:p>
      <w:pPr>
        <w:spacing w:after="0" w:line="345" w:lineRule="exact"/>
        <w:rPr>
          <w:sz w:val="20"/>
          <w:szCs w:val="20"/>
          <w:color w:val="auto"/>
        </w:rPr>
      </w:pPr>
    </w:p>
    <w:p>
      <w:pPr>
        <w:ind w:right="3319" w:firstLine="1497"/>
        <w:spacing w:after="0" w:line="237" w:lineRule="auto"/>
        <w:tabs>
          <w:tab w:leader="none" w:pos="2274"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receipt by Bain of an amount advanced by the Companies pursuant to paragraph 8(c) Bain becomes entitled to receive any refund with respect to such claim, Bain shall (subject to the Companies's complying with the requirements of paragraph 8(c) promptly pay to the Companies the amount of such refund (together with any interest paid or credited thereon after taxes applicable thereto). If, after the receipt by Bain of an amount advanced by the Companies pursuant to paragraph 8(c), a determination is made that Bain shall not be entitled to any refund with respect to such claim and the Companies do not notify Bain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73" w:lineRule="exact"/>
        <w:rPr>
          <w:rFonts w:ascii="Courier New" w:cs="Courier New" w:eastAsia="Courier New" w:hAnsi="Courier New"/>
          <w:sz w:val="15"/>
          <w:szCs w:val="15"/>
          <w:color w:val="auto"/>
        </w:rPr>
      </w:pPr>
    </w:p>
    <w:p>
      <w:pPr>
        <w:ind w:right="3319" w:firstLine="797"/>
        <w:spacing w:after="0" w:line="237" w:lineRule="auto"/>
        <w:tabs>
          <w:tab w:leader="none" w:pos="148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Agreement: (a) This Agreement constitutes the entire understanding of the parties with respect to Employment Services and compensation to be paid to or in respect of Bain during or after the Employment Term in respect of the covenants and services provided by Bain herein. This Agreement does not supersede, override or replace or impact any employee benefit plan, program, practice or arrangement of Sanifill as such may apply to Bain, except as is specifically provided for herein and except that it is understood and agreed that Sanifill shall not pay any bonus to Bain in respect of services for 1996. The terms and conditions of any (i) stock options granted to Bain by either Sanifill or USA, (ii) any restricted stock grant to Bain by either Sanifill or USA and (iii) any deferred compensation arrangement between Bain and either USA or Sanifill are not modified, amended or superseded by this Agreement. Indemnification provided to Bain by Sanifill or its successors or pursuant to the Merger Agreement shall not be modified, amended or superseded by this Agreement.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39" w:firstLine="1497"/>
        <w:spacing w:after="0" w:line="254" w:lineRule="auto"/>
        <w:tabs>
          <w:tab w:leader="none" w:pos="2274"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continuation of Bain's employment after the consummation of the Merger as contemplated hereby, and notwithstanding any provision of the Employment Agreement between Bain and Sanifill dated as of March 1, 1996 (the "March Agreement") to the contrary, Sanifill shall begin making payments and providing benefits pursuant to Sections 6(a) and 6(d) of the March Agreement immediately upon consummation of the Merger and shall thereafter continue to make such payments and provide such benefits pursuant to and in accordance with the terms of such Sections 6(a) and 6(d). Each of the three bonus payments contemplated by such Section 6(d) shall be equal to the average of the bonus payments made to Bain by Sanifill in respect of the years 1993, 1994 and 1995. It is specifically agreed that the title, job description and level of responsibility contemplated hereby shall constitute a diminution as contemplated by the second sentence of Section 5(a)(4) of such Employment Agreement, as amended hereby and that the termination of Bain's employment for any reason at any time after the Merger and at or prior to the termination of the Employment Period shall be deemed to constitute an "involuntary termination by the Company without good cause" as contemplated by Section 5(a)(4) of the March Agreement for purposes of Section 6(f) thereof.</w:t>
      </w:r>
    </w:p>
    <w:p>
      <w:pPr>
        <w:spacing w:after="0" w:line="174" w:lineRule="exact"/>
        <w:rPr>
          <w:rFonts w:ascii="Courier New" w:cs="Courier New" w:eastAsia="Courier New" w:hAnsi="Courier New"/>
          <w:sz w:val="14"/>
          <w:szCs w:val="14"/>
          <w:color w:val="auto"/>
        </w:rPr>
      </w:pPr>
    </w:p>
    <w:p>
      <w:pPr>
        <w:ind w:right="3319" w:firstLine="797"/>
        <w:spacing w:after="0" w:line="236" w:lineRule="auto"/>
        <w:tabs>
          <w:tab w:leader="none" w:pos="148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 This Agreement is personal to Bain and without the prior written consent of USA shall not be assignable by Bain otherwise than by will or the laws of descent and distribution. This Agreement shall inure to the benefit of and be enforceable by Bain's heirs, executors and other legal representatives.</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w:t>
      </w:r>
    </w:p>
    <w:p>
      <w:pPr>
        <w:spacing w:after="0" w:line="4" w:lineRule="exact"/>
        <w:rPr>
          <w:rFonts w:ascii="Courier New" w:cs="Courier New" w:eastAsia="Courier New" w:hAnsi="Courier New"/>
          <w:sz w:val="15"/>
          <w:szCs w:val="15"/>
          <w:color w:val="auto"/>
        </w:rPr>
      </w:pPr>
    </w:p>
    <w:p>
      <w:pPr>
        <w:ind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binding upon the Companies and may only be assigned to a successor only as described in paragraph 10(c).</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will require any successor (whether direct or</w:t>
      </w:r>
    </w:p>
    <w:p>
      <w:pPr>
        <w:spacing w:after="0" w:line="4" w:lineRule="exact"/>
        <w:rPr>
          <w:rFonts w:ascii="Courier New" w:cs="Courier New" w:eastAsia="Courier New" w:hAnsi="Courier New"/>
          <w:sz w:val="15"/>
          <w:szCs w:val="15"/>
          <w:color w:val="auto"/>
        </w:rPr>
      </w:pPr>
    </w:p>
    <w:p>
      <w:pPr>
        <w:ind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indirect, by purchase, merger, consolidation or otherwise) to all or substantially all of the business and/or assets of USA to assume expressly and agree to perform this Agreement in the same manner and to the same extent that USA would be required to perform it if no such succession had taken place.</w:t>
      </w:r>
    </w:p>
    <w:p>
      <w:pPr>
        <w:spacing w:after="0" w:line="164" w:lineRule="exact"/>
        <w:rPr>
          <w:rFonts w:ascii="Courier New" w:cs="Courier New" w:eastAsia="Courier New" w:hAnsi="Courier New"/>
          <w:sz w:val="15"/>
          <w:szCs w:val="15"/>
          <w:color w:val="auto"/>
        </w:rPr>
      </w:pPr>
    </w:p>
    <w:p>
      <w:pPr>
        <w:ind w:right="3399" w:firstLine="797"/>
        <w:spacing w:after="0" w:line="235" w:lineRule="auto"/>
        <w:tabs>
          <w:tab w:leader="none" w:pos="148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(a) This Agreement shall be governed by and construed in accordance with the laws of the State of Texas, without reference to principles of conflict of laws that would require the application of the laws of any other state or jurisdiction.</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this Agreement are not part of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hereof and shall have no force or effect.</w:t>
      </w:r>
    </w:p>
    <w:p>
      <w:pPr>
        <w:spacing w:after="0" w:line="173" w:lineRule="exact"/>
        <w:rPr>
          <w:rFonts w:ascii="Courier New" w:cs="Courier New" w:eastAsia="Courier New" w:hAnsi="Courier New"/>
          <w:sz w:val="15"/>
          <w:szCs w:val="15"/>
          <w:color w:val="auto"/>
        </w:rPr>
      </w:pPr>
    </w:p>
    <w:p>
      <w:pPr>
        <w:ind w:right="3499" w:firstLine="1497"/>
        <w:spacing w:after="0" w:line="258" w:lineRule="auto"/>
        <w:tabs>
          <w:tab w:leader="none" w:pos="2274"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amended or modified otherwise than by a written agreement executed by the parties hereto or their respective successors and heirs, executors and other legal representatives.</w:t>
      </w:r>
    </w:p>
    <w:p>
      <w:pPr>
        <w:spacing w:after="0" w:line="161" w:lineRule="exact"/>
        <w:rPr>
          <w:rFonts w:ascii="Courier New" w:cs="Courier New" w:eastAsia="Courier New" w:hAnsi="Courier New"/>
          <w:sz w:val="14"/>
          <w:szCs w:val="14"/>
          <w:color w:val="auto"/>
        </w:rPr>
      </w:pPr>
    </w:p>
    <w:p>
      <w:pPr>
        <w:ind w:right="3319" w:firstLine="1497"/>
        <w:spacing w:after="0" w:line="236" w:lineRule="auto"/>
        <w:tabs>
          <w:tab w:leader="none" w:pos="227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and other communications hereunder shall be in writing and shall be given by telecopy or facsimile transmission, by hand delivery or by registered or certified mail, return receipt requested, postage prepaid, addressed to such address as either party shall have furnished to the other in writing. Notices to the Companies shall be to the attention of the chief executive officer. Notice and communications shall be effective when actually received by the addressee.</w:t>
      </w:r>
    </w:p>
    <w:p>
      <w:pPr>
        <w:spacing w:after="0" w:line="175" w:lineRule="exact"/>
        <w:rPr>
          <w:rFonts w:ascii="Courier New" w:cs="Courier New" w:eastAsia="Courier New" w:hAnsi="Courier New"/>
          <w:sz w:val="15"/>
          <w:szCs w:val="15"/>
          <w:color w:val="auto"/>
        </w:rPr>
      </w:pPr>
    </w:p>
    <w:p>
      <w:pPr>
        <w:ind w:right="3399" w:firstLine="1497"/>
        <w:spacing w:after="0" w:line="235" w:lineRule="auto"/>
        <w:tabs>
          <w:tab w:leader="none" w:pos="227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invalidity or unenforceability of any provision of this Agreement shall not affect the validity or enforceability of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8</w:t>
      </w:r>
    </w:p>
    <w:p>
      <w:pPr>
        <w:ind w:left="2280" w:hanging="783"/>
        <w:spacing w:after="0" w:line="237" w:lineRule="auto"/>
        <w:tabs>
          <w:tab w:leader="none" w:pos="228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Bain's or the Companies' failure to insist upon</w:t>
      </w:r>
    </w:p>
    <w:p>
      <w:pPr>
        <w:spacing w:after="0" w:line="5" w:lineRule="exact"/>
        <w:rPr>
          <w:rFonts w:ascii="Courier New" w:cs="Courier New" w:eastAsia="Courier New" w:hAnsi="Courier New"/>
          <w:sz w:val="15"/>
          <w:szCs w:val="15"/>
          <w:color w:val="auto"/>
        </w:rPr>
      </w:pPr>
    </w:p>
    <w:p>
      <w:pPr>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strict compliance with any provision hereof or any other provision of this Agreement or the failure to assert any right Bain or the Companies may have hereunder, shall not be deemed to be a waiver of such provision or right or any other provision or right of this Agreement.</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become effective as of the date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IN WITNESS WHEREOF, Bain has hereunto set his hand and, pursuant to the authorization from their boards of directors, each of Sanifill and USA has caused these presents to be executed in its name on its behalf, as of the date first written above.</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4020" w:val="left"/>
        </w:tabs>
        <w:rPr>
          <w:sz w:val="20"/>
          <w:szCs w:val="20"/>
          <w:color w:val="auto"/>
        </w:rPr>
      </w:pPr>
      <w:r>
        <w:rPr>
          <w:rFonts w:ascii="Courier New" w:cs="Courier New" w:eastAsia="Courier New" w:hAnsi="Courier New"/>
          <w:sz w:val="15"/>
          <w:szCs w:val="15"/>
          <w:color w:val="auto"/>
        </w:rPr>
        <w:t>By:</w:t>
        <w:tab/>
        <w:t>/s/ EARL E. DEFRATES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SANIFILL, INC.</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4020" w:val="left"/>
        </w:tabs>
        <w:rPr>
          <w:sz w:val="20"/>
          <w:szCs w:val="20"/>
          <w:color w:val="auto"/>
        </w:rPr>
      </w:pPr>
      <w:r>
        <w:rPr>
          <w:rFonts w:ascii="Courier New" w:cs="Courier New" w:eastAsia="Courier New" w:hAnsi="Courier New"/>
          <w:sz w:val="15"/>
          <w:szCs w:val="15"/>
          <w:color w:val="auto"/>
        </w:rPr>
        <w:t>By:</w:t>
        <w:tab/>
        <w:t>/s/ RODNEY R. PROTO</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LORNE D. BAIN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LORNE D. BAIN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USA WASTE SERVICES,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5400 LBJ FREEWAY</w:t>
      </w:r>
    </w:p>
    <w:p>
      <w:pPr>
        <w:jc w:val="center"/>
        <w:ind w:right="3319"/>
        <w:spacing w:after="0" w:line="238" w:lineRule="auto"/>
        <w:rPr>
          <w:sz w:val="20"/>
          <w:szCs w:val="20"/>
          <w:color w:val="auto"/>
        </w:rPr>
      </w:pPr>
      <w:r>
        <w:rPr>
          <w:rFonts w:ascii="Courier New" w:cs="Courier New" w:eastAsia="Courier New" w:hAnsi="Courier New"/>
          <w:sz w:val="15"/>
          <w:szCs w:val="15"/>
          <w:color w:val="auto"/>
        </w:rPr>
        <w:t>SUITE 300 - TOWER ONE</w:t>
      </w:r>
    </w:p>
    <w:p>
      <w:pPr>
        <w:jc w:val="center"/>
        <w:ind w:right="3319"/>
        <w:spacing w:after="0" w:line="237" w:lineRule="auto"/>
        <w:rPr>
          <w:sz w:val="20"/>
          <w:szCs w:val="20"/>
          <w:color w:val="auto"/>
        </w:rPr>
      </w:pPr>
      <w:r>
        <w:rPr>
          <w:rFonts w:ascii="Courier New" w:cs="Courier New" w:eastAsia="Courier New" w:hAnsi="Courier New"/>
          <w:sz w:val="15"/>
          <w:szCs w:val="15"/>
          <w:color w:val="auto"/>
        </w:rPr>
        <w:t>DALLAS, TEXAS 75240</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18, 1995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Kosti Shirvanian</w:t>
      </w:r>
    </w:p>
    <w:p>
      <w:pPr>
        <w:spacing w:after="0" w:line="237" w:lineRule="auto"/>
        <w:rPr>
          <w:sz w:val="20"/>
          <w:szCs w:val="20"/>
          <w:color w:val="auto"/>
        </w:rPr>
      </w:pPr>
      <w:r>
        <w:rPr>
          <w:rFonts w:ascii="Courier New" w:cs="Courier New" w:eastAsia="Courier New" w:hAnsi="Courier New"/>
          <w:sz w:val="15"/>
          <w:szCs w:val="15"/>
          <w:color w:val="auto"/>
        </w:rPr>
        <w:t>c/o Western Waste Industries</w:t>
      </w:r>
    </w:p>
    <w:p>
      <w:pPr>
        <w:spacing w:after="0" w:line="238" w:lineRule="auto"/>
        <w:rPr>
          <w:sz w:val="20"/>
          <w:szCs w:val="20"/>
          <w:color w:val="auto"/>
        </w:rPr>
      </w:pPr>
      <w:r>
        <w:rPr>
          <w:rFonts w:ascii="Courier New" w:cs="Courier New" w:eastAsia="Courier New" w:hAnsi="Courier New"/>
          <w:sz w:val="15"/>
          <w:szCs w:val="15"/>
          <w:color w:val="auto"/>
        </w:rPr>
        <w:t>21061 South Western Avenue</w:t>
      </w:r>
    </w:p>
    <w:p>
      <w:pPr>
        <w:spacing w:after="0" w:line="237" w:lineRule="auto"/>
        <w:rPr>
          <w:sz w:val="20"/>
          <w:szCs w:val="20"/>
          <w:color w:val="auto"/>
        </w:rPr>
      </w:pPr>
      <w:r>
        <w:rPr>
          <w:rFonts w:ascii="Courier New" w:cs="Courier New" w:eastAsia="Courier New" w:hAnsi="Courier New"/>
          <w:sz w:val="15"/>
          <w:szCs w:val="15"/>
          <w:color w:val="auto"/>
        </w:rPr>
        <w:t>Torrance, California 90501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Kosti:</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letter acknowledges our understanding concerning the expansion of the Board of Directors of USA Waste Services, Inc. ("USA Waste") and certain other matters relating to the merger agreement between USA Waste and one of its subsidiaries and Western Waste Industries executed today (the "Merger Agreement") and your employment with USA Waste after the merger is effected pursuant to an employment agreement with USA Waste.</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connection with the Merger Agreement, USA Waste has agreed to cause its Board of Directors to be increased from nine members to 12. During your full time employment with USA Waste (but for not less than five years from the effective date of the merger with Western), you will occupy one seat on the Board of Directors of USA Waste (for an initial term of three years). In addition, for the same five year period, two seats on such Board shall be occupied by individuals named by you subject to John Drury's approval (such consent not to be unreasonably withheld). One of such additional directors will be Ms. Savey Tufonkian, who will serve an initial one year term, and the other director shall serve an initial two year term. In the event of the death, resignation or removal of one or more of such directors at any time prior to the fifth anniversary hereof, USA Waste will use its best efforts to cause the vacancy created thereby to be filled by a person or persons agreed to by you and John Drury (or the then Chairman of the Board of USA Waste if not John Drury). In addition, the Company agrees that you will be appointed to the Executive Committee of the Board of Directors upon consummation of the merger.</w:t>
      </w:r>
    </w:p>
    <w:p>
      <w:pPr>
        <w:spacing w:after="0" w:line="16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executing this letter, you understand that the current Board of Directors has approved the terms of the understandings set forth in this letter. You further acknowledge, however, that neither USA Waste nor the current Board of Directors of USA Waste can bind directors of USA Waste in the future or otherwise constrain them from exercising their fiduciary duties to act in the best interests of the stockholders of USA Waste, nor can USA Waste or the current Board of Directors assure the election of any nominees to the Board of Directors by the stockholders of USA Waste.</w:t>
      </w:r>
    </w:p>
    <w:p>
      <w:pPr>
        <w:sectPr>
          <w:pgSz w:w="11900" w:h="16838" w:orient="portrait"/>
          <w:cols w:equalWidth="0" w:num="1">
            <w:col w:w="10239"/>
          </w:cols>
          <w:pgMar w:left="220" w:top="135"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By executing this letter, you agree to support the nominations supported by John Drury (or the then Chairman of the Board of Directors of USA Waste) to fill any vacancies created in the Board of Directors after completion of the merger (except as provided herein with respect to the three new directors and any vacancies created by their death, resignation or removal) and you agree not to take any action in your capacity as a director or as a stockholder of USA Waste that could reasonably be expected to frustrate the purposes intended to be accomplished by this agreement.</w:t>
      </w:r>
    </w:p>
    <w:p>
      <w:pPr>
        <w:spacing w:after="0" w:line="177"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If the foregoing reflects your understanding as to the matters set forth herein, please so indicate by executing a copy of this letter in the space set forth below.</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John E. Drury</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200" w:lineRule="exact"/>
        <w:rPr>
          <w:sz w:val="20"/>
          <w:szCs w:val="20"/>
          <w:color w:val="auto"/>
        </w:rPr>
      </w:pPr>
    </w:p>
    <w:p>
      <w:pPr>
        <w:sectPr>
          <w:pgSz w:w="11900" w:h="16838" w:orient="portrait"/>
          <w:cols w:equalWidth="0" w:num="2">
            <w:col w:w="3780" w:space="80"/>
            <w:col w:w="6379"/>
          </w:cols>
          <w:pgMar w:left="220" w:top="281"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and Accepted</w:t>
      </w:r>
    </w:p>
    <w:p>
      <w:pPr>
        <w:spacing w:after="0" w:line="237" w:lineRule="auto"/>
        <w:rPr>
          <w:sz w:val="20"/>
          <w:szCs w:val="20"/>
          <w:color w:val="auto"/>
        </w:rPr>
      </w:pPr>
      <w:r>
        <w:rPr>
          <w:rFonts w:ascii="Courier New" w:cs="Courier New" w:eastAsia="Courier New" w:hAnsi="Courier New"/>
          <w:sz w:val="15"/>
          <w:szCs w:val="15"/>
          <w:color w:val="auto"/>
        </w:rPr>
        <w:t>this 18th of December, 1995</w:t>
      </w:r>
    </w:p>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 KOSTI SHIRVANIAN</w:t>
      </w:r>
    </w:p>
    <w:p>
      <w:pPr>
        <w:spacing w:after="0" w:line="5" w:lineRule="exact"/>
        <w:rPr>
          <w:sz w:val="20"/>
          <w:szCs w:val="20"/>
          <w:color w:val="auto"/>
        </w:rPr>
      </w:pPr>
    </w:p>
    <w:p>
      <w:pPr>
        <w:ind w:left="180" w:hanging="170"/>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Kosti Shirvanian</w:t>
      </w:r>
    </w:p>
    <w:p>
      <w:pPr>
        <w:sectPr>
          <w:pgSz w:w="11900" w:h="16838" w:orient="portrait"/>
          <w:cols w:equalWidth="0" w:num="1">
            <w:col w:w="10239"/>
          </w:cols>
          <w:pgMar w:left="220" w:top="281" w:right="1440" w:bottom="1440" w:gutter="0" w:footer="0" w:header="0"/>
          <w:type w:val="continuous"/>
        </w:sectPr>
      </w:pPr>
    </w:p>
    <w:bookmarkStart w:id="210" w:name="page211"/>
    <w:bookmarkEnd w:id="21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10.4</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[USA WASTE SERVICES, INC. LETTERHEAD]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21,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Kosti Shirvanian</w:t>
      </w:r>
    </w:p>
    <w:p>
      <w:pPr>
        <w:spacing w:after="0" w:line="237" w:lineRule="auto"/>
        <w:rPr>
          <w:sz w:val="20"/>
          <w:szCs w:val="20"/>
          <w:color w:val="auto"/>
        </w:rPr>
      </w:pPr>
      <w:r>
        <w:rPr>
          <w:rFonts w:ascii="Courier New" w:cs="Courier New" w:eastAsia="Courier New" w:hAnsi="Courier New"/>
          <w:sz w:val="15"/>
          <w:szCs w:val="15"/>
          <w:color w:val="auto"/>
        </w:rPr>
        <w:t>c/o Western Waste Industries</w:t>
      </w:r>
    </w:p>
    <w:p>
      <w:pPr>
        <w:spacing w:after="0" w:line="238" w:lineRule="auto"/>
        <w:rPr>
          <w:sz w:val="20"/>
          <w:szCs w:val="20"/>
          <w:color w:val="auto"/>
        </w:rPr>
      </w:pPr>
      <w:r>
        <w:rPr>
          <w:rFonts w:ascii="Courier New" w:cs="Courier New" w:eastAsia="Courier New" w:hAnsi="Courier New"/>
          <w:sz w:val="15"/>
          <w:szCs w:val="15"/>
          <w:color w:val="auto"/>
        </w:rPr>
        <w:t>21061 South Western Avenue</w:t>
      </w:r>
    </w:p>
    <w:p>
      <w:pPr>
        <w:spacing w:after="0" w:line="237" w:lineRule="auto"/>
        <w:rPr>
          <w:sz w:val="20"/>
          <w:szCs w:val="20"/>
          <w:color w:val="auto"/>
        </w:rPr>
      </w:pPr>
      <w:r>
        <w:rPr>
          <w:rFonts w:ascii="Courier New" w:cs="Courier New" w:eastAsia="Courier New" w:hAnsi="Courier New"/>
          <w:sz w:val="15"/>
          <w:szCs w:val="15"/>
          <w:color w:val="auto"/>
        </w:rPr>
        <w:t>Torrance, California 90501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Kosti:</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This letter amends and restates the first two paragraphs of our agreement set forth in a letter to you dated December 18, 1995 (the "Prior Letter") concerning the membership of the Board of Directors of USA Waste Services, Inc. ("USA Waste"). Those paragraphs are amended and restated to read as follows:</w:t>
      </w:r>
    </w:p>
    <w:p>
      <w:pPr>
        <w:spacing w:after="0" w:line="164" w:lineRule="exact"/>
        <w:rPr>
          <w:sz w:val="20"/>
          <w:szCs w:val="20"/>
          <w:color w:val="auto"/>
        </w:rPr>
      </w:pPr>
    </w:p>
    <w:p>
      <w:pPr>
        <w:ind w:left="800" w:right="3399"/>
        <w:spacing w:after="0" w:line="254" w:lineRule="auto"/>
        <w:rPr>
          <w:sz w:val="20"/>
          <w:szCs w:val="20"/>
          <w:color w:val="auto"/>
        </w:rPr>
      </w:pPr>
      <w:r>
        <w:rPr>
          <w:rFonts w:ascii="Courier New" w:cs="Courier New" w:eastAsia="Courier New" w:hAnsi="Courier New"/>
          <w:sz w:val="14"/>
          <w:szCs w:val="14"/>
          <w:color w:val="auto"/>
        </w:rPr>
        <w:t>In connection with the Merger Agreement between USA Waste and Western Waste Industries dated as of December 18, 1995, USA Waste agreed to cause its Board of Directors (the "Board") to be increased from nine members to 12. USA Waste also agreed that during your full time employment with USA Waste (but for not less than five years from the merger with Western), you will occupy one seat on the Board (for an initial term of three years). This letter amends the Prior Letter in that, in connection with the Merger Agreement between USA Waste and Sanifill, Inc. (the "Sanifill Merger Agreement"), you agree that in addition to your position on the Board for the same five year period one additional seat on the Board shall be occupied by an individual named by you subject to John Drury's approval (such consent not to be unreasonably withheld). Such additional director will initially be Ms. Savey Tufenkian, who will serve an initial one year term. In the event of the death, resignation or removal of one or more of such directors at any time prior to May 7, 2001, USA Waste will use its best efforts to cause the vacancy created thereby to be filled by a person or persons agreed to by you and John Drury (or the then Chairman of the Board of USA Waste if not John Drury). In addition, the Company agreed that you will be appointed to the Executive Committee of the Board.</w:t>
      </w:r>
    </w:p>
    <w:p>
      <w:pPr>
        <w:spacing w:after="0" w:line="34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This letter shall constitute a binding agreement as of the date hereof but the provisions hereof shall become effective only upon consummation of the Sanifill Merger Agreement. In the event that the Sanifill Merger Agreement is terminated, this agreement shall be of no force and effect from and after the date of such termination and the Prior Letter shall thereafter continue in full force and effect, without giving any effect to this agreement. Termination of this agreement shall be without liability on the part of any of the parties hereto.</w:t>
      </w:r>
    </w:p>
    <w:p>
      <w:pPr>
        <w:spacing w:after="0" w:line="17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foregoing reflects your understanding as to the matters set forth herein, please so indicate by executing a copy of this letter in the space set forth below.</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tabs>
          <w:tab w:leader="none" w:pos="4020" w:val="left"/>
        </w:tabs>
        <w:rPr>
          <w:sz w:val="20"/>
          <w:szCs w:val="20"/>
          <w:color w:val="auto"/>
        </w:rPr>
      </w:pPr>
      <w:r>
        <w:rPr>
          <w:rFonts w:ascii="Courier New" w:cs="Courier New" w:eastAsia="Courier New" w:hAnsi="Courier New"/>
          <w:sz w:val="15"/>
          <w:szCs w:val="15"/>
          <w:color w:val="auto"/>
        </w:rPr>
        <w:t>By:</w:t>
        <w:tab/>
        <w:t>/s/ JOHN E. DRURY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John E. Drury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AND ACCEPTED THIS 21ST</w:t>
      </w:r>
    </w:p>
    <w:p>
      <w:pPr>
        <w:spacing w:after="0" w:line="237" w:lineRule="auto"/>
        <w:rPr>
          <w:sz w:val="20"/>
          <w:szCs w:val="20"/>
          <w:color w:val="auto"/>
        </w:rPr>
      </w:pPr>
      <w:r>
        <w:rPr>
          <w:rFonts w:ascii="Courier New" w:cs="Courier New" w:eastAsia="Courier New" w:hAnsi="Courier New"/>
          <w:sz w:val="15"/>
          <w:szCs w:val="15"/>
          <w:color w:val="auto"/>
        </w:rPr>
        <w:t>DAY OF JUNE, 1996.</w:t>
      </w:r>
    </w:p>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 KOSTI SHIRVANIAN</w:t>
      </w:r>
    </w:p>
    <w:p>
      <w:pPr>
        <w:ind w:left="180" w:hanging="170"/>
        <w:spacing w:after="0" w:line="237" w:lineRule="auto"/>
        <w:tabs>
          <w:tab w:leader="none" w:pos="18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Kosti Shirvanian</w:t>
      </w:r>
    </w:p>
    <w:p>
      <w:pPr>
        <w:sectPr>
          <w:pgSz w:w="11900" w:h="16838" w:orient="portrait"/>
          <w:cols w:equalWidth="0" w:num="1">
            <w:col w:w="10239"/>
          </w:cols>
          <w:pgMar w:left="220" w:top="135"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10.5</w:t>
      </w:r>
    </w:p>
    <w:p>
      <w:pPr>
        <w:spacing w:after="0" w:line="1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[USA WASTE SERVICES, INC. LETTERHEAD]</w:t>
      </w:r>
    </w:p>
    <w:p>
      <w:pPr>
        <w:sectPr>
          <w:pgSz w:w="11900" w:h="16838" w:orient="portrait"/>
          <w:cols w:equalWidth="0" w:num="1">
            <w:col w:w="10239"/>
          </w:cols>
          <w:pgMar w:left="220" w:top="13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22,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Duplicate Original</w:t>
      </w:r>
    </w:p>
    <w:p>
      <w:pPr>
        <w:spacing w:after="0" w:line="200" w:lineRule="exact"/>
        <w:rPr>
          <w:sz w:val="20"/>
          <w:szCs w:val="20"/>
          <w:color w:val="auto"/>
        </w:rPr>
      </w:pPr>
    </w:p>
    <w:p>
      <w:pPr>
        <w:sectPr>
          <w:pgSz w:w="11900" w:h="16838" w:orient="portrait"/>
          <w:cols w:equalWidth="0" w:num="2">
            <w:col w:w="4720" w:space="720"/>
            <w:col w:w="4799"/>
          </w:cols>
          <w:pgMar w:left="220" w:top="135" w:right="1440"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2777 Allen Parkway, Suite 700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ectPr>
          <w:pgSz w:w="11900" w:h="16838" w:orient="portrait"/>
          <w:cols w:equalWidth="0" w:num="1">
            <w:col w:w="10239"/>
          </w:cols>
          <w:pgMar w:left="220" w:top="135" w:right="1440" w:bottom="1440" w:gutter="0" w:footer="0" w:header="0"/>
          <w:type w:val="continuous"/>
        </w:sectPr>
      </w:pP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connection with the Agreement and Plan of Merger dated June 22, 1996, by and among USA Waste Services, Inc., Quatro Acquisition Corp. and Sanifill, Inc. (the "Merger Agreement;" terms used in this letter agreement and not otherwise defined herein are used as defined in the Merger Agreement), we agree that the provisions of the Surviving Corporation's Certificate of Incorporation at the Effective Time governing indemnification of directors and officers and related matters shall be identical to the provisions governing such matters set forth in the Certificate of Incorporation of Parent on the date hereof.</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JOHN E. DRURY</w:t>
      </w:r>
    </w:p>
    <w:p>
      <w:pPr>
        <w:ind w:left="180" w:hanging="170"/>
        <w:spacing w:after="0" w:line="237" w:lineRule="auto"/>
        <w:tabs>
          <w:tab w:leader="none" w:pos="18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John E. Drury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Its: Chief Executive Officer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 TO THIS 22nd Day of June,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R R PROTO</w:t>
      </w:r>
    </w:p>
    <w:p>
      <w:pPr>
        <w:ind w:left="180" w:hanging="170"/>
        <w:spacing w:after="0" w:line="237" w:lineRule="auto"/>
        <w:tabs>
          <w:tab w:leader="none" w:pos="18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Rodney R. Proto</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Its: President</w:t>
      </w:r>
    </w:p>
    <w:p>
      <w:pPr>
        <w:sectPr>
          <w:pgSz w:w="11900" w:h="16838" w:orient="portrait"/>
          <w:cols w:equalWidth="0" w:num="1">
            <w:col w:w="10239"/>
          </w:cols>
          <w:pgMar w:left="220" w:top="135" w:right="1440" w:bottom="1440" w:gutter="0" w:footer="0" w:header="0"/>
          <w:type w:val="continuous"/>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17,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237" w:lineRule="auto"/>
        <w:rPr>
          <w:sz w:val="20"/>
          <w:szCs w:val="20"/>
          <w:color w:val="auto"/>
        </w:rPr>
      </w:pPr>
      <w:r>
        <w:rPr>
          <w:rFonts w:ascii="Courier New" w:cs="Courier New" w:eastAsia="Courier New" w:hAnsi="Courier New"/>
          <w:sz w:val="15"/>
          <w:szCs w:val="15"/>
          <w:color w:val="auto"/>
        </w:rPr>
        <w:t>2777 Allen Parkway, Suite 700</w:t>
      </w:r>
    </w:p>
    <w:p>
      <w:pPr>
        <w:spacing w:after="0" w:line="238" w:lineRule="auto"/>
        <w:rPr>
          <w:sz w:val="20"/>
          <w:szCs w:val="20"/>
          <w:color w:val="auto"/>
        </w:rPr>
      </w:pPr>
      <w:r>
        <w:rPr>
          <w:rFonts w:ascii="Courier New" w:cs="Courier New" w:eastAsia="Courier New" w:hAnsi="Courier New"/>
          <w:sz w:val="15"/>
          <w:szCs w:val="15"/>
          <w:color w:val="auto"/>
        </w:rPr>
        <w:t>Houston, Texas 77019</w:t>
      </w:r>
    </w:p>
    <w:p>
      <w:pPr>
        <w:sectPr>
          <w:pgSz w:w="11900" w:h="16838" w:orient="portrait"/>
          <w:cols w:equalWidth="0" w:num="1">
            <w:col w:w="10239"/>
          </w:cols>
          <w:pgMar w:left="220" w:top="13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Steven Walton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President-Government Affairs,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Counsel &amp; Secretary</w:t>
      </w:r>
    </w:p>
    <w:p>
      <w:pPr>
        <w:spacing w:after="0" w:line="200" w:lineRule="exact"/>
        <w:rPr>
          <w:sz w:val="20"/>
          <w:szCs w:val="20"/>
          <w:color w:val="auto"/>
        </w:rPr>
      </w:pPr>
    </w:p>
    <w:p>
      <w:pPr>
        <w:sectPr>
          <w:pgSz w:w="11900" w:h="16838" w:orient="portrait"/>
          <w:cols w:equalWidth="0" w:num="2">
            <w:col w:w="880" w:space="620"/>
            <w:col w:w="8739"/>
          </w:cols>
          <w:pgMar w:left="220" w:top="135"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USA Waste Services, Inc. (the "Protected Party") is prepared to furnish Sanifill, Inc. (the "Recipient") with information relating to the Protected Party (including information relating to its business and operations, capital structure and other non-public information) in connection with a proposed transaction between the Protected Party and the Recipient (the "Transaction"), which information is confidential or otherwise generally not available to the public (whether furnished before or after the date hereof, and regardless of the manner in which it is furnished or whether it is specifically identified as confidential, together with all analyses, compilations, studies or other documents that Recipient or its Representatives (as defined below) might prepare that contain or otherwise reflect such information, the "Confidential Information"). The term "Confidential Information" shall not include any such information (a) as may become generally available to the public other than as a result of a permitted disclosure by Recipient or its Representatives (as defined below), (b) known to Recipient on a non-confidential basis at the time of disclosure by or acquired from a source other than the Protected Party that was not prohibited from making disclosure or (c) subject to paragraph 4 below, required to be disclosed in order to comply with any applicable law, order, regulation or ruling. Recipient has prepared and delivered to the Protected Party, and the Protected Party will execute and adopt concurrent herewith as a condition to the effectiveness of this letter, a letter substantially identical to this letter providing for the same rights and conditions relating to the provision of information by Recipient to the Protected Party in connection with the Transaction.</w:t>
      </w:r>
    </w:p>
    <w:p>
      <w:pPr>
        <w:spacing w:after="0" w:line="34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As a condition to furnishing the Confidential Information to Recipient, Recipient agrees as follows:</w:t>
      </w:r>
    </w:p>
    <w:p>
      <w:pPr>
        <w:sectPr>
          <w:pgSz w:w="11900" w:h="16838" w:orient="portrait"/>
          <w:cols w:equalWidth="0" w:num="1">
            <w:col w:w="10239"/>
          </w:cols>
          <w:pgMar w:left="220" w:top="135" w:right="1440" w:bottom="1440" w:gutter="0" w:footer="0" w:header="0"/>
          <w:type w:val="continuous"/>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Sanifill,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2</w:t>
      </w:r>
    </w:p>
    <w:p>
      <w:pPr>
        <w:spacing w:after="0" w:line="342" w:lineRule="exact"/>
        <w:rPr>
          <w:sz w:val="20"/>
          <w:szCs w:val="20"/>
          <w:color w:val="auto"/>
        </w:rPr>
      </w:pPr>
    </w:p>
    <w:p>
      <w:pPr>
        <w:ind w:left="800" w:right="3399" w:hanging="790"/>
        <w:spacing w:after="0" w:line="255" w:lineRule="auto"/>
        <w:tabs>
          <w:tab w:leader="none" w:pos="8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agreed to in advance in writing by the Protected Party, Recipient agrees (a) except as required by judicial, administrative or governmental proceedings, to keep all Confidential Information confidential and not to disclose or reveal any Confidential Information to any entity or person other than Recipient's employees, representatives, lenders or counsel, or affiliates, their employees, representatives, lenders or counsel (collectively, "Representatives") who are actively and directly participating on Recipient's behalf in connection with the proposed Transaction, or who otherwise need to know the Confidential Information for Recipient's work in connection with the proposed Transaction (and to be responsible for those persons' observing the terms of this agreement) and (b) not to use any Confidential Information for any purpose other than in connection with the evaluation, negotiation and consummation of the proposed Transaction.</w:t>
      </w:r>
    </w:p>
    <w:p>
      <w:pPr>
        <w:spacing w:after="0" w:line="163" w:lineRule="exact"/>
        <w:rPr>
          <w:rFonts w:ascii="Courier New" w:cs="Courier New" w:eastAsia="Courier New" w:hAnsi="Courier New"/>
          <w:sz w:val="14"/>
          <w:szCs w:val="14"/>
          <w:color w:val="auto"/>
        </w:rPr>
      </w:pPr>
    </w:p>
    <w:p>
      <w:pPr>
        <w:ind w:left="800" w:right="3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written consent of the other party, except to the extent required by law or by applicable rules of the New York Stock Exchange in order to prevent delisting or prolonged suspension of trading of the securities of the disclosing party under such rules or permitted by this agreement, neither party nor its Representatives will disclose to any other person the fact that discussions or negotiations are taking place concerning a possible Transaction, or any of the terms, conditions or other facts with respect to any such possible Transaction, including the status thereof.</w:t>
      </w:r>
    </w:p>
    <w:p>
      <w:pPr>
        <w:spacing w:after="0" w:line="165" w:lineRule="exact"/>
        <w:rPr>
          <w:rFonts w:ascii="Courier New" w:cs="Courier New" w:eastAsia="Courier New" w:hAnsi="Courier New"/>
          <w:sz w:val="14"/>
          <w:szCs w:val="14"/>
          <w:color w:val="auto"/>
        </w:rPr>
      </w:pPr>
    </w:p>
    <w:p>
      <w:pPr>
        <w:ind w:left="800"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Confidential Information that is written, except for that portion that may be found in analyses, compilations, studies or other documents prepared by or for Recipient, will be returned to the Protected Party immediately upon the Protected Party's request and no copies shall be retained by Recipient or Recipient's Representatives. That portion of the Confidential Information that is found in analyses, compilations, studies or other documents prepared by or for Recipient, the Confidential Information that is oral and the Confidential Information that is not so requested or returned will be held by Recipient and kept subject to the terms of this agreement, or destroyed.</w:t>
      </w:r>
    </w:p>
    <w:p>
      <w:pPr>
        <w:spacing w:after="0" w:line="180" w:lineRule="exact"/>
        <w:rPr>
          <w:rFonts w:ascii="Courier New" w:cs="Courier New" w:eastAsia="Courier New" w:hAnsi="Courier New"/>
          <w:sz w:val="14"/>
          <w:szCs w:val="14"/>
          <w:color w:val="auto"/>
        </w:rPr>
      </w:pPr>
    </w:p>
    <w:p>
      <w:pPr>
        <w:ind w:left="800" w:right="3399" w:hanging="790"/>
        <w:spacing w:after="0" w:line="236" w:lineRule="auto"/>
        <w:tabs>
          <w:tab w:leader="none" w:pos="80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understands that the Protected Party has endeavored to include in the information Recipient has been furnished materials which it believes to be reliable and relevant for the purpose of Recipient's evaluation, that the Protected Party does not make any representation or warranty as to the accuracy or completeness of any information which is so provided, and neither the Protected Party nor any officer, director or Representative of the Protected Party shall have any liability to Recipient or its Representatives resulting from the use of such information by Recipient or its Representatives. For purposes of this paragraph 2, "information" is deemed to include all information furnished</w:t>
      </w:r>
    </w:p>
    <w:p>
      <w:pPr>
        <w:sectPr>
          <w:pgSz w:w="11900" w:h="16838" w:orient="portrait"/>
          <w:cols w:equalWidth="0" w:num="1">
            <w:col w:w="10239"/>
          </w:cols>
          <w:pgMar w:left="220" w:top="281"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5"/>
          <w:szCs w:val="15"/>
          <w:color w:val="auto"/>
        </w:rPr>
        <w:t>3</w:t>
      </w:r>
    </w:p>
    <w:p>
      <w:pPr>
        <w:spacing w:after="0" w:line="237" w:lineRule="auto"/>
        <w:rPr>
          <w:sz w:val="20"/>
          <w:szCs w:val="20"/>
          <w:color w:val="auto"/>
        </w:rPr>
      </w:pPr>
      <w:r>
        <w:rPr>
          <w:rFonts w:ascii="Courier New" w:cs="Courier New" w:eastAsia="Courier New" w:hAnsi="Courier New"/>
          <w:sz w:val="15"/>
          <w:szCs w:val="15"/>
          <w:color w:val="auto"/>
        </w:rPr>
        <w:t>Sanifill,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3</w:t>
      </w:r>
    </w:p>
    <w:p>
      <w:pPr>
        <w:spacing w:after="0" w:line="342"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to Recipient. Only those representations or warranties that are made to Recipient in a definitive acquisition agreement when, as, and if it is executed, and subject to such limitations and restrictions as may be specified in such acquisition agreement, will have any legal effect.</w:t>
      </w:r>
    </w:p>
    <w:p>
      <w:pPr>
        <w:spacing w:after="0" w:line="174" w:lineRule="exact"/>
        <w:rPr>
          <w:sz w:val="20"/>
          <w:szCs w:val="20"/>
          <w:color w:val="auto"/>
        </w:rPr>
      </w:pPr>
    </w:p>
    <w:p>
      <w:pPr>
        <w:ind w:left="800" w:right="3319" w:hanging="790"/>
        <w:spacing w:after="0" w:line="236" w:lineRule="auto"/>
        <w:tabs>
          <w:tab w:leader="none" w:pos="80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hereby acknowledges to the Protected Party that it is aware, and that it will advise its Representatives, that the Confidential Information may contain material, non-public information and that the United States securities laws restrict any person who has received any material, non-public information regarding an issuer from purchasing or selling securities of such issuer or from communicating such information to any other person under circumstances in which its reasonably foreseeable that such person is likely to purchse or sell such securities.</w:t>
      </w:r>
    </w:p>
    <w:p>
      <w:pPr>
        <w:spacing w:after="0" w:line="178"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Recipient or any of its Representatives should be required (by oral questions, interrogatories, requests for information or documents, subpoena, civil investigative demand or similar process or by any other applicable law or regulation) to disclose any Confidential Information, Recipient agrees that it will provide the Protected Party with prompt notice of such request or requirement (in any event, within three (3) business days after learning of such request or requirement) so that the Protected Party may seek an appropriate protective order or other appropriate remedy and/or waive Recipient's or its Representatives' compliance with the provisions of this agreement.</w:t>
      </w:r>
    </w:p>
    <w:p>
      <w:pPr>
        <w:spacing w:after="0" w:line="180" w:lineRule="exact"/>
        <w:rPr>
          <w:rFonts w:ascii="Courier New" w:cs="Courier New" w:eastAsia="Courier New" w:hAnsi="Courier New"/>
          <w:sz w:val="15"/>
          <w:szCs w:val="15"/>
          <w:color w:val="auto"/>
        </w:rPr>
      </w:pPr>
    </w:p>
    <w:p>
      <w:pPr>
        <w:ind w:left="800" w:right="3319" w:hanging="790"/>
        <w:spacing w:after="0" w:line="254" w:lineRule="auto"/>
        <w:tabs>
          <w:tab w:leader="none" w:pos="80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hereby acknowledges that the Confidential Information is being provided to Recipient in consideration of its agreement that for a period of two (2) years from the date hereof neither Recipient nor any of its affiliates (as defined in Rule 12b-2 of the Securities Act of 1934, as amended (the "Exchange Act")) will (and Recipient and its affiliates will not solicit, assist or encourage others to), directly or indirectly, unless the Protected Party or the Protected Party's Board of Directors consents thereto in writing in advance, (i) acquire, offer to acquire or agree to acquire, directly or indirectly, by purchase, gift or otherwise, beneficial ownership of any Voting Security (as defined below), if after such acquisition the undersigned (together with its affiliates) would hold or "beneficially own" (as defined in Rule 13d-3 under the Exchange Act), in the aggregate, securities of the Protected Party (including common stock of the Protected Party) having the power to vote for the election of directors of the Protected Party (or rights, options or warrants to acquire such voting securities or any securities convertible into or exchangeable for such voting securities) (collectively, "Voting Securities") representing more than 1% of the outstanding voting power (determined by the aggregate number of votes that may be cast) of the Protected Party's Voting Securities; (ii) solicit, or</w:t>
      </w:r>
    </w:p>
    <w:p>
      <w:pPr>
        <w:sectPr>
          <w:pgSz w:w="11900" w:h="16838" w:orient="portrait"/>
          <w:cols w:equalWidth="0" w:num="1">
            <w:col w:w="10239"/>
          </w:cols>
          <w:pgMar w:left="220" w:top="281"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5"/>
          <w:szCs w:val="15"/>
          <w:color w:val="auto"/>
        </w:rPr>
        <w:t>4</w:t>
      </w:r>
    </w:p>
    <w:p>
      <w:pPr>
        <w:spacing w:after="0" w:line="237" w:lineRule="auto"/>
        <w:rPr>
          <w:sz w:val="20"/>
          <w:szCs w:val="20"/>
          <w:color w:val="auto"/>
        </w:rPr>
      </w:pPr>
      <w:r>
        <w:rPr>
          <w:rFonts w:ascii="Courier New" w:cs="Courier New" w:eastAsia="Courier New" w:hAnsi="Courier New"/>
          <w:sz w:val="15"/>
          <w:szCs w:val="15"/>
          <w:color w:val="auto"/>
        </w:rPr>
        <w:t>Sanifill,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4</w:t>
      </w:r>
    </w:p>
    <w:p>
      <w:pPr>
        <w:spacing w:after="0" w:line="342" w:lineRule="exact"/>
        <w:rPr>
          <w:sz w:val="20"/>
          <w:szCs w:val="20"/>
          <w:color w:val="auto"/>
        </w:rPr>
      </w:pPr>
    </w:p>
    <w:p>
      <w:pPr>
        <w:ind w:left="800" w:right="3319"/>
        <w:spacing w:after="0" w:line="254" w:lineRule="auto"/>
        <w:rPr>
          <w:sz w:val="20"/>
          <w:szCs w:val="20"/>
          <w:color w:val="auto"/>
        </w:rPr>
      </w:pPr>
      <w:r>
        <w:rPr>
          <w:rFonts w:ascii="Courier New" w:cs="Courier New" w:eastAsia="Courier New" w:hAnsi="Courier New"/>
          <w:sz w:val="14"/>
          <w:szCs w:val="14"/>
          <w:color w:val="auto"/>
        </w:rPr>
        <w:t>encourage any other entity or person to solicit, proxies with respect to Voting Securities of the Protected Party, or become a "participant" or otherwise engage in any "solicitation" of "proxies" (as such terms are defined in Regulation 14A under the Exchange Act) with respect to the election of directors of the Protected Party in opposition to the nominees recommended by the Board of Director of the Protected Party or otherwise for the purpose of acquiring control of the management of the Protected Party, or communicate with or seek to advise or influence any entity or person with respect to the voting of any Voting Securities; (iii) make any public proposals to the Protected Party or any of its directors, officers or security holders concerning a merger, consolidation or acquisition of the Protected Party or an acquisition of all or substantially all the assets of the Protected Party, or any acquisition, disposition, restructuring, recapitalization or similar transaction with respect to the Protected Party or any subsidiary thereof or take any action which would require the Protected Party to make a public announcement regarding the possibility of such a transaction with Recipient or any of its affiliates; (iv) otherwise join or form a partnership, limited partnership, syndicate or other group for the purpose of acquiring, holding, voting or disposing of any Voting Securities or encourage, advise or, for the purpose of circumventing or avoiding any of the provisions of this agreement, assist any person or entity to do any of the foregoing; or (v) request that the Protected Party's Board of Directors waive any provision of this paragraph; provided, however, that the provisions of this paragraph 5 shall lapse and be of no force and effect if (x) a tender or exchange is commenced by a third party (other than a third party who is an affiliate of, or acting in concert with, Recipient) for 20% or more of the outstanding shares of Protected Party's common stock, (y) a third party (including any "group" within the meaning of Section 13d-3 of the Exchange Act) (other than a third party who is an affiliate of, or acting in concert with, Recipient) acquires, after the date of this agreement, beneficial ownership (within the meaning of Rule 13d-3 under the Exchange Act) of more than 20% of the outstanding shares of Protected Party's common stock, or (z) Protected Party agrees (whether by definitive agreement or letter of intent) to a merger, consolidation or other acquisition of the Protected Party or an acquisition of all or substantially all the assets of the Protected Party.</w:t>
      </w:r>
    </w:p>
    <w:p>
      <w:pPr>
        <w:spacing w:after="0" w:line="350" w:lineRule="exact"/>
        <w:rPr>
          <w:sz w:val="20"/>
          <w:szCs w:val="20"/>
          <w:color w:val="auto"/>
        </w:rPr>
      </w:pPr>
    </w:p>
    <w:p>
      <w:pPr>
        <w:ind w:left="800" w:right="3319" w:hanging="790"/>
        <w:spacing w:after="0" w:line="236" w:lineRule="auto"/>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hereby acknowledges that the Protected Party would not have an adequate remedy at law for money damages in the event that this agreement were not performed in accordance with its terms and, therefore, agrees that the Protected Party shall be entitled to specific performance of the terms hereof in addition to any other remedy to which it may be entitled at law or in equity; except that in no event shall a party hereto be liable for punitive, special or indirect damages.</w:t>
      </w:r>
    </w:p>
    <w:p>
      <w:pPr>
        <w:sectPr>
          <w:pgSz w:w="11900" w:h="16838" w:orient="portrait"/>
          <w:cols w:equalWidth="0" w:num="1">
            <w:col w:w="10239"/>
          </w:cols>
          <w:pgMar w:left="220" w:top="281"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Sanifill,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5</w:t>
      </w:r>
    </w:p>
    <w:p>
      <w:pPr>
        <w:spacing w:after="0" w:line="342" w:lineRule="exact"/>
        <w:rPr>
          <w:sz w:val="20"/>
          <w:szCs w:val="20"/>
          <w:color w:val="auto"/>
        </w:rPr>
      </w:pPr>
    </w:p>
    <w:p>
      <w:pPr>
        <w:ind w:left="800" w:right="3319" w:hanging="790"/>
        <w:spacing w:after="0" w:line="236"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understands and agrees that no contract or agreement providing for a Transaction shall be deemed to exist between the Recipient and the Protected Party unless and until a definitive acquisition agreement has been executed and delivered, and each party hereby waives, in advance, any claims (including, without limitation, breach of contract) in connection with any such Transaction unless and until the parties have entered into a definitive acquisition agreement.</w:t>
      </w:r>
    </w:p>
    <w:p>
      <w:pPr>
        <w:spacing w:after="0" w:line="177"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TEXAS.</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not be changed, waived, discharged or terminated orally, but only by an agreement in writing signed by the party against which the enforcement of such change, waiver, discharge or termination is sought.</w:t>
      </w:r>
    </w:p>
    <w:p>
      <w:pPr>
        <w:spacing w:after="0" w:line="175"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automatically terminate on the date two (2) years from the date of this letter, except that such termination shall not affect any rights or remedies of either party arising out of prior breaches of this agreement by the other party, provided that legal action to enforce such rights or remedies is commenced with two (2) years of such breach and except that paragraphs 2, 3, 7, 8, 9 and 10 above shall survive such termination.</w:t>
      </w:r>
    </w:p>
    <w:p>
      <w:pPr>
        <w:spacing w:after="0" w:line="176"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If the foregoing is in accordance with Recipient's understanding, please sign a copy of this letter and return it to the Protected Party, whereupon this letter shall constitute a binding agreement between the Protected Party and Recipient.</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tab/>
        <w:t>/s/ Gregory T. Sangalis</w:t>
      </w:r>
    </w:p>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540"/>
        <w:spacing w:after="0" w:line="238" w:lineRule="auto"/>
        <w:rPr>
          <w:sz w:val="20"/>
          <w:szCs w:val="20"/>
          <w:color w:val="auto"/>
        </w:rPr>
      </w:pPr>
      <w:r>
        <w:rPr>
          <w:rFonts w:ascii="Courier New" w:cs="Courier New" w:eastAsia="Courier New" w:hAnsi="Courier New"/>
          <w:sz w:val="15"/>
          <w:szCs w:val="15"/>
          <w:color w:val="auto"/>
        </w:rPr>
        <w:t>Gregory T. Sangalis</w:t>
      </w:r>
    </w:p>
    <w:p>
      <w:pPr>
        <w:ind w:left="540"/>
        <w:spacing w:after="0" w:line="237" w:lineRule="auto"/>
        <w:rPr>
          <w:sz w:val="20"/>
          <w:szCs w:val="20"/>
          <w:color w:val="auto"/>
        </w:rPr>
      </w:pPr>
      <w:r>
        <w:rPr>
          <w:rFonts w:ascii="Courier New" w:cs="Courier New" w:eastAsia="Courier New" w:hAnsi="Courier New"/>
          <w:sz w:val="15"/>
          <w:szCs w:val="15"/>
          <w:color w:val="auto"/>
        </w:rPr>
        <w:t>Vice President, General Counsel &amp; Secretary</w:t>
      </w:r>
    </w:p>
    <w:p>
      <w:pPr>
        <w:sectPr>
          <w:pgSz w:w="11900" w:h="16838" w:orient="portrait"/>
          <w:cols w:equalWidth="0" w:num="1">
            <w:col w:w="10239"/>
          </w:cols>
          <w:pgMar w:left="220" w:top="281"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5"/>
          <w:szCs w:val="15"/>
          <w:color w:val="auto"/>
        </w:rPr>
        <w:t>6</w:t>
      </w:r>
    </w:p>
    <w:p>
      <w:pPr>
        <w:spacing w:after="0" w:line="237" w:lineRule="auto"/>
        <w:rPr>
          <w:sz w:val="20"/>
          <w:szCs w:val="20"/>
          <w:color w:val="auto"/>
        </w:rPr>
      </w:pPr>
      <w:r>
        <w:rPr>
          <w:rFonts w:ascii="Courier New" w:cs="Courier New" w:eastAsia="Courier New" w:hAnsi="Courier New"/>
          <w:sz w:val="15"/>
          <w:szCs w:val="15"/>
          <w:color w:val="auto"/>
        </w:rPr>
        <w:t>Sanifill,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AND ACCEPTED this 17th day of June,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tab/>
        <w:t>/s/ H. Steven Walton</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540"/>
        <w:spacing w:after="0" w:line="238" w:lineRule="auto"/>
        <w:rPr>
          <w:sz w:val="20"/>
          <w:szCs w:val="20"/>
          <w:color w:val="auto"/>
        </w:rPr>
      </w:pPr>
      <w:r>
        <w:rPr>
          <w:rFonts w:ascii="Courier New" w:cs="Courier New" w:eastAsia="Courier New" w:hAnsi="Courier New"/>
          <w:sz w:val="15"/>
          <w:szCs w:val="15"/>
          <w:color w:val="auto"/>
        </w:rPr>
        <w:t>H. Steven Walton</w:t>
      </w:r>
    </w:p>
    <w:p>
      <w:pPr>
        <w:ind w:left="540"/>
        <w:spacing w:after="0" w:line="237" w:lineRule="auto"/>
        <w:rPr>
          <w:sz w:val="20"/>
          <w:szCs w:val="20"/>
          <w:color w:val="auto"/>
        </w:rPr>
      </w:pPr>
      <w:r>
        <w:rPr>
          <w:rFonts w:ascii="Courier New" w:cs="Courier New" w:eastAsia="Courier New" w:hAnsi="Courier New"/>
          <w:sz w:val="15"/>
          <w:szCs w:val="15"/>
          <w:color w:val="auto"/>
        </w:rPr>
        <w:t>Vice President-Government Affairs,</w:t>
      </w:r>
    </w:p>
    <w:p>
      <w:pPr>
        <w:ind w:left="540"/>
        <w:spacing w:after="0" w:line="238" w:lineRule="auto"/>
        <w:rPr>
          <w:sz w:val="20"/>
          <w:szCs w:val="20"/>
          <w:color w:val="auto"/>
        </w:rPr>
      </w:pPr>
      <w:r>
        <w:rPr>
          <w:rFonts w:ascii="Courier New" w:cs="Courier New" w:eastAsia="Courier New" w:hAnsi="Courier New"/>
          <w:sz w:val="15"/>
          <w:szCs w:val="15"/>
          <w:color w:val="auto"/>
        </w:rPr>
        <w:t>General Counsel &amp; Secretary</w:t>
      </w:r>
    </w:p>
    <w:p>
      <w:pPr>
        <w:sectPr>
          <w:pgSz w:w="11900" w:h="16838" w:orient="portrait"/>
          <w:cols w:equalWidth="0" w:num="1">
            <w:col w:w="10239"/>
          </w:cols>
          <w:pgMar w:left="220" w:top="281"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10.7</w:t>
      </w:r>
    </w:p>
    <w:p>
      <w:pPr>
        <w:spacing w:after="0" w:line="237" w:lineRule="auto"/>
        <w:rPr>
          <w:sz w:val="20"/>
          <w:szCs w:val="20"/>
          <w:color w:val="auto"/>
        </w:rPr>
      </w:pPr>
      <w:r>
        <w:rPr>
          <w:rFonts w:ascii="Courier New" w:cs="Courier New" w:eastAsia="Courier New" w:hAnsi="Courier New"/>
          <w:sz w:val="15"/>
          <w:szCs w:val="15"/>
          <w:color w:val="auto"/>
        </w:rPr>
        <w:t>June 17,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237" w:lineRule="auto"/>
        <w:rPr>
          <w:sz w:val="20"/>
          <w:szCs w:val="20"/>
          <w:color w:val="auto"/>
        </w:rPr>
      </w:pPr>
      <w:r>
        <w:rPr>
          <w:rFonts w:ascii="Courier New" w:cs="Courier New" w:eastAsia="Courier New" w:hAnsi="Courier New"/>
          <w:sz w:val="15"/>
          <w:szCs w:val="15"/>
          <w:color w:val="auto"/>
        </w:rPr>
        <w:t>5400 LBJ Freeway, Suite 300, Tower One</w:t>
      </w:r>
    </w:p>
    <w:p>
      <w:pPr>
        <w:spacing w:after="0" w:line="238" w:lineRule="auto"/>
        <w:rPr>
          <w:sz w:val="20"/>
          <w:szCs w:val="20"/>
          <w:color w:val="auto"/>
        </w:rPr>
      </w:pPr>
      <w:r>
        <w:rPr>
          <w:rFonts w:ascii="Courier New" w:cs="Courier New" w:eastAsia="Courier New" w:hAnsi="Courier New"/>
          <w:sz w:val="15"/>
          <w:szCs w:val="15"/>
          <w:color w:val="auto"/>
        </w:rPr>
        <w:t>Dallas, Texas 75042</w:t>
      </w:r>
    </w:p>
    <w:p>
      <w:pPr>
        <w:sectPr>
          <w:pgSz w:w="11900" w:h="16838" w:orient="portrait"/>
          <w:cols w:equalWidth="0" w:num="1">
            <w:col w:w="10239"/>
          </w:cols>
          <w:pgMar w:left="220" w:top="13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Gregory T. Sangalis,</w:t>
      </w:r>
    </w:p>
    <w:p>
      <w:pPr>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 &amp; Secretary</w:t>
      </w:r>
    </w:p>
    <w:p>
      <w:pPr>
        <w:spacing w:after="0" w:line="200" w:lineRule="exact"/>
        <w:rPr>
          <w:sz w:val="20"/>
          <w:szCs w:val="20"/>
          <w:color w:val="auto"/>
        </w:rPr>
      </w:pPr>
    </w:p>
    <w:p>
      <w:pPr>
        <w:sectPr>
          <w:pgSz w:w="11900" w:h="16838" w:orient="portrait"/>
          <w:cols w:equalWidth="0" w:num="2">
            <w:col w:w="880" w:space="620"/>
            <w:col w:w="8739"/>
          </w:cols>
          <w:pgMar w:left="220" w:top="135"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Sanifill, Inc. (the "Protected Party") is prepared to furnish USA Waste Services, Inc. (the "Recipient") with information relating to the Protected Party (including information relating to its business and operations, capital structure and other non-public information) in connection with a proposed transaction between the Protected Party and the Recipient (the "Transaction"), which information is confidential or otherwise generally not available to the public (whether furnished before or after the date hereof, and regardless of the manner in which it is furnished or whether it is specifically identified as confidential, together with all analyses, compilations, studies or other documents that Recipient or its Representatives (as defined below) might prepare that contain or otherwise reflect such information, the "Confidential Information"). The term "Confidential Information" shall not include any such information (a) as may become generally available to the public other than as a result of a permitted disclosure by Recipient or its Representatives (as defined below), (b) known to Recipient on a non-confidential basis at the time of disclosure by or acquired from a source other than the Protected Party that was not prohibited from making disclosure or (c) subject to paragraph 4 below, required to be disclosed in order to comply with any applicable law, order, regulation or ruling. Recipient has prepared and delivered to the Protected Party, and the Protected Party will execute and adopt concurrent herewith as a condition to the effectiveness of this letter, a letter substantially identical to this letter providing for the same rights and conditions relating to the provision of information by Recipient to the Protected Party in connection with the Transaction.</w:t>
      </w:r>
    </w:p>
    <w:p>
      <w:pPr>
        <w:spacing w:after="0" w:line="34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As a condition to furnishing the Confidential Information to Recipient, Recipient agrees as follows:</w:t>
      </w:r>
    </w:p>
    <w:p>
      <w:pPr>
        <w:sectPr>
          <w:pgSz w:w="11900" w:h="16838" w:orient="portrait"/>
          <w:cols w:equalWidth="0" w:num="1">
            <w:col w:w="10239"/>
          </w:cols>
          <w:pgMar w:left="220" w:top="135" w:right="1440" w:bottom="1440" w:gutter="0" w:footer="0" w:header="0"/>
          <w:type w:val="continuous"/>
        </w:sectPr>
      </w:pPr>
    </w:p>
    <w:bookmarkStart w:id="219" w:name="page220"/>
    <w:bookmarkEnd w:id="219"/>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2</w:t>
      </w:r>
    </w:p>
    <w:p>
      <w:pPr>
        <w:spacing w:after="0" w:line="342" w:lineRule="exact"/>
        <w:rPr>
          <w:sz w:val="20"/>
          <w:szCs w:val="20"/>
          <w:color w:val="auto"/>
        </w:rPr>
      </w:pPr>
    </w:p>
    <w:p>
      <w:pPr>
        <w:ind w:left="800" w:right="3399" w:hanging="790"/>
        <w:spacing w:after="0" w:line="255" w:lineRule="auto"/>
        <w:tabs>
          <w:tab w:leader="none" w:pos="80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agreed to in advance in writing by the Protected Party, Recipient agrees (a) except as required by judicial, administrative or governmental proceedings, to keep all Confidential Information confidential and not to disclose or reveal any Confidential Information to any entity or person other than Recipient's employees, representatives, lenders or counsel, or affiliates, their employees, representatives, lenders or counsel (collectively, "Representatives") who are actively and directly participating on Recipient's behalf in connection with the proposed Transaction, or who otherwise need to know the Confidential Information for Recipient's work in connection with the proposed Transaction (and to be responsible for those persons' observing the terms of this agreement) and (b) not to use any Confidential Information for any purpose other than in connection with the evaluation, negotiation and consummation of the proposed Transaction.</w:t>
      </w:r>
    </w:p>
    <w:p>
      <w:pPr>
        <w:spacing w:after="0" w:line="163" w:lineRule="exact"/>
        <w:rPr>
          <w:rFonts w:ascii="Courier New" w:cs="Courier New" w:eastAsia="Courier New" w:hAnsi="Courier New"/>
          <w:sz w:val="14"/>
          <w:szCs w:val="14"/>
          <w:color w:val="auto"/>
        </w:rPr>
      </w:pPr>
    </w:p>
    <w:p>
      <w:pPr>
        <w:ind w:left="800" w:right="3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written consent of the other party, except to the extent required by law or by applicable rules of the New York Stock Exchange in order to prevent delisting or prolonged suspension of trading of the securities of the disclosing party under such rules or permitted by this agreement, neither party nor its Representatives will disclose to any other person the fact that discussions or negotiations are taking place concerning a possible Transaction, or any of the terms, conditions or other facts with respect to any such possible Transaction, including the status thereof.</w:t>
      </w:r>
    </w:p>
    <w:p>
      <w:pPr>
        <w:spacing w:after="0" w:line="165" w:lineRule="exact"/>
        <w:rPr>
          <w:rFonts w:ascii="Courier New" w:cs="Courier New" w:eastAsia="Courier New" w:hAnsi="Courier New"/>
          <w:sz w:val="14"/>
          <w:szCs w:val="14"/>
          <w:color w:val="auto"/>
        </w:rPr>
      </w:pPr>
    </w:p>
    <w:p>
      <w:pPr>
        <w:ind w:left="800"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Confidential Information that is written, except for that portion that may be found in analyses, compilations, studies or other documents prepared by or for Recipient, will be returned to the Protected Party immediately upon the Protected Party's request and no copies shall be retained by Recipient or Recipient's Representatives. That portion of the Confidential Information that is found in analyses, compilations, studies or other documents prepared by or for Recipient, the Confidential Information that is oral and the Confidential Information that is not so requested or returned will be held by Recipient and kept subject to the terms of this agreement, or destroyed.</w:t>
      </w:r>
    </w:p>
    <w:p>
      <w:pPr>
        <w:spacing w:after="0" w:line="180" w:lineRule="exact"/>
        <w:rPr>
          <w:rFonts w:ascii="Courier New" w:cs="Courier New" w:eastAsia="Courier New" w:hAnsi="Courier New"/>
          <w:sz w:val="14"/>
          <w:szCs w:val="14"/>
          <w:color w:val="auto"/>
        </w:rPr>
      </w:pPr>
    </w:p>
    <w:p>
      <w:pPr>
        <w:ind w:left="800" w:right="3399" w:hanging="790"/>
        <w:spacing w:after="0" w:line="236"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understands that the Protected Party has endeavored to include in the information Recipient has been furnished materials which it believes to be reliable and relevant for the purpose of Recipient's evaluation, that the Protected Party does not make any representation or warranty as to the accuracy or completeness of any information which is so provided, and neither the Protected Party nor any officer, director or Representative of the Protected Party shall have any liability to Recipient or its Representatives resulting from the use of such information by Recipient or its Representatives. For purposes of this paragraph 2, "information" is deemed to include all information furnished</w:t>
      </w:r>
    </w:p>
    <w:p>
      <w:pPr>
        <w:sectPr>
          <w:pgSz w:w="11900" w:h="16838" w:orient="portrait"/>
          <w:cols w:equalWidth="0" w:num="1">
            <w:col w:w="10239"/>
          </w:cols>
          <w:pgMar w:left="220" w:top="281"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5"/>
          <w:szCs w:val="15"/>
          <w:color w:val="auto"/>
        </w:rPr>
        <w:t>3</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3</w:t>
      </w:r>
    </w:p>
    <w:p>
      <w:pPr>
        <w:spacing w:after="0" w:line="342"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to Recipient. Only those representations or warranties that are made to Recipient in a definitive acquisition agreement when, as, and if it is executed, and subject to such limitations and restrictions as may be specified in such acquisition agreement, will have any legal effect.</w:t>
      </w:r>
    </w:p>
    <w:p>
      <w:pPr>
        <w:spacing w:after="0" w:line="174" w:lineRule="exact"/>
        <w:rPr>
          <w:sz w:val="20"/>
          <w:szCs w:val="20"/>
          <w:color w:val="auto"/>
        </w:rPr>
      </w:pPr>
    </w:p>
    <w:p>
      <w:pPr>
        <w:ind w:left="800" w:right="3319" w:hanging="790"/>
        <w:spacing w:after="0" w:line="236" w:lineRule="auto"/>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hereby acknowledges to the Protected Party that it is aware, and that it will advise its Representatives, that the Confidential Information may contain material, non-public information and that the United States securities laws restrict any person who has received any material, non-public information regarding an issuer from purchasing or selling securities of such issuer or from communicating such information to any other person under circumstances in which its reasonably foreseeable that such person is likely to purchse or sell such securities.</w:t>
      </w:r>
    </w:p>
    <w:p>
      <w:pPr>
        <w:spacing w:after="0" w:line="178"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Recipient or any of its Representatives should be required (by oral questions, interrogatories, requests for information or documents, subpoena, civil investigative demand or similar process or by any other applicable law or regulation) to disclose any Confidential Information, Recipient agrees that it will provide the Protected Party with prompt notice of such request or requirement (in any event, within three (3) business days after learning of such request or requirement) so that the Protected Party may seek an appropriate protective order or other appropriate remedy and/or waive Recipient's or its Representatives' compliance with the provisions of this agreement.</w:t>
      </w:r>
    </w:p>
    <w:p>
      <w:pPr>
        <w:spacing w:after="0" w:line="180" w:lineRule="exact"/>
        <w:rPr>
          <w:rFonts w:ascii="Courier New" w:cs="Courier New" w:eastAsia="Courier New" w:hAnsi="Courier New"/>
          <w:sz w:val="15"/>
          <w:szCs w:val="15"/>
          <w:color w:val="auto"/>
        </w:rPr>
      </w:pPr>
    </w:p>
    <w:p>
      <w:pPr>
        <w:ind w:left="800" w:right="3319" w:hanging="790"/>
        <w:spacing w:after="0" w:line="254" w:lineRule="auto"/>
        <w:tabs>
          <w:tab w:leader="none" w:pos="80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hereby acknowledges that the Confidential Information is being provided to Recipient in consideration of its agreement that for a period of two (2) years from the date hereof neither Recipient nor any of its affiliates (as defined in Rule 12b-2 of the Securities Act of 1934, as amended (the "Exchange Act")) will (and Recipient and its affiliates will not solicit, assist or encourage others to), directly or indirectly, unless the Protected Party or the Protected Party's Board of Directors consents thereto in writing in advance, (i) acquire, offer to acquire or agree to acquire, directly or indirectly, by purchase, gift or otherwise, beneficial ownership of any Voting Security (as defined below), if after such acquisition the undersigned (together with its affiliates) would hold or "beneficially own" (as defined in Rule 13d-3 under the Exchange Act), in the aggregate, securities of the Protected Party (including common stock of the Protected Party) having the power to vote for the election of directors of the Protected Party (or rights, options or warrants to acquire such voting securities or any securities convertible into or exchangeable for such voting securities) (collectively, "Voting Securities") representing more than 1% of the outstanding voting power (determined by the aggregate number of votes that may be cast) of the Protected Party's Voting Securities; (ii) solicit, or</w:t>
      </w:r>
    </w:p>
    <w:p>
      <w:pPr>
        <w:sectPr>
          <w:pgSz w:w="11900" w:h="16838" w:orient="portrait"/>
          <w:cols w:equalWidth="0" w:num="1">
            <w:col w:w="10239"/>
          </w:cols>
          <w:pgMar w:left="220" w:top="281"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5"/>
          <w:szCs w:val="15"/>
          <w:color w:val="auto"/>
        </w:rPr>
        <w:t>4</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4</w:t>
      </w:r>
    </w:p>
    <w:p>
      <w:pPr>
        <w:spacing w:after="0" w:line="342" w:lineRule="exact"/>
        <w:rPr>
          <w:sz w:val="20"/>
          <w:szCs w:val="20"/>
          <w:color w:val="auto"/>
        </w:rPr>
      </w:pPr>
    </w:p>
    <w:p>
      <w:pPr>
        <w:ind w:left="800" w:right="3319"/>
        <w:spacing w:after="0" w:line="254" w:lineRule="auto"/>
        <w:rPr>
          <w:sz w:val="20"/>
          <w:szCs w:val="20"/>
          <w:color w:val="auto"/>
        </w:rPr>
      </w:pPr>
      <w:r>
        <w:rPr>
          <w:rFonts w:ascii="Courier New" w:cs="Courier New" w:eastAsia="Courier New" w:hAnsi="Courier New"/>
          <w:sz w:val="14"/>
          <w:szCs w:val="14"/>
          <w:color w:val="auto"/>
        </w:rPr>
        <w:t>encourage any other entity or person to solicit, proxies with respect to Voting Securities of the Protected Party, or become a "participant" or otherwise engage in any "solicitation" of "proxies" (as such terms are defined in Regulation 14A under the Exchange Act) with respect to the election of directors of the Protected Party in opposition to the nominees recommended by the Board of Director of the Protected Party or otherwise for the purpose of acquiring control of the management of the Protected Party, or communicate with or seek to advise or influence any entity or person with respect to the voting of any Voting Securities; (iii) make any public proposals to the Protected Party or any of its directors, officers or security holders concerning a merger, consolidation or acquisition of the Protected Party or an acquisition of all or substantially all the assets of the Protected Party, or any acquisition, disposition, restructuring, recapitalization or similar transaction with respect to the Protected Party or any subsidiary thereof or take any action which would require the Protected Party to make a public announcement regarding the possibility of such a transaction with Recipient or any of its affiliates; (iv) otherwise join or form a partnership, limited partnership, syndicate or other group for the purpose of acquiring, holding, voting or disposing of any Voting Securities or encourage, advise or, for the purpose of circumventing or avoiding any of the provisions of this agreement, assist any person or entity to do any of the foregoing; or (v) request that the Protected Party's Board of Directors waive any provision of this paragraph; provided, however, that the provisions of this paragraph 5 shall lapse and be of no force and effect if (x) a tender or exchange is commenced by a third party (other than a third party who is an affiliate of, or acting in concert with, Recipient) for 20% or more of the outstanding shares of Protected Party's common stock, (y) a third party (including any "group" within the meaning of Section 13d-3 of the Exchange Act) (other than a third party who is an affiliate of, or acting in concert with, Recipient) acquires, after the date of this agreement, beneficial ownership (within the meaning of Rule 13d-3 under the Exchange Act) of more than 20% of the outstanding shares of Protected Party's common stock, or (z) Protected Party agrees (whether by definitive agreement or letter of intent) to a merger, consolidation or other acquisition of the Protected Party or an acquisition of all or substantially all the assets of the Protected Party.</w:t>
      </w:r>
    </w:p>
    <w:p>
      <w:pPr>
        <w:spacing w:after="0" w:line="350" w:lineRule="exact"/>
        <w:rPr>
          <w:sz w:val="20"/>
          <w:szCs w:val="20"/>
          <w:color w:val="auto"/>
        </w:rPr>
      </w:pPr>
    </w:p>
    <w:p>
      <w:pPr>
        <w:ind w:left="800" w:right="3319" w:hanging="790"/>
        <w:spacing w:after="0" w:line="236"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hereby acknowledges that the Protected Party would not have an adequate remedy at law for money damages in the event that this agreement were not performed in accordance with its terms and, therefore, agrees that the Protected Party shall be entitled to specific performance of the terms hereof in addition to any other remedy to which it may be entitled at law or in equity; except that in no event shall a party hereto be liable for punitive, special or indirect damages.</w:t>
      </w:r>
    </w:p>
    <w:p>
      <w:pPr>
        <w:sectPr>
          <w:pgSz w:w="11900" w:h="16838" w:orient="portrait"/>
          <w:cols w:equalWidth="0" w:num="1">
            <w:col w:w="10239"/>
          </w:cols>
          <w:pgMar w:left="220" w:top="281"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5</w:t>
      </w:r>
    </w:p>
    <w:p>
      <w:pPr>
        <w:spacing w:after="0" w:line="342" w:lineRule="exact"/>
        <w:rPr>
          <w:sz w:val="20"/>
          <w:szCs w:val="20"/>
          <w:color w:val="auto"/>
        </w:rPr>
      </w:pPr>
    </w:p>
    <w:p>
      <w:pPr>
        <w:ind w:left="800" w:right="3319" w:hanging="790"/>
        <w:spacing w:after="0" w:line="236" w:lineRule="auto"/>
        <w:tabs>
          <w:tab w:leader="none" w:pos="80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understands and agrees that no contract or agreement providing for a Transaction shall be deemed to exist between the Recipient and the Protected Party unless and until a definitive acquisition agreement has been executed and delivered, and each party hereby waives, in advance, any claims (including, without limitation, breach of contract) in connection with any such Transaction unless and until the parties have entered into a definitive acquisition agreement.</w:t>
      </w:r>
    </w:p>
    <w:p>
      <w:pPr>
        <w:spacing w:after="0" w:line="177"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TEXAS.</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not be changed, waived, discharged or terminated orally, but only by an agreement in writing signed by the party against which the enforcement of such change, waiver, discharge or termination is sought.</w:t>
      </w:r>
    </w:p>
    <w:p>
      <w:pPr>
        <w:spacing w:after="0" w:line="175"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automatically terminate on the date two (2) years from the date of this letter, except that such termination shall not affect any rights or remedies of either party arising out of prior breaches of this agreement by the other party, provided that legal action to enforce such rights or remedies is commenced with two (2) years of such breach and except that paragraphs 2, 3, 7, 8, 9 and 10 above shall survive such termination.</w:t>
      </w:r>
    </w:p>
    <w:p>
      <w:pPr>
        <w:spacing w:after="0" w:line="176"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If the foregoing is in accordance with Recipient's understanding, please sign a copy of this letter and return it to the Protected Party, whereupon this letter shall constitute a binding agreement between the Protected Party and Recipient.</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tab/>
        <w:t>/s/ H. Steven Walton</w:t>
      </w:r>
    </w:p>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540"/>
        <w:spacing w:after="0" w:line="238" w:lineRule="auto"/>
        <w:rPr>
          <w:sz w:val="20"/>
          <w:szCs w:val="20"/>
          <w:color w:val="auto"/>
        </w:rPr>
      </w:pPr>
      <w:r>
        <w:rPr>
          <w:rFonts w:ascii="Courier New" w:cs="Courier New" w:eastAsia="Courier New" w:hAnsi="Courier New"/>
          <w:sz w:val="15"/>
          <w:szCs w:val="15"/>
          <w:color w:val="auto"/>
        </w:rPr>
        <w:t>H. Steven Walton</w:t>
      </w:r>
    </w:p>
    <w:p>
      <w:pPr>
        <w:ind w:left="540"/>
        <w:spacing w:after="0" w:line="237" w:lineRule="auto"/>
        <w:rPr>
          <w:sz w:val="20"/>
          <w:szCs w:val="20"/>
          <w:color w:val="auto"/>
        </w:rPr>
      </w:pPr>
      <w:r>
        <w:rPr>
          <w:rFonts w:ascii="Courier New" w:cs="Courier New" w:eastAsia="Courier New" w:hAnsi="Courier New"/>
          <w:sz w:val="15"/>
          <w:szCs w:val="15"/>
          <w:color w:val="auto"/>
        </w:rPr>
        <w:t>Vice President-Government Affairs,</w:t>
      </w:r>
    </w:p>
    <w:p>
      <w:pPr>
        <w:ind w:left="540"/>
        <w:spacing w:after="0" w:line="238" w:lineRule="auto"/>
        <w:rPr>
          <w:sz w:val="20"/>
          <w:szCs w:val="20"/>
          <w:color w:val="auto"/>
        </w:rPr>
      </w:pPr>
      <w:r>
        <w:rPr>
          <w:rFonts w:ascii="Courier New" w:cs="Courier New" w:eastAsia="Courier New" w:hAnsi="Courier New"/>
          <w:sz w:val="15"/>
          <w:szCs w:val="15"/>
          <w:color w:val="auto"/>
        </w:rPr>
        <w:t>General Counsel &amp; Secretary</w:t>
      </w:r>
    </w:p>
    <w:p>
      <w:pPr>
        <w:sectPr>
          <w:pgSz w:w="11900" w:h="16838" w:orient="portrait"/>
          <w:cols w:equalWidth="0" w:num="1">
            <w:col w:w="10239"/>
          </w:cols>
          <w:pgMar w:left="220" w:top="281"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5"/>
          <w:szCs w:val="15"/>
          <w:color w:val="auto"/>
        </w:rPr>
        <w:t>6</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238" w:lineRule="auto"/>
        <w:rPr>
          <w:sz w:val="20"/>
          <w:szCs w:val="20"/>
          <w:color w:val="auto"/>
        </w:rPr>
      </w:pPr>
      <w:r>
        <w:rPr>
          <w:rFonts w:ascii="Courier New" w:cs="Courier New" w:eastAsia="Courier New" w:hAnsi="Courier New"/>
          <w:sz w:val="15"/>
          <w:szCs w:val="15"/>
          <w:color w:val="auto"/>
        </w:rPr>
        <w:t>June 17, 1996</w:t>
      </w:r>
    </w:p>
    <w:p>
      <w:pPr>
        <w:spacing w:after="0" w:line="237" w:lineRule="auto"/>
        <w:rPr>
          <w:sz w:val="20"/>
          <w:szCs w:val="20"/>
          <w:color w:val="auto"/>
        </w:rPr>
      </w:pPr>
      <w:r>
        <w:rPr>
          <w:rFonts w:ascii="Courier New" w:cs="Courier New" w:eastAsia="Courier New" w:hAnsi="Courier New"/>
          <w:sz w:val="15"/>
          <w:szCs w:val="15"/>
          <w:color w:val="auto"/>
        </w:rPr>
        <w:t>Page 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AND ACCEPTED this 17th day of June,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tab/>
        <w:t>/s/ Gregory T. Sangalis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Gregory T. Sangalis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Vice President, General Counsel &amp; Secretary</w:t>
      </w:r>
    </w:p>
    <w:p>
      <w:pPr>
        <w:sectPr>
          <w:pgSz w:w="11900" w:h="16838" w:orient="portrait"/>
          <w:cols w:equalWidth="0" w:num="1">
            <w:col w:w="10239"/>
          </w:cols>
          <w:pgMar w:left="220" w:top="281"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21.1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SUBSIDIARIES (DIRECT &amp; INDIRECT, WHOLLY-OWNED) OF</w:t>
      </w:r>
    </w:p>
    <w:p>
      <w:pPr>
        <w:jc w:val="center"/>
        <w:ind w:right="3239"/>
        <w:spacing w:after="0" w:line="237" w:lineRule="auto"/>
        <w:rPr>
          <w:sz w:val="20"/>
          <w:szCs w:val="20"/>
          <w:color w:val="auto"/>
        </w:rPr>
      </w:pPr>
      <w:r>
        <w:rPr>
          <w:rFonts w:ascii="Courier New" w:cs="Courier New" w:eastAsia="Courier New" w:hAnsi="Courier New"/>
          <w:sz w:val="15"/>
          <w:szCs w:val="15"/>
          <w:color w:val="auto"/>
        </w:rPr>
        <w:t>USA WASTE SERVICES, INC., A DELAWARE CORPORATION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 06/30/96)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ART-JO CO.(NJ)</w:t>
      </w:r>
    </w:p>
    <w:p>
      <w:pPr>
        <w:spacing w:after="0" w:line="237" w:lineRule="auto"/>
        <w:rPr>
          <w:sz w:val="20"/>
          <w:szCs w:val="20"/>
          <w:color w:val="auto"/>
        </w:rPr>
      </w:pPr>
      <w:r>
        <w:rPr>
          <w:rFonts w:ascii="Courier New" w:cs="Courier New" w:eastAsia="Courier New" w:hAnsi="Courier New"/>
          <w:sz w:val="15"/>
          <w:szCs w:val="15"/>
          <w:color w:val="auto"/>
        </w:rPr>
        <w:t>BIG DIPPER ENTERPRISES, INC. (ND)</w:t>
      </w:r>
    </w:p>
    <w:p>
      <w:pPr>
        <w:ind w:left="1140"/>
        <w:spacing w:after="0" w:line="238" w:lineRule="auto"/>
        <w:rPr>
          <w:sz w:val="20"/>
          <w:szCs w:val="20"/>
          <w:color w:val="auto"/>
        </w:rPr>
      </w:pPr>
      <w:r>
        <w:rPr>
          <w:rFonts w:ascii="Courier New" w:cs="Courier New" w:eastAsia="Courier New" w:hAnsi="Courier New"/>
          <w:sz w:val="15"/>
          <w:szCs w:val="15"/>
          <w:color w:val="auto"/>
        </w:rPr>
        <w:t>dba "Dakota Landfill"</w:t>
      </w:r>
    </w:p>
    <w:p>
      <w:pPr>
        <w:spacing w:after="0" w:line="237" w:lineRule="auto"/>
        <w:rPr>
          <w:sz w:val="20"/>
          <w:szCs w:val="20"/>
          <w:color w:val="auto"/>
        </w:rPr>
      </w:pPr>
      <w:r>
        <w:rPr>
          <w:rFonts w:ascii="Courier New" w:cs="Courier New" w:eastAsia="Courier New" w:hAnsi="Courier New"/>
          <w:sz w:val="15"/>
          <w:szCs w:val="15"/>
          <w:color w:val="auto"/>
        </w:rPr>
        <w:t>BRAZORIA COUNTY RECYCLING CENTER, INC. (TX)</w:t>
      </w:r>
    </w:p>
    <w:p>
      <w:pPr>
        <w:ind w:left="1140"/>
        <w:spacing w:after="0" w:line="238" w:lineRule="auto"/>
        <w:rPr>
          <w:sz w:val="20"/>
          <w:szCs w:val="20"/>
          <w:color w:val="auto"/>
        </w:rPr>
      </w:pPr>
      <w:r>
        <w:rPr>
          <w:rFonts w:ascii="Courier New" w:cs="Courier New" w:eastAsia="Courier New" w:hAnsi="Courier New"/>
          <w:sz w:val="15"/>
          <w:szCs w:val="15"/>
          <w:color w:val="auto"/>
        </w:rPr>
        <w:t>dba "BCRC"</w:t>
      </w:r>
    </w:p>
    <w:p>
      <w:pPr>
        <w:ind w:left="1140"/>
        <w:spacing w:after="0" w:line="237" w:lineRule="auto"/>
        <w:rPr>
          <w:sz w:val="20"/>
          <w:szCs w:val="20"/>
          <w:color w:val="auto"/>
        </w:rPr>
      </w:pPr>
      <w:r>
        <w:rPr>
          <w:rFonts w:ascii="Courier New" w:cs="Courier New" w:eastAsia="Courier New" w:hAnsi="Courier New"/>
          <w:sz w:val="15"/>
          <w:szCs w:val="15"/>
          <w:color w:val="auto"/>
        </w:rPr>
        <w:t>dba "Brazoria County Landfill"</w:t>
      </w:r>
    </w:p>
    <w:p>
      <w:pPr>
        <w:ind w:left="1140"/>
        <w:spacing w:after="0" w:line="238" w:lineRule="auto"/>
        <w:rPr>
          <w:sz w:val="20"/>
          <w:szCs w:val="20"/>
          <w:color w:val="auto"/>
        </w:rPr>
      </w:pPr>
      <w:r>
        <w:rPr>
          <w:rFonts w:ascii="Courier New" w:cs="Courier New" w:eastAsia="Courier New" w:hAnsi="Courier New"/>
          <w:sz w:val="15"/>
          <w:szCs w:val="15"/>
          <w:color w:val="auto"/>
        </w:rPr>
        <w:t>dba "WRS Transfer Station"</w:t>
      </w:r>
    </w:p>
    <w:p>
      <w:pPr>
        <w:spacing w:after="0" w:line="237" w:lineRule="auto"/>
        <w:rPr>
          <w:sz w:val="20"/>
          <w:szCs w:val="20"/>
          <w:color w:val="auto"/>
        </w:rPr>
      </w:pPr>
      <w:r>
        <w:rPr>
          <w:rFonts w:ascii="Courier New" w:cs="Courier New" w:eastAsia="Courier New" w:hAnsi="Courier New"/>
          <w:sz w:val="15"/>
          <w:szCs w:val="15"/>
          <w:color w:val="auto"/>
        </w:rPr>
        <w:t>CHAMBERS DEVELOPMENT COMPANY, INC. (DE)</w:t>
      </w:r>
    </w:p>
    <w:p>
      <w:pPr>
        <w:ind w:left="1140"/>
        <w:spacing w:after="0" w:line="238" w:lineRule="auto"/>
        <w:rPr>
          <w:sz w:val="20"/>
          <w:szCs w:val="20"/>
          <w:color w:val="auto"/>
        </w:rPr>
      </w:pPr>
      <w:r>
        <w:rPr>
          <w:rFonts w:ascii="Courier New" w:cs="Courier New" w:eastAsia="Courier New" w:hAnsi="Courier New"/>
          <w:sz w:val="15"/>
          <w:szCs w:val="15"/>
          <w:color w:val="auto"/>
        </w:rPr>
        <w:t>dba "North Huntingdon Hauling"</w:t>
      </w:r>
    </w:p>
    <w:p>
      <w:pPr>
        <w:ind w:left="1140"/>
        <w:spacing w:after="0" w:line="238" w:lineRule="auto"/>
        <w:rPr>
          <w:sz w:val="20"/>
          <w:szCs w:val="20"/>
          <w:color w:val="auto"/>
        </w:rPr>
      </w:pPr>
      <w:r>
        <w:rPr>
          <w:rFonts w:ascii="Courier New" w:cs="Courier New" w:eastAsia="Courier New" w:hAnsi="Courier New"/>
          <w:sz w:val="15"/>
          <w:szCs w:val="15"/>
          <w:color w:val="auto"/>
        </w:rPr>
        <w:t>dba "Monroeville Landfill"</w:t>
      </w:r>
    </w:p>
    <w:p>
      <w:pPr>
        <w:ind w:left="360"/>
        <w:spacing w:after="0" w:line="237" w:lineRule="auto"/>
        <w:rPr>
          <w:sz w:val="20"/>
          <w:szCs w:val="20"/>
          <w:color w:val="auto"/>
        </w:rPr>
      </w:pPr>
      <w:r>
        <w:rPr>
          <w:rFonts w:ascii="Courier New" w:cs="Courier New" w:eastAsia="Courier New" w:hAnsi="Courier New"/>
          <w:sz w:val="15"/>
          <w:szCs w:val="15"/>
          <w:color w:val="auto"/>
        </w:rPr>
        <w:t>CDC SERVICES, INC. (DE)</w:t>
      </w:r>
    </w:p>
    <w:tbl>
      <w:tblPr>
        <w:tblLayout w:type="fixed"/>
        <w:tblInd w:w="360" w:type="dxa"/>
        <w:tblCellMar>
          <w:top w:w="0" w:type="dxa"/>
          <w:left w:w="0" w:type="dxa"/>
          <w:bottom w:w="0" w:type="dxa"/>
          <w:right w:w="0" w:type="dxa"/>
        </w:tblCellMar>
      </w:tblPr>
      <w:tr>
        <w:trPr>
          <w:trHeight w:val="169"/>
        </w:trPr>
        <w:tc>
          <w:tcPr>
            <w:tcW w:w="740" w:type="dxa"/>
            <w:vAlign w:val="bottom"/>
          </w:tcPr>
          <w:p>
            <w:pPr>
              <w:spacing w:after="0"/>
              <w:rPr>
                <w:sz w:val="14"/>
                <w:szCs w:val="14"/>
                <w:color w:val="auto"/>
              </w:rPr>
            </w:pPr>
          </w:p>
        </w:tc>
        <w:tc>
          <w:tcPr>
            <w:tcW w:w="476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rPr>
              <w:t>(fka Security Bureau, Inc.)</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DEVELOPMENT OF OHIO, INC. (OH)</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DEVELOPMENT OF VIRGINIA, INC. (VA)</w:t>
            </w:r>
          </w:p>
        </w:tc>
      </w:tr>
      <w:tr>
        <w:trPr>
          <w:trHeight w:val="168"/>
        </w:trPr>
        <w:tc>
          <w:tcPr>
            <w:tcW w:w="74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"Charles</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County Landfill"</w:t>
            </w:r>
          </w:p>
        </w:tc>
      </w:tr>
      <w:tr>
        <w:trPr>
          <w:trHeight w:val="168"/>
        </w:trPr>
        <w:tc>
          <w:tcPr>
            <w:tcW w:w="74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"Newport</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News Recycling"</w:t>
            </w:r>
          </w:p>
        </w:tc>
      </w:tr>
      <w:tr>
        <w:trPr>
          <w:trHeight w:val="168"/>
        </w:trPr>
        <w:tc>
          <w:tcPr>
            <w:tcW w:w="74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"Newport</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News Transfer Station"</w:t>
            </w:r>
          </w:p>
        </w:tc>
      </w:tr>
      <w:tr>
        <w:trPr>
          <w:trHeight w:val="168"/>
        </w:trPr>
        <w:tc>
          <w:tcPr>
            <w:tcW w:w="74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"Norfolk</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Hauling"</w:t>
            </w:r>
          </w:p>
        </w:tc>
      </w:tr>
      <w:tr>
        <w:trPr>
          <w:trHeight w:val="168"/>
        </w:trPr>
        <w:tc>
          <w:tcPr>
            <w:tcW w:w="740" w:type="dxa"/>
            <w:vAlign w:val="bottom"/>
          </w:tcPr>
          <w:p>
            <w:pPr>
              <w:spacing w:after="0"/>
              <w:rPr>
                <w:sz w:val="14"/>
                <w:szCs w:val="14"/>
                <w:color w:val="auto"/>
              </w:rPr>
            </w:pP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dba "Richmond Hauling"</w:t>
            </w:r>
          </w:p>
        </w:tc>
      </w:tr>
      <w:tr>
        <w:trPr>
          <w:trHeight w:val="168"/>
        </w:trPr>
        <w:tc>
          <w:tcPr>
            <w:tcW w:w="19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CHAMBERS ENERGY,</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 (VA)</w:t>
            </w:r>
          </w:p>
        </w:tc>
      </w:tr>
      <w:tr>
        <w:trPr>
          <w:trHeight w:val="168"/>
        </w:trPr>
        <w:tc>
          <w:tcPr>
            <w:tcW w:w="740" w:type="dxa"/>
            <w:vAlign w:val="bottom"/>
          </w:tcPr>
          <w:p>
            <w:pPr>
              <w:spacing w:after="0"/>
              <w:rPr>
                <w:sz w:val="14"/>
                <w:szCs w:val="14"/>
                <w:color w:val="auto"/>
              </w:rPr>
            </w:pP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(fka Chambers Maplewood Landfill, Inc.)</w:t>
            </w:r>
          </w:p>
        </w:tc>
      </w:tr>
      <w:tr>
        <w:trPr>
          <w:trHeight w:val="168"/>
        </w:trPr>
        <w:tc>
          <w:tcPr>
            <w:tcW w:w="740" w:type="dxa"/>
            <w:vAlign w:val="bottom"/>
          </w:tcPr>
          <w:p>
            <w:pPr>
              <w:spacing w:after="0"/>
              <w:rPr>
                <w:sz w:val="14"/>
                <w:szCs w:val="14"/>
                <w:color w:val="auto"/>
              </w:rPr>
            </w:pP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dba "Amelia Landfill"</w:t>
            </w:r>
          </w:p>
        </w:tc>
      </w:tr>
      <w:tr>
        <w:trPr>
          <w:trHeight w:val="168"/>
        </w:trPr>
        <w:tc>
          <w:tcPr>
            <w:tcW w:w="740" w:type="dxa"/>
            <w:vAlign w:val="bottom"/>
          </w:tcPr>
          <w:p>
            <w:pPr>
              <w:spacing w:after="0"/>
              <w:rPr>
                <w:sz w:val="14"/>
                <w:szCs w:val="14"/>
                <w:color w:val="auto"/>
              </w:rPr>
            </w:pP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dba "Maplewood Landfill"</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OLD</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DOMINION RECYCLING SERVICES, INC. (VA)</w:t>
            </w:r>
          </w:p>
        </w:tc>
      </w:tr>
      <w:tr>
        <w:trPr>
          <w:trHeight w:val="168"/>
        </w:trPr>
        <w:tc>
          <w:tcPr>
            <w:tcW w:w="740" w:type="dxa"/>
            <w:vAlign w:val="bottom"/>
          </w:tcPr>
          <w:p>
            <w:pPr>
              <w:spacing w:after="0"/>
              <w:rPr>
                <w:sz w:val="14"/>
                <w:szCs w:val="14"/>
                <w:color w:val="auto"/>
              </w:rPr>
            </w:pP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dba "Old Dominion"</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ENTERPRISES,</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 (PA)</w:t>
            </w:r>
          </w:p>
        </w:tc>
      </w:tr>
      <w:tr>
        <w:trPr>
          <w:trHeight w:val="168"/>
        </w:trPr>
        <w:tc>
          <w:tcPr>
            <w:tcW w:w="740" w:type="dxa"/>
            <w:vAlign w:val="bottom"/>
          </w:tcPr>
          <w:p>
            <w:pPr>
              <w:spacing w:after="0"/>
              <w:rPr>
                <w:sz w:val="14"/>
                <w:szCs w:val="14"/>
                <w:color w:val="auto"/>
              </w:rPr>
            </w:pP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(fka Underground Tank Services, Inc.)</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INTERNATIONAL, INC. (DE)</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LAUREL HIGHLANDS LANDFILL, INC. (PA)</w:t>
            </w:r>
          </w:p>
        </w:tc>
      </w:tr>
      <w:tr>
        <w:trPr>
          <w:trHeight w:val="168"/>
        </w:trPr>
        <w:tc>
          <w:tcPr>
            <w:tcW w:w="740" w:type="dxa"/>
            <w:vAlign w:val="bottom"/>
          </w:tcPr>
          <w:p>
            <w:pPr>
              <w:spacing w:after="0"/>
              <w:rPr>
                <w:sz w:val="14"/>
                <w:szCs w:val="14"/>
                <w:color w:val="auto"/>
              </w:rPr>
            </w:pP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dba "Laurel Highlands Landfill"</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MEDICAL TECHNOLOGIES, INC. (PA - 04/26/91)</w:t>
            </w:r>
          </w:p>
        </w:tc>
      </w:tr>
      <w:tr>
        <w:trPr>
          <w:trHeight w:val="168"/>
        </w:trPr>
        <w:tc>
          <w:tcPr>
            <w:tcW w:w="19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CHAMBERS MEDICAL</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TECHNOLOGIES OF SOUTH CAROLINA, INC. (SC)</w:t>
            </w:r>
          </w:p>
        </w:tc>
      </w:tr>
      <w:tr>
        <w:trPr>
          <w:trHeight w:val="168"/>
        </w:trPr>
        <w:tc>
          <w:tcPr>
            <w:tcW w:w="74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dba "MedTech"</w:t>
            </w:r>
          </w:p>
        </w:tc>
        <w:tc>
          <w:tcPr>
            <w:tcW w:w="3580" w:type="dxa"/>
            <w:vAlign w:val="bottom"/>
          </w:tcPr>
          <w:p>
            <w:pPr>
              <w:spacing w:after="0"/>
              <w:rPr>
                <w:sz w:val="14"/>
                <w:szCs w:val="14"/>
                <w:color w:val="auto"/>
              </w:rPr>
            </w:pP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DELAWARE,</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 (DE)</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GEORGIA, INC. (GA)</w:t>
            </w:r>
          </w:p>
        </w:tc>
      </w:tr>
      <w:tr>
        <w:trPr>
          <w:trHeight w:val="168"/>
        </w:trPr>
        <w:tc>
          <w:tcPr>
            <w:tcW w:w="74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"Atlanta</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Hauling"</w:t>
            </w:r>
          </w:p>
        </w:tc>
      </w:tr>
      <w:tr>
        <w:trPr>
          <w:trHeight w:val="168"/>
        </w:trPr>
        <w:tc>
          <w:tcPr>
            <w:tcW w:w="74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"Atlanta</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Landfill"</w:t>
            </w:r>
          </w:p>
        </w:tc>
      </w:tr>
    </w:tbl>
    <w:p>
      <w:pPr>
        <w:ind w:left="1140"/>
        <w:spacing w:after="0" w:line="237" w:lineRule="auto"/>
        <w:rPr>
          <w:sz w:val="20"/>
          <w:szCs w:val="20"/>
          <w:color w:val="auto"/>
        </w:rPr>
      </w:pPr>
      <w:r>
        <w:rPr>
          <w:rFonts w:ascii="Courier New" w:cs="Courier New" w:eastAsia="Courier New" w:hAnsi="Courier New"/>
          <w:sz w:val="15"/>
          <w:szCs w:val="15"/>
          <w:color w:val="auto"/>
        </w:rPr>
        <w:t>dba "Cedartown Hauling"</w:t>
      </w:r>
    </w:p>
    <w:p>
      <w:pPr>
        <w:ind w:left="800"/>
        <w:spacing w:after="0" w:line="238" w:lineRule="auto"/>
        <w:rPr>
          <w:sz w:val="20"/>
          <w:szCs w:val="20"/>
          <w:color w:val="auto"/>
        </w:rPr>
      </w:pPr>
      <w:r>
        <w:rPr>
          <w:rFonts w:ascii="Courier New" w:cs="Courier New" w:eastAsia="Courier New" w:hAnsi="Courier New"/>
          <w:sz w:val="15"/>
          <w:szCs w:val="15"/>
          <w:color w:val="auto"/>
        </w:rPr>
        <w:t>CHAMBERS CLEARVIEW ENVIRONMENTAL LANDFILL, INC. (MS)</w:t>
      </w:r>
    </w:p>
    <w:p>
      <w:pPr>
        <w:ind w:left="1140"/>
        <w:spacing w:after="0" w:line="237" w:lineRule="auto"/>
        <w:rPr>
          <w:sz w:val="20"/>
          <w:szCs w:val="20"/>
          <w:color w:val="auto"/>
        </w:rPr>
      </w:pPr>
      <w:r>
        <w:rPr>
          <w:rFonts w:ascii="Courier New" w:cs="Courier New" w:eastAsia="Courier New" w:hAnsi="Courier New"/>
          <w:sz w:val="15"/>
          <w:szCs w:val="15"/>
          <w:color w:val="auto"/>
        </w:rPr>
        <w:t>dba "Clearview Environmental Landfill"</w:t>
      </w:r>
    </w:p>
    <w:p>
      <w:pPr>
        <w:ind w:left="800"/>
        <w:spacing w:after="0" w:line="238" w:lineRule="auto"/>
        <w:rPr>
          <w:sz w:val="20"/>
          <w:szCs w:val="20"/>
          <w:color w:val="auto"/>
        </w:rPr>
      </w:pPr>
      <w:r>
        <w:rPr>
          <w:rFonts w:ascii="Courier New" w:cs="Courier New" w:eastAsia="Courier New" w:hAnsi="Courier New"/>
          <w:sz w:val="15"/>
          <w:szCs w:val="15"/>
          <w:color w:val="auto"/>
        </w:rPr>
        <w:t>CHAMBERS R &amp; B LANDFILL, INC. (GA)</w:t>
      </w:r>
    </w:p>
    <w:p>
      <w:pPr>
        <w:ind w:left="1140"/>
        <w:spacing w:after="0" w:line="237" w:lineRule="auto"/>
        <w:rPr>
          <w:sz w:val="20"/>
          <w:szCs w:val="20"/>
          <w:color w:val="auto"/>
        </w:rPr>
      </w:pPr>
      <w:r>
        <w:rPr>
          <w:rFonts w:ascii="Courier New" w:cs="Courier New" w:eastAsia="Courier New" w:hAnsi="Courier New"/>
          <w:sz w:val="15"/>
          <w:szCs w:val="15"/>
          <w:color w:val="auto"/>
        </w:rPr>
        <w:t>dba "R&amp;B Landfill"</w:t>
      </w:r>
    </w:p>
    <w:p>
      <w:pPr>
        <w:ind w:left="800"/>
        <w:spacing w:after="0" w:line="238" w:lineRule="auto"/>
        <w:rPr>
          <w:sz w:val="20"/>
          <w:szCs w:val="20"/>
          <w:color w:val="auto"/>
        </w:rPr>
      </w:pPr>
      <w:r>
        <w:rPr>
          <w:rFonts w:ascii="Courier New" w:cs="Courier New" w:eastAsia="Courier New" w:hAnsi="Courier New"/>
          <w:sz w:val="15"/>
          <w:szCs w:val="15"/>
          <w:color w:val="auto"/>
        </w:rPr>
        <w:t>CHAMBERS SMYRNA LANDFILL, INC. (GA)</w:t>
      </w:r>
    </w:p>
    <w:p>
      <w:pPr>
        <w:ind w:left="1140"/>
        <w:spacing w:after="0" w:line="237" w:lineRule="auto"/>
        <w:rPr>
          <w:sz w:val="20"/>
          <w:szCs w:val="20"/>
          <w:color w:val="auto"/>
        </w:rPr>
      </w:pPr>
      <w:r>
        <w:rPr>
          <w:rFonts w:ascii="Courier New" w:cs="Courier New" w:eastAsia="Courier New" w:hAnsi="Courier New"/>
          <w:sz w:val="15"/>
          <w:szCs w:val="15"/>
          <w:color w:val="auto"/>
        </w:rPr>
        <w:t>dba "Smyrna Landfill"</w:t>
      </w:r>
    </w:p>
    <w:p>
      <w:pPr>
        <w:ind w:left="360"/>
        <w:spacing w:after="0" w:line="238" w:lineRule="auto"/>
        <w:rPr>
          <w:sz w:val="20"/>
          <w:szCs w:val="20"/>
          <w:color w:val="auto"/>
        </w:rPr>
      </w:pPr>
      <w:r>
        <w:rPr>
          <w:rFonts w:ascii="Courier New" w:cs="Courier New" w:eastAsia="Courier New" w:hAnsi="Courier New"/>
          <w:sz w:val="15"/>
          <w:szCs w:val="15"/>
          <w:color w:val="auto"/>
        </w:rPr>
        <w:t>CHAMBERS OF ILLINOIS, INC. (IL)</w:t>
      </w:r>
    </w:p>
    <w:p>
      <w:pPr>
        <w:ind w:left="360"/>
        <w:spacing w:after="0" w:line="238" w:lineRule="auto"/>
        <w:rPr>
          <w:sz w:val="20"/>
          <w:szCs w:val="20"/>
          <w:color w:val="auto"/>
        </w:rPr>
      </w:pPr>
      <w:r>
        <w:rPr>
          <w:rFonts w:ascii="Courier New" w:cs="Courier New" w:eastAsia="Courier New" w:hAnsi="Courier New"/>
          <w:sz w:val="15"/>
          <w:szCs w:val="15"/>
          <w:color w:val="auto"/>
        </w:rPr>
        <w:t>CHAMBERS OF INDIANA, INC. (IN)</w:t>
      </w:r>
    </w:p>
    <w:p>
      <w:pPr>
        <w:ind w:left="360"/>
        <w:spacing w:after="0" w:line="237" w:lineRule="auto"/>
        <w:rPr>
          <w:sz w:val="20"/>
          <w:szCs w:val="20"/>
          <w:color w:val="auto"/>
        </w:rPr>
      </w:pPr>
      <w:r>
        <w:rPr>
          <w:rFonts w:ascii="Courier New" w:cs="Courier New" w:eastAsia="Courier New" w:hAnsi="Courier New"/>
          <w:sz w:val="15"/>
          <w:szCs w:val="15"/>
          <w:color w:val="auto"/>
        </w:rPr>
        <w:t>CHAMBERS OF MARYLAND, INC. (MD)</w:t>
      </w:r>
    </w:p>
    <w:p>
      <w:pPr>
        <w:ind w:left="1140"/>
        <w:spacing w:after="0" w:line="238" w:lineRule="auto"/>
        <w:rPr>
          <w:sz w:val="20"/>
          <w:szCs w:val="20"/>
          <w:color w:val="auto"/>
        </w:rPr>
      </w:pPr>
      <w:r>
        <w:rPr>
          <w:rFonts w:ascii="Courier New" w:cs="Courier New" w:eastAsia="Courier New" w:hAnsi="Courier New"/>
          <w:sz w:val="15"/>
          <w:szCs w:val="15"/>
          <w:color w:val="auto"/>
        </w:rPr>
        <w:t>dba "Mountainview Landfill"</w:t>
      </w:r>
    </w:p>
    <w:p>
      <w:pPr>
        <w:ind w:left="360"/>
        <w:spacing w:after="0" w:line="237" w:lineRule="auto"/>
        <w:rPr>
          <w:sz w:val="20"/>
          <w:szCs w:val="20"/>
          <w:color w:val="auto"/>
        </w:rPr>
      </w:pPr>
      <w:r>
        <w:rPr>
          <w:rFonts w:ascii="Courier New" w:cs="Courier New" w:eastAsia="Courier New" w:hAnsi="Courier New"/>
          <w:sz w:val="15"/>
          <w:szCs w:val="15"/>
          <w:color w:val="auto"/>
        </w:rPr>
        <w:t>CHAMBERS OF MASSACHUSETTS, INC. (MA)</w:t>
      </w:r>
    </w:p>
    <w:p>
      <w:pPr>
        <w:sectPr>
          <w:pgSz w:w="11900" w:h="16838" w:orient="portrait"/>
          <w:cols w:equalWidth="0" w:num="1">
            <w:col w:w="10239"/>
          </w:cols>
          <w:pgMar w:left="220" w:top="135"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2</w:t>
      </w:r>
    </w:p>
    <w:tbl>
      <w:tblPr>
        <w:tblLayout w:type="fixed"/>
        <w:tblInd w:w="80" w:type="dxa"/>
        <w:tblCellMar>
          <w:top w:w="0" w:type="dxa"/>
          <w:left w:w="0" w:type="dxa"/>
          <w:bottom w:w="0" w:type="dxa"/>
          <w:right w:w="0" w:type="dxa"/>
        </w:tblCellMar>
      </w:tblP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MISSISSIPPI, INC. (MS)</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"Lake Mississippi Hauling"</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NEW JERSEY, INC. (NJ)</w:t>
            </w:r>
          </w:p>
        </w:tc>
      </w:tr>
      <w:tr>
        <w:trPr>
          <w:trHeight w:val="168"/>
        </w:trPr>
        <w:tc>
          <w:tcPr>
            <w:tcW w:w="45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CHAMBERS WASTE SYSTEMS OF NEW JERSEY, INC. (NJ)</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"Atlantic City Hauling"</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"Bergen County Transfer Station"</w:t>
            </w:r>
          </w:p>
        </w:tc>
      </w:tr>
      <w:tr>
        <w:trPr>
          <w:trHeight w:val="168"/>
        </w:trPr>
        <w:tc>
          <w:tcPr>
            <w:tcW w:w="45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MORRIS COUNTY TRANSFER STATION, INC. (NJ)</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"MCTS"</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"Mount Olive Transfer Station"</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"Par Troy Transfer Station"</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PENNSYLVANIA, INC. (PA)</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(fka Truman E. Horner, Inc.)</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"Chambers of PA - Allentown"</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"Lehigh Hauling"</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"Lehigh Hauling (Allentown)"</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"Mainline Sanitation Hauling"</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"Portage Hauling"</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"Truman Horner"</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"USA Waste of Harrisburg"</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TENNESSEE, INC. (TN)</w:t>
            </w:r>
          </w:p>
        </w:tc>
      </w:tr>
      <w:tr>
        <w:trPr>
          <w:trHeight w:val="168"/>
        </w:trPr>
        <w:tc>
          <w:tcPr>
            <w:tcW w:w="45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REMOTE LANDFILL SERVICES, INC. (TN)</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"Remote Landfill"</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H. SIENKNECHT CO. (TN)</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WEST VIRGINIA, INC. (WV)</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LCS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SERVICES, INC. (WV)</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"LCS Landfill"</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"North Mountain Landfill"</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RESOURCES, INC. (PA)</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SERVICES, INC. (DE)</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WASTE SYSTEMS OF CALIFORNIA, INC. (CA)</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WASTE SYSTEMS OF FLORIDA, INC. (FL)</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"Okeechobee Landfill"</w:t>
            </w:r>
          </w:p>
        </w:tc>
      </w:tr>
      <w:tr>
        <w:trPr>
          <w:trHeight w:val="168"/>
        </w:trPr>
        <w:tc>
          <w:tcPr>
            <w:tcW w:w="45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CHAMBERS ORANGE COUNTY LANDFILL, INC. (FL)</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"Orange County Landfill"</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WASTE SYSTEMS OF MISSISSIPPI, INC. (MS)</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"Jackson Disposal Services"</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WASTE SYSTEMS OF NEW YORK, INC. (NY)</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WASTE SYSTEMS OF OHIO, INC.(OH))</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WASTE SYSTEMS OF RHODE ISLAND, INC. (RI)</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WASTE SYSTEMS OF SOUTH CAROLINA, INC. (SC)</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"Columbia Hauling"</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"Fairfield County Transfer Station"</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"Orangeburg Hauling"</w:t>
            </w:r>
          </w:p>
        </w:tc>
      </w:tr>
      <w:tr>
        <w:trPr>
          <w:trHeight w:val="168"/>
        </w:trPr>
        <w:tc>
          <w:tcPr>
            <w:tcW w:w="45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CHAMBERS OAKRIDGE LANDFILL, INC. (SC)</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"Oakridge Landfill"</w:t>
            </w:r>
          </w:p>
        </w:tc>
      </w:tr>
      <w:tr>
        <w:trPr>
          <w:trHeight w:val="168"/>
        </w:trPr>
        <w:tc>
          <w:tcPr>
            <w:tcW w:w="45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CHAMBERS RICHLAND COUNTY LANDFILL, INC. (SC)</w:t>
            </w:r>
          </w:p>
        </w:tc>
      </w:tr>
      <w:tr>
        <w:trPr>
          <w:trHeight w:val="168"/>
        </w:trPr>
        <w:tc>
          <w:tcPr>
            <w:tcW w:w="740" w:type="dxa"/>
            <w:vAlign w:val="bottom"/>
          </w:tcPr>
          <w:p>
            <w:pPr>
              <w:spacing w:after="0"/>
              <w:rPr>
                <w:sz w:val="14"/>
                <w:szCs w:val="14"/>
                <w:color w:val="auto"/>
              </w:rPr>
            </w:pP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dba "Richland County Landfill"</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CHAMBERS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WASTE SYSTEMS OF TEXAS, INC. (TX)</w:t>
            </w:r>
          </w:p>
        </w:tc>
      </w:tr>
    </w:tbl>
    <w:p>
      <w:pPr>
        <w:ind w:left="80"/>
        <w:spacing w:after="0" w:line="237" w:lineRule="auto"/>
        <w:rPr>
          <w:sz w:val="20"/>
          <w:szCs w:val="20"/>
          <w:color w:val="auto"/>
        </w:rPr>
      </w:pPr>
      <w:r>
        <w:rPr>
          <w:rFonts w:ascii="Courier New" w:cs="Courier New" w:eastAsia="Courier New" w:hAnsi="Courier New"/>
          <w:sz w:val="15"/>
          <w:szCs w:val="15"/>
          <w:color w:val="auto"/>
        </w:rPr>
        <w:t>DAUPHIN MEADOWS, INC. (PA)</w:t>
      </w:r>
    </w:p>
    <w:p>
      <w:pPr>
        <w:ind w:left="860"/>
        <w:spacing w:after="0" w:line="238" w:lineRule="auto"/>
        <w:rPr>
          <w:sz w:val="20"/>
          <w:szCs w:val="20"/>
          <w:color w:val="auto"/>
        </w:rPr>
      </w:pPr>
      <w:r>
        <w:rPr>
          <w:rFonts w:ascii="Courier New" w:cs="Courier New" w:eastAsia="Courier New" w:hAnsi="Courier New"/>
          <w:sz w:val="15"/>
          <w:szCs w:val="15"/>
          <w:color w:val="auto"/>
        </w:rPr>
        <w:t>(fka Fulkroad Landfill, Inc.)</w:t>
      </w:r>
    </w:p>
    <w:p>
      <w:pPr>
        <w:ind w:left="860"/>
        <w:spacing w:after="0" w:line="237" w:lineRule="auto"/>
        <w:rPr>
          <w:sz w:val="20"/>
          <w:szCs w:val="20"/>
          <w:color w:val="auto"/>
        </w:rPr>
      </w:pPr>
      <w:r>
        <w:rPr>
          <w:rFonts w:ascii="Courier New" w:cs="Courier New" w:eastAsia="Courier New" w:hAnsi="Courier New"/>
          <w:sz w:val="15"/>
          <w:szCs w:val="15"/>
          <w:color w:val="auto"/>
        </w:rPr>
        <w:t>dba "Dauphin Meadows Landfill"</w:t>
      </w:r>
    </w:p>
    <w:p>
      <w:pPr>
        <w:ind w:left="80"/>
        <w:spacing w:after="0" w:line="238" w:lineRule="auto"/>
        <w:rPr>
          <w:sz w:val="20"/>
          <w:szCs w:val="20"/>
          <w:color w:val="auto"/>
        </w:rPr>
      </w:pPr>
      <w:r>
        <w:rPr>
          <w:rFonts w:ascii="Courier New" w:cs="Courier New" w:eastAsia="Courier New" w:hAnsi="Courier New"/>
          <w:sz w:val="15"/>
          <w:szCs w:val="15"/>
          <w:color w:val="auto"/>
        </w:rPr>
        <w:t>RAIL-IT CORPORATION (IL)</w:t>
      </w:r>
    </w:p>
    <w:p>
      <w:pPr>
        <w:ind w:left="520"/>
        <w:spacing w:after="0" w:line="237" w:lineRule="auto"/>
        <w:rPr>
          <w:sz w:val="20"/>
          <w:szCs w:val="20"/>
          <w:color w:val="auto"/>
        </w:rPr>
      </w:pPr>
      <w:r>
        <w:rPr>
          <w:rFonts w:ascii="Courier New" w:cs="Courier New" w:eastAsia="Courier New" w:hAnsi="Courier New"/>
          <w:sz w:val="15"/>
          <w:szCs w:val="15"/>
          <w:color w:val="auto"/>
        </w:rPr>
        <w:t>RAIL-IT LIMITED PARTNERSHIP (IL/LP)</w:t>
      </w:r>
    </w:p>
    <w:p>
      <w:pPr>
        <w:sectPr>
          <w:pgSz w:w="11900" w:h="16838" w:orient="portrait"/>
          <w:cols w:equalWidth="0" w:num="1">
            <w:col w:w="9959"/>
          </w:cols>
          <w:pgMar w:left="500" w:top="281" w:right="1440"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5"/>
          <w:szCs w:val="15"/>
          <w:color w:val="auto"/>
        </w:rPr>
        <w:t>3</w:t>
      </w:r>
    </w:p>
    <w:p>
      <w:pPr>
        <w:ind w:left="360"/>
        <w:spacing w:after="0" w:line="237" w:lineRule="auto"/>
        <w:rPr>
          <w:sz w:val="20"/>
          <w:szCs w:val="20"/>
          <w:color w:val="auto"/>
        </w:rPr>
      </w:pPr>
      <w:r>
        <w:rPr>
          <w:rFonts w:ascii="Courier New" w:cs="Courier New" w:eastAsia="Courier New" w:hAnsi="Courier New"/>
          <w:sz w:val="15"/>
          <w:szCs w:val="15"/>
          <w:color w:val="auto"/>
        </w:rPr>
        <w:t>U.S. SERVICES CORPORATION (PA)</w:t>
      </w:r>
    </w:p>
    <w:p>
      <w:pPr>
        <w:ind w:left="800"/>
        <w:spacing w:after="0" w:line="238" w:lineRule="auto"/>
        <w:rPr>
          <w:sz w:val="20"/>
          <w:szCs w:val="20"/>
          <w:color w:val="auto"/>
        </w:rPr>
      </w:pPr>
      <w:r>
        <w:rPr>
          <w:rFonts w:ascii="Courier New" w:cs="Courier New" w:eastAsia="Courier New" w:hAnsi="Courier New"/>
          <w:sz w:val="15"/>
          <w:szCs w:val="15"/>
          <w:color w:val="auto"/>
        </w:rPr>
        <w:t>SOUTHERN ALLEGHENIES DISPOSAL SERVICES, INC. (PA)</w:t>
      </w:r>
    </w:p>
    <w:p>
      <w:pPr>
        <w:ind w:left="1140"/>
        <w:spacing w:after="0" w:line="237" w:lineRule="auto"/>
        <w:rPr>
          <w:sz w:val="20"/>
          <w:szCs w:val="20"/>
          <w:color w:val="auto"/>
        </w:rPr>
      </w:pPr>
      <w:r>
        <w:rPr>
          <w:rFonts w:ascii="Courier New" w:cs="Courier New" w:eastAsia="Courier New" w:hAnsi="Courier New"/>
          <w:sz w:val="15"/>
          <w:szCs w:val="15"/>
          <w:color w:val="auto"/>
        </w:rPr>
        <w:t>dba "Altoona Transfer Station"</w:t>
      </w:r>
    </w:p>
    <w:p>
      <w:pPr>
        <w:ind w:left="1140"/>
        <w:spacing w:after="0" w:line="238" w:lineRule="auto"/>
        <w:rPr>
          <w:sz w:val="20"/>
          <w:szCs w:val="20"/>
          <w:color w:val="auto"/>
        </w:rPr>
      </w:pPr>
      <w:r>
        <w:rPr>
          <w:rFonts w:ascii="Courier New" w:cs="Courier New" w:eastAsia="Courier New" w:hAnsi="Courier New"/>
          <w:sz w:val="15"/>
          <w:szCs w:val="15"/>
          <w:color w:val="auto"/>
        </w:rPr>
        <w:t>dba "Johnstown Hauling"</w:t>
      </w:r>
    </w:p>
    <w:p>
      <w:pPr>
        <w:ind w:left="1140"/>
        <w:spacing w:after="0" w:line="237" w:lineRule="auto"/>
        <w:rPr>
          <w:sz w:val="20"/>
          <w:szCs w:val="20"/>
          <w:color w:val="auto"/>
        </w:rPr>
      </w:pPr>
      <w:r>
        <w:rPr>
          <w:rFonts w:ascii="Courier New" w:cs="Courier New" w:eastAsia="Courier New" w:hAnsi="Courier New"/>
          <w:sz w:val="15"/>
          <w:szCs w:val="15"/>
          <w:color w:val="auto"/>
        </w:rPr>
        <w:t>dba "Southern Alleghenies Landfill"</w:t>
      </w:r>
    </w:p>
    <w:p>
      <w:pPr>
        <w:ind w:left="800"/>
        <w:spacing w:after="0" w:line="238" w:lineRule="auto"/>
        <w:rPr>
          <w:sz w:val="20"/>
          <w:szCs w:val="20"/>
          <w:color w:val="auto"/>
        </w:rPr>
      </w:pPr>
      <w:r>
        <w:rPr>
          <w:rFonts w:ascii="Courier New" w:cs="Courier New" w:eastAsia="Courier New" w:hAnsi="Courier New"/>
          <w:sz w:val="15"/>
          <w:szCs w:val="15"/>
          <w:color w:val="auto"/>
        </w:rPr>
        <w:t>U.S. UTILITIES SERVICES CORP. (PA)</w:t>
      </w:r>
    </w:p>
    <w:p>
      <w:pPr>
        <w:ind w:left="360"/>
        <w:spacing w:after="0" w:line="237" w:lineRule="auto"/>
        <w:rPr>
          <w:sz w:val="20"/>
          <w:szCs w:val="20"/>
          <w:color w:val="auto"/>
        </w:rPr>
      </w:pPr>
      <w:r>
        <w:rPr>
          <w:rFonts w:ascii="Courier New" w:cs="Courier New" w:eastAsia="Courier New" w:hAnsi="Courier New"/>
          <w:sz w:val="15"/>
          <w:szCs w:val="15"/>
          <w:color w:val="auto"/>
        </w:rPr>
        <w:t>USA WASTE SERVICES OF NORTH CAROLINA, INC. (NC)</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(fka Chambers Waste Systems of North Carolina, Inc.)</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dba "Charlotte Hauling"</w:t>
      </w:r>
    </w:p>
    <w:p>
      <w:pPr>
        <w:ind w:left="360"/>
        <w:spacing w:after="0" w:line="237" w:lineRule="auto"/>
        <w:rPr>
          <w:sz w:val="20"/>
          <w:szCs w:val="20"/>
          <w:color w:val="auto"/>
        </w:rPr>
      </w:pPr>
      <w:r>
        <w:rPr>
          <w:rFonts w:ascii="Courier New" w:cs="Courier New" w:eastAsia="Courier New" w:hAnsi="Courier New"/>
          <w:sz w:val="15"/>
          <w:szCs w:val="15"/>
          <w:color w:val="auto"/>
        </w:rPr>
        <w:t>WILLIAM H. MARTIN, INC. (PA)</w:t>
      </w:r>
    </w:p>
    <w:p>
      <w:pPr>
        <w:ind w:left="1140"/>
        <w:spacing w:after="0" w:line="238" w:lineRule="auto"/>
        <w:rPr>
          <w:sz w:val="20"/>
          <w:szCs w:val="20"/>
          <w:color w:val="auto"/>
        </w:rPr>
      </w:pPr>
      <w:r>
        <w:rPr>
          <w:rFonts w:ascii="Courier New" w:cs="Courier New" w:eastAsia="Courier New" w:hAnsi="Courier New"/>
          <w:sz w:val="15"/>
          <w:szCs w:val="15"/>
          <w:color w:val="auto"/>
        </w:rPr>
        <w:t>dba "Arden Landfill"</w:t>
      </w:r>
    </w:p>
    <w:p>
      <w:pPr>
        <w:ind w:left="1140"/>
        <w:spacing w:after="0" w:line="237" w:lineRule="auto"/>
        <w:rPr>
          <w:sz w:val="20"/>
          <w:szCs w:val="20"/>
          <w:color w:val="auto"/>
        </w:rPr>
      </w:pPr>
      <w:r>
        <w:rPr>
          <w:rFonts w:ascii="Courier New" w:cs="Courier New" w:eastAsia="Courier New" w:hAnsi="Courier New"/>
          <w:sz w:val="15"/>
          <w:szCs w:val="15"/>
          <w:color w:val="auto"/>
        </w:rPr>
        <w:t>dba "Martins Hauling"</w:t>
      </w:r>
    </w:p>
    <w:p>
      <w:pPr>
        <w:ind w:left="1140"/>
        <w:spacing w:after="0" w:line="238" w:lineRule="auto"/>
        <w:rPr>
          <w:sz w:val="20"/>
          <w:szCs w:val="20"/>
          <w:color w:val="auto"/>
        </w:rPr>
      </w:pPr>
      <w:r>
        <w:rPr>
          <w:rFonts w:ascii="Courier New" w:cs="Courier New" w:eastAsia="Courier New" w:hAnsi="Courier New"/>
          <w:sz w:val="15"/>
          <w:szCs w:val="15"/>
          <w:color w:val="auto"/>
        </w:rPr>
        <w:t>dba "William H. Martin Hauling"</w:t>
      </w:r>
    </w:p>
    <w:p>
      <w:pPr>
        <w:ind w:left="1140"/>
        <w:spacing w:after="0" w:line="237" w:lineRule="auto"/>
        <w:rPr>
          <w:sz w:val="20"/>
          <w:szCs w:val="20"/>
          <w:color w:val="auto"/>
        </w:rPr>
      </w:pPr>
      <w:r>
        <w:rPr>
          <w:rFonts w:ascii="Courier New" w:cs="Courier New" w:eastAsia="Courier New" w:hAnsi="Courier New"/>
          <w:sz w:val="15"/>
          <w:szCs w:val="15"/>
          <w:color w:val="auto"/>
        </w:rPr>
        <w:t>dba "Washington Hauling"</w:t>
      </w:r>
    </w:p>
    <w:p>
      <w:pPr>
        <w:spacing w:after="0" w:line="238" w:lineRule="auto"/>
        <w:rPr>
          <w:sz w:val="20"/>
          <w:szCs w:val="20"/>
          <w:color w:val="auto"/>
        </w:rPr>
      </w:pPr>
      <w:r>
        <w:rPr>
          <w:rFonts w:ascii="Courier New" w:cs="Courier New" w:eastAsia="Courier New" w:hAnsi="Courier New"/>
          <w:sz w:val="15"/>
          <w:szCs w:val="15"/>
          <w:color w:val="auto"/>
        </w:rPr>
        <w:t>CLEANSOILS FAIRLESS HILLS INC. (MN)</w:t>
      </w:r>
    </w:p>
    <w:p>
      <w:pPr>
        <w:spacing w:after="0" w:line="237" w:lineRule="auto"/>
        <w:rPr>
          <w:sz w:val="20"/>
          <w:szCs w:val="20"/>
          <w:color w:val="auto"/>
        </w:rPr>
      </w:pPr>
      <w:r>
        <w:rPr>
          <w:rFonts w:ascii="Courier New" w:cs="Courier New" w:eastAsia="Courier New" w:hAnsi="Courier New"/>
          <w:sz w:val="15"/>
          <w:szCs w:val="15"/>
          <w:color w:val="auto"/>
        </w:rPr>
        <w:t>ELLESOR, INC. (NJ)</w:t>
      </w:r>
    </w:p>
    <w:p>
      <w:pPr>
        <w:spacing w:after="0" w:line="238" w:lineRule="auto"/>
        <w:rPr>
          <w:sz w:val="20"/>
          <w:szCs w:val="20"/>
          <w:color w:val="auto"/>
        </w:rPr>
      </w:pPr>
      <w:r>
        <w:rPr>
          <w:rFonts w:ascii="Courier New" w:cs="Courier New" w:eastAsia="Courier New" w:hAnsi="Courier New"/>
          <w:sz w:val="15"/>
          <w:szCs w:val="15"/>
          <w:color w:val="auto"/>
        </w:rPr>
        <w:t>ENVIROFIL, INC. (DE)</w:t>
      </w:r>
    </w:p>
    <w:p>
      <w:pPr>
        <w:ind w:left="360"/>
        <w:spacing w:after="0" w:line="238" w:lineRule="auto"/>
        <w:rPr>
          <w:sz w:val="20"/>
          <w:szCs w:val="20"/>
          <w:color w:val="auto"/>
        </w:rPr>
      </w:pPr>
      <w:r>
        <w:rPr>
          <w:rFonts w:ascii="Courier New" w:cs="Courier New" w:eastAsia="Courier New" w:hAnsi="Courier New"/>
          <w:sz w:val="15"/>
          <w:szCs w:val="15"/>
          <w:color w:val="auto"/>
        </w:rPr>
        <w:t>BREM-AIR DISPOSAL, INC. (OR)</w:t>
      </w:r>
    </w:p>
    <w:p>
      <w:pPr>
        <w:ind w:left="1140"/>
        <w:spacing w:after="0" w:line="237" w:lineRule="auto"/>
        <w:rPr>
          <w:sz w:val="20"/>
          <w:szCs w:val="20"/>
          <w:color w:val="auto"/>
        </w:rPr>
      </w:pPr>
      <w:r>
        <w:rPr>
          <w:rFonts w:ascii="Courier New" w:cs="Courier New" w:eastAsia="Courier New" w:hAnsi="Courier New"/>
          <w:sz w:val="15"/>
          <w:szCs w:val="15"/>
          <w:color w:val="auto"/>
        </w:rPr>
        <w:t>dba "Brem-Air Disposal"</w:t>
      </w:r>
    </w:p>
    <w:p>
      <w:pPr>
        <w:ind w:left="800"/>
        <w:spacing w:after="0" w:line="238" w:lineRule="auto"/>
        <w:rPr>
          <w:sz w:val="20"/>
          <w:szCs w:val="20"/>
          <w:color w:val="auto"/>
        </w:rPr>
      </w:pPr>
      <w:r>
        <w:rPr>
          <w:rFonts w:ascii="Courier New" w:cs="Courier New" w:eastAsia="Courier New" w:hAnsi="Courier New"/>
          <w:sz w:val="15"/>
          <w:szCs w:val="15"/>
          <w:color w:val="auto"/>
        </w:rPr>
        <w:t>JUAN DE FUCA CORRUGATED, LTD. (WA)</w:t>
      </w:r>
    </w:p>
    <w:p>
      <w:pPr>
        <w:ind w:left="800"/>
        <w:spacing w:after="0" w:line="237" w:lineRule="auto"/>
        <w:rPr>
          <w:sz w:val="20"/>
          <w:szCs w:val="20"/>
          <w:color w:val="auto"/>
        </w:rPr>
      </w:pPr>
      <w:r>
        <w:rPr>
          <w:rFonts w:ascii="Courier New" w:cs="Courier New" w:eastAsia="Courier New" w:hAnsi="Courier New"/>
          <w:sz w:val="15"/>
          <w:szCs w:val="15"/>
          <w:color w:val="auto"/>
        </w:rPr>
        <w:t>NORTH SOUND SANITATION, INC. (WA)</w:t>
      </w:r>
    </w:p>
    <w:p>
      <w:pPr>
        <w:ind w:left="800"/>
        <w:spacing w:after="0" w:line="238" w:lineRule="auto"/>
        <w:rPr>
          <w:sz w:val="20"/>
          <w:szCs w:val="20"/>
          <w:color w:val="auto"/>
        </w:rPr>
      </w:pPr>
      <w:r>
        <w:rPr>
          <w:rFonts w:ascii="Courier New" w:cs="Courier New" w:eastAsia="Courier New" w:hAnsi="Courier New"/>
          <w:sz w:val="15"/>
          <w:szCs w:val="15"/>
          <w:color w:val="auto"/>
        </w:rPr>
        <w:t>SOUTH SOUND SANITATION, INC. (WA)</w:t>
      </w:r>
    </w:p>
    <w:p>
      <w:pPr>
        <w:ind w:left="360"/>
        <w:spacing w:after="0" w:line="237" w:lineRule="auto"/>
        <w:rPr>
          <w:sz w:val="20"/>
          <w:szCs w:val="20"/>
          <w:color w:val="auto"/>
        </w:rPr>
      </w:pPr>
      <w:r>
        <w:rPr>
          <w:rFonts w:ascii="Courier New" w:cs="Courier New" w:eastAsia="Courier New" w:hAnsi="Courier New"/>
          <w:sz w:val="15"/>
          <w:szCs w:val="15"/>
          <w:color w:val="auto"/>
        </w:rPr>
        <w:t>ELLIS-SCOTT, INC. (MO)</w:t>
      </w:r>
    </w:p>
    <w:p>
      <w:pPr>
        <w:ind w:left="1140"/>
        <w:spacing w:after="0" w:line="238" w:lineRule="auto"/>
        <w:rPr>
          <w:sz w:val="20"/>
          <w:szCs w:val="20"/>
          <w:color w:val="auto"/>
        </w:rPr>
      </w:pPr>
      <w:r>
        <w:rPr>
          <w:rFonts w:ascii="Courier New" w:cs="Courier New" w:eastAsia="Courier New" w:hAnsi="Courier New"/>
          <w:sz w:val="15"/>
          <w:szCs w:val="15"/>
          <w:color w:val="auto"/>
        </w:rPr>
        <w:t>dba "Ellis-Scott Landfill"</w:t>
      </w:r>
    </w:p>
    <w:p>
      <w:pPr>
        <w:ind w:left="360"/>
        <w:spacing w:after="0"/>
        <w:tabs>
          <w:tab w:leader="none" w:pos="2880" w:val="left"/>
        </w:tabs>
        <w:rPr>
          <w:sz w:val="20"/>
          <w:szCs w:val="20"/>
          <w:color w:val="auto"/>
        </w:rPr>
      </w:pPr>
      <w:r>
        <w:rPr>
          <w:rFonts w:ascii="Courier New" w:cs="Courier New" w:eastAsia="Courier New" w:hAnsi="Courier New"/>
          <w:sz w:val="15"/>
          <w:szCs w:val="15"/>
          <w:color w:val="auto"/>
        </w:rPr>
        <w:t>ENVIROFIL OF ILLINOIS, INC.</w:t>
      </w:r>
      <w:r>
        <w:rPr>
          <w:sz w:val="20"/>
          <w:szCs w:val="20"/>
          <w:color w:val="auto"/>
        </w:rPr>
        <w:tab/>
      </w:r>
      <w:r>
        <w:rPr>
          <w:rFonts w:ascii="Courier New" w:cs="Courier New" w:eastAsia="Courier New" w:hAnsi="Courier New"/>
          <w:sz w:val="14"/>
          <w:szCs w:val="14"/>
          <w:color w:val="auto"/>
        </w:rPr>
        <w:t>(IL)</w:t>
      </w:r>
    </w:p>
    <w:p>
      <w:pPr>
        <w:ind w:left="1140"/>
        <w:spacing w:after="0" w:line="237" w:lineRule="auto"/>
        <w:rPr>
          <w:sz w:val="20"/>
          <w:szCs w:val="20"/>
          <w:color w:val="auto"/>
        </w:rPr>
      </w:pPr>
      <w:r>
        <w:rPr>
          <w:rFonts w:ascii="Courier New" w:cs="Courier New" w:eastAsia="Courier New" w:hAnsi="Courier New"/>
          <w:sz w:val="15"/>
          <w:szCs w:val="15"/>
          <w:color w:val="auto"/>
        </w:rPr>
        <w:t>(fka LeRoy Brown &amp; Sons, Inc.)</w:t>
      </w:r>
    </w:p>
    <w:p>
      <w:pPr>
        <w:ind w:left="1140"/>
        <w:spacing w:after="0" w:line="238" w:lineRule="auto"/>
        <w:rPr>
          <w:sz w:val="20"/>
          <w:szCs w:val="20"/>
          <w:color w:val="auto"/>
        </w:rPr>
      </w:pPr>
      <w:r>
        <w:rPr>
          <w:rFonts w:ascii="Courier New" w:cs="Courier New" w:eastAsia="Courier New" w:hAnsi="Courier New"/>
          <w:sz w:val="15"/>
          <w:szCs w:val="15"/>
          <w:color w:val="auto"/>
        </w:rPr>
        <w:t>dba "Envirofil of Illinois Hauling"</w:t>
      </w:r>
    </w:p>
    <w:p>
      <w:pPr>
        <w:ind w:left="1140"/>
        <w:spacing w:after="0" w:line="237" w:lineRule="auto"/>
        <w:rPr>
          <w:sz w:val="20"/>
          <w:szCs w:val="20"/>
          <w:color w:val="auto"/>
        </w:rPr>
      </w:pPr>
      <w:r>
        <w:rPr>
          <w:rFonts w:ascii="Courier New" w:cs="Courier New" w:eastAsia="Courier New" w:hAnsi="Courier New"/>
          <w:sz w:val="15"/>
          <w:szCs w:val="15"/>
          <w:color w:val="auto"/>
        </w:rPr>
        <w:t>dba "Envirofil of Illinois Landfill"</w:t>
      </w:r>
    </w:p>
    <w:p>
      <w:pPr>
        <w:ind w:left="360"/>
        <w:spacing w:after="0" w:line="238" w:lineRule="auto"/>
        <w:rPr>
          <w:sz w:val="20"/>
          <w:szCs w:val="20"/>
          <w:color w:val="auto"/>
        </w:rPr>
      </w:pPr>
      <w:r>
        <w:rPr>
          <w:rFonts w:ascii="Courier New" w:cs="Courier New" w:eastAsia="Courier New" w:hAnsi="Courier New"/>
          <w:sz w:val="15"/>
          <w:szCs w:val="15"/>
          <w:color w:val="auto"/>
        </w:rPr>
        <w:t>ENVIROFIL SERVICES, INC. (DE)</w:t>
      </w:r>
    </w:p>
    <w:p>
      <w:pPr>
        <w:ind w:left="360"/>
        <w:spacing w:after="0" w:line="237" w:lineRule="auto"/>
        <w:rPr>
          <w:sz w:val="20"/>
          <w:szCs w:val="20"/>
          <w:color w:val="auto"/>
        </w:rPr>
      </w:pPr>
      <w:r>
        <w:rPr>
          <w:rFonts w:ascii="Courier New" w:cs="Courier New" w:eastAsia="Courier New" w:hAnsi="Courier New"/>
          <w:sz w:val="15"/>
          <w:szCs w:val="15"/>
          <w:color w:val="auto"/>
        </w:rPr>
        <w:t>EVH CO. (DE)</w:t>
      </w:r>
    </w:p>
    <w:p>
      <w:pPr>
        <w:ind w:left="360"/>
        <w:spacing w:after="0" w:line="238" w:lineRule="auto"/>
        <w:rPr>
          <w:sz w:val="20"/>
          <w:szCs w:val="20"/>
          <w:color w:val="auto"/>
        </w:rPr>
      </w:pPr>
      <w:r>
        <w:rPr>
          <w:rFonts w:ascii="Courier New" w:cs="Courier New" w:eastAsia="Courier New" w:hAnsi="Courier New"/>
          <w:sz w:val="15"/>
          <w:szCs w:val="15"/>
          <w:color w:val="auto"/>
        </w:rPr>
        <w:t>EWA, INC. (DE)</w:t>
      </w:r>
    </w:p>
    <w:p>
      <w:pPr>
        <w:ind w:left="1140"/>
        <w:spacing w:after="0" w:line="238" w:lineRule="auto"/>
        <w:rPr>
          <w:sz w:val="20"/>
          <w:szCs w:val="20"/>
          <w:color w:val="auto"/>
        </w:rPr>
      </w:pPr>
      <w:r>
        <w:rPr>
          <w:rFonts w:ascii="Courier New" w:cs="Courier New" w:eastAsia="Courier New" w:hAnsi="Courier New"/>
          <w:sz w:val="15"/>
          <w:szCs w:val="15"/>
          <w:color w:val="auto"/>
        </w:rPr>
        <w:t>dba "EWA"</w:t>
      </w:r>
    </w:p>
    <w:p>
      <w:pPr>
        <w:ind w:left="800"/>
        <w:spacing w:after="0" w:line="237" w:lineRule="auto"/>
        <w:rPr>
          <w:sz w:val="20"/>
          <w:szCs w:val="20"/>
          <w:color w:val="auto"/>
        </w:rPr>
      </w:pPr>
      <w:r>
        <w:rPr>
          <w:rFonts w:ascii="Courier New" w:cs="Courier New" w:eastAsia="Courier New" w:hAnsi="Courier New"/>
          <w:sz w:val="15"/>
          <w:szCs w:val="15"/>
          <w:color w:val="auto"/>
        </w:rPr>
        <w:t>ENVIRONMENTAL WASTE OF SKAGIT COUNTY, INC. (WA)</w:t>
      </w:r>
    </w:p>
    <w:p>
      <w:pPr>
        <w:ind w:left="1140"/>
        <w:spacing w:after="0" w:line="238" w:lineRule="auto"/>
        <w:rPr>
          <w:sz w:val="20"/>
          <w:szCs w:val="20"/>
          <w:color w:val="auto"/>
        </w:rPr>
      </w:pPr>
      <w:r>
        <w:rPr>
          <w:rFonts w:ascii="Courier New" w:cs="Courier New" w:eastAsia="Courier New" w:hAnsi="Courier New"/>
          <w:sz w:val="15"/>
          <w:szCs w:val="15"/>
          <w:color w:val="auto"/>
        </w:rPr>
        <w:t>dba "Rural Skagit Sanitation"</w:t>
      </w:r>
    </w:p>
    <w:p>
      <w:pPr>
        <w:ind w:left="800"/>
        <w:spacing w:after="0" w:line="237" w:lineRule="auto"/>
        <w:rPr>
          <w:sz w:val="20"/>
          <w:szCs w:val="20"/>
          <w:color w:val="auto"/>
        </w:rPr>
      </w:pPr>
      <w:r>
        <w:rPr>
          <w:rFonts w:ascii="Courier New" w:cs="Courier New" w:eastAsia="Courier New" w:hAnsi="Courier New"/>
          <w:sz w:val="15"/>
          <w:szCs w:val="15"/>
          <w:color w:val="auto"/>
        </w:rPr>
        <w:t>STANWOOD CAMANO DISPOSAL, INC. (WA)</w:t>
      </w:r>
    </w:p>
    <w:p>
      <w:pPr>
        <w:ind w:left="360"/>
        <w:spacing w:after="0" w:line="238" w:lineRule="auto"/>
        <w:rPr>
          <w:sz w:val="20"/>
          <w:szCs w:val="20"/>
          <w:color w:val="auto"/>
        </w:rPr>
      </w:pPr>
      <w:r>
        <w:rPr>
          <w:rFonts w:ascii="Courier New" w:cs="Courier New" w:eastAsia="Courier New" w:hAnsi="Courier New"/>
          <w:sz w:val="15"/>
          <w:szCs w:val="15"/>
          <w:color w:val="auto"/>
        </w:rPr>
        <w:t>FORCEES, INC. (NJ)</w:t>
      </w:r>
    </w:p>
    <w:p>
      <w:pPr>
        <w:ind w:left="1140"/>
        <w:spacing w:after="0" w:line="237" w:lineRule="auto"/>
        <w:rPr>
          <w:sz w:val="20"/>
          <w:szCs w:val="20"/>
          <w:color w:val="auto"/>
        </w:rPr>
      </w:pPr>
      <w:r>
        <w:rPr>
          <w:rFonts w:ascii="Courier New" w:cs="Courier New" w:eastAsia="Courier New" w:hAnsi="Courier New"/>
          <w:sz w:val="15"/>
          <w:szCs w:val="15"/>
          <w:color w:val="auto"/>
        </w:rPr>
        <w:t>dba "Forcees"</w:t>
      </w:r>
    </w:p>
    <w:p>
      <w:pPr>
        <w:ind w:left="360"/>
        <w:spacing w:after="0" w:line="238" w:lineRule="auto"/>
        <w:rPr>
          <w:sz w:val="20"/>
          <w:szCs w:val="20"/>
          <w:color w:val="auto"/>
        </w:rPr>
      </w:pPr>
      <w:r>
        <w:rPr>
          <w:rFonts w:ascii="Courier New" w:cs="Courier New" w:eastAsia="Courier New" w:hAnsi="Courier New"/>
          <w:sz w:val="15"/>
          <w:szCs w:val="15"/>
          <w:color w:val="auto"/>
        </w:rPr>
        <w:t>MEADOWBROOK CARTING CO., INC. (NJ)</w:t>
      </w:r>
    </w:p>
    <w:p>
      <w:pPr>
        <w:ind w:left="360"/>
        <w:spacing w:after="0" w:line="238" w:lineRule="auto"/>
        <w:rPr>
          <w:sz w:val="20"/>
          <w:szCs w:val="20"/>
          <w:color w:val="auto"/>
        </w:rPr>
      </w:pPr>
      <w:r>
        <w:rPr>
          <w:rFonts w:ascii="Courier New" w:cs="Courier New" w:eastAsia="Courier New" w:hAnsi="Courier New"/>
          <w:sz w:val="15"/>
          <w:szCs w:val="15"/>
          <w:color w:val="auto"/>
        </w:rPr>
        <w:t>MID-JERSEY DISPOSAL CO., INC. (NJ)</w:t>
      </w:r>
    </w:p>
    <w:p>
      <w:pPr>
        <w:ind w:left="360"/>
        <w:spacing w:after="0" w:line="237" w:lineRule="auto"/>
        <w:rPr>
          <w:sz w:val="20"/>
          <w:szCs w:val="20"/>
          <w:color w:val="auto"/>
        </w:rPr>
      </w:pPr>
      <w:r>
        <w:rPr>
          <w:rFonts w:ascii="Courier New" w:cs="Courier New" w:eastAsia="Courier New" w:hAnsi="Courier New"/>
          <w:sz w:val="15"/>
          <w:szCs w:val="15"/>
          <w:color w:val="auto"/>
        </w:rPr>
        <w:t>MID-VALLEY ACQUISITION CORPORATION (DE)</w:t>
      </w:r>
    </w:p>
    <w:p>
      <w:pPr>
        <w:ind w:left="360"/>
        <w:spacing w:after="0" w:line="238" w:lineRule="auto"/>
        <w:rPr>
          <w:sz w:val="20"/>
          <w:szCs w:val="20"/>
          <w:color w:val="auto"/>
        </w:rPr>
      </w:pPr>
      <w:r>
        <w:rPr>
          <w:rFonts w:ascii="Courier New" w:cs="Courier New" w:eastAsia="Courier New" w:hAnsi="Courier New"/>
          <w:sz w:val="15"/>
          <w:szCs w:val="15"/>
          <w:color w:val="auto"/>
        </w:rPr>
        <w:t>OLYMPIC VIEW SANITARY LANDFILL, INC. (WA)</w:t>
      </w:r>
    </w:p>
    <w:p>
      <w:pPr>
        <w:ind w:left="1140"/>
        <w:spacing w:after="0" w:line="237" w:lineRule="auto"/>
        <w:rPr>
          <w:sz w:val="20"/>
          <w:szCs w:val="20"/>
          <w:color w:val="auto"/>
        </w:rPr>
      </w:pPr>
      <w:r>
        <w:rPr>
          <w:rFonts w:ascii="Courier New" w:cs="Courier New" w:eastAsia="Courier New" w:hAnsi="Courier New"/>
          <w:sz w:val="15"/>
          <w:szCs w:val="15"/>
          <w:color w:val="auto"/>
        </w:rPr>
        <w:t>(fka Kitsap County Sanitary Landfill, Inc.)</w:t>
      </w:r>
    </w:p>
    <w:p>
      <w:pPr>
        <w:ind w:left="1140"/>
        <w:spacing w:after="0" w:line="238" w:lineRule="auto"/>
        <w:rPr>
          <w:sz w:val="20"/>
          <w:szCs w:val="20"/>
          <w:color w:val="auto"/>
        </w:rPr>
      </w:pPr>
      <w:r>
        <w:rPr>
          <w:rFonts w:ascii="Courier New" w:cs="Courier New" w:eastAsia="Courier New" w:hAnsi="Courier New"/>
          <w:sz w:val="15"/>
          <w:szCs w:val="15"/>
          <w:color w:val="auto"/>
        </w:rPr>
        <w:t>dba "Olympic View Landfill"</w:t>
      </w:r>
    </w:p>
    <w:p>
      <w:pPr>
        <w:ind w:left="360"/>
        <w:spacing w:after="0" w:line="237" w:lineRule="auto"/>
        <w:rPr>
          <w:sz w:val="20"/>
          <w:szCs w:val="20"/>
          <w:color w:val="auto"/>
        </w:rPr>
      </w:pPr>
      <w:r>
        <w:rPr>
          <w:rFonts w:ascii="Courier New" w:cs="Courier New" w:eastAsia="Courier New" w:hAnsi="Courier New"/>
          <w:sz w:val="15"/>
          <w:szCs w:val="15"/>
          <w:color w:val="auto"/>
        </w:rPr>
        <w:t>QUALITY RECYCLING CO., INC. (NJ)</w:t>
      </w:r>
    </w:p>
    <w:p>
      <w:pPr>
        <w:ind w:left="360"/>
        <w:spacing w:after="0" w:line="238" w:lineRule="auto"/>
        <w:rPr>
          <w:sz w:val="20"/>
          <w:szCs w:val="20"/>
          <w:color w:val="auto"/>
        </w:rPr>
      </w:pPr>
      <w:r>
        <w:rPr>
          <w:rFonts w:ascii="Courier New" w:cs="Courier New" w:eastAsia="Courier New" w:hAnsi="Courier New"/>
          <w:sz w:val="15"/>
          <w:szCs w:val="15"/>
          <w:color w:val="auto"/>
        </w:rPr>
        <w:t>SACRAMENTO VALLEY ENVIRONMENTAL WASTE COMPANY (CA)</w:t>
      </w:r>
    </w:p>
    <w:p>
      <w:pPr>
        <w:ind w:left="1140"/>
        <w:spacing w:after="0" w:line="238" w:lineRule="auto"/>
        <w:rPr>
          <w:sz w:val="20"/>
          <w:szCs w:val="20"/>
          <w:color w:val="auto"/>
        </w:rPr>
      </w:pPr>
      <w:r>
        <w:rPr>
          <w:rFonts w:ascii="Courier New" w:cs="Courier New" w:eastAsia="Courier New" w:hAnsi="Courier New"/>
          <w:sz w:val="15"/>
          <w:szCs w:val="15"/>
          <w:color w:val="auto"/>
        </w:rPr>
        <w:t>dba "SacVal Disposal"</w:t>
      </w:r>
    </w:p>
    <w:p>
      <w:pPr>
        <w:ind w:left="360"/>
        <w:spacing w:after="0" w:line="237" w:lineRule="auto"/>
        <w:rPr>
          <w:sz w:val="20"/>
          <w:szCs w:val="20"/>
          <w:color w:val="auto"/>
        </w:rPr>
      </w:pPr>
      <w:r>
        <w:rPr>
          <w:rFonts w:ascii="Courier New" w:cs="Courier New" w:eastAsia="Courier New" w:hAnsi="Courier New"/>
          <w:sz w:val="15"/>
          <w:szCs w:val="15"/>
          <w:color w:val="auto"/>
        </w:rPr>
        <w:t>STOCKTON SCAVENGERS ASSOCIATION (CA)</w:t>
      </w:r>
    </w:p>
    <w:p>
      <w:pPr>
        <w:spacing w:after="0" w:line="238" w:lineRule="auto"/>
        <w:rPr>
          <w:sz w:val="20"/>
          <w:szCs w:val="20"/>
          <w:color w:val="auto"/>
        </w:rPr>
      </w:pPr>
      <w:r>
        <w:rPr>
          <w:rFonts w:ascii="Courier New" w:cs="Courier New" w:eastAsia="Courier New" w:hAnsi="Courier New"/>
          <w:sz w:val="15"/>
          <w:szCs w:val="15"/>
          <w:color w:val="auto"/>
        </w:rPr>
        <w:t>ENVIRONMENTAL ALTERNATIVES CONCEPTS, INC. (DE)</w:t>
      </w:r>
    </w:p>
    <w:p>
      <w:pPr>
        <w:spacing w:after="0" w:line="237" w:lineRule="auto"/>
        <w:rPr>
          <w:sz w:val="20"/>
          <w:szCs w:val="20"/>
          <w:color w:val="auto"/>
        </w:rPr>
      </w:pPr>
      <w:r>
        <w:rPr>
          <w:rFonts w:ascii="Courier New" w:cs="Courier New" w:eastAsia="Courier New" w:hAnsi="Courier New"/>
          <w:sz w:val="15"/>
          <w:szCs w:val="15"/>
          <w:color w:val="auto"/>
        </w:rPr>
        <w:t>FULTON SANITATION SERVICES, INC. (AR)</w:t>
      </w:r>
    </w:p>
    <w:p>
      <w:pPr>
        <w:ind w:left="1140"/>
        <w:spacing w:after="0" w:line="238" w:lineRule="auto"/>
        <w:rPr>
          <w:sz w:val="20"/>
          <w:szCs w:val="20"/>
          <w:color w:val="auto"/>
        </w:rPr>
      </w:pPr>
      <w:r>
        <w:rPr>
          <w:rFonts w:ascii="Courier New" w:cs="Courier New" w:eastAsia="Courier New" w:hAnsi="Courier New"/>
          <w:sz w:val="15"/>
          <w:szCs w:val="15"/>
          <w:color w:val="auto"/>
        </w:rPr>
        <w:t>dba "Fulton Sanitation"</w:t>
      </w:r>
    </w:p>
    <w:p>
      <w:pPr>
        <w:spacing w:after="0" w:line="237" w:lineRule="auto"/>
        <w:rPr>
          <w:sz w:val="20"/>
          <w:szCs w:val="20"/>
          <w:color w:val="auto"/>
        </w:rPr>
      </w:pPr>
      <w:r>
        <w:rPr>
          <w:rFonts w:ascii="Courier New" w:cs="Courier New" w:eastAsia="Courier New" w:hAnsi="Courier New"/>
          <w:sz w:val="15"/>
          <w:szCs w:val="15"/>
          <w:color w:val="auto"/>
        </w:rPr>
        <w:t>GRAYSON'S REFUSE SERVICE, INC. (VA)</w:t>
      </w:r>
    </w:p>
    <w:p>
      <w:pPr>
        <w:spacing w:after="0" w:line="238" w:lineRule="auto"/>
        <w:rPr>
          <w:sz w:val="20"/>
          <w:szCs w:val="20"/>
          <w:color w:val="auto"/>
        </w:rPr>
      </w:pPr>
      <w:r>
        <w:rPr>
          <w:rFonts w:ascii="Courier New" w:cs="Courier New" w:eastAsia="Courier New" w:hAnsi="Courier New"/>
          <w:sz w:val="15"/>
          <w:szCs w:val="15"/>
          <w:color w:val="auto"/>
        </w:rPr>
        <w:t>JENNINGS ENVIRONMENTAL SERVICES, INC. (FL)</w:t>
      </w:r>
    </w:p>
    <w:p>
      <w:pPr>
        <w:spacing w:after="0" w:line="238" w:lineRule="auto"/>
        <w:rPr>
          <w:sz w:val="20"/>
          <w:szCs w:val="20"/>
          <w:color w:val="auto"/>
        </w:rPr>
      </w:pPr>
      <w:r>
        <w:rPr>
          <w:rFonts w:ascii="Courier New" w:cs="Courier New" w:eastAsia="Courier New" w:hAnsi="Courier New"/>
          <w:sz w:val="15"/>
          <w:szCs w:val="15"/>
          <w:color w:val="auto"/>
        </w:rPr>
        <w:t>MODERN SANITATION, INC.(TX)</w:t>
      </w:r>
    </w:p>
    <w:p>
      <w:pPr>
        <w:ind w:left="1140"/>
        <w:spacing w:after="0" w:line="237" w:lineRule="auto"/>
        <w:rPr>
          <w:sz w:val="20"/>
          <w:szCs w:val="20"/>
          <w:color w:val="auto"/>
        </w:rPr>
      </w:pPr>
      <w:r>
        <w:rPr>
          <w:rFonts w:ascii="Courier New" w:cs="Courier New" w:eastAsia="Courier New" w:hAnsi="Courier New"/>
          <w:sz w:val="15"/>
          <w:szCs w:val="15"/>
          <w:color w:val="auto"/>
        </w:rPr>
        <w:t>(fka EDM Corporation)</w:t>
      </w:r>
    </w:p>
    <w:p>
      <w:pPr>
        <w:spacing w:after="0" w:line="238" w:lineRule="auto"/>
        <w:rPr>
          <w:sz w:val="20"/>
          <w:szCs w:val="20"/>
          <w:color w:val="auto"/>
        </w:rPr>
      </w:pPr>
      <w:r>
        <w:rPr>
          <w:rFonts w:ascii="Courier New" w:cs="Courier New" w:eastAsia="Courier New" w:hAnsi="Courier New"/>
          <w:sz w:val="15"/>
          <w:szCs w:val="15"/>
          <w:color w:val="auto"/>
        </w:rPr>
        <w:t>R.A.M. ENVIRONMENTAL SERVICES, INC. (AR)</w:t>
      </w:r>
    </w:p>
    <w:p>
      <w:pPr>
        <w:spacing w:after="0" w:line="237" w:lineRule="auto"/>
        <w:rPr>
          <w:sz w:val="20"/>
          <w:szCs w:val="20"/>
          <w:color w:val="auto"/>
        </w:rPr>
      </w:pPr>
      <w:r>
        <w:rPr>
          <w:rFonts w:ascii="Courier New" w:cs="Courier New" w:eastAsia="Courier New" w:hAnsi="Courier New"/>
          <w:sz w:val="15"/>
          <w:szCs w:val="15"/>
          <w:color w:val="auto"/>
        </w:rPr>
        <w:t>RAZORBACK DISPOSAL, INC. (AR)</w:t>
      </w:r>
    </w:p>
    <w:p>
      <w:pPr>
        <w:sectPr>
          <w:pgSz w:w="11900" w:h="16838" w:orient="portrait"/>
          <w:cols w:equalWidth="0" w:num="1">
            <w:col w:w="10239"/>
          </w:cols>
          <w:pgMar w:left="220" w:top="281" w:right="1440"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5"/>
          <w:szCs w:val="15"/>
          <w:color w:val="auto"/>
        </w:rPr>
        <w:t>4</w:t>
      </w:r>
    </w:p>
    <w:p>
      <w:pPr>
        <w:spacing w:after="0" w:line="237" w:lineRule="auto"/>
        <w:rPr>
          <w:sz w:val="20"/>
          <w:szCs w:val="20"/>
          <w:color w:val="auto"/>
        </w:rPr>
      </w:pPr>
      <w:r>
        <w:rPr>
          <w:rFonts w:ascii="Courier New" w:cs="Courier New" w:eastAsia="Courier New" w:hAnsi="Courier New"/>
          <w:sz w:val="15"/>
          <w:szCs w:val="15"/>
          <w:color w:val="auto"/>
        </w:rPr>
        <w:t>RIVIERA ACQUISITION CORPORATION (CA)</w:t>
      </w:r>
    </w:p>
    <w:p>
      <w:pPr>
        <w:spacing w:after="0" w:line="238" w:lineRule="auto"/>
        <w:rPr>
          <w:sz w:val="20"/>
          <w:szCs w:val="20"/>
          <w:color w:val="auto"/>
        </w:rPr>
      </w:pPr>
      <w:r>
        <w:rPr>
          <w:rFonts w:ascii="Courier New" w:cs="Courier New" w:eastAsia="Courier New" w:hAnsi="Courier New"/>
          <w:sz w:val="15"/>
          <w:szCs w:val="15"/>
          <w:color w:val="auto"/>
        </w:rPr>
        <w:t>SAFETY RECYCLING COMPANY, INC. (NJ)</w:t>
      </w:r>
    </w:p>
    <w:p>
      <w:pPr>
        <w:ind w:left="1140"/>
        <w:spacing w:after="0" w:line="237" w:lineRule="auto"/>
        <w:rPr>
          <w:sz w:val="20"/>
          <w:szCs w:val="20"/>
          <w:color w:val="auto"/>
        </w:rPr>
      </w:pPr>
      <w:r>
        <w:rPr>
          <w:rFonts w:ascii="Courier New" w:cs="Courier New" w:eastAsia="Courier New" w:hAnsi="Courier New"/>
          <w:sz w:val="15"/>
          <w:szCs w:val="15"/>
          <w:color w:val="auto"/>
        </w:rPr>
        <w:t>(fka Safety Disposal Company, Inc.)</w:t>
      </w:r>
    </w:p>
    <w:p>
      <w:pPr>
        <w:spacing w:after="0" w:line="238" w:lineRule="auto"/>
        <w:rPr>
          <w:sz w:val="20"/>
          <w:szCs w:val="20"/>
          <w:color w:val="auto"/>
        </w:rPr>
      </w:pPr>
      <w:r>
        <w:rPr>
          <w:rFonts w:ascii="Courier New" w:cs="Courier New" w:eastAsia="Courier New" w:hAnsi="Courier New"/>
          <w:sz w:val="15"/>
          <w:szCs w:val="15"/>
          <w:color w:val="auto"/>
        </w:rPr>
        <w:t>SANTA CLARA VALLEY REFUSE REMOVAL CO. (CA)</w:t>
      </w:r>
    </w:p>
    <w:p>
      <w:pPr>
        <w:spacing w:after="0" w:line="237" w:lineRule="auto"/>
        <w:rPr>
          <w:sz w:val="20"/>
          <w:szCs w:val="20"/>
          <w:color w:val="auto"/>
        </w:rPr>
      </w:pPr>
      <w:r>
        <w:rPr>
          <w:rFonts w:ascii="Courier New" w:cs="Courier New" w:eastAsia="Courier New" w:hAnsi="Courier New"/>
          <w:sz w:val="15"/>
          <w:szCs w:val="15"/>
          <w:color w:val="auto"/>
        </w:rPr>
        <w:t>SOIL REMEDIATION OF PHILADELPHIA, INC. (DE)</w:t>
      </w:r>
    </w:p>
    <w:p>
      <w:pPr>
        <w:spacing w:after="0" w:line="238" w:lineRule="auto"/>
        <w:rPr>
          <w:sz w:val="20"/>
          <w:szCs w:val="20"/>
          <w:color w:val="auto"/>
        </w:rPr>
      </w:pPr>
      <w:r>
        <w:rPr>
          <w:rFonts w:ascii="Courier New" w:cs="Courier New" w:eastAsia="Courier New" w:hAnsi="Courier New"/>
          <w:sz w:val="15"/>
          <w:szCs w:val="15"/>
          <w:color w:val="auto"/>
        </w:rPr>
        <w:t>SUNRAY SERVICES, INC. (AR)</w:t>
      </w:r>
    </w:p>
    <w:p>
      <w:pPr>
        <w:ind w:left="1140"/>
        <w:spacing w:after="0" w:line="237" w:lineRule="auto"/>
        <w:rPr>
          <w:sz w:val="20"/>
          <w:szCs w:val="20"/>
          <w:color w:val="auto"/>
        </w:rPr>
      </w:pPr>
      <w:r>
        <w:rPr>
          <w:rFonts w:ascii="Courier New" w:cs="Courier New" w:eastAsia="Courier New" w:hAnsi="Courier New"/>
          <w:sz w:val="15"/>
          <w:szCs w:val="15"/>
          <w:color w:val="auto"/>
        </w:rPr>
        <w:t>dba "Harrison Hauling"</w:t>
      </w:r>
    </w:p>
    <w:p>
      <w:pPr>
        <w:ind w:left="1140"/>
        <w:spacing w:after="0" w:line="238" w:lineRule="auto"/>
        <w:rPr>
          <w:sz w:val="20"/>
          <w:szCs w:val="20"/>
          <w:color w:val="auto"/>
        </w:rPr>
      </w:pPr>
      <w:r>
        <w:rPr>
          <w:rFonts w:ascii="Courier New" w:cs="Courier New" w:eastAsia="Courier New" w:hAnsi="Courier New"/>
          <w:sz w:val="15"/>
          <w:szCs w:val="15"/>
          <w:color w:val="auto"/>
        </w:rPr>
        <w:t>dba "Houston Landfill"</w:t>
      </w:r>
    </w:p>
    <w:p>
      <w:pPr>
        <w:ind w:left="1140"/>
        <w:spacing w:after="0" w:line="238" w:lineRule="auto"/>
        <w:rPr>
          <w:sz w:val="20"/>
          <w:szCs w:val="20"/>
          <w:color w:val="auto"/>
        </w:rPr>
      </w:pPr>
      <w:r>
        <w:rPr>
          <w:rFonts w:ascii="Courier New" w:cs="Courier New" w:eastAsia="Courier New" w:hAnsi="Courier New"/>
          <w:sz w:val="15"/>
          <w:szCs w:val="15"/>
          <w:color w:val="auto"/>
        </w:rPr>
        <w:t>dba "North County Landfill"</w:t>
      </w:r>
    </w:p>
    <w:p>
      <w:pPr>
        <w:ind w:left="1140"/>
        <w:spacing w:after="0" w:line="237" w:lineRule="auto"/>
        <w:rPr>
          <w:sz w:val="20"/>
          <w:szCs w:val="20"/>
          <w:color w:val="auto"/>
        </w:rPr>
      </w:pPr>
      <w:r>
        <w:rPr>
          <w:rFonts w:ascii="Courier New" w:cs="Courier New" w:eastAsia="Courier New" w:hAnsi="Courier New"/>
          <w:sz w:val="15"/>
          <w:szCs w:val="15"/>
          <w:color w:val="auto"/>
        </w:rPr>
        <w:t>dba "Springdale Hauling"</w:t>
      </w:r>
    </w:p>
    <w:p>
      <w:pPr>
        <w:ind w:left="1140"/>
        <w:spacing w:after="0" w:line="238" w:lineRule="auto"/>
        <w:rPr>
          <w:sz w:val="20"/>
          <w:szCs w:val="20"/>
          <w:color w:val="auto"/>
        </w:rPr>
      </w:pPr>
      <w:r>
        <w:rPr>
          <w:rFonts w:ascii="Courier New" w:cs="Courier New" w:eastAsia="Courier New" w:hAnsi="Courier New"/>
          <w:sz w:val="15"/>
          <w:szCs w:val="15"/>
          <w:color w:val="auto"/>
        </w:rPr>
        <w:t>dba "Sunray Services of Texas, Inc."</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dba "Sunray Services, Inc. Transfer Station (Joplin)"</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dba "Sunray Services Transfer Station"</w:t>
      </w:r>
    </w:p>
    <w:p>
      <w:pPr>
        <w:ind w:left="1140"/>
        <w:spacing w:after="0" w:line="237" w:lineRule="auto"/>
        <w:rPr>
          <w:sz w:val="20"/>
          <w:szCs w:val="20"/>
          <w:color w:val="auto"/>
        </w:rPr>
      </w:pPr>
      <w:r>
        <w:rPr>
          <w:rFonts w:ascii="Courier New" w:cs="Courier New" w:eastAsia="Courier New" w:hAnsi="Courier New"/>
          <w:sz w:val="15"/>
          <w:szCs w:val="15"/>
          <w:color w:val="auto"/>
        </w:rPr>
        <w:t>dba "Tontitown Landfill"</w:t>
      </w:r>
    </w:p>
    <w:p>
      <w:pPr>
        <w:spacing w:after="0" w:line="238" w:lineRule="auto"/>
        <w:rPr>
          <w:sz w:val="20"/>
          <w:szCs w:val="20"/>
          <w:color w:val="auto"/>
        </w:rPr>
      </w:pPr>
      <w:r>
        <w:rPr>
          <w:rFonts w:ascii="Courier New" w:cs="Courier New" w:eastAsia="Courier New" w:hAnsi="Courier New"/>
          <w:sz w:val="15"/>
          <w:szCs w:val="15"/>
          <w:color w:val="auto"/>
        </w:rPr>
        <w:t>SUNSET SANITATION SERVICE (CA)</w:t>
      </w:r>
    </w:p>
    <w:p>
      <w:pPr>
        <w:spacing w:after="0" w:line="237" w:lineRule="auto"/>
        <w:rPr>
          <w:sz w:val="20"/>
          <w:szCs w:val="20"/>
          <w:color w:val="auto"/>
        </w:rPr>
      </w:pPr>
      <w:r>
        <w:rPr>
          <w:rFonts w:ascii="Courier New" w:cs="Courier New" w:eastAsia="Courier New" w:hAnsi="Courier New"/>
          <w:sz w:val="15"/>
          <w:szCs w:val="15"/>
          <w:color w:val="auto"/>
        </w:rPr>
        <w:t>U.S.A. WASTE OF FAIRLESS HILLS, INC. (DE)</w:t>
      </w:r>
    </w:p>
    <w:p>
      <w:pPr>
        <w:spacing w:after="0" w:line="238" w:lineRule="auto"/>
        <w:rPr>
          <w:sz w:val="20"/>
          <w:szCs w:val="20"/>
          <w:color w:val="auto"/>
        </w:rPr>
      </w:pPr>
      <w:r>
        <w:rPr>
          <w:rFonts w:ascii="Courier New" w:cs="Courier New" w:eastAsia="Courier New" w:hAnsi="Courier New"/>
          <w:sz w:val="15"/>
          <w:szCs w:val="15"/>
          <w:color w:val="auto"/>
        </w:rPr>
        <w:t>USA ILLINOIS NEWCO, INC. (IL)</w:t>
      </w:r>
    </w:p>
    <w:p>
      <w:pPr>
        <w:spacing w:after="0" w:line="237" w:lineRule="auto"/>
        <w:rPr>
          <w:sz w:val="20"/>
          <w:szCs w:val="20"/>
          <w:color w:val="auto"/>
        </w:rPr>
      </w:pPr>
      <w:r>
        <w:rPr>
          <w:rFonts w:ascii="Courier New" w:cs="Courier New" w:eastAsia="Courier New" w:hAnsi="Courier New"/>
          <w:sz w:val="15"/>
          <w:szCs w:val="15"/>
          <w:color w:val="auto"/>
        </w:rPr>
        <w:t>USA PAPER PROCESSING, INC. (DE)</w:t>
      </w:r>
    </w:p>
    <w:p>
      <w:pPr>
        <w:ind w:left="1140"/>
        <w:spacing w:after="0" w:line="238" w:lineRule="auto"/>
        <w:rPr>
          <w:sz w:val="20"/>
          <w:szCs w:val="20"/>
          <w:color w:val="auto"/>
        </w:rPr>
      </w:pPr>
      <w:r>
        <w:rPr>
          <w:rFonts w:ascii="Courier New" w:cs="Courier New" w:eastAsia="Courier New" w:hAnsi="Courier New"/>
          <w:sz w:val="15"/>
          <w:szCs w:val="15"/>
          <w:color w:val="auto"/>
        </w:rPr>
        <w:t>(fka Riviera Acquisition Corporation)</w:t>
      </w:r>
    </w:p>
    <w:p>
      <w:pPr>
        <w:spacing w:after="0" w:line="237" w:lineRule="auto"/>
        <w:rPr>
          <w:sz w:val="20"/>
          <w:szCs w:val="20"/>
          <w:color w:val="auto"/>
        </w:rPr>
      </w:pPr>
      <w:r>
        <w:rPr>
          <w:rFonts w:ascii="Courier New" w:cs="Courier New" w:eastAsia="Courier New" w:hAnsi="Courier New"/>
          <w:sz w:val="15"/>
          <w:szCs w:val="15"/>
          <w:color w:val="auto"/>
        </w:rPr>
        <w:t>USA WASTE HAULING OF PHILADELPHIA, INC. (DE)</w:t>
      </w:r>
    </w:p>
    <w:p>
      <w:pPr>
        <w:ind w:left="1140"/>
        <w:spacing w:after="0" w:line="238" w:lineRule="auto"/>
        <w:rPr>
          <w:sz w:val="20"/>
          <w:szCs w:val="20"/>
          <w:color w:val="auto"/>
        </w:rPr>
      </w:pPr>
      <w:r>
        <w:rPr>
          <w:rFonts w:ascii="Courier New" w:cs="Courier New" w:eastAsia="Courier New" w:hAnsi="Courier New"/>
          <w:sz w:val="15"/>
          <w:szCs w:val="15"/>
          <w:color w:val="auto"/>
        </w:rPr>
        <w:t>dba "Quick-Way"</w:t>
      </w:r>
    </w:p>
    <w:p>
      <w:pPr>
        <w:ind w:left="1140"/>
        <w:spacing w:after="0" w:line="238" w:lineRule="auto"/>
        <w:rPr>
          <w:sz w:val="20"/>
          <w:szCs w:val="20"/>
          <w:color w:val="auto"/>
        </w:rPr>
      </w:pPr>
      <w:r>
        <w:rPr>
          <w:rFonts w:ascii="Courier New" w:cs="Courier New" w:eastAsia="Courier New" w:hAnsi="Courier New"/>
          <w:sz w:val="15"/>
          <w:szCs w:val="15"/>
          <w:color w:val="auto"/>
        </w:rPr>
        <w:t>dba "Quickway"</w:t>
      </w:r>
    </w:p>
    <w:p>
      <w:pPr>
        <w:spacing w:after="0" w:line="237" w:lineRule="auto"/>
        <w:rPr>
          <w:sz w:val="20"/>
          <w:szCs w:val="20"/>
          <w:color w:val="auto"/>
        </w:rPr>
      </w:pPr>
      <w:r>
        <w:rPr>
          <w:rFonts w:ascii="Courier New" w:cs="Courier New" w:eastAsia="Courier New" w:hAnsi="Courier New"/>
          <w:sz w:val="15"/>
          <w:szCs w:val="15"/>
          <w:color w:val="auto"/>
        </w:rPr>
        <w:t>USA WASTE OF ARIZONA, INC. (AZ)</w:t>
      </w:r>
    </w:p>
    <w:p>
      <w:pPr>
        <w:ind w:left="360"/>
        <w:spacing w:after="0" w:line="238" w:lineRule="auto"/>
        <w:rPr>
          <w:sz w:val="20"/>
          <w:szCs w:val="20"/>
          <w:color w:val="auto"/>
        </w:rPr>
      </w:pPr>
      <w:r>
        <w:rPr>
          <w:rFonts w:ascii="Courier New" w:cs="Courier New" w:eastAsia="Courier New" w:hAnsi="Courier New"/>
          <w:sz w:val="15"/>
          <w:szCs w:val="15"/>
          <w:color w:val="auto"/>
        </w:rPr>
        <w:t>CUSTOM DISPOSAL SERVICE, INC. (AZ)</w:t>
      </w:r>
    </w:p>
    <w:p>
      <w:pPr>
        <w:spacing w:after="0" w:line="237" w:lineRule="auto"/>
        <w:rPr>
          <w:sz w:val="20"/>
          <w:szCs w:val="20"/>
          <w:color w:val="auto"/>
        </w:rPr>
      </w:pPr>
      <w:r>
        <w:rPr>
          <w:rFonts w:ascii="Courier New" w:cs="Courier New" w:eastAsia="Courier New" w:hAnsi="Courier New"/>
          <w:sz w:val="15"/>
          <w:szCs w:val="15"/>
          <w:color w:val="auto"/>
        </w:rPr>
        <w:t>USA WASTE OF ILLINOIS, INC. (IL)</w:t>
      </w:r>
    </w:p>
    <w:p>
      <w:pPr>
        <w:ind w:left="1140"/>
        <w:spacing w:after="0" w:line="238" w:lineRule="auto"/>
        <w:rPr>
          <w:sz w:val="20"/>
          <w:szCs w:val="20"/>
          <w:color w:val="auto"/>
        </w:rPr>
      </w:pPr>
      <w:r>
        <w:rPr>
          <w:rFonts w:ascii="Courier New" w:cs="Courier New" w:eastAsia="Courier New" w:hAnsi="Courier New"/>
          <w:sz w:val="15"/>
          <w:szCs w:val="15"/>
          <w:color w:val="auto"/>
        </w:rPr>
        <w:t>dba "Northshore Waste Control"</w:t>
      </w:r>
    </w:p>
    <w:p>
      <w:pPr>
        <w:ind w:left="1140"/>
        <w:spacing w:after="0" w:line="237" w:lineRule="auto"/>
        <w:rPr>
          <w:sz w:val="20"/>
          <w:szCs w:val="20"/>
          <w:color w:val="auto"/>
        </w:rPr>
      </w:pPr>
      <w:r>
        <w:rPr>
          <w:rFonts w:ascii="Courier New" w:cs="Courier New" w:eastAsia="Courier New" w:hAnsi="Courier New"/>
          <w:sz w:val="15"/>
          <w:szCs w:val="15"/>
          <w:color w:val="auto"/>
        </w:rPr>
        <w:t>dba "USA Waste Services"</w:t>
      </w:r>
    </w:p>
    <w:p>
      <w:pPr>
        <w:ind w:left="1140"/>
        <w:spacing w:after="0" w:line="238" w:lineRule="auto"/>
        <w:rPr>
          <w:sz w:val="20"/>
          <w:szCs w:val="20"/>
          <w:color w:val="auto"/>
        </w:rPr>
      </w:pPr>
      <w:r>
        <w:rPr>
          <w:rFonts w:ascii="Courier New" w:cs="Courier New" w:eastAsia="Courier New" w:hAnsi="Courier New"/>
          <w:sz w:val="15"/>
          <w:szCs w:val="15"/>
          <w:color w:val="auto"/>
        </w:rPr>
        <w:t>dba "USA Waste Services of Illinois - Crestwood"</w:t>
      </w:r>
    </w:p>
    <w:p>
      <w:pPr>
        <w:ind w:left="360"/>
        <w:spacing w:after="0" w:line="238" w:lineRule="auto"/>
        <w:rPr>
          <w:sz w:val="20"/>
          <w:szCs w:val="20"/>
          <w:color w:val="auto"/>
        </w:rPr>
      </w:pPr>
      <w:r>
        <w:rPr>
          <w:rFonts w:ascii="Courier New" w:cs="Courier New" w:eastAsia="Courier New" w:hAnsi="Courier New"/>
          <w:sz w:val="15"/>
          <w:szCs w:val="15"/>
          <w:color w:val="auto"/>
        </w:rPr>
        <w:t>CENTRAL ILLINOIS DISPOSAL, INC. (IL)</w:t>
      </w:r>
    </w:p>
    <w:p>
      <w:pPr>
        <w:ind w:left="360"/>
        <w:spacing w:after="0" w:line="237" w:lineRule="auto"/>
        <w:rPr>
          <w:sz w:val="20"/>
          <w:szCs w:val="20"/>
          <w:color w:val="auto"/>
        </w:rPr>
      </w:pPr>
      <w:r>
        <w:rPr>
          <w:rFonts w:ascii="Courier New" w:cs="Courier New" w:eastAsia="Courier New" w:hAnsi="Courier New"/>
          <w:sz w:val="15"/>
          <w:szCs w:val="15"/>
          <w:color w:val="auto"/>
        </w:rPr>
        <w:t>COUNTRYSIDE LANDFILL, INC. (IL)</w:t>
      </w:r>
    </w:p>
    <w:p>
      <w:pPr>
        <w:ind w:left="1140"/>
        <w:spacing w:after="0" w:line="238" w:lineRule="auto"/>
        <w:rPr>
          <w:sz w:val="20"/>
          <w:szCs w:val="20"/>
          <w:color w:val="auto"/>
        </w:rPr>
      </w:pPr>
      <w:r>
        <w:rPr>
          <w:rFonts w:ascii="Courier New" w:cs="Courier New" w:eastAsia="Courier New" w:hAnsi="Courier New"/>
          <w:sz w:val="15"/>
          <w:szCs w:val="15"/>
          <w:color w:val="auto"/>
        </w:rPr>
        <w:t>(fka ARF Landfill)</w:t>
      </w:r>
    </w:p>
    <w:p>
      <w:pPr>
        <w:ind w:left="1140"/>
        <w:spacing w:after="0" w:line="237" w:lineRule="auto"/>
        <w:rPr>
          <w:sz w:val="20"/>
          <w:szCs w:val="20"/>
          <w:color w:val="auto"/>
        </w:rPr>
      </w:pPr>
      <w:r>
        <w:rPr>
          <w:rFonts w:ascii="Courier New" w:cs="Courier New" w:eastAsia="Courier New" w:hAnsi="Courier New"/>
          <w:sz w:val="15"/>
          <w:szCs w:val="15"/>
          <w:color w:val="auto"/>
        </w:rPr>
        <w:t>dba "Countryside Landfill"</w:t>
      </w:r>
    </w:p>
    <w:p>
      <w:pPr>
        <w:ind w:left="360"/>
        <w:spacing w:after="0" w:line="238" w:lineRule="auto"/>
        <w:rPr>
          <w:sz w:val="20"/>
          <w:szCs w:val="20"/>
          <w:color w:val="auto"/>
        </w:rPr>
      </w:pPr>
      <w:r>
        <w:rPr>
          <w:rFonts w:ascii="Courier New" w:cs="Courier New" w:eastAsia="Courier New" w:hAnsi="Courier New"/>
          <w:sz w:val="15"/>
          <w:szCs w:val="15"/>
          <w:color w:val="auto"/>
        </w:rPr>
        <w:t>CRYSTAL LAKE DISPOSAL, INC. (DE)</w:t>
      </w:r>
    </w:p>
    <w:p>
      <w:pPr>
        <w:ind w:left="360"/>
        <w:spacing w:after="0" w:line="237" w:lineRule="auto"/>
        <w:rPr>
          <w:sz w:val="20"/>
          <w:szCs w:val="20"/>
          <w:color w:val="auto"/>
        </w:rPr>
      </w:pPr>
      <w:r>
        <w:rPr>
          <w:rFonts w:ascii="Courier New" w:cs="Courier New" w:eastAsia="Courier New" w:hAnsi="Courier New"/>
          <w:sz w:val="15"/>
          <w:szCs w:val="15"/>
          <w:color w:val="auto"/>
        </w:rPr>
        <w:t>LAKELAND PROPERTIES, INC. (IL)</w:t>
      </w:r>
    </w:p>
    <w:p>
      <w:pPr>
        <w:spacing w:after="0" w:line="238" w:lineRule="auto"/>
        <w:rPr>
          <w:sz w:val="20"/>
          <w:szCs w:val="20"/>
          <w:color w:val="auto"/>
        </w:rPr>
      </w:pPr>
      <w:r>
        <w:rPr>
          <w:rFonts w:ascii="Courier New" w:cs="Courier New" w:eastAsia="Courier New" w:hAnsi="Courier New"/>
          <w:sz w:val="15"/>
          <w:szCs w:val="15"/>
          <w:color w:val="auto"/>
        </w:rPr>
        <w:t>USA WASTE OF INDIANA, INC. (IN)</w:t>
      </w:r>
    </w:p>
    <w:p>
      <w:pPr>
        <w:ind w:left="1140"/>
        <w:spacing w:after="0" w:line="238" w:lineRule="auto"/>
        <w:rPr>
          <w:sz w:val="20"/>
          <w:szCs w:val="20"/>
          <w:color w:val="auto"/>
        </w:rPr>
      </w:pPr>
      <w:r>
        <w:rPr>
          <w:rFonts w:ascii="Courier New" w:cs="Courier New" w:eastAsia="Courier New" w:hAnsi="Courier New"/>
          <w:sz w:val="15"/>
          <w:szCs w:val="15"/>
          <w:color w:val="auto"/>
        </w:rPr>
        <w:t>dba "Liberty Disposal"</w:t>
      </w:r>
    </w:p>
    <w:p>
      <w:pPr>
        <w:ind w:left="360"/>
        <w:spacing w:after="0" w:line="237" w:lineRule="auto"/>
        <w:rPr>
          <w:sz w:val="20"/>
          <w:szCs w:val="20"/>
          <w:color w:val="auto"/>
        </w:rPr>
      </w:pPr>
      <w:r>
        <w:rPr>
          <w:rFonts w:ascii="Courier New" w:cs="Courier New" w:eastAsia="Courier New" w:hAnsi="Courier New"/>
          <w:sz w:val="15"/>
          <w:szCs w:val="15"/>
          <w:color w:val="auto"/>
        </w:rPr>
        <w:t>EARTHMOVERS, INC. (IN)</w:t>
      </w:r>
    </w:p>
    <w:p>
      <w:pPr>
        <w:ind w:left="1140"/>
        <w:spacing w:after="0" w:line="238" w:lineRule="auto"/>
        <w:rPr>
          <w:sz w:val="20"/>
          <w:szCs w:val="20"/>
          <w:color w:val="auto"/>
        </w:rPr>
      </w:pPr>
      <w:r>
        <w:rPr>
          <w:rFonts w:ascii="Courier New" w:cs="Courier New" w:eastAsia="Courier New" w:hAnsi="Courier New"/>
          <w:sz w:val="15"/>
          <w:szCs w:val="15"/>
          <w:color w:val="auto"/>
        </w:rPr>
        <w:t>dba "Earthmovers Landfill"</w:t>
      </w:r>
    </w:p>
    <w:p>
      <w:pPr>
        <w:ind w:left="360"/>
        <w:spacing w:after="0" w:line="237" w:lineRule="auto"/>
        <w:rPr>
          <w:sz w:val="20"/>
          <w:szCs w:val="20"/>
          <w:color w:val="auto"/>
        </w:rPr>
      </w:pPr>
      <w:r>
        <w:rPr>
          <w:rFonts w:ascii="Courier New" w:cs="Courier New" w:eastAsia="Courier New" w:hAnsi="Courier New"/>
          <w:sz w:val="15"/>
          <w:szCs w:val="15"/>
          <w:color w:val="auto"/>
        </w:rPr>
        <w:t>LIBERTY LANDFILL, INC. (IN)</w:t>
      </w:r>
    </w:p>
    <w:p>
      <w:pPr>
        <w:ind w:left="1140"/>
        <w:spacing w:after="0" w:line="238" w:lineRule="auto"/>
        <w:rPr>
          <w:sz w:val="20"/>
          <w:szCs w:val="20"/>
          <w:color w:val="auto"/>
        </w:rPr>
      </w:pPr>
      <w:r>
        <w:rPr>
          <w:rFonts w:ascii="Courier New" w:cs="Courier New" w:eastAsia="Courier New" w:hAnsi="Courier New"/>
          <w:sz w:val="15"/>
          <w:szCs w:val="15"/>
          <w:color w:val="auto"/>
        </w:rPr>
        <w:t>(fka Chambers Liberty Landfill, Inc.)</w:t>
      </w:r>
    </w:p>
    <w:p>
      <w:pPr>
        <w:ind w:left="1140"/>
        <w:spacing w:after="0" w:line="237" w:lineRule="auto"/>
        <w:rPr>
          <w:sz w:val="20"/>
          <w:szCs w:val="20"/>
          <w:color w:val="auto"/>
        </w:rPr>
      </w:pPr>
      <w:r>
        <w:rPr>
          <w:rFonts w:ascii="Courier New" w:cs="Courier New" w:eastAsia="Courier New" w:hAnsi="Courier New"/>
          <w:sz w:val="15"/>
          <w:szCs w:val="15"/>
          <w:color w:val="auto"/>
        </w:rPr>
        <w:t>dba "Liberty Landfill"</w:t>
      </w:r>
    </w:p>
    <w:p>
      <w:pPr>
        <w:spacing w:after="0" w:line="238" w:lineRule="auto"/>
        <w:rPr>
          <w:sz w:val="20"/>
          <w:szCs w:val="20"/>
          <w:color w:val="auto"/>
        </w:rPr>
      </w:pPr>
      <w:r>
        <w:rPr>
          <w:rFonts w:ascii="Courier New" w:cs="Courier New" w:eastAsia="Courier New" w:hAnsi="Courier New"/>
          <w:sz w:val="15"/>
          <w:szCs w:val="15"/>
          <w:color w:val="auto"/>
        </w:rPr>
        <w:t>USA WASTE OF NEW YORK CITY, INC. (DE)</w:t>
      </w:r>
    </w:p>
    <w:p>
      <w:pPr>
        <w:spacing w:after="0" w:line="238" w:lineRule="auto"/>
        <w:rPr>
          <w:sz w:val="20"/>
          <w:szCs w:val="20"/>
          <w:color w:val="auto"/>
        </w:rPr>
      </w:pPr>
      <w:r>
        <w:rPr>
          <w:rFonts w:ascii="Courier New" w:cs="Courier New" w:eastAsia="Courier New" w:hAnsi="Courier New"/>
          <w:sz w:val="15"/>
          <w:szCs w:val="15"/>
          <w:color w:val="auto"/>
        </w:rPr>
        <w:t>USA WASTE OF OKLAHOMA, INC. (OK)</w:t>
      </w:r>
    </w:p>
    <w:p>
      <w:pPr>
        <w:ind w:left="1140"/>
        <w:spacing w:after="0" w:line="237" w:lineRule="auto"/>
        <w:rPr>
          <w:sz w:val="20"/>
          <w:szCs w:val="20"/>
          <w:color w:val="auto"/>
        </w:rPr>
      </w:pPr>
      <w:r>
        <w:rPr>
          <w:rFonts w:ascii="Courier New" w:cs="Courier New" w:eastAsia="Courier New" w:hAnsi="Courier New"/>
          <w:sz w:val="15"/>
          <w:szCs w:val="15"/>
          <w:color w:val="auto"/>
        </w:rPr>
        <w:t>dba "Moore Transfer Station"</w:t>
      </w:r>
    </w:p>
    <w:p>
      <w:pPr>
        <w:ind w:left="1140"/>
        <w:spacing w:after="0" w:line="238" w:lineRule="auto"/>
        <w:rPr>
          <w:sz w:val="20"/>
          <w:szCs w:val="20"/>
          <w:color w:val="auto"/>
        </w:rPr>
      </w:pPr>
      <w:r>
        <w:rPr>
          <w:rFonts w:ascii="Courier New" w:cs="Courier New" w:eastAsia="Courier New" w:hAnsi="Courier New"/>
          <w:sz w:val="15"/>
          <w:szCs w:val="15"/>
          <w:color w:val="auto"/>
        </w:rPr>
        <w:t>dba "Oklahoma Collection"</w:t>
      </w:r>
    </w:p>
    <w:p>
      <w:pPr>
        <w:ind w:left="1140"/>
        <w:spacing w:after="0" w:line="237" w:lineRule="auto"/>
        <w:rPr>
          <w:sz w:val="20"/>
          <w:szCs w:val="20"/>
          <w:color w:val="auto"/>
        </w:rPr>
      </w:pPr>
      <w:r>
        <w:rPr>
          <w:rFonts w:ascii="Courier New" w:cs="Courier New" w:eastAsia="Courier New" w:hAnsi="Courier New"/>
          <w:sz w:val="15"/>
          <w:szCs w:val="15"/>
          <w:color w:val="auto"/>
        </w:rPr>
        <w:t>dba "Norman Transfer Station"</w:t>
      </w:r>
    </w:p>
    <w:p>
      <w:pPr>
        <w:ind w:left="1140"/>
        <w:spacing w:after="0" w:line="238" w:lineRule="auto"/>
        <w:rPr>
          <w:sz w:val="20"/>
          <w:szCs w:val="20"/>
          <w:color w:val="auto"/>
        </w:rPr>
      </w:pPr>
      <w:r>
        <w:rPr>
          <w:rFonts w:ascii="Courier New" w:cs="Courier New" w:eastAsia="Courier New" w:hAnsi="Courier New"/>
          <w:sz w:val="15"/>
          <w:szCs w:val="15"/>
          <w:color w:val="auto"/>
        </w:rPr>
        <w:t>dba "Pinecrest Landfill"</w:t>
      </w:r>
    </w:p>
    <w:p>
      <w:pPr>
        <w:spacing w:after="0" w:line="237" w:lineRule="auto"/>
        <w:rPr>
          <w:sz w:val="20"/>
          <w:szCs w:val="20"/>
          <w:color w:val="auto"/>
        </w:rPr>
      </w:pPr>
      <w:r>
        <w:rPr>
          <w:rFonts w:ascii="Courier New" w:cs="Courier New" w:eastAsia="Courier New" w:hAnsi="Courier New"/>
          <w:sz w:val="15"/>
          <w:szCs w:val="15"/>
          <w:color w:val="auto"/>
        </w:rPr>
        <w:t>USA WASTE OF TEXAS, INC. (TX)</w:t>
      </w:r>
    </w:p>
    <w:p>
      <w:pPr>
        <w:ind w:left="1140"/>
        <w:spacing w:after="0" w:line="238" w:lineRule="auto"/>
        <w:rPr>
          <w:sz w:val="20"/>
          <w:szCs w:val="20"/>
          <w:color w:val="auto"/>
        </w:rPr>
      </w:pPr>
      <w:r>
        <w:rPr>
          <w:rFonts w:ascii="Courier New" w:cs="Courier New" w:eastAsia="Courier New" w:hAnsi="Courier New"/>
          <w:sz w:val="15"/>
          <w:szCs w:val="15"/>
          <w:color w:val="auto"/>
        </w:rPr>
        <w:t>dba "ECD Waste Services"</w:t>
      </w:r>
    </w:p>
    <w:p>
      <w:pPr>
        <w:ind w:left="1140"/>
        <w:spacing w:after="0" w:line="238" w:lineRule="auto"/>
        <w:rPr>
          <w:sz w:val="20"/>
          <w:szCs w:val="20"/>
          <w:color w:val="auto"/>
        </w:rPr>
      </w:pPr>
      <w:r>
        <w:rPr>
          <w:rFonts w:ascii="Courier New" w:cs="Courier New" w:eastAsia="Courier New" w:hAnsi="Courier New"/>
          <w:sz w:val="15"/>
          <w:szCs w:val="15"/>
          <w:color w:val="auto"/>
        </w:rPr>
        <w:t>dba "Ellis County Landfill"</w:t>
      </w:r>
    </w:p>
    <w:p>
      <w:pPr>
        <w:ind w:left="1140"/>
        <w:spacing w:after="0" w:line="237" w:lineRule="auto"/>
        <w:rPr>
          <w:sz w:val="20"/>
          <w:szCs w:val="20"/>
          <w:color w:val="auto"/>
        </w:rPr>
      </w:pPr>
      <w:r>
        <w:rPr>
          <w:rFonts w:ascii="Courier New" w:cs="Courier New" w:eastAsia="Courier New" w:hAnsi="Courier New"/>
          <w:sz w:val="15"/>
          <w:szCs w:val="15"/>
          <w:color w:val="auto"/>
        </w:rPr>
        <w:t>dba "USA Waste of Dallas/Ft. Worth"</w:t>
      </w:r>
    </w:p>
    <w:p>
      <w:pPr>
        <w:ind w:left="360"/>
        <w:spacing w:after="0" w:line="238" w:lineRule="auto"/>
        <w:rPr>
          <w:sz w:val="20"/>
          <w:szCs w:val="20"/>
          <w:color w:val="auto"/>
        </w:rPr>
      </w:pPr>
      <w:r>
        <w:rPr>
          <w:rFonts w:ascii="Courier New" w:cs="Courier New" w:eastAsia="Courier New" w:hAnsi="Courier New"/>
          <w:sz w:val="15"/>
          <w:szCs w:val="15"/>
          <w:color w:val="auto"/>
        </w:rPr>
        <w:t>USA WASTE SERVICES OF SAN ANTONIO, INC. (TX)</w:t>
      </w:r>
    </w:p>
    <w:p>
      <w:pPr>
        <w:ind w:left="1140"/>
        <w:spacing w:after="0" w:line="237" w:lineRule="auto"/>
        <w:rPr>
          <w:sz w:val="20"/>
          <w:szCs w:val="20"/>
          <w:color w:val="auto"/>
        </w:rPr>
      </w:pPr>
      <w:r>
        <w:rPr>
          <w:rFonts w:ascii="Courier New" w:cs="Courier New" w:eastAsia="Courier New" w:hAnsi="Courier New"/>
          <w:sz w:val="15"/>
          <w:szCs w:val="15"/>
          <w:color w:val="auto"/>
        </w:rPr>
        <w:t>(fka Mission Disposal, Inc.)</w:t>
      </w:r>
    </w:p>
    <w:p>
      <w:pPr>
        <w:ind w:left="1140"/>
        <w:spacing w:after="0" w:line="238" w:lineRule="auto"/>
        <w:rPr>
          <w:sz w:val="20"/>
          <w:szCs w:val="20"/>
          <w:color w:val="auto"/>
        </w:rPr>
      </w:pPr>
      <w:r>
        <w:rPr>
          <w:rFonts w:ascii="Courier New" w:cs="Courier New" w:eastAsia="Courier New" w:hAnsi="Courier New"/>
          <w:sz w:val="15"/>
          <w:szCs w:val="15"/>
          <w:color w:val="auto"/>
        </w:rPr>
        <w:t>dba "USA Waste of San Antonio"</w:t>
      </w:r>
    </w:p>
    <w:p>
      <w:pPr>
        <w:ind w:left="360"/>
        <w:spacing w:after="0" w:line="237" w:lineRule="auto"/>
        <w:rPr>
          <w:sz w:val="20"/>
          <w:szCs w:val="20"/>
          <w:color w:val="auto"/>
        </w:rPr>
      </w:pPr>
      <w:r>
        <w:rPr>
          <w:rFonts w:ascii="Courier New" w:cs="Courier New" w:eastAsia="Courier New" w:hAnsi="Courier New"/>
          <w:sz w:val="15"/>
          <w:szCs w:val="15"/>
          <w:color w:val="auto"/>
        </w:rPr>
        <w:t>USA WASTE SERVICES OF HOUSTON, INC. (TX)</w:t>
      </w:r>
    </w:p>
    <w:p>
      <w:pPr>
        <w:ind w:left="1140"/>
        <w:spacing w:after="0" w:line="238" w:lineRule="auto"/>
        <w:rPr>
          <w:sz w:val="20"/>
          <w:szCs w:val="20"/>
          <w:color w:val="auto"/>
        </w:rPr>
      </w:pPr>
      <w:r>
        <w:rPr>
          <w:rFonts w:ascii="Courier New" w:cs="Courier New" w:eastAsia="Courier New" w:hAnsi="Courier New"/>
          <w:sz w:val="15"/>
          <w:szCs w:val="15"/>
          <w:color w:val="auto"/>
        </w:rPr>
        <w:t>(fka Best Pak Disposal, Inc.)</w:t>
      </w:r>
    </w:p>
    <w:p>
      <w:pPr>
        <w:sectPr>
          <w:pgSz w:w="11900" w:h="16838" w:orient="portrait"/>
          <w:cols w:equalWidth="0" w:num="1">
            <w:col w:w="10239"/>
          </w:cols>
          <w:pgMar w:left="220" w:top="281"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5"/>
          <w:szCs w:val="15"/>
          <w:color w:val="auto"/>
        </w:rPr>
        <w:t>5</w:t>
      </w:r>
    </w:p>
    <w:p>
      <w:pPr>
        <w:ind w:left="1140"/>
        <w:spacing w:after="0" w:line="237" w:lineRule="auto"/>
        <w:rPr>
          <w:sz w:val="20"/>
          <w:szCs w:val="20"/>
          <w:color w:val="auto"/>
        </w:rPr>
      </w:pPr>
      <w:r>
        <w:rPr>
          <w:rFonts w:ascii="Courier New" w:cs="Courier New" w:eastAsia="Courier New" w:hAnsi="Courier New"/>
          <w:sz w:val="15"/>
          <w:szCs w:val="15"/>
          <w:color w:val="auto"/>
        </w:rPr>
        <w:t>dba "Best-Pak"</w:t>
      </w:r>
    </w:p>
    <w:p>
      <w:pPr>
        <w:ind w:left="1140"/>
        <w:spacing w:after="0" w:line="238" w:lineRule="auto"/>
        <w:rPr>
          <w:sz w:val="20"/>
          <w:szCs w:val="20"/>
          <w:color w:val="auto"/>
        </w:rPr>
      </w:pPr>
      <w:r>
        <w:rPr>
          <w:rFonts w:ascii="Courier New" w:cs="Courier New" w:eastAsia="Courier New" w:hAnsi="Courier New"/>
          <w:sz w:val="15"/>
          <w:szCs w:val="15"/>
          <w:color w:val="auto"/>
        </w:rPr>
        <w:t>dba "USA Waste of Houston"</w:t>
      </w:r>
    </w:p>
    <w:p>
      <w:pPr>
        <w:spacing w:after="0" w:line="237" w:lineRule="auto"/>
        <w:rPr>
          <w:sz w:val="20"/>
          <w:szCs w:val="20"/>
          <w:color w:val="auto"/>
        </w:rPr>
      </w:pPr>
      <w:r>
        <w:rPr>
          <w:rFonts w:ascii="Courier New" w:cs="Courier New" w:eastAsia="Courier New" w:hAnsi="Courier New"/>
          <w:sz w:val="15"/>
          <w:szCs w:val="15"/>
          <w:color w:val="auto"/>
        </w:rPr>
        <w:t>USA WASTE SERVICES - HICKORY HILLS, INC. (DE)</w:t>
      </w:r>
    </w:p>
    <w:p>
      <w:pPr>
        <w:spacing w:after="0" w:line="238" w:lineRule="auto"/>
        <w:rPr>
          <w:sz w:val="20"/>
          <w:szCs w:val="20"/>
          <w:color w:val="auto"/>
        </w:rPr>
      </w:pPr>
      <w:r>
        <w:rPr>
          <w:rFonts w:ascii="Courier New" w:cs="Courier New" w:eastAsia="Courier New" w:hAnsi="Courier New"/>
          <w:sz w:val="15"/>
          <w:szCs w:val="15"/>
          <w:color w:val="auto"/>
        </w:rPr>
        <w:t>USA WASTE SERVICES KANSAS LANDFILLS, INC. (DE)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NORTH CAROLINA LANDFILLS, INC. (DE)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OF ALABAMA, INC. (AL)</w:t>
      </w:r>
    </w:p>
    <w:p>
      <w:pPr>
        <w:spacing w:after="0" w:line="237" w:lineRule="auto"/>
        <w:rPr>
          <w:sz w:val="20"/>
          <w:szCs w:val="20"/>
          <w:color w:val="auto"/>
        </w:rPr>
      </w:pPr>
      <w:r>
        <w:rPr>
          <w:rFonts w:ascii="Courier New" w:cs="Courier New" w:eastAsia="Courier New" w:hAnsi="Courier New"/>
          <w:sz w:val="15"/>
          <w:szCs w:val="15"/>
          <w:color w:val="auto"/>
        </w:rPr>
        <w:t>USA WASTE SERVICES OF KANSAS, INC. (DE)</w:t>
      </w:r>
    </w:p>
    <w:p>
      <w:pPr>
        <w:spacing w:after="0" w:line="238" w:lineRule="auto"/>
        <w:rPr>
          <w:sz w:val="20"/>
          <w:szCs w:val="20"/>
          <w:color w:val="auto"/>
        </w:rPr>
      </w:pPr>
      <w:r>
        <w:rPr>
          <w:rFonts w:ascii="Courier New" w:cs="Courier New" w:eastAsia="Courier New" w:hAnsi="Courier New"/>
          <w:sz w:val="15"/>
          <w:szCs w:val="15"/>
          <w:color w:val="auto"/>
        </w:rPr>
        <w:t>USA WASTE SERVICES OF NYC, INC. (DE)</w:t>
      </w:r>
    </w:p>
    <w:p>
      <w:pPr>
        <w:spacing w:after="0" w:line="237" w:lineRule="auto"/>
        <w:rPr>
          <w:sz w:val="20"/>
          <w:szCs w:val="20"/>
          <w:color w:val="auto"/>
        </w:rPr>
      </w:pPr>
      <w:r>
        <w:rPr>
          <w:rFonts w:ascii="Courier New" w:cs="Courier New" w:eastAsia="Courier New" w:hAnsi="Courier New"/>
          <w:sz w:val="15"/>
          <w:szCs w:val="15"/>
          <w:color w:val="auto"/>
        </w:rPr>
        <w:t>USA WASTE SERVICES OF WESTERN ILLINOIS, INC. (DE)</w:t>
      </w:r>
    </w:p>
    <w:p>
      <w:pPr>
        <w:ind w:left="1140"/>
        <w:spacing w:after="0" w:line="238" w:lineRule="auto"/>
        <w:rPr>
          <w:sz w:val="20"/>
          <w:szCs w:val="20"/>
          <w:color w:val="auto"/>
        </w:rPr>
      </w:pPr>
      <w:r>
        <w:rPr>
          <w:rFonts w:ascii="Courier New" w:cs="Courier New" w:eastAsia="Courier New" w:hAnsi="Courier New"/>
          <w:sz w:val="15"/>
          <w:szCs w:val="15"/>
          <w:color w:val="auto"/>
        </w:rPr>
        <w:t>dba "Western Illinois Disposal"</w:t>
      </w:r>
    </w:p>
    <w:p>
      <w:pPr>
        <w:spacing w:after="0" w:line="237" w:lineRule="auto"/>
        <w:rPr>
          <w:sz w:val="20"/>
          <w:szCs w:val="20"/>
          <w:color w:val="auto"/>
        </w:rPr>
      </w:pPr>
      <w:r>
        <w:rPr>
          <w:rFonts w:ascii="Courier New" w:cs="Courier New" w:eastAsia="Courier New" w:hAnsi="Courier New"/>
          <w:sz w:val="15"/>
          <w:szCs w:val="15"/>
          <w:color w:val="auto"/>
        </w:rPr>
        <w:t>USA WASTE TRANSFER OF PHILADELPHIA, INC. (PA)</w:t>
      </w:r>
    </w:p>
    <w:p>
      <w:pPr>
        <w:ind w:left="1140"/>
        <w:spacing w:after="0" w:line="238" w:lineRule="auto"/>
        <w:rPr>
          <w:sz w:val="20"/>
          <w:szCs w:val="20"/>
          <w:color w:val="auto"/>
        </w:rPr>
      </w:pPr>
      <w:r>
        <w:rPr>
          <w:rFonts w:ascii="Courier New" w:cs="Courier New" w:eastAsia="Courier New" w:hAnsi="Courier New"/>
          <w:sz w:val="15"/>
          <w:szCs w:val="15"/>
          <w:color w:val="auto"/>
        </w:rPr>
        <w:t>dba "Girard Point Transfer Station"</w:t>
      </w:r>
    </w:p>
    <w:p>
      <w:pPr>
        <w:ind w:left="360"/>
        <w:spacing w:after="0" w:line="237" w:lineRule="auto"/>
        <w:rPr>
          <w:sz w:val="20"/>
          <w:szCs w:val="20"/>
          <w:color w:val="auto"/>
        </w:rPr>
      </w:pPr>
      <w:r>
        <w:rPr>
          <w:rFonts w:ascii="Courier New" w:cs="Courier New" w:eastAsia="Courier New" w:hAnsi="Courier New"/>
          <w:sz w:val="15"/>
          <w:szCs w:val="15"/>
          <w:color w:val="auto"/>
        </w:rPr>
        <w:t>GRAND CENTRAL SANITATION, INC. (PA)</w:t>
      </w:r>
    </w:p>
    <w:p>
      <w:pPr>
        <w:ind w:left="360"/>
        <w:spacing w:after="0" w:line="238" w:lineRule="auto"/>
        <w:rPr>
          <w:sz w:val="20"/>
          <w:szCs w:val="20"/>
          <w:color w:val="auto"/>
        </w:rPr>
      </w:pPr>
      <w:r>
        <w:rPr>
          <w:rFonts w:ascii="Courier New" w:cs="Courier New" w:eastAsia="Courier New" w:hAnsi="Courier New"/>
          <w:sz w:val="15"/>
          <w:szCs w:val="15"/>
          <w:color w:val="auto"/>
        </w:rPr>
        <w:t>GRAND CENTRAL SANITARY LANDFILL, INC. (PA)</w:t>
      </w:r>
    </w:p>
    <w:p>
      <w:pPr>
        <w:ind w:left="360"/>
        <w:spacing w:after="0" w:line="238" w:lineRule="auto"/>
        <w:rPr>
          <w:sz w:val="20"/>
          <w:szCs w:val="20"/>
          <w:color w:val="auto"/>
        </w:rPr>
      </w:pPr>
      <w:r>
        <w:rPr>
          <w:rFonts w:ascii="Courier New" w:cs="Courier New" w:eastAsia="Courier New" w:hAnsi="Courier New"/>
          <w:sz w:val="15"/>
          <w:szCs w:val="15"/>
          <w:color w:val="auto"/>
        </w:rPr>
        <w:t>GRAND CENTRAL REAL ESTATE COMPANY, INC. (PA)</w:t>
      </w:r>
    </w:p>
    <w:p>
      <w:pPr>
        <w:ind w:left="360"/>
        <w:spacing w:after="0" w:line="237" w:lineRule="auto"/>
        <w:rPr>
          <w:sz w:val="20"/>
          <w:szCs w:val="20"/>
          <w:color w:val="auto"/>
        </w:rPr>
      </w:pPr>
      <w:r>
        <w:rPr>
          <w:rFonts w:ascii="Courier New" w:cs="Courier New" w:eastAsia="Courier New" w:hAnsi="Courier New"/>
          <w:sz w:val="15"/>
          <w:szCs w:val="15"/>
          <w:color w:val="auto"/>
        </w:rPr>
        <w:t>POCONO INDEPENDENT PAPERSTOCK CO., INC. (PA)</w:t>
      </w:r>
    </w:p>
    <w:p>
      <w:pPr>
        <w:spacing w:after="0" w:line="238" w:lineRule="auto"/>
        <w:rPr>
          <w:sz w:val="20"/>
          <w:szCs w:val="20"/>
          <w:color w:val="auto"/>
        </w:rPr>
      </w:pPr>
      <w:r>
        <w:rPr>
          <w:rFonts w:ascii="Courier New" w:cs="Courier New" w:eastAsia="Courier New" w:hAnsi="Courier New"/>
          <w:sz w:val="15"/>
          <w:szCs w:val="15"/>
          <w:color w:val="auto"/>
        </w:rPr>
        <w:t>WASTE DISPOSAL SPECIALIST, INC. (CO)</w:t>
      </w:r>
    </w:p>
    <w:p>
      <w:pPr>
        <w:spacing w:after="0" w:line="237" w:lineRule="auto"/>
        <w:rPr>
          <w:sz w:val="20"/>
          <w:szCs w:val="20"/>
          <w:color w:val="auto"/>
        </w:rPr>
      </w:pPr>
      <w:r>
        <w:rPr>
          <w:rFonts w:ascii="Courier New" w:cs="Courier New" w:eastAsia="Courier New" w:hAnsi="Courier New"/>
          <w:sz w:val="15"/>
          <w:szCs w:val="15"/>
          <w:color w:val="auto"/>
        </w:rPr>
        <w:t>WASTE RECOVERY CORPORATION (OH)</w:t>
      </w:r>
    </w:p>
    <w:p>
      <w:pPr>
        <w:ind w:left="1140"/>
        <w:spacing w:after="0" w:line="238" w:lineRule="auto"/>
        <w:rPr>
          <w:sz w:val="20"/>
          <w:szCs w:val="20"/>
          <w:color w:val="auto"/>
        </w:rPr>
      </w:pPr>
      <w:r>
        <w:rPr>
          <w:rFonts w:ascii="Courier New" w:cs="Courier New" w:eastAsia="Courier New" w:hAnsi="Courier New"/>
          <w:sz w:val="15"/>
          <w:szCs w:val="15"/>
          <w:color w:val="auto"/>
        </w:rPr>
        <w:t>dba "WRC"</w:t>
      </w:r>
    </w:p>
    <w:p>
      <w:pPr>
        <w:spacing w:after="0" w:line="237" w:lineRule="auto"/>
        <w:rPr>
          <w:sz w:val="20"/>
          <w:szCs w:val="20"/>
          <w:color w:val="auto"/>
        </w:rPr>
      </w:pPr>
      <w:r>
        <w:rPr>
          <w:rFonts w:ascii="Courier New" w:cs="Courier New" w:eastAsia="Courier New" w:hAnsi="Courier New"/>
          <w:sz w:val="15"/>
          <w:szCs w:val="15"/>
          <w:color w:val="auto"/>
        </w:rPr>
        <w:t>WEST VIRGINIA WASTE SERVICES, INC. (WV)</w:t>
      </w:r>
    </w:p>
    <w:p>
      <w:pPr>
        <w:spacing w:after="0" w:line="238" w:lineRule="auto"/>
        <w:rPr>
          <w:sz w:val="20"/>
          <w:szCs w:val="20"/>
          <w:color w:val="auto"/>
        </w:rPr>
      </w:pPr>
      <w:r>
        <w:rPr>
          <w:rFonts w:ascii="Courier New" w:cs="Courier New" w:eastAsia="Courier New" w:hAnsi="Courier New"/>
          <w:sz w:val="15"/>
          <w:szCs w:val="15"/>
          <w:color w:val="auto"/>
        </w:rPr>
        <w:t>WESTERN WASTE INDUSTRIES (CA)</w:t>
      </w:r>
    </w:p>
    <w:p>
      <w:pPr>
        <w:spacing w:after="0" w:line="238" w:lineRule="auto"/>
        <w:rPr>
          <w:sz w:val="20"/>
          <w:szCs w:val="20"/>
          <w:color w:val="auto"/>
        </w:rPr>
      </w:pPr>
      <w:r>
        <w:rPr>
          <w:rFonts w:ascii="Courier New" w:cs="Courier New" w:eastAsia="Courier New" w:hAnsi="Courier New"/>
          <w:sz w:val="15"/>
          <w:szCs w:val="15"/>
          <w:color w:val="auto"/>
        </w:rPr>
        <w:t>WESTERN WASTE INDUSTRIES OF FLORIDA (FL)</w:t>
      </w:r>
    </w:p>
    <w:p>
      <w:pPr>
        <w:spacing w:after="0" w:line="237" w:lineRule="auto"/>
        <w:rPr>
          <w:sz w:val="20"/>
          <w:szCs w:val="20"/>
          <w:color w:val="auto"/>
        </w:rPr>
      </w:pPr>
      <w:r>
        <w:rPr>
          <w:rFonts w:ascii="Courier New" w:cs="Courier New" w:eastAsia="Courier New" w:hAnsi="Courier New"/>
          <w:sz w:val="15"/>
          <w:szCs w:val="15"/>
          <w:color w:val="auto"/>
        </w:rPr>
        <w:t>WHITE BROS. TRUCKING COMPANY (NJ)</w:t>
      </w:r>
    </w:p>
    <w:p>
      <w:pPr>
        <w:spacing w:after="0" w:line="238" w:lineRule="auto"/>
        <w:rPr>
          <w:sz w:val="20"/>
          <w:szCs w:val="20"/>
          <w:color w:val="auto"/>
        </w:rPr>
      </w:pPr>
      <w:r>
        <w:rPr>
          <w:rFonts w:ascii="Courier New" w:cs="Courier New" w:eastAsia="Courier New" w:hAnsi="Courier New"/>
          <w:sz w:val="15"/>
          <w:szCs w:val="15"/>
          <w:color w:val="auto"/>
        </w:rPr>
        <w:t>WPP, INC. (OH)</w:t>
      </w:r>
    </w:p>
    <w:p>
      <w:pPr>
        <w:spacing w:after="0" w:line="237" w:lineRule="auto"/>
        <w:rPr>
          <w:sz w:val="20"/>
          <w:szCs w:val="20"/>
          <w:color w:val="auto"/>
        </w:rPr>
      </w:pPr>
      <w:r>
        <w:rPr>
          <w:rFonts w:ascii="Courier New" w:cs="Courier New" w:eastAsia="Courier New" w:hAnsi="Courier New"/>
          <w:sz w:val="15"/>
          <w:szCs w:val="15"/>
          <w:color w:val="auto"/>
        </w:rPr>
        <w:t>YELL COUNTY LANDFILL, INC. (AR)</w:t>
      </w:r>
    </w:p>
    <w:p>
      <w:pPr>
        <w:sectPr>
          <w:pgSz w:w="11900" w:h="16838" w:orient="portrait"/>
          <w:cols w:equalWidth="0" w:num="1">
            <w:col w:w="10239"/>
          </w:cols>
          <w:pgMar w:left="220" w:top="281" w:right="1440" w:bottom="1440" w:gutter="0" w:footer="0" w:header="0"/>
        </w:sectPr>
      </w:pPr>
    </w:p>
    <w:bookmarkStart w:id="229" w:name="page230"/>
    <w:bookmarkEnd w:id="22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Form S-4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and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three-year period ended December 31, 1995, which is included in USA Waste Services, Inc.'s Current Report on Form 8-K/A (Amendment No. 3) filed July 1, 1996 with the Securities and Exchange Commission. We also consent to the reference to our firm under the caption "Experts."</w:t>
      </w: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July 15, 1996</w:t>
      </w:r>
    </w:p>
    <w:p>
      <w:pPr>
        <w:sectPr>
          <w:pgSz w:w="11900" w:h="16838" w:orient="portrait"/>
          <w:cols w:equalWidth="0" w:num="1">
            <w:col w:w="10239"/>
          </w:cols>
          <w:pgMar w:left="220" w:top="135" w:right="1440" w:bottom="1440" w:gutter="0" w:footer="0" w:header="0"/>
        </w:sectPr>
      </w:pPr>
    </w:p>
    <w:bookmarkStart w:id="230" w:name="page231"/>
    <w:bookmarkEnd w:id="230"/>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S-4 of our report dated March 30, 1995 (relating to the consolidated financial statements of Chambers Development Company, Inc. and subsidiaries) appearing in USA Waste Services, Inc.'s Current Report on Form 8-K/A, Amendment No. 3, dated May 7, 1996.</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237" w:lineRule="auto"/>
        <w:rPr>
          <w:sz w:val="20"/>
          <w:szCs w:val="20"/>
          <w:color w:val="auto"/>
        </w:rPr>
      </w:pPr>
      <w:r>
        <w:rPr>
          <w:rFonts w:ascii="Courier New" w:cs="Courier New" w:eastAsia="Courier New" w:hAnsi="Courier New"/>
          <w:sz w:val="15"/>
          <w:szCs w:val="15"/>
          <w:color w:val="auto"/>
        </w:rPr>
        <w:t>July 15, 1996</w:t>
      </w:r>
    </w:p>
    <w:p>
      <w:pPr>
        <w:sectPr>
          <w:pgSz w:w="11900" w:h="16838" w:orient="portrait"/>
          <w:cols w:equalWidth="0" w:num="1">
            <w:col w:w="10239"/>
          </w:cols>
          <w:pgMar w:left="220" w:top="135"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23.3</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S-4) and related prospectus of USA Waste Services, Inc. and to the incorporation by reference therein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336"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ERNST &amp; YOUNG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237" w:lineRule="auto"/>
        <w:rPr>
          <w:sz w:val="20"/>
          <w:szCs w:val="20"/>
          <w:color w:val="auto"/>
        </w:rPr>
      </w:pPr>
      <w:r>
        <w:rPr>
          <w:rFonts w:ascii="Courier New" w:cs="Courier New" w:eastAsia="Courier New" w:hAnsi="Courier New"/>
          <w:sz w:val="15"/>
          <w:szCs w:val="15"/>
          <w:color w:val="auto"/>
        </w:rPr>
        <w:t>July 15, 1996</w:t>
      </w:r>
    </w:p>
    <w:p>
      <w:pPr>
        <w:sectPr>
          <w:pgSz w:w="11900" w:h="16838" w:orient="portrait"/>
          <w:cols w:equalWidth="0" w:num="1">
            <w:col w:w="10239"/>
          </w:cols>
          <w:pgMar w:left="220" w:top="135"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23.4</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1"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USA Waste Services, Inc. on Form S-4 and the Joint Proxy Statement/Prospectus which forms a part thereof of (a) our report dated February 23, 1996 (except with respect to the matters discussed in Note 15, as to which the dates are March 4, 1996 and March 18, 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Sanifill, Inc.'s Annual Report on Form 10-K for the year ended December 31, 1995; (b) our reports dated (i) August 1, 1995 with respect to the combined balance sheets of Metropolitan Disposal and Recycling Corporation, Energy Reclamation, Inc., and EE Equipment, Inc. as of December 31, 1994 and 1993, and the related combined statements of operations, stockholders' equity and cash flows for each of the three years in the period ended December 31, 1994, (ii) January 9, 1996 with respect to the balance sheet of Falcon Disposal Services, Inc. as of December 31, 1994, and the related statements of operations, stockholders' equity and cash flows for the year then ended, (iii) February 2, 1996 with respect to the combined balance sheet of Garnet of Virginia, Inc., and Garnet of Maryland, Inc. as of December 31, 1995 and the related combined statements of operations, stockholders' deficit and cash flows for the year then ended, (iv) January 13, 1996 with respect to the combined balance sheet of the Combined Companies, as defined, as of December 31, 1994 and the related combined statement of operations, stockholders' equity and partners' capital and cash flows for the year then ended which are included in Sanifill, Inc.'s Current Report on Form 8-K dated February 5, 1996; (c) our report dated February 8, 1996 with respect to the consolidated balance sheets of Sanifill, Inc. and subsidiaries as of December 31, 1994 and 1993, and the related consolidated statements of operations, stockholders' investment and cash flows for each of the three years in the period ended December 31, 1994 which is included in Sanifill, Inc.'s Current Report on Form 8-K dated February 11, 1996; (d) our report dated November 17,1995 (except with respect to the matters discussed in Note 11, as to which the date is March 18, 1996) with respect to the combined balance sheets of PST Reclamation, Inc., and Taylor Land Resources, Inc. as of December 31, 1994 and 1993, and the related combined statements of operations and retained earnings and cash flows for the years then ended which is included in Sanifill, Inc.'s Current Report on Form 8-K dated March 20, 1996; and (e) to all references to our Firm included in this Registration Statement of USA Waste Services, Inc. on Form S-4 and the Joint Proxy Statement/Prospectus which forms a 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July 15, 1996</w:t>
      </w:r>
    </w:p>
    <w:p>
      <w:pPr>
        <w:sectPr>
          <w:pgSz w:w="11900" w:h="16838" w:orient="portrait"/>
          <w:cols w:equalWidth="0" w:num="1">
            <w:col w:w="10239"/>
          </w:cols>
          <w:pgMar w:left="220" w:top="135" w:right="1440"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23.7</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CONSENT OF DONALDSON, LUFKIN &amp; JENRETTE SECURITIES CORPORATION</w:t>
      </w:r>
    </w:p>
    <w:p>
      <w:pPr>
        <w:spacing w:after="0" w:line="341"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hereby consent to the references to our firm in the letter to USA Waste Services, Inc. shareholders and under the captions "SUMMARY - The Merger - - Opinions of Financial Advisors," "THE MERGER AND RELATED TRANSACTIONS - Background of the Merger," "THE MERGER AND RELATED TRANSACTIONS - USA Waste's Reasons for the Merger" and "THE MERGER AND RELATED TRANSACTIONS - Opinion of Financial Advisor to USA Waste" in the Joint Proxy Statement and Prospectus, each included in the Registration Statement on Form S-4 relating to the proposed merger of a subsidiary of USA Waste Services, Inc. with and into Sanifill, Inc., and to the inclusion of our opinion letter as Annex B in the Joint Proxy Statement/Prospectus. In giving this consent, we do not admit that we come within the category of persons whose consent is required and we do not admit and we disclaim that we are experts with respect to any part of such Registration Statement within the meaning of "experts" as used in the Securities Act of 1933, as amended, and the rules and regulations of the Securities and Exchange Commission thereunder.</w:t>
      </w:r>
    </w:p>
    <w:p>
      <w:pPr>
        <w:spacing w:after="0" w:line="332"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DONALDSON, LUFKIN &amp; JENRETTE SECURITIES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CORPORATION</w:t>
      </w:r>
    </w:p>
    <w:p>
      <w:pPr>
        <w:sectPr>
          <w:pgSz w:w="11900" w:h="16838" w:orient="portrait"/>
          <w:cols w:equalWidth="0" w:num="1">
            <w:col w:w="10239"/>
          </w:cols>
          <w:pgMar w:left="220" w:top="135"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15,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MARK A. PYTOSH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2780" w:space="720"/>
            <w:col w:w="280" w:space="0"/>
            <w:col w:w="6459"/>
          </w:cols>
          <w:pgMar w:left="220" w:top="135" w:right="1440" w:bottom="1440" w:gutter="0" w:footer="0" w:header="0"/>
          <w:type w:val="continuous"/>
        </w:sectPr>
      </w:pPr>
    </w:p>
    <w:bookmarkStart w:id="234" w:name="page235"/>
    <w:bookmarkEnd w:id="234"/>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23.8</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CONSENT OF MERRILL LYNCH, PIERCE, FENNER &amp; SMITH INCORPORATED</w:t>
      </w:r>
    </w:p>
    <w:p>
      <w:pPr>
        <w:spacing w:after="0" w:line="341" w:lineRule="exact"/>
        <w:rPr>
          <w:sz w:val="20"/>
          <w:szCs w:val="20"/>
          <w:color w:val="auto"/>
        </w:rPr>
      </w:pPr>
    </w:p>
    <w:p>
      <w:pPr>
        <w:ind w:right="3319" w:firstLine="1224"/>
        <w:spacing w:after="0" w:line="237" w:lineRule="auto"/>
        <w:rPr>
          <w:sz w:val="20"/>
          <w:szCs w:val="20"/>
          <w:color w:val="auto"/>
        </w:rPr>
      </w:pPr>
      <w:r>
        <w:rPr>
          <w:rFonts w:ascii="Courier New" w:cs="Courier New" w:eastAsia="Courier New" w:hAnsi="Courier New"/>
          <w:sz w:val="15"/>
          <w:szCs w:val="15"/>
          <w:color w:val="auto"/>
        </w:rPr>
        <w:t>We hereby consent to the use of our opinion letter, dated June 21, 1996, to the Board of Directors of Sanifill, Inc. included as Annex C to the Joint Proxy Statement/Prospectus which forms a part of the Registration Statement on Form S-4 related to the proposed merger of Quatro Acquisition Corp., a wholly owned subsidiary of USA Waste Services, Inc., with and into Sanifill, Inc. and to the references to such opinion in the letter to Sanifill, Inc. shareholders and under the captions "SUMMARY - The Merger - Opinions of Financial Advisors," "THE MERGER AND RELATED TRANSACTIONS - Background of the Merger," "THE MERGER AND RELATED TRANSACTIONS - Sanifill's Reasons for the Merger" and "THE MERGER AND RELATED TRANSACTIONS - Opinion of Financial Advisor to Sanifill" in the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MERRILL LYNCH, PIERCE, FENNER &amp; SMITH</w:t>
      </w:r>
    </w:p>
    <w:p>
      <w:pPr>
        <w:ind w:left="3680"/>
        <w:spacing w:after="0" w:line="237" w:lineRule="auto"/>
        <w:rPr>
          <w:sz w:val="20"/>
          <w:szCs w:val="20"/>
          <w:color w:val="auto"/>
        </w:rPr>
      </w:pPr>
      <w:r>
        <w:rPr>
          <w:rFonts w:ascii="Courier New" w:cs="Courier New" w:eastAsia="Courier New" w:hAnsi="Courier New"/>
          <w:sz w:val="15"/>
          <w:szCs w:val="15"/>
          <w:color w:val="auto"/>
        </w:rPr>
        <w:t>INCORPORATED</w:t>
      </w:r>
    </w:p>
    <w:p>
      <w:pPr>
        <w:sectPr>
          <w:pgSz w:w="11900" w:h="16838" w:orient="portrait"/>
          <w:cols w:equalWidth="0" w:num="1">
            <w:col w:w="10239"/>
          </w:cols>
          <w:pgMar w:left="220" w:top="135"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15,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 MARK G. SHAFIR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2780" w:space="720"/>
            <w:col w:w="280" w:space="0"/>
            <w:col w:w="6459"/>
          </w:cols>
          <w:pgMar w:left="220" w:top="135" w:right="1440" w:bottom="1440" w:gutter="0" w:footer="0" w:header="0"/>
          <w:type w:val="continuous"/>
        </w:sectPr>
      </w:pPr>
    </w:p>
    <w:bookmarkStart w:id="235" w:name="page236"/>
    <w:bookmarkEnd w:id="235"/>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99.1</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(front of card)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USA WASTE SERVICES,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SPECIAL MEETING OF STOCKHOLDERS</w:t>
      </w:r>
    </w:p>
    <w:p>
      <w:pPr>
        <w:jc w:val="center"/>
        <w:ind w:right="3239"/>
        <w:spacing w:after="0" w:line="238" w:lineRule="auto"/>
        <w:rPr>
          <w:sz w:val="20"/>
          <w:szCs w:val="20"/>
          <w:color w:val="auto"/>
        </w:rPr>
      </w:pPr>
      <w:r>
        <w:rPr>
          <w:rFonts w:ascii="Courier New" w:cs="Courier New" w:eastAsia="Courier New" w:hAnsi="Courier New"/>
          <w:sz w:val="15"/>
          <w:szCs w:val="15"/>
          <w:color w:val="auto"/>
        </w:rPr>
        <w:t>, 1996</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THIS PROXY IS SOLICITED ON BEHALF OF THE BOARD OF DIRECTORS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The undersigned holder of common stock</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("Common Stock"), par value</w:t>
            </w: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$0.01 per share, of USA Waste Services, Inc., a</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 corporation ("USA</w:t>
            </w: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Waste"), hereby appoints John E. Drury, Earl E.</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DeFrates and Gregory T.</w:t>
            </w: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Sangalis, and each of them acting individually,</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with full power of substitution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and revocation, as proxies</w:t>
            </w:r>
          </w:p>
        </w:tc>
        <w:tc>
          <w:tcPr>
            <w:tcW w:w="1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for the undersigned</w:t>
            </w:r>
          </w:p>
        </w:tc>
        <w:tc>
          <w:tcPr>
            <w:tcW w:w="266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to act and vote at the Special</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Meeting of stockholders of</w:t>
            </w:r>
          </w:p>
        </w:tc>
        <w:tc>
          <w:tcPr>
            <w:tcW w:w="23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USA Waste to be held on</w:t>
            </w: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 1996, at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a.m.,</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local time, at</w:t>
            </w:r>
          </w:p>
        </w:tc>
        <w:tc>
          <w:tcPr>
            <w:tcW w:w="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(the</w:t>
            </w:r>
          </w:p>
        </w:tc>
        <w:tc>
          <w:tcPr>
            <w:tcW w:w="390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6"/>
              </w:rPr>
              <w:t>"Special Meeting"), and any adjournments and</w:t>
            </w: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postponements thereof, and</w:t>
            </w:r>
          </w:p>
        </w:tc>
        <w:tc>
          <w:tcPr>
            <w:tcW w:w="44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8"/>
              </w:rPr>
              <w:t>thereat to cast all votes of all shares of Common</w:t>
            </w:r>
          </w:p>
        </w:tc>
      </w:tr>
      <w:tr>
        <w:trPr>
          <w:trHeight w:val="168"/>
        </w:trPr>
        <w:tc>
          <w:tcPr>
            <w:tcW w:w="62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Stock that the undersigned would be entitled to cast if then personally</w:t>
            </w:r>
          </w:p>
        </w:tc>
        <w:tc>
          <w:tcPr>
            <w:tcW w:w="520" w:type="dxa"/>
            <w:vAlign w:val="bottom"/>
          </w:tcPr>
          <w:p>
            <w:pPr>
              <w:spacing w:after="0"/>
              <w:rPr>
                <w:sz w:val="14"/>
                <w:szCs w:val="14"/>
                <w:color w:val="auto"/>
              </w:rPr>
            </w:pPr>
          </w:p>
        </w:tc>
      </w:tr>
      <w:tr>
        <w:trPr>
          <w:trHeight w:val="168"/>
        </w:trPr>
        <w:tc>
          <w:tcPr>
            <w:tcW w:w="62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present for the purposes listed on the reverse side hereof.</w:t>
            </w:r>
          </w:p>
        </w:tc>
        <w:tc>
          <w:tcPr>
            <w:tcW w:w="520" w:type="dxa"/>
            <w:vAlign w:val="bottom"/>
          </w:tcPr>
          <w:p>
            <w:pPr>
              <w:spacing w:after="0"/>
              <w:rPr>
                <w:sz w:val="14"/>
                <w:szCs w:val="14"/>
                <w:color w:val="auto"/>
              </w:rPr>
            </w:pPr>
          </w:p>
        </w:tc>
      </w:tr>
    </w:tbl>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HOLDERS OF SHARES OF COMMON STOCK ARE NOT ENTITLED TO DISSENTERS' APPRAISAL RIGHTS UNDER THE DELAWARE GENERAL CORPORATION LAW IN CONNECTION WITH THE PROPOSED MERGER OF USA WASTE TO BE CONSIDERED AND VOTED UPON AS SET FORTH ON THE REVERSE SIDE HEREOF.</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Proxy, when properly executed, will be voted in the manner directed on the reverse side by the undersigned stockholder(s). IF NO DIRECTION IS MADE, THIS PROXY WILL BE VOTED FOR THE PROPOSALS SET FORTH ON THE REVERSE SIDE OF THIS PROXY. This Proxy may be revoked at any time before it is voted at the Special Meeting by either (i) (a) executing and returning a proxy bearing a later date or (b) filing written notice of such revocation with USA Waste, at 5400 LBJ Freeway, Suite 300 - Tower One, Dallas, Texas 75240, fax number (214) 383-7919, Attention: Gregory T. Sangalis, or (ii) attending the Special Meeting and voting in person.</w:t>
      </w:r>
    </w:p>
    <w:p>
      <w:pPr>
        <w:spacing w:after="0" w:line="17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 and to be signed on the reverse side)</w:t>
      </w:r>
    </w:p>
    <w:p>
      <w:pPr>
        <w:sectPr>
          <w:pgSz w:w="11900" w:h="16838" w:orient="portrait"/>
          <w:cols w:equalWidth="0" w:num="1">
            <w:col w:w="10239"/>
          </w:cols>
          <w:pgMar w:left="220" w:top="135" w:right="1440" w:bottom="1440" w:gutter="0" w:footer="0" w:header="0"/>
        </w:sectPr>
      </w:pPr>
    </w:p>
    <w:bookmarkStart w:id="236" w:name="page237"/>
    <w:bookmarkEnd w:id="236"/>
    <w:p>
      <w:pPr>
        <w:ind w:left="280"/>
        <w:spacing w:after="0"/>
        <w:rPr>
          <w:sz w:val="20"/>
          <w:szCs w:val="20"/>
          <w:color w:val="auto"/>
        </w:rPr>
      </w:pPr>
      <w:r>
        <w:rPr>
          <w:rFonts w:ascii="Courier New" w:cs="Courier New" w:eastAsia="Courier New" w:hAnsi="Courier New"/>
          <w:sz w:val="15"/>
          <w:szCs w:val="15"/>
          <w:color w:val="auto"/>
        </w:rPr>
        <w:t>2</w:t>
      </w:r>
    </w:p>
    <w:p>
      <w:pPr>
        <w:ind w:left="2540"/>
        <w:spacing w:after="0" w:line="237" w:lineRule="auto"/>
        <w:rPr>
          <w:sz w:val="20"/>
          <w:szCs w:val="20"/>
          <w:color w:val="auto"/>
        </w:rPr>
      </w:pPr>
      <w:r>
        <w:rPr>
          <w:rFonts w:ascii="Courier New" w:cs="Courier New" w:eastAsia="Courier New" w:hAnsi="Courier New"/>
          <w:sz w:val="15"/>
          <w:szCs w:val="15"/>
          <w:color w:val="auto"/>
        </w:rPr>
        <w:t>(reverse side of card)</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(continued from the reverse side)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OF USA WASTE SERVICES, INC. RECOMMENDS A VOTE FOR ITEM 1.</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To consider and vote upon a proposal to (i) approve and adopt the Agreement and Plan of Merger dated as of June 22, 1996 (the "Merger Agreement"), by and among USA Waste, Quatro Acquisition Corp., a Delaware corporation ("Acquisition"), and Sanifill, Inc., a Delaware corporation ("Sanifill"), and (ii) approve the transactions contemplated by the Merger Agreement, including, but not limited to, the merger of Acquisition with and into Sanifill.</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640"/>
        <w:spacing w:after="0"/>
        <w:rPr>
          <w:sz w:val="20"/>
          <w:szCs w:val="20"/>
          <w:color w:val="auto"/>
        </w:rPr>
      </w:pPr>
      <w:r>
        <w:rPr>
          <w:rFonts w:ascii="Courier New" w:cs="Courier New" w:eastAsia="Courier New" w:hAnsi="Courier New"/>
          <w:sz w:val="14"/>
          <w:szCs w:val="14"/>
          <w:color w:val="auto"/>
        </w:rPr>
        <w:t>Against</w:t>
      </w:r>
    </w:p>
    <w:p>
      <w:pPr>
        <w:spacing w:after="0" w:line="3" w:lineRule="exact"/>
        <w:rPr>
          <w:sz w:val="20"/>
          <w:szCs w:val="20"/>
          <w:color w:val="auto"/>
        </w:rPr>
      </w:pPr>
    </w:p>
    <w:p>
      <w:pPr>
        <w:jc w:val="center"/>
        <w:ind w:right="164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3">
            <w:col w:w="2360" w:space="720"/>
            <w:col w:w="2240" w:space="720"/>
            <w:col w:w="4199"/>
          </w:cols>
          <w:pgMar w:left="220" w:top="281" w:right="1440" w:bottom="1440" w:gutter="0" w:footer="0" w:header="0"/>
          <w:type w:val="continuous"/>
        </w:sectPr>
      </w:pPr>
    </w:p>
    <w:p>
      <w:pPr>
        <w:spacing w:after="0" w:line="309"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pacing w:after="0" w:line="3" w:lineRule="exact"/>
        <w:rPr>
          <w:sz w:val="20"/>
          <w:szCs w:val="20"/>
          <w:color w:val="auto"/>
        </w:rPr>
      </w:pPr>
    </w:p>
    <w:p>
      <w:pPr>
        <w:sectPr>
          <w:pgSz w:w="11900" w:h="16838" w:orient="portrait"/>
          <w:cols w:equalWidth="0" w:num="2">
            <w:col w:w="5760" w:space="720"/>
            <w:col w:w="3759"/>
          </w:cols>
          <w:pgMar w:left="220" w:top="281"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9"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Signature if held jointly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OF USA WASTE SERVICES, INC. RECOMMENDS A VOTE FOR ITEM 2.</w:t>
      </w:r>
    </w:p>
    <w:p>
      <w:pPr>
        <w:spacing w:after="0" w:line="17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To consider and vote upon a proposal to amend the Restated Certificate of Incorporation of USA Waste to increase its authorized shares of Common Stock from 1,500,000 to 5,000,000.</w:t>
      </w:r>
    </w:p>
    <w:p>
      <w:pPr>
        <w:sectPr>
          <w:pgSz w:w="11900" w:h="16838" w:orient="portrait"/>
          <w:cols w:equalWidth="0" w:num="1">
            <w:col w:w="10239"/>
          </w:cols>
          <w:pgMar w:left="220" w:top="281" w:right="1440" w:bottom="1440" w:gutter="0" w:footer="0" w:header="0"/>
          <w:type w:val="continuous"/>
        </w:sectPr>
      </w:pP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640"/>
        <w:spacing w:after="0"/>
        <w:rPr>
          <w:sz w:val="20"/>
          <w:szCs w:val="20"/>
          <w:color w:val="auto"/>
        </w:rPr>
      </w:pPr>
      <w:r>
        <w:rPr>
          <w:rFonts w:ascii="Courier New" w:cs="Courier New" w:eastAsia="Courier New" w:hAnsi="Courier New"/>
          <w:sz w:val="14"/>
          <w:szCs w:val="14"/>
          <w:color w:val="auto"/>
        </w:rPr>
        <w:t>Against</w:t>
      </w:r>
    </w:p>
    <w:p>
      <w:pPr>
        <w:spacing w:after="0" w:line="3" w:lineRule="exact"/>
        <w:rPr>
          <w:sz w:val="20"/>
          <w:szCs w:val="20"/>
          <w:color w:val="auto"/>
        </w:rPr>
      </w:pPr>
    </w:p>
    <w:p>
      <w:pPr>
        <w:jc w:val="center"/>
        <w:ind w:right="164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3">
            <w:col w:w="2360" w:space="720"/>
            <w:col w:w="2240" w:space="720"/>
            <w:col w:w="4199"/>
          </w:cols>
          <w:pgMar w:left="220" w:top="281" w:right="1440" w:bottom="1440" w:gutter="0" w:footer="0" w:header="0"/>
          <w:type w:val="continuous"/>
        </w:sectPr>
      </w:pPr>
    </w:p>
    <w:p>
      <w:pPr>
        <w:spacing w:after="0" w:line="309"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pacing w:after="0" w:line="3" w:lineRule="exact"/>
        <w:rPr>
          <w:sz w:val="20"/>
          <w:szCs w:val="20"/>
          <w:color w:val="auto"/>
        </w:rPr>
      </w:pPr>
    </w:p>
    <w:p>
      <w:pPr>
        <w:sectPr>
          <w:pgSz w:w="11900" w:h="16838" w:orient="portrait"/>
          <w:cols w:equalWidth="0" w:num="2">
            <w:col w:w="5760" w:space="720"/>
            <w:col w:w="3759"/>
          </w:cols>
          <w:pgMar w:left="220" w:top="281"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9"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Signature if held jointly</w:t>
      </w:r>
    </w:p>
    <w:p>
      <w:pPr>
        <w:spacing w:after="0" w:line="34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Please mark, date and sign exactly as your name(s) appear(s) above</w:t>
      </w:r>
    </w:p>
    <w:p>
      <w:pPr>
        <w:spacing w:after="0" w:line="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on the face side hereof and return in the enclosed envelope.</w:t>
      </w:r>
    </w:p>
    <w:p>
      <w:pPr>
        <w:spacing w:after="0" w:line="5" w:lineRule="exact"/>
        <w:rPr>
          <w:sz w:val="20"/>
          <w:szCs w:val="20"/>
          <w:color w:val="auto"/>
        </w:rPr>
      </w:pPr>
    </w:p>
    <w:p>
      <w:pPr>
        <w:jc w:val="center"/>
        <w:ind w:left="440" w:right="3999"/>
        <w:spacing w:after="0" w:line="236" w:lineRule="auto"/>
        <w:rPr>
          <w:sz w:val="20"/>
          <w:szCs w:val="20"/>
          <w:color w:val="auto"/>
        </w:rPr>
      </w:pPr>
      <w:r>
        <w:rPr>
          <w:rFonts w:ascii="Courier New" w:cs="Courier New" w:eastAsia="Courier New" w:hAnsi="Courier New"/>
          <w:sz w:val="15"/>
          <w:szCs w:val="15"/>
          <w:color w:val="auto"/>
        </w:rPr>
        <w:t>If acting as attorney, executor, administrator, trustee, guardian, etc., please give full title.  If the signer is a corporation, please sign the full corporate name, by fully authorized officer. If shares are held jointly, each stockholder named should sign.</w:t>
      </w:r>
    </w:p>
    <w:p>
      <w:pPr>
        <w:sectPr>
          <w:pgSz w:w="11900" w:h="16838" w:orient="portrait"/>
          <w:cols w:equalWidth="0" w:num="1">
            <w:col w:w="10239"/>
          </w:cols>
          <w:pgMar w:left="220" w:top="281" w:right="1440" w:bottom="1440" w:gutter="0" w:footer="0" w:header="0"/>
          <w:type w:val="continuous"/>
        </w:sectPr>
      </w:pPr>
    </w:p>
    <w:bookmarkStart w:id="237" w:name="page238"/>
    <w:bookmarkEnd w:id="23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99.2</w:t>
      </w:r>
    </w:p>
    <w:p>
      <w:pPr>
        <w:ind w:left="2800"/>
        <w:spacing w:after="0" w:line="238" w:lineRule="auto"/>
        <w:rPr>
          <w:sz w:val="20"/>
          <w:szCs w:val="20"/>
          <w:color w:val="auto"/>
        </w:rPr>
      </w:pPr>
      <w:r>
        <w:rPr>
          <w:rFonts w:ascii="Courier New" w:cs="Courier New" w:eastAsia="Courier New" w:hAnsi="Courier New"/>
          <w:sz w:val="15"/>
          <w:szCs w:val="15"/>
          <w:color w:val="auto"/>
        </w:rPr>
        <w:t>(front of card)</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SANIFILL,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SPECIAL MEETING OF STOCKHOLDERS</w:t>
      </w:r>
    </w:p>
    <w:p>
      <w:pPr>
        <w:jc w:val="center"/>
        <w:ind w:right="3239"/>
        <w:spacing w:after="0" w:line="238" w:lineRule="auto"/>
        <w:rPr>
          <w:sz w:val="20"/>
          <w:szCs w:val="20"/>
          <w:color w:val="auto"/>
        </w:rPr>
      </w:pPr>
      <w:r>
        <w:rPr>
          <w:rFonts w:ascii="Courier New" w:cs="Courier New" w:eastAsia="Courier New" w:hAnsi="Courier New"/>
          <w:sz w:val="15"/>
          <w:szCs w:val="15"/>
          <w:color w:val="auto"/>
        </w:rPr>
        <w:t>, 1996</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THIS PROXY IS SOLICITED ON BEHALF OF THE BOARD OF DIRECTORS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SANIFILL, INC</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undersigned holder of common stock ("Common Stock"),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$0.01 per share, of Sanifill, Inc., a Delaware corporation ("Sanifill"), hereby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appoints Lorne D. Bain, Rodney R. Proto and Steve Walton, and each of them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acting individually, with full power of substitution and revocation, as proxies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undersigned to act and vote at the Special Meeting of stockholders of</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Sanifill to be held on , 1996, at a.m., local time, at (the "Special Meeting"), and any adjournments and postponements thereof, and thereat to cast all votes of all shares of Common Stock that the undersigned would be entitled to cast if then personally present for the purposes listed on the reverse side hereof.</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HOLDERS OF SHARES OF COMMON STOCK ARE NOT ENTITLED TO DISSENTERS' APPRAISAL RIGHTS UNDER THE DELAWARE GENERAL CORPORATION LAW IN CONNECTION WITH THE PROPOSED MERGER OF SANIFILL TO BE CONSIDERED AND VOTED UPON AS SET FORTH ON THE REVERSE SIDE HEREOF.</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This Proxy, when properly executed, will be voted in the manner directed on the reverse side by the undersigned stockholder(s). IF NO DIRECTION IS MADE, THIS PROXY WILL BE VOTED FOR THE PROPOSAL SET FORTH ON THE REVERSE SIDE OF THIS PROXY. This Proxy may be revoked at any time before it is voted at the Special Meeting by either (i) (a) executing and returning a proxy bearing a later date or (b) filing written notice of such revocation with Sanifill, at 2777 Allen Parkway, Suite 700, Houston, Texas 77019, fax number</w:t>
      </w:r>
    </w:p>
    <w:p>
      <w:pPr>
        <w:spacing w:after="0" w:line="2" w:lineRule="exact"/>
        <w:rPr>
          <w:sz w:val="20"/>
          <w:szCs w:val="20"/>
          <w:color w:val="auto"/>
        </w:rPr>
      </w:pPr>
    </w:p>
    <w:p>
      <w:pPr>
        <w:ind w:right="3499" w:firstLine="10"/>
        <w:spacing w:after="0" w:line="234" w:lineRule="auto"/>
        <w:tabs>
          <w:tab w:leader="none" w:pos="525"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942-6277, Attention: Steve Walton or (ii) attending the Special Meeting and voting in person.</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 and to be signed on the reverse side)</w:t>
      </w:r>
    </w:p>
    <w:p>
      <w:pPr>
        <w:sectPr>
          <w:pgSz w:w="11900" w:h="16838" w:orient="portrait"/>
          <w:cols w:equalWidth="0" w:num="1">
            <w:col w:w="10239"/>
          </w:cols>
          <w:pgMar w:left="220" w:top="135" w:right="1440"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5"/>
          <w:szCs w:val="15"/>
          <w:color w:val="auto"/>
        </w:rPr>
        <w:t>2</w:t>
      </w:r>
    </w:p>
    <w:p>
      <w:pPr>
        <w:ind w:left="2540"/>
        <w:spacing w:after="0" w:line="237" w:lineRule="auto"/>
        <w:rPr>
          <w:sz w:val="20"/>
          <w:szCs w:val="20"/>
          <w:color w:val="auto"/>
        </w:rPr>
      </w:pPr>
      <w:r>
        <w:rPr>
          <w:rFonts w:ascii="Courier New" w:cs="Courier New" w:eastAsia="Courier New" w:hAnsi="Courier New"/>
          <w:sz w:val="15"/>
          <w:szCs w:val="15"/>
          <w:color w:val="auto"/>
        </w:rPr>
        <w:t>(reverse side of card)</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(continued from the reverse side)</w:t>
      </w:r>
    </w:p>
    <w:p>
      <w:pPr>
        <w:spacing w:after="0" w:line="200" w:lineRule="exact"/>
        <w:rPr>
          <w:sz w:val="20"/>
          <w:szCs w:val="20"/>
          <w:color w:val="auto"/>
        </w:rPr>
      </w:pPr>
    </w:p>
    <w:p>
      <w:pPr>
        <w:spacing w:after="0" w:line="309"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BOARD OF DIRECTORS OF SANIFILL, INC. RECOMMENDS A VOTE FOR THE FOLLOWING PROPOSAL.</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consider and vote upon a proposal to (i) approve and adopt the Agreement and Plan of Merger dated as of June 22, 1996 (the "Merger Agreement"), by and among Sanifill, USA Waste Services, Inc., a Delaware corporation, and Quatro Acquisition Corp., a Delaware corporation ("Acquisition"), and (ii) approve the transactions contemplated by the Merger Agreement, including, but not limited to, the merger of Acquisition with and into Sanifill.</w:t>
      </w:r>
    </w:p>
    <w:p>
      <w:pPr>
        <w:sectPr>
          <w:pgSz w:w="11900" w:h="16838" w:orient="portrait"/>
          <w:cols w:equalWidth="0" w:num="1">
            <w:col w:w="10239"/>
          </w:cols>
          <w:pgMar w:left="220" w:top="281" w:right="1440" w:bottom="1440" w:gutter="0" w:footer="0" w:header="0"/>
        </w:sectPr>
      </w:pP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640"/>
        <w:spacing w:after="0"/>
        <w:rPr>
          <w:sz w:val="20"/>
          <w:szCs w:val="20"/>
          <w:color w:val="auto"/>
        </w:rPr>
      </w:pPr>
      <w:r>
        <w:rPr>
          <w:rFonts w:ascii="Courier New" w:cs="Courier New" w:eastAsia="Courier New" w:hAnsi="Courier New"/>
          <w:sz w:val="14"/>
          <w:szCs w:val="14"/>
          <w:color w:val="auto"/>
        </w:rPr>
        <w:t>Against</w:t>
      </w:r>
    </w:p>
    <w:p>
      <w:pPr>
        <w:spacing w:after="0" w:line="3" w:lineRule="exact"/>
        <w:rPr>
          <w:sz w:val="20"/>
          <w:szCs w:val="20"/>
          <w:color w:val="auto"/>
        </w:rPr>
      </w:pPr>
    </w:p>
    <w:p>
      <w:pPr>
        <w:jc w:val="center"/>
        <w:ind w:right="164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Abstain</w:t>
      </w:r>
    </w:p>
    <w:p>
      <w:pPr>
        <w:spacing w:after="0" w:line="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3">
            <w:col w:w="2360" w:space="720"/>
            <w:col w:w="2240" w:space="720"/>
            <w:col w:w="4199"/>
          </w:cols>
          <w:pgMar w:left="220" w:top="281" w:right="1440" w:bottom="1440" w:gutter="0" w:footer="0" w:header="0"/>
          <w:type w:val="continuous"/>
        </w:sectPr>
      </w:pPr>
    </w:p>
    <w:p>
      <w:pPr>
        <w:spacing w:after="0" w:line="30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pacing w:after="0" w:line="5" w:lineRule="exact"/>
        <w:rPr>
          <w:sz w:val="20"/>
          <w:szCs w:val="20"/>
          <w:color w:val="auto"/>
        </w:rPr>
      </w:pPr>
    </w:p>
    <w:p>
      <w:pPr>
        <w:sectPr>
          <w:pgSz w:w="11900" w:h="16838" w:orient="portrait"/>
          <w:cols w:equalWidth="0" w:num="2">
            <w:col w:w="5760" w:space="720"/>
            <w:col w:w="3759"/>
          </w:cols>
          <w:pgMar w:left="220" w:top="281" w:right="1440" w:bottom="1440" w:gutter="0" w:footer="0" w:header="0"/>
          <w:type w:val="continuous"/>
        </w:sectPr>
      </w:pPr>
    </w:p>
    <w:p>
      <w:pPr>
        <w:ind w:left="40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 if held jointly</w:t>
      </w:r>
    </w:p>
    <w:p>
      <w:pPr>
        <w:spacing w:after="0" w:line="200" w:lineRule="exact"/>
        <w:rPr>
          <w:sz w:val="20"/>
          <w:szCs w:val="20"/>
          <w:color w:val="auto"/>
        </w:rPr>
      </w:pPr>
    </w:p>
    <w:p>
      <w:pPr>
        <w:spacing w:after="0" w:line="30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Please mark, date and sign exactly as your name(s) appear(s) above</w:t>
      </w:r>
    </w:p>
    <w:p>
      <w:pPr>
        <w:jc w:val="center"/>
        <w:ind w:right="3579"/>
        <w:spacing w:after="0" w:line="237" w:lineRule="auto"/>
        <w:rPr>
          <w:sz w:val="20"/>
          <w:szCs w:val="20"/>
          <w:color w:val="auto"/>
        </w:rPr>
      </w:pPr>
      <w:r>
        <w:rPr>
          <w:rFonts w:ascii="Courier New" w:cs="Courier New" w:eastAsia="Courier New" w:hAnsi="Courier New"/>
          <w:sz w:val="15"/>
          <w:szCs w:val="15"/>
          <w:color w:val="auto"/>
        </w:rPr>
        <w:t>on the face side hereof and return in the enclosed envelope.</w:t>
      </w:r>
    </w:p>
    <w:p>
      <w:pPr>
        <w:spacing w:after="0" w:line="5" w:lineRule="exact"/>
        <w:rPr>
          <w:sz w:val="20"/>
          <w:szCs w:val="20"/>
          <w:color w:val="auto"/>
        </w:rPr>
      </w:pPr>
    </w:p>
    <w:p>
      <w:pPr>
        <w:ind w:left="180" w:right="3499" w:firstLine="262"/>
        <w:spacing w:after="0" w:line="254" w:lineRule="auto"/>
        <w:rPr>
          <w:sz w:val="20"/>
          <w:szCs w:val="20"/>
          <w:color w:val="auto"/>
        </w:rPr>
      </w:pPr>
      <w:r>
        <w:rPr>
          <w:rFonts w:ascii="Courier New" w:cs="Courier New" w:eastAsia="Courier New" w:hAnsi="Courier New"/>
          <w:sz w:val="14"/>
          <w:szCs w:val="14"/>
          <w:color w:val="auto"/>
        </w:rPr>
        <w:t>If acting as attorney, executor, administrator, trustee, guardian, etc., please give full title. If the signer is a corporation, please sign the</w:t>
      </w:r>
    </w:p>
    <w:p>
      <w:pPr>
        <w:jc w:val="center"/>
        <w:ind w:right="3579"/>
        <w:spacing w:after="0" w:line="231" w:lineRule="auto"/>
        <w:rPr>
          <w:sz w:val="20"/>
          <w:szCs w:val="20"/>
          <w:color w:val="auto"/>
        </w:rPr>
      </w:pPr>
      <w:r>
        <w:rPr>
          <w:rFonts w:ascii="Courier New" w:cs="Courier New" w:eastAsia="Courier New" w:hAnsi="Courier New"/>
          <w:sz w:val="15"/>
          <w:szCs w:val="15"/>
          <w:color w:val="auto"/>
        </w:rPr>
        <w:t>full corporate name, by fully authorized officer. If shares are held</w:t>
      </w:r>
    </w:p>
    <w:p>
      <w:pPr>
        <w:jc w:val="center"/>
        <w:ind w:right="3579"/>
        <w:spacing w:after="0" w:line="238" w:lineRule="auto"/>
        <w:rPr>
          <w:sz w:val="20"/>
          <w:szCs w:val="20"/>
          <w:color w:val="auto"/>
        </w:rPr>
      </w:pPr>
      <w:r>
        <w:rPr>
          <w:rFonts w:ascii="Courier New" w:cs="Courier New" w:eastAsia="Courier New" w:hAnsi="Courier New"/>
          <w:sz w:val="15"/>
          <w:szCs w:val="15"/>
          <w:color w:val="auto"/>
        </w:rPr>
        <w:t>jointly, each stockholder named should sign.</w:t>
      </w:r>
    </w:p>
    <w:sectPr>
      <w:pgSz w:w="11900" w:h="16838" w:orient="portrait"/>
      <w:cols w:equalWidth="0" w:num="1">
        <w:col w:w="10239"/>
      </w:cols>
      <w:pgMar w:left="220" w:top="28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9E21B5"/>
    <w:multiLevelType w:val="hybridMultilevel"/>
    <w:lvl w:ilvl="0">
      <w:lvlJc w:val="left"/>
      <w:lvlText w:val="(%1)"/>
      <w:numFmt w:val="decimal"/>
      <w:start w:val="1"/>
    </w:lvl>
  </w:abstractNum>
  <w:abstractNum w:abstractNumId="1">
    <w:nsid w:val="69E373"/>
    <w:multiLevelType w:val="hybridMultilevel"/>
    <w:lvl w:ilvl="0">
      <w:lvlJc w:val="left"/>
      <w:lvlText w:val="%1."/>
      <w:numFmt w:val="upperLetter"/>
      <w:start w:val="1"/>
    </w:lvl>
    <w:lvl w:ilvl="1">
      <w:lvlJc w:val="left"/>
      <w:lvlText w:val="%2."/>
      <w:numFmt w:val="decimal"/>
      <w:start w:val="1"/>
    </w:lvl>
  </w:abstractNum>
  <w:abstractNum w:abstractNumId="2">
    <w:nsid w:val="2C27173B"/>
    <w:multiLevelType w:val="hybridMultilevel"/>
    <w:lvl w:ilvl="0">
      <w:lvlJc w:val="left"/>
      <w:lvlText w:val="%1"/>
      <w:numFmt w:val="upperLetter"/>
      <w:start w:val="1"/>
    </w:lvl>
    <w:lvl w:ilvl="1">
      <w:lvlJc w:val="left"/>
      <w:lvlText w:val="%2."/>
      <w:numFmt w:val="decimal"/>
      <w:start w:val="6"/>
    </w:lvl>
  </w:abstractNum>
  <w:abstractNum w:abstractNumId="3">
    <w:nsid w:val="4C9B0904"/>
    <w:multiLevelType w:val="hybridMultilevel"/>
    <w:lvl w:ilvl="0">
      <w:lvlJc w:val="left"/>
      <w:lvlText w:val="%1."/>
      <w:numFmt w:val="upperLetter"/>
      <w:start w:val="3"/>
    </w:lvl>
    <w:lvl w:ilvl="1">
      <w:lvlJc w:val="left"/>
      <w:lvlText w:val="%2."/>
      <w:numFmt w:val="decimal"/>
      <w:start w:val="15"/>
    </w:lvl>
  </w:abstractNum>
  <w:abstractNum w:abstractNumId="4">
    <w:nsid w:val="6AA7B75C"/>
    <w:multiLevelType w:val="hybridMultilevel"/>
    <w:lvl w:ilvl="0">
      <w:lvlJc w:val="left"/>
      <w:lvlText w:val="%1."/>
      <w:numFmt w:val="upperLetter"/>
      <w:start w:val="4"/>
    </w:lvl>
    <w:lvl w:ilvl="1">
      <w:lvlJc w:val="left"/>
      <w:lvlText w:val="%2."/>
      <w:numFmt w:val="decimal"/>
      <w:start w:val="18"/>
    </w:lvl>
  </w:abstractNum>
  <w:abstractNum w:abstractNumId="5">
    <w:nsid w:val="1DF029D3"/>
    <w:multiLevelType w:val="hybridMultilevel"/>
    <w:lvl w:ilvl="0">
      <w:lvlJc w:val="left"/>
      <w:lvlText w:val="*"/>
      <w:numFmt w:val="bullet"/>
      <w:start w:val="1"/>
    </w:lvl>
  </w:abstractNum>
  <w:abstractNum w:abstractNumId="6">
    <w:nsid w:val="5675FF36"/>
    <w:multiLevelType w:val="hybridMultilevel"/>
    <w:lvl w:ilvl="0">
      <w:lvlJc w:val="left"/>
      <w:lvlText w:val="%1."/>
      <w:numFmt w:val="decimal"/>
    </w:lvl>
    <w:lvl w:ilvl="1">
      <w:lvlJc w:val="left"/>
      <w:lvlText w:val=","/>
      <w:numFmt w:val="bullet"/>
      <w:start w:val="1"/>
    </w:lvl>
  </w:abstractNum>
  <w:abstractNum w:abstractNumId="7">
    <w:nsid w:val="3DD15094"/>
    <w:multiLevelType w:val="hybridMultilevel"/>
    <w:lvl w:ilvl="0">
      <w:lvlJc w:val="left"/>
      <w:lvlText w:val="(%1)"/>
      <w:numFmt w:val="lowerRoman"/>
      <w:start w:val="2"/>
    </w:lvl>
  </w:abstractNum>
  <w:abstractNum w:abstractNumId="8">
    <w:nsid w:val="3DB012B3"/>
    <w:multiLevelType w:val="hybridMultilevel"/>
    <w:lvl w:ilvl="0">
      <w:lvlJc w:val="left"/>
      <w:lvlText w:val="(%1)"/>
      <w:numFmt w:val="lowerRoman"/>
      <w:start w:val="2"/>
    </w:lvl>
  </w:abstractNum>
  <w:abstractNum w:abstractNumId="9">
    <w:nsid w:val="2708C9AF"/>
    <w:multiLevelType w:val="hybridMultilevel"/>
    <w:lvl w:ilvl="0">
      <w:lvlJc w:val="left"/>
      <w:lvlText w:val="%1."/>
      <w:numFmt w:val="decimal"/>
      <w:start w:val="2"/>
    </w:lvl>
  </w:abstractNum>
  <w:abstractNum w:abstractNumId="10">
    <w:nsid w:val="5B25ACE2"/>
    <w:multiLevelType w:val="hybridMultilevel"/>
    <w:lvl w:ilvl="0">
      <w:lvlJc w:val="left"/>
      <w:lvlText w:val="(%1)"/>
      <w:numFmt w:val="lowerRoman"/>
      <w:start w:val="2"/>
    </w:lvl>
  </w:abstractNum>
  <w:abstractNum w:abstractNumId="11">
    <w:nsid w:val="175DFCF0"/>
    <w:multiLevelType w:val="hybridMultilevel"/>
    <w:lvl w:ilvl="0">
      <w:lvlJc w:val="left"/>
      <w:lvlText w:val="(%1)"/>
      <w:numFmt w:val="decimal"/>
      <w:start w:val="1"/>
    </w:lvl>
  </w:abstractNum>
  <w:abstractNum w:abstractNumId="12">
    <w:nsid w:val="4F97E3E4"/>
    <w:multiLevelType w:val="hybridMultilevel"/>
    <w:lvl w:ilvl="0">
      <w:lvlJc w:val="left"/>
      <w:lvlText w:val="%"/>
      <w:numFmt w:val="bullet"/>
      <w:start w:val="1"/>
    </w:lvl>
  </w:abstractNum>
  <w:abstractNum w:abstractNumId="13">
    <w:nsid w:val="53B0A9E"/>
    <w:multiLevelType w:val="hybridMultilevel"/>
    <w:lvl w:ilvl="0">
      <w:lvlJc w:val="left"/>
      <w:lvlText w:val="%1."/>
      <w:numFmt w:val="decimal"/>
      <w:start w:val="1"/>
    </w:lvl>
  </w:abstractNum>
  <w:abstractNum w:abstractNumId="14">
    <w:nsid w:val="34FD6B4F"/>
    <w:multiLevelType w:val="hybridMultilevel"/>
    <w:lvl w:ilvl="0">
      <w:lvlJc w:val="left"/>
      <w:lvlText w:val="(%1)"/>
      <w:numFmt w:val="lowerRoman"/>
      <w:start w:val="2"/>
    </w:lvl>
  </w:abstractNum>
  <w:abstractNum w:abstractNumId="15">
    <w:nsid w:val="5915FF32"/>
    <w:multiLevelType w:val="hybridMultilevel"/>
    <w:lvl w:ilvl="0">
      <w:lvlJc w:val="left"/>
      <w:lvlText w:val="(%1)"/>
      <w:numFmt w:val="lowerRoman"/>
      <w:start w:val="1"/>
    </w:lvl>
  </w:abstractNum>
  <w:abstractNum w:abstractNumId="16">
    <w:nsid w:val="56438D15"/>
    <w:multiLevelType w:val="hybridMultilevel"/>
    <w:lvl w:ilvl="0">
      <w:lvlJc w:val="left"/>
      <w:lvlText w:val="(%1)"/>
      <w:numFmt w:val="lowerRoman"/>
      <w:start w:val="2"/>
    </w:lvl>
  </w:abstractNum>
  <w:abstractNum w:abstractNumId="17">
    <w:nsid w:val="519E3149"/>
    <w:multiLevelType w:val="hybridMultilevel"/>
    <w:lvl w:ilvl="0">
      <w:lvlJc w:val="left"/>
      <w:lvlText w:val="%1"/>
      <w:numFmt w:val="lowerLetter"/>
      <w:start w:val="1"/>
    </w:lvl>
    <w:lvl w:ilvl="1">
      <w:lvlJc w:val="left"/>
      <w:lvlText w:val="(%2)"/>
      <w:numFmt w:val="lowerLetter"/>
      <w:start w:val="61"/>
    </w:lvl>
  </w:abstractNum>
  <w:abstractNum w:abstractNumId="18">
    <w:nsid w:val="2C6E4AFD"/>
    <w:multiLevelType w:val="hybridMultilevel"/>
    <w:lvl w:ilvl="0">
      <w:lvlJc w:val="left"/>
      <w:lvlText w:val="(%1)"/>
      <w:numFmt w:val="lowerLetter"/>
      <w:start w:val="4"/>
    </w:lvl>
    <w:lvl w:ilvl="1">
      <w:lvlJc w:val="left"/>
      <w:lvlText w:val="%2"/>
      <w:numFmt w:val="lowerLetter"/>
      <w:start w:val="1"/>
    </w:lvl>
  </w:abstractNum>
  <w:abstractNum w:abstractNumId="19">
    <w:nsid w:val="17A1B582"/>
    <w:multiLevelType w:val="hybridMultilevel"/>
    <w:lvl w:ilvl="0">
      <w:lvlJc w:val="left"/>
      <w:lvlText w:val="(%1)"/>
      <w:numFmt w:val="lowerLetter"/>
      <w:start w:val="6"/>
    </w:lvl>
    <w:lvl w:ilvl="1">
      <w:lvlJc w:val="left"/>
      <w:lvlText w:val="%2"/>
      <w:numFmt w:val="lowerLetter"/>
      <w:start w:val="1"/>
    </w:lvl>
  </w:abstractNum>
  <w:abstractNum w:abstractNumId="20">
    <w:nsid w:val="4DF72E4E"/>
    <w:multiLevelType w:val="hybridMultilevel"/>
    <w:lvl w:ilvl="0">
      <w:lvlJc w:val="left"/>
      <w:lvlText w:val="(%1)"/>
      <w:numFmt w:val="lowerRoman"/>
      <w:start w:val="4"/>
    </w:lvl>
  </w:abstractNum>
  <w:abstractNum w:abstractNumId="21">
    <w:nsid w:val="5046B5A9"/>
    <w:multiLevelType w:val="hybridMultilevel"/>
    <w:lvl w:ilvl="0">
      <w:lvlJc w:val="left"/>
      <w:lvlText w:val="(%1)"/>
      <w:numFmt w:val="lowerRoman"/>
      <w:start w:val="5"/>
    </w:lvl>
  </w:abstractNum>
  <w:abstractNum w:abstractNumId="22">
    <w:nsid w:val="5D888A08"/>
    <w:multiLevelType w:val="hybridMultilevel"/>
    <w:lvl w:ilvl="0">
      <w:lvlJc w:val="left"/>
      <w:lvlText w:val="(%1)"/>
      <w:numFmt w:val="lowerRoman"/>
      <w:start w:val="7"/>
    </w:lvl>
  </w:abstractNum>
  <w:abstractNum w:abstractNumId="23">
    <w:nsid w:val="2A082C70"/>
    <w:multiLevelType w:val="hybridMultilevel"/>
    <w:lvl w:ilvl="0">
      <w:lvlJc w:val="left"/>
      <w:lvlText w:val="(%1)"/>
      <w:numFmt w:val="lowerRoman"/>
    </w:lvl>
    <w:lvl w:ilvl="1">
      <w:lvlJc w:val="left"/>
      <w:lvlText w:val=","/>
      <w:numFmt w:val="bullet"/>
      <w:start w:val="1"/>
    </w:lvl>
  </w:abstractNum>
  <w:abstractNum w:abstractNumId="24">
    <w:nsid w:val="5EC6AFD4"/>
    <w:multiLevelType w:val="hybridMultilevel"/>
    <w:lvl w:ilvl="0">
      <w:lvlJc w:val="left"/>
      <w:lvlText w:val="(%1)"/>
      <w:numFmt w:val="lowerLetter"/>
      <w:start w:val="1"/>
    </w:lvl>
  </w:abstractNum>
  <w:abstractNum w:abstractNumId="25">
    <w:nsid w:val="19E21BB2"/>
    <w:multiLevelType w:val="hybridMultilevel"/>
    <w:lvl w:ilvl="0">
      <w:lvlJc w:val="left"/>
      <w:lvlText w:val="(%1)"/>
      <w:numFmt w:val="lowerLetter"/>
      <w:start w:val="6"/>
    </w:lvl>
  </w:abstractNum>
  <w:abstractNum w:abstractNumId="26">
    <w:nsid w:val="75E0858A"/>
    <w:multiLevelType w:val="hybridMultilevel"/>
    <w:lvl w:ilvl="0">
      <w:lvlJc w:val="left"/>
      <w:lvlText w:val="(%1)"/>
      <w:numFmt w:val="decimal"/>
      <w:start w:val="1"/>
    </w:lvl>
  </w:abstractNum>
  <w:abstractNum w:abstractNumId="27">
    <w:nsid w:val="57A61A29"/>
    <w:multiLevelType w:val="hybridMultilevel"/>
    <w:lvl w:ilvl="0">
      <w:lvlJc w:val="left"/>
      <w:lvlText w:val="(%1)"/>
      <w:numFmt w:val="decimal"/>
      <w:start w:val="5"/>
    </w:lvl>
  </w:abstractNum>
  <w:abstractNum w:abstractNumId="28">
    <w:nsid w:val="5399C654"/>
    <w:multiLevelType w:val="hybridMultilevel"/>
    <w:lvl w:ilvl="0">
      <w:lvlJc w:val="left"/>
      <w:lvlText w:val="(%1)"/>
      <w:numFmt w:val="lowerRoman"/>
      <w:start w:val="2"/>
    </w:lvl>
  </w:abstractNum>
  <w:abstractNum w:abstractNumId="29">
    <w:nsid w:val="20EE1348"/>
    <w:multiLevelType w:val="hybridMultilevel"/>
    <w:lvl w:ilvl="0">
      <w:lvlJc w:val="left"/>
      <w:lvlText w:val="--"/>
      <w:numFmt w:val="bullet"/>
      <w:start w:val="1"/>
    </w:lvl>
  </w:abstractNum>
  <w:abstractNum w:abstractNumId="30">
    <w:nsid w:val="4427069A"/>
    <w:multiLevelType w:val="hybridMultilevel"/>
    <w:lvl w:ilvl="0">
      <w:lvlJc w:val="left"/>
      <w:lvlText w:val="(%1)"/>
      <w:numFmt w:val="lowerLetter"/>
      <w:start w:val="4"/>
    </w:lvl>
  </w:abstractNum>
  <w:abstractNum w:abstractNumId="31">
    <w:nsid w:val="B37E80A"/>
    <w:multiLevelType w:val="hybridMultilevel"/>
    <w:lvl w:ilvl="0">
      <w:lvlJc w:val="left"/>
      <w:lvlText w:val="(%1)"/>
      <w:numFmt w:val="lowerLetter"/>
      <w:start w:val="5"/>
    </w:lvl>
  </w:abstractNum>
  <w:abstractNum w:abstractNumId="32">
    <w:nsid w:val="2157F6BC"/>
    <w:multiLevelType w:val="hybridMultilevel"/>
    <w:lvl w:ilvl="0">
      <w:lvlJc w:val="left"/>
      <w:lvlText w:val="(%1)"/>
      <w:numFmt w:val="lowerRoman"/>
      <w:start w:val="1"/>
    </w:lvl>
  </w:abstractNum>
  <w:abstractNum w:abstractNumId="33">
    <w:nsid w:val="704E1DD5"/>
    <w:multiLevelType w:val="hybridMultilevel"/>
    <w:lvl w:ilvl="0">
      <w:lvlJc w:val="left"/>
      <w:lvlText w:val="(%1)"/>
      <w:numFmt w:val="lowerLetter"/>
      <w:start w:val="2"/>
    </w:lvl>
  </w:abstractNum>
  <w:abstractNum w:abstractNumId="34">
    <w:nsid w:val="57D2F10E"/>
    <w:multiLevelType w:val="hybridMultilevel"/>
    <w:lvl w:ilvl="0">
      <w:lvlJc w:val="left"/>
      <w:lvlText w:val="(%1)"/>
      <w:numFmt w:val="lowerLetter"/>
      <w:start w:val="1"/>
    </w:lvl>
  </w:abstractNum>
  <w:abstractNum w:abstractNumId="35">
    <w:nsid w:val="BFFAE18"/>
    <w:multiLevelType w:val="hybridMultilevel"/>
    <w:lvl w:ilvl="0">
      <w:lvlJc w:val="left"/>
      <w:lvlText w:val="(%1)"/>
      <w:numFmt w:val="lowerLetter"/>
      <w:start w:val="1"/>
    </w:lvl>
  </w:abstractNum>
  <w:abstractNum w:abstractNumId="36">
    <w:nsid w:val="E3E47A8"/>
    <w:multiLevelType w:val="hybridMultilevel"/>
    <w:lvl w:ilvl="0">
      <w:lvlJc w:val="left"/>
      <w:lvlText w:val="*"/>
      <w:numFmt w:val="bullet"/>
      <w:start w:val="1"/>
    </w:lvl>
  </w:abstractNum>
  <w:abstractNum w:abstractNumId="37">
    <w:nsid w:val="2E48F044"/>
    <w:multiLevelType w:val="hybridMultilevel"/>
    <w:lvl w:ilvl="0">
      <w:lvlJc w:val="left"/>
      <w:lvlText w:val="(%1)"/>
      <w:numFmt w:val="decimal"/>
      <w:start w:val="1"/>
    </w:lvl>
  </w:abstractNum>
  <w:abstractNum w:abstractNumId="38">
    <w:nsid w:val="49D0FEAC"/>
    <w:multiLevelType w:val="hybridMultilevel"/>
    <w:lvl w:ilvl="0">
      <w:lvlJc w:val="left"/>
      <w:lvlText w:val="*"/>
      <w:numFmt w:val="bullet"/>
      <w:start w:val="1"/>
    </w:lvl>
  </w:abstractNum>
  <w:abstractNum w:abstractNumId="39">
    <w:nsid w:val="4BEE5A5B"/>
    <w:multiLevelType w:val="hybridMultilevel"/>
    <w:lvl w:ilvl="0">
      <w:lvlJc w:val="left"/>
      <w:lvlText w:val="(%1)"/>
      <w:numFmt w:val="decimal"/>
      <w:start w:val="1"/>
    </w:lvl>
  </w:abstractNum>
  <w:abstractNum w:abstractNumId="40">
    <w:nsid w:val="5551B9F3"/>
    <w:multiLevelType w:val="hybridMultilevel"/>
    <w:lvl w:ilvl="0">
      <w:lvlJc w:val="left"/>
      <w:lvlText w:val="%1)"/>
      <w:numFmt w:val="upperLetter"/>
      <w:start w:val="22"/>
    </w:lvl>
  </w:abstractNum>
  <w:abstractNum w:abstractNumId="41">
    <w:nsid w:val="24F6AB8E"/>
    <w:multiLevelType w:val="hybridMultilevel"/>
    <w:lvl w:ilvl="0">
      <w:lvlJc w:val="left"/>
      <w:lvlText w:val="(%1)"/>
      <w:numFmt w:val="lowerLetter"/>
      <w:start w:val="2"/>
    </w:lvl>
  </w:abstractNum>
  <w:abstractNum w:abstractNumId="42">
    <w:nsid w:val="634C574C"/>
    <w:multiLevelType w:val="hybridMultilevel"/>
    <w:lvl w:ilvl="0">
      <w:lvlJc w:val="left"/>
      <w:lvlText w:val="(%1)"/>
      <w:numFmt w:val="lowerLetter"/>
      <w:start w:val="2"/>
    </w:lvl>
  </w:abstractNum>
  <w:abstractNum w:abstractNumId="43">
    <w:nsid w:val="24E99DD7"/>
    <w:multiLevelType w:val="hybridMultilevel"/>
    <w:lvl w:ilvl="0">
      <w:lvlJc w:val="left"/>
      <w:lvlText w:val="(%1)"/>
      <w:numFmt w:val="lowerLetter"/>
      <w:start w:val="1"/>
    </w:lvl>
  </w:abstractNum>
  <w:abstractNum w:abstractNumId="44">
    <w:nsid w:val="2A31B62D"/>
    <w:multiLevelType w:val="hybridMultilevel"/>
    <w:lvl w:ilvl="0">
      <w:lvlJc w:val="left"/>
      <w:lvlText w:val="(%1)"/>
      <w:numFmt w:val="lowerLetter"/>
      <w:start w:val="2"/>
    </w:lvl>
  </w:abstractNum>
  <w:abstractNum w:abstractNumId="45">
    <w:nsid w:val="1849C29B"/>
    <w:multiLevelType w:val="hybridMultilevel"/>
    <w:lvl w:ilvl="0">
      <w:lvlJc w:val="left"/>
      <w:lvlText w:val="%1"/>
      <w:numFmt w:val="upperLetter"/>
      <w:start w:val="1"/>
    </w:lvl>
    <w:lvl w:ilvl="1">
      <w:lvlJc w:val="left"/>
      <w:lvlText w:val="(%2)"/>
      <w:numFmt w:val="lowerLetter"/>
      <w:start w:val="2"/>
    </w:lvl>
  </w:abstractNum>
  <w:abstractNum w:abstractNumId="46">
    <w:nsid w:val="7DFF9D09"/>
    <w:multiLevelType w:val="hybridMultilevel"/>
    <w:lvl w:ilvl="0">
      <w:lvlJc w:val="left"/>
      <w:lvlText w:val="(%1)"/>
      <w:numFmt w:val="lowerLetter"/>
      <w:start w:val="2"/>
    </w:lvl>
  </w:abstractNum>
  <w:abstractNum w:abstractNumId="47">
    <w:nsid w:val="754342"/>
    <w:multiLevelType w:val="hybridMultilevel"/>
    <w:lvl w:ilvl="0">
      <w:lvlJc w:val="left"/>
      <w:lvlText w:val="(%1)"/>
      <w:numFmt w:val="lowerRoman"/>
      <w:start w:val="4"/>
    </w:lvl>
  </w:abstractNum>
  <w:abstractNum w:abstractNumId="48">
    <w:nsid w:val="69E7F3E5"/>
    <w:multiLevelType w:val="hybridMultilevel"/>
    <w:lvl w:ilvl="0">
      <w:lvlJc w:val="left"/>
      <w:lvlText w:val="(%1)"/>
      <w:numFmt w:val="lowerLetter"/>
      <w:start w:val="2"/>
    </w:lvl>
  </w:abstractNum>
  <w:abstractNum w:abstractNumId="49">
    <w:nsid w:val="2A6DE806"/>
    <w:multiLevelType w:val="hybridMultilevel"/>
    <w:lvl w:ilvl="0">
      <w:lvlJc w:val="left"/>
      <w:lvlText w:val="%1"/>
      <w:numFmt w:val="lowerRoman"/>
      <w:start w:val="1"/>
    </w:lvl>
    <w:lvl w:ilvl="1">
      <w:lvlJc w:val="left"/>
      <w:lvlText w:val="(%2)"/>
      <w:numFmt w:val="lowerLetter"/>
      <w:start w:val="2"/>
    </w:lvl>
  </w:abstractNum>
  <w:abstractNum w:abstractNumId="50">
    <w:nsid w:val="1816F8C4"/>
    <w:multiLevelType w:val="hybridMultilevel"/>
    <w:lvl w:ilvl="0">
      <w:lvlJc w:val="left"/>
      <w:lvlText w:val="(%1)"/>
      <w:numFmt w:val="lowerRoman"/>
      <w:start w:val="8"/>
    </w:lvl>
    <w:lvl w:ilvl="1">
      <w:lvlJc w:val="left"/>
      <w:lvlText w:val="(%2)"/>
      <w:numFmt w:val="lowerLetter"/>
      <w:start w:val="3"/>
    </w:lvl>
  </w:abstractNum>
  <w:abstractNum w:abstractNumId="51">
    <w:nsid w:val="37DF2233"/>
    <w:multiLevelType w:val="hybridMultilevel"/>
    <w:lvl w:ilvl="0">
      <w:lvlJc w:val="left"/>
      <w:lvlText w:val="(%1)"/>
      <w:numFmt w:val="lowerLetter"/>
      <w:start w:val="4"/>
    </w:lvl>
  </w:abstractNum>
  <w:abstractNum w:abstractNumId="52">
    <w:nsid w:val="7AB49DAF"/>
    <w:multiLevelType w:val="hybridMultilevel"/>
    <w:lvl w:ilvl="0">
      <w:lvlJc w:val="left"/>
      <w:lvlText w:val="(%1)"/>
      <w:numFmt w:val="lowerLetter"/>
      <w:start w:val="2"/>
    </w:lvl>
  </w:abstractNum>
  <w:abstractNum w:abstractNumId="53">
    <w:nsid w:val="759F82CD"/>
    <w:multiLevelType w:val="hybridMultilevel"/>
    <w:lvl w:ilvl="0">
      <w:lvlJc w:val="left"/>
      <w:lvlText w:val="(%1)"/>
      <w:numFmt w:val="lowerLetter"/>
      <w:start w:val="3"/>
    </w:lvl>
  </w:abstractNum>
  <w:abstractNum w:abstractNumId="54">
    <w:nsid w:val="61E74EA3"/>
    <w:multiLevelType w:val="hybridMultilevel"/>
    <w:lvl w:ilvl="0">
      <w:lvlJc w:val="left"/>
      <w:lvlText w:val="(%1)"/>
      <w:numFmt w:val="lowerLetter"/>
      <w:start w:val="2"/>
    </w:lvl>
  </w:abstractNum>
  <w:abstractNum w:abstractNumId="55">
    <w:nsid w:val="597B4D84"/>
    <w:multiLevelType w:val="hybridMultilevel"/>
    <w:lvl w:ilvl="0">
      <w:lvlJc w:val="left"/>
      <w:lvlText w:val="(%1)"/>
      <w:numFmt w:val="lowerLetter"/>
      <w:start w:val="2"/>
    </w:lvl>
  </w:abstractNum>
  <w:abstractNum w:abstractNumId="56">
    <w:nsid w:val="F819E7F"/>
    <w:multiLevelType w:val="hybridMultilevel"/>
    <w:lvl w:ilvl="0">
      <w:lvlJc w:val="left"/>
      <w:lvlText w:val="%1"/>
      <w:numFmt w:val="lowerRoman"/>
      <w:start w:val="1"/>
    </w:lvl>
    <w:lvl w:ilvl="1">
      <w:lvlJc w:val="left"/>
      <w:lvlText w:val="(%2)"/>
      <w:numFmt w:val="lowerLetter"/>
      <w:start w:val="2"/>
    </w:lvl>
  </w:abstractNum>
  <w:abstractNum w:abstractNumId="57">
    <w:nsid w:val="57C7D42D"/>
    <w:multiLevelType w:val="hybridMultilevel"/>
    <w:lvl w:ilvl="0">
      <w:lvlJc w:val="left"/>
      <w:lvlText w:val="(%1)"/>
      <w:numFmt w:val="lowerRoman"/>
      <w:start w:val="4"/>
    </w:lvl>
    <w:lvl w:ilvl="1">
      <w:lvlJc w:val="left"/>
      <w:lvlText w:val="%2"/>
      <w:numFmt w:val="lowerLetter"/>
      <w:start w:val="1"/>
    </w:lvl>
  </w:abstractNum>
  <w:abstractNum w:abstractNumId="58">
    <w:nsid w:val="312167AD"/>
    <w:multiLevelType w:val="hybridMultilevel"/>
    <w:lvl w:ilvl="0">
      <w:lvlJc w:val="left"/>
      <w:lvlText w:val="(%1)"/>
      <w:numFmt w:val="lowerLetter"/>
      <w:start w:val="1"/>
    </w:lvl>
  </w:abstractNum>
  <w:abstractNum w:abstractNumId="59">
    <w:nsid w:val="631B64D4"/>
    <w:multiLevelType w:val="hybridMultilevel"/>
    <w:lvl w:ilvl="0">
      <w:lvlJc w:val="left"/>
      <w:lvlText w:val="%1"/>
      <w:numFmt w:val="lowerRoman"/>
      <w:start w:val="1"/>
    </w:lvl>
    <w:lvl w:ilvl="1">
      <w:lvlJc w:val="left"/>
      <w:lvlText w:val="(%2)"/>
      <w:numFmt w:val="lowerLetter"/>
      <w:start w:val="2"/>
    </w:lvl>
  </w:abstractNum>
  <w:abstractNum w:abstractNumId="60">
    <w:nsid w:val="78B5E776"/>
    <w:multiLevelType w:val="hybridMultilevel"/>
    <w:lvl w:ilvl="0">
      <w:lvlJc w:val="left"/>
      <w:lvlText w:val="(%1)"/>
      <w:numFmt w:val="lowerRoman"/>
      <w:start w:val="8"/>
    </w:lvl>
    <w:lvl w:ilvl="1">
      <w:lvlJc w:val="left"/>
      <w:lvlText w:val="%2"/>
      <w:numFmt w:val="lowerLetter"/>
      <w:start w:val="1"/>
    </w:lvl>
  </w:abstractNum>
  <w:abstractNum w:abstractNumId="61">
    <w:nsid w:val="75486E47"/>
    <w:multiLevelType w:val="hybridMultilevel"/>
    <w:lvl w:ilvl="0">
      <w:lvlJc w:val="left"/>
      <w:lvlText w:val="(%1)"/>
      <w:numFmt w:val="lowerLetter"/>
      <w:start w:val="3"/>
    </w:lvl>
  </w:abstractNum>
  <w:abstractNum w:abstractNumId="62">
    <w:nsid w:val="6E534CDE"/>
    <w:multiLevelType w:val="hybridMultilevel"/>
    <w:lvl w:ilvl="0">
      <w:lvlJc w:val="left"/>
      <w:lvlText w:val="(%1)"/>
      <w:numFmt w:val="lowerLetter"/>
      <w:start w:val="9"/>
    </w:lvl>
    <w:lvl w:ilvl="1">
      <w:lvlJc w:val="left"/>
      <w:lvlText w:val="(%2)"/>
      <w:numFmt w:val="lowerLetter"/>
      <w:start w:val="2"/>
    </w:lvl>
  </w:abstractNum>
  <w:abstractNum w:abstractNumId="63">
    <w:nsid w:val="1A0DDE32"/>
    <w:multiLevelType w:val="hybridMultilevel"/>
    <w:lvl w:ilvl="0">
      <w:lvlJc w:val="left"/>
      <w:lvlText w:val="%1"/>
      <w:numFmt w:val="lowerLetter"/>
      <w:start w:val="1"/>
    </w:lvl>
    <w:lvl w:ilvl="1">
      <w:lvlJc w:val="left"/>
      <w:lvlText w:val="(%2)"/>
      <w:numFmt w:val="lowerLetter"/>
      <w:start w:val="1"/>
    </w:lvl>
  </w:abstractNum>
  <w:abstractNum w:abstractNumId="64">
    <w:nsid w:val="65968C1C"/>
    <w:multiLevelType w:val="hybridMultilevel"/>
    <w:lvl w:ilvl="0">
      <w:lvlJc w:val="left"/>
      <w:lvlText w:val="(%1)"/>
      <w:numFmt w:val="lowerLetter"/>
      <w:start w:val="35"/>
    </w:lvl>
    <w:lvl w:ilvl="1">
      <w:lvlJc w:val="left"/>
      <w:lvlText w:val="(%2)"/>
      <w:numFmt w:val="lowerLetter"/>
      <w:start w:val="4"/>
    </w:lvl>
  </w:abstractNum>
  <w:abstractNum w:abstractNumId="65">
    <w:nsid w:val="46263DEC"/>
    <w:multiLevelType w:val="hybridMultilevel"/>
    <w:lvl w:ilvl="0">
      <w:lvlJc w:val="left"/>
      <w:lvlText w:val="(%1)"/>
      <w:numFmt w:val="lowerLetter"/>
      <w:start w:val="5"/>
    </w:lvl>
  </w:abstractNum>
  <w:abstractNum w:abstractNumId="66">
    <w:nsid w:val="260D8C4A"/>
    <w:multiLevelType w:val="hybridMultilevel"/>
    <w:lvl w:ilvl="0">
      <w:lvlJc w:val="left"/>
      <w:lvlText w:val="(%1)"/>
      <w:numFmt w:val="lowerLetter"/>
      <w:start w:val="7"/>
    </w:lvl>
  </w:abstractNum>
  <w:abstractNum w:abstractNumId="67">
    <w:nsid w:val="73D4D3C4"/>
    <w:multiLevelType w:val="hybridMultilevel"/>
    <w:lvl w:ilvl="0">
      <w:lvlJc w:val="left"/>
      <w:lvlText w:val="%1"/>
      <w:numFmt w:val="lowerLetter"/>
      <w:start w:val="1"/>
    </w:lvl>
    <w:lvl w:ilvl="1">
      <w:lvlJc w:val="left"/>
      <w:lvlText w:val="(%2)"/>
      <w:numFmt w:val="lowerLetter"/>
      <w:start w:val="1"/>
    </w:lvl>
  </w:abstractNum>
  <w:abstractNum w:abstractNumId="68">
    <w:nsid w:val="746F2E30"/>
    <w:multiLevelType w:val="hybridMultilevel"/>
    <w:lvl w:ilvl="0">
      <w:lvlJc w:val="left"/>
      <w:lvlText w:val="(%1)"/>
      <w:numFmt w:val="lowerLetter"/>
      <w:start w:val="61"/>
    </w:lvl>
    <w:lvl w:ilvl="1">
      <w:lvlJc w:val="left"/>
      <w:lvlText w:val="%2"/>
      <w:numFmt w:val="lowerLetter"/>
      <w:start w:val="1"/>
    </w:lvl>
  </w:abstractNum>
  <w:abstractNum w:abstractNumId="69">
    <w:nsid w:val="6FDE8AF6"/>
    <w:multiLevelType w:val="hybridMultilevel"/>
    <w:lvl w:ilvl="0">
      <w:lvlJc w:val="left"/>
      <w:lvlText w:val="%1"/>
      <w:numFmt w:val="lowerRoman"/>
      <w:start w:val="1"/>
    </w:lvl>
    <w:lvl w:ilvl="1">
      <w:lvlJc w:val="left"/>
      <w:lvlText w:val="(%2)"/>
      <w:numFmt w:val="lowerLetter"/>
      <w:start w:val="3"/>
    </w:lvl>
  </w:abstractNum>
  <w:abstractNum w:abstractNumId="70">
    <w:nsid w:val="3FC32E20"/>
    <w:multiLevelType w:val="hybridMultilevel"/>
    <w:lvl w:ilvl="0">
      <w:lvlJc w:val="left"/>
      <w:lvlText w:val="(%1)"/>
      <w:numFmt w:val="lowerRoman"/>
      <w:start w:val="4"/>
    </w:lvl>
    <w:lvl w:ilvl="1">
      <w:lvlJc w:val="left"/>
      <w:lvlText w:val="%2"/>
      <w:numFmt w:val="lowerLetter"/>
      <w:start w:val="1"/>
    </w:lvl>
  </w:abstractNum>
  <w:abstractNum w:abstractNumId="71">
    <w:nsid w:val="49C0E823"/>
    <w:multiLevelType w:val="hybridMultilevel"/>
    <w:lvl w:ilvl="0">
      <w:lvlJc w:val="left"/>
      <w:lvlText w:val="(%1)"/>
      <w:numFmt w:val="lowerLetter"/>
      <w:start w:val="5"/>
    </w:lvl>
  </w:abstractNum>
  <w:abstractNum w:abstractNumId="72">
    <w:nsid w:val="14D53685"/>
    <w:multiLevelType w:val="hybridMultilevel"/>
    <w:lvl w:ilvl="0">
      <w:lvlJc w:val="left"/>
      <w:lvlText w:val="(%1)"/>
      <w:numFmt w:val="lowerLetter"/>
      <w:start w:val="7"/>
    </w:lvl>
  </w:abstractNum>
  <w:abstractNum w:abstractNumId="73">
    <w:nsid w:val="230F856C"/>
    <w:multiLevelType w:val="hybridMultilevel"/>
    <w:lvl w:ilvl="0">
      <w:lvlJc w:val="left"/>
      <w:lvlText w:val="(%1)"/>
      <w:numFmt w:val="lowerLetter"/>
      <w:start w:val="2"/>
    </w:lvl>
  </w:abstractNum>
  <w:abstractNum w:abstractNumId="74">
    <w:nsid w:val="6EAA85FB"/>
    <w:multiLevelType w:val="hybridMultilevel"/>
    <w:lvl w:ilvl="0">
      <w:lvlJc w:val="left"/>
      <w:lvlText w:val="(%1)"/>
      <w:numFmt w:val="lowerLetter"/>
      <w:start w:val="3"/>
    </w:lvl>
  </w:abstractNum>
  <w:abstractNum w:abstractNumId="75">
    <w:nsid w:val="3F06ECB2"/>
    <w:multiLevelType w:val="hybridMultilevel"/>
    <w:lvl w:ilvl="0">
      <w:lvlJc w:val="left"/>
      <w:lvlText w:val="(%1)"/>
      <w:numFmt w:val="lowerLetter"/>
      <w:start w:val="2"/>
    </w:lvl>
  </w:abstractNum>
  <w:abstractNum w:abstractNumId="76">
    <w:nsid w:val="3B594807"/>
    <w:multiLevelType w:val="hybridMultilevel"/>
    <w:lvl w:ilvl="0">
      <w:lvlJc w:val="left"/>
      <w:lvlText w:val="(%1)"/>
      <w:numFmt w:val="lowerLetter"/>
      <w:start w:val="3"/>
    </w:lvl>
  </w:abstractNum>
  <w:abstractNum w:abstractNumId="77">
    <w:nsid w:val="6CAA2304"/>
    <w:multiLevelType w:val="hybridMultilevel"/>
    <w:lvl w:ilvl="0">
      <w:lvlJc w:val="left"/>
      <w:lvlText w:val="%1"/>
      <w:numFmt w:val="lowerLetter"/>
      <w:start w:val="1"/>
    </w:lvl>
    <w:lvl w:ilvl="1">
      <w:lvlJc w:val="left"/>
      <w:lvlText w:val="(%2)"/>
      <w:numFmt w:val="lowerLetter"/>
      <w:start w:val="2"/>
    </w:lvl>
  </w:abstractNum>
  <w:abstractNum w:abstractNumId="78">
    <w:nsid w:val="3F7C2FF4"/>
    <w:multiLevelType w:val="hybridMultilevel"/>
    <w:lvl w:ilvl="0">
      <w:lvlJc w:val="left"/>
      <w:lvlText w:val="(%1)"/>
      <w:numFmt w:val="lowerLetter"/>
      <w:start w:val="9"/>
    </w:lvl>
    <w:lvl w:ilvl="1">
      <w:lvlJc w:val="left"/>
      <w:lvlText w:val="%2"/>
      <w:numFmt w:val="lowerLetter"/>
      <w:start w:val="1"/>
    </w:lvl>
  </w:abstractNum>
  <w:abstractNum w:abstractNumId="79">
    <w:nsid w:val="25413BEC"/>
    <w:multiLevelType w:val="hybridMultilevel"/>
    <w:lvl w:ilvl="0">
      <w:lvlJc w:val="left"/>
      <w:lvlText w:val="(%1)"/>
      <w:numFmt w:val="lowerLetter"/>
      <w:start w:val="2"/>
    </w:lvl>
    <w:lvl w:ilvl="1">
      <w:lvlJc w:val="left"/>
      <w:lvlText w:val="(%2)"/>
      <w:numFmt w:val="lowerRoman"/>
      <w:start w:val="1"/>
    </w:lvl>
  </w:abstractNum>
  <w:abstractNum w:abstractNumId="80">
    <w:nsid w:val="17180B0B"/>
    <w:multiLevelType w:val="hybridMultilevel"/>
    <w:lvl w:ilvl="0">
      <w:lvlJc w:val="left"/>
      <w:lvlText w:val="(%1)"/>
      <w:numFmt w:val="lowerLetter"/>
      <w:start w:val="3"/>
    </w:lvl>
  </w:abstractNum>
  <w:abstractNum w:abstractNumId="81">
    <w:nsid w:val="579328B9"/>
    <w:multiLevelType w:val="hybridMultilevel"/>
    <w:lvl w:ilvl="0">
      <w:lvlJc w:val="left"/>
      <w:lvlText w:val="(%1)"/>
      <w:numFmt w:val="lowerLetter"/>
      <w:start w:val="2"/>
    </w:lvl>
  </w:abstractNum>
  <w:abstractNum w:abstractNumId="82">
    <w:nsid w:val="5D205E20"/>
    <w:multiLevelType w:val="hybridMultilevel"/>
    <w:lvl w:ilvl="0">
      <w:lvlJc w:val="left"/>
      <w:lvlText w:val="(%1)"/>
      <w:numFmt w:val="lowerLetter"/>
      <w:start w:val="2"/>
    </w:lvl>
  </w:abstractNum>
  <w:abstractNum w:abstractNumId="83">
    <w:nsid w:val="11CCA8BA"/>
    <w:multiLevelType w:val="hybridMultilevel"/>
    <w:lvl w:ilvl="0">
      <w:lvlJc w:val="left"/>
      <w:lvlText w:val="(%1)"/>
      <w:numFmt w:val="lowerLetter"/>
      <w:start w:val="5"/>
    </w:lvl>
  </w:abstractNum>
  <w:abstractNum w:abstractNumId="84">
    <w:nsid w:val="4D32AB86"/>
    <w:multiLevelType w:val="hybridMultilevel"/>
    <w:lvl w:ilvl="0">
      <w:lvlJc w:val="left"/>
      <w:lvlText w:val="(%1)"/>
      <w:numFmt w:val="lowerLetter"/>
      <w:start w:val="1"/>
    </w:lvl>
  </w:abstractNum>
  <w:abstractNum w:abstractNumId="85">
    <w:nsid w:val="3F07ACC3"/>
    <w:multiLevelType w:val="hybridMultilevel"/>
    <w:lvl w:ilvl="0">
      <w:lvlJc w:val="left"/>
      <w:lvlText w:val="(%1)"/>
      <w:numFmt w:val="lowerLetter"/>
      <w:start w:val="1"/>
    </w:lvl>
  </w:abstractNum>
  <w:abstractNum w:abstractNumId="86">
    <w:nsid w:val="6B47F63E"/>
    <w:multiLevelType w:val="hybridMultilevel"/>
    <w:lvl w:ilvl="0">
      <w:lvlJc w:val="left"/>
      <w:lvlText w:val="(%1)"/>
      <w:numFmt w:val="lowerLetter"/>
      <w:start w:val="1"/>
    </w:lvl>
  </w:abstractNum>
  <w:abstractNum w:abstractNumId="87">
    <w:nsid w:val="5CB44A05"/>
    <w:multiLevelType w:val="hybridMultilevel"/>
    <w:lvl w:ilvl="0">
      <w:lvlJc w:val="left"/>
      <w:lvlText w:val="(%1)"/>
      <w:numFmt w:val="lowerLetter"/>
      <w:start w:val="3"/>
    </w:lvl>
  </w:abstractNum>
  <w:abstractNum w:abstractNumId="88">
    <w:nsid w:val="16CF80F1"/>
    <w:multiLevelType w:val="hybridMultilevel"/>
    <w:lvl w:ilvl="0">
      <w:lvlJc w:val="left"/>
      <w:lvlText w:val="(%1)"/>
      <w:numFmt w:val="lowerLetter"/>
      <w:start w:val="1"/>
    </w:lvl>
    <w:lvl w:ilvl="1">
      <w:lvlJc w:val="left"/>
      <w:lvlText w:val="(%2)"/>
      <w:numFmt w:val="lowerRoman"/>
      <w:start w:val="1"/>
    </w:lvl>
  </w:abstractNum>
  <w:abstractNum w:abstractNumId="89">
    <w:nsid w:val="1C695DEC"/>
    <w:multiLevelType w:val="hybridMultilevel"/>
    <w:lvl w:ilvl="0">
      <w:lvlJc w:val="left"/>
      <w:lvlText w:val="%1"/>
      <w:numFmt w:val="lowerLetter"/>
      <w:start w:val="1"/>
    </w:lvl>
    <w:lvl w:ilvl="1">
      <w:lvlJc w:val="left"/>
      <w:lvlText w:val="(%2)"/>
      <w:numFmt w:val="lowerRoman"/>
      <w:start w:val="5"/>
    </w:lvl>
  </w:abstractNum>
  <w:abstractNum w:abstractNumId="90">
    <w:nsid w:val="3FCFAED9"/>
    <w:multiLevelType w:val="hybridMultilevel"/>
    <w:lvl w:ilvl="0">
      <w:lvlJc w:val="left"/>
      <w:lvlText w:val="(%1)"/>
      <w:numFmt w:val="lowerLetter"/>
      <w:start w:val="2"/>
    </w:lvl>
    <w:lvl w:ilvl="1">
      <w:lvlJc w:val="left"/>
      <w:lvlText w:val="(%2)"/>
      <w:numFmt w:val="lowerRoman"/>
      <w:start w:val="1"/>
    </w:lvl>
  </w:abstractNum>
  <w:abstractNum w:abstractNumId="91">
    <w:nsid w:val="F856867"/>
    <w:multiLevelType w:val="hybridMultilevel"/>
    <w:lvl w:ilvl="0">
      <w:lvlJc w:val="left"/>
      <w:lvlText w:val="(%1)"/>
      <w:numFmt w:val="lowerRoman"/>
      <w:start w:val="5"/>
    </w:lvl>
  </w:abstractNum>
  <w:abstractNum w:abstractNumId="92">
    <w:nsid w:val="11B1CC33"/>
    <w:multiLevelType w:val="hybridMultilevel"/>
    <w:lvl w:ilvl="0">
      <w:lvlJc w:val="left"/>
      <w:lvlText w:val="(%1)"/>
      <w:numFmt w:val="lowerLetter"/>
      <w:start w:val="3"/>
    </w:lvl>
  </w:abstractNum>
  <w:abstractNum w:abstractNumId="93">
    <w:nsid w:val="2E22FBB7"/>
    <w:multiLevelType w:val="hybridMultilevel"/>
    <w:lvl w:ilvl="0">
      <w:lvlJc w:val="left"/>
      <w:lvlText w:val="(%1)"/>
      <w:numFmt w:val="lowerLetter"/>
      <w:start w:val="1"/>
    </w:lvl>
  </w:abstractNum>
  <w:abstractNum w:abstractNumId="94">
    <w:nsid w:val="29934699"/>
    <w:multiLevelType w:val="hybridMultilevel"/>
    <w:lvl w:ilvl="0">
      <w:lvlJc w:val="left"/>
      <w:lvlText w:val="(%1)"/>
      <w:numFmt w:val="lowerLetter"/>
      <w:start w:val="2"/>
    </w:lvl>
  </w:abstractNum>
  <w:abstractNum w:abstractNumId="95">
    <w:nsid w:val="77485850"/>
    <w:multiLevelType w:val="hybridMultilevel"/>
    <w:lvl w:ilvl="0">
      <w:lvlJc w:val="left"/>
      <w:lvlText w:val="(%1)"/>
      <w:numFmt w:val="lowerRoman"/>
      <w:start w:val="2"/>
    </w:lvl>
  </w:abstractNum>
  <w:abstractNum w:abstractNumId="96">
    <w:nsid w:val="744939A3"/>
    <w:multiLevelType w:val="hybridMultilevel"/>
    <w:lvl w:ilvl="0">
      <w:lvlJc w:val="left"/>
      <w:lvlText w:val="%1."/>
      <w:numFmt w:val="decimal"/>
      <w:start w:val="1"/>
    </w:lvl>
  </w:abstractNum>
  <w:abstractNum w:abstractNumId="97">
    <w:nsid w:val="4FA0D2E3"/>
    <w:multiLevelType w:val="hybridMultilevel"/>
    <w:lvl w:ilvl="0">
      <w:lvlJc w:val="left"/>
      <w:lvlText w:val="%1."/>
      <w:numFmt w:val="decimal"/>
      <w:start w:val="3"/>
    </w:lvl>
  </w:abstractNum>
  <w:abstractNum w:abstractNumId="98">
    <w:nsid w:val="6B1D2C14"/>
    <w:multiLevelType w:val="hybridMultilevel"/>
    <w:lvl w:ilvl="0">
      <w:lvlJc w:val="left"/>
      <w:lvlText w:val="(%1)"/>
      <w:numFmt w:val="lowerRoman"/>
      <w:start w:val="5"/>
    </w:lvl>
  </w:abstractNum>
  <w:abstractNum w:abstractNumId="99">
    <w:nsid w:val="68B867D3"/>
    <w:multiLevelType w:val="hybridMultilevel"/>
    <w:lvl w:ilvl="0">
      <w:lvlJc w:val="left"/>
      <w:lvlText w:val="(%1)"/>
      <w:numFmt w:val="lowerRoman"/>
      <w:start w:val="3"/>
    </w:lvl>
  </w:abstractNum>
  <w:abstractNum w:abstractNumId="100">
    <w:nsid w:val="3F7F5DD9"/>
    <w:multiLevelType w:val="hybridMultilevel"/>
    <w:lvl w:ilvl="0">
      <w:lvlJc w:val="left"/>
      <w:lvlText w:val="(%1)"/>
      <w:numFmt w:val="lowerLetter"/>
      <w:start w:val="1"/>
    </w:lvl>
  </w:abstractNum>
  <w:abstractNum w:abstractNumId="101">
    <w:nsid w:val="2AE05A34"/>
    <w:multiLevelType w:val="hybridMultilevel"/>
    <w:lvl w:ilvl="0">
      <w:lvlJc w:val="left"/>
      <w:lvlText w:val="*"/>
      <w:numFmt w:val="bullet"/>
      <w:start w:val="1"/>
    </w:lvl>
  </w:abstractNum>
  <w:abstractNum w:abstractNumId="102">
    <w:nsid w:val="32794FF7"/>
    <w:multiLevelType w:val="hybridMultilevel"/>
    <w:lvl w:ilvl="0">
      <w:lvlJc w:val="left"/>
      <w:lvlText w:val="**"/>
      <w:numFmt w:val="bullet"/>
      <w:start w:val="1"/>
    </w:lvl>
  </w:abstractNum>
  <w:abstractNum w:abstractNumId="103">
    <w:nsid w:val="5454945E"/>
    <w:multiLevelType w:val="hybridMultilevel"/>
    <w:lvl w:ilvl="0">
      <w:lvlJc w:val="left"/>
      <w:lvlText w:val="(%1)"/>
      <w:numFmt w:val="lowerRoman"/>
      <w:start w:val="1"/>
    </w:lvl>
  </w:abstractNum>
  <w:abstractNum w:abstractNumId="104">
    <w:nsid w:val="4DEFDFA0"/>
    <w:multiLevelType w:val="hybridMultilevel"/>
    <w:lvl w:ilvl="0">
      <w:lvlJc w:val="left"/>
      <w:lvlText w:val="-"/>
      <w:numFmt w:val="bullet"/>
      <w:start w:val="1"/>
    </w:lvl>
  </w:abstractNum>
  <w:abstractNum w:abstractNumId="105">
    <w:nsid w:val="2123D5F2"/>
    <w:multiLevelType w:val="hybridMultilevel"/>
    <w:lvl w:ilvl="0">
      <w:lvlJc w:val="left"/>
      <w:lvlText w:val="-"/>
      <w:numFmt w:val="bullet"/>
      <w:start w:val="1"/>
    </w:lvl>
  </w:abstractNum>
  <w:abstractNum w:abstractNumId="106">
    <w:nsid w:val="135B8110"/>
    <w:multiLevelType w:val="hybridMultilevel"/>
    <w:lvl w:ilvl="0">
      <w:lvlJc w:val="left"/>
      <w:lvlText w:val="-"/>
      <w:numFmt w:val="bullet"/>
      <w:start w:val="1"/>
    </w:lvl>
  </w:abstractNum>
  <w:abstractNum w:abstractNumId="107">
    <w:nsid w:val="94927A8"/>
    <w:multiLevelType w:val="hybridMultilevel"/>
    <w:lvl w:ilvl="0">
      <w:lvlJc w:val="left"/>
      <w:lvlText w:val="-"/>
      <w:numFmt w:val="bullet"/>
      <w:start w:val="1"/>
    </w:lvl>
  </w:abstractNum>
  <w:abstractNum w:abstractNumId="108">
    <w:nsid w:val="DCDF8F6"/>
    <w:multiLevelType w:val="hybridMultilevel"/>
    <w:lvl w:ilvl="0">
      <w:lvlJc w:val="left"/>
      <w:lvlText w:val="-"/>
      <w:numFmt w:val="bullet"/>
      <w:start w:val="1"/>
    </w:lvl>
  </w:abstractNum>
  <w:abstractNum w:abstractNumId="109">
    <w:nsid w:val="52D7B105"/>
    <w:multiLevelType w:val="hybridMultilevel"/>
    <w:lvl w:ilvl="0">
      <w:lvlJc w:val="left"/>
      <w:lvlText w:val="-"/>
      <w:numFmt w:val="bullet"/>
      <w:start w:val="1"/>
    </w:lvl>
  </w:abstractNum>
  <w:abstractNum w:abstractNumId="110">
    <w:nsid w:val="2E8A6394"/>
    <w:multiLevelType w:val="hybridMultilevel"/>
    <w:lvl w:ilvl="0">
      <w:lvlJc w:val="left"/>
      <w:lvlText w:val="-"/>
      <w:numFmt w:val="bullet"/>
      <w:start w:val="1"/>
    </w:lvl>
  </w:abstractNum>
  <w:abstractNum w:abstractNumId="111">
    <w:nsid w:val="24E60401"/>
    <w:multiLevelType w:val="hybridMultilevel"/>
    <w:lvl w:ilvl="0">
      <w:lvlJc w:val="left"/>
      <w:lvlText w:val="-"/>
      <w:numFmt w:val="bullet"/>
      <w:start w:val="1"/>
    </w:lvl>
  </w:abstractNum>
  <w:abstractNum w:abstractNumId="112">
    <w:nsid w:val="2A6AD9BE"/>
    <w:multiLevelType w:val="hybridMultilevel"/>
    <w:lvl w:ilvl="0">
      <w:lvlJc w:val="left"/>
      <w:lvlText w:val="-"/>
      <w:numFmt w:val="bullet"/>
      <w:start w:val="1"/>
    </w:lvl>
  </w:abstractNum>
  <w:abstractNum w:abstractNumId="113">
    <w:nsid w:val="BAAC1B4"/>
    <w:multiLevelType w:val="hybridMultilevel"/>
    <w:lvl w:ilvl="0">
      <w:lvlJc w:val="left"/>
      <w:lvlText w:val="-"/>
      <w:numFmt w:val="bullet"/>
      <w:start w:val="1"/>
    </w:lvl>
  </w:abstractNum>
  <w:abstractNum w:abstractNumId="114">
    <w:nsid w:val="36B2ACBC"/>
    <w:multiLevelType w:val="hybridMultilevel"/>
    <w:lvl w:ilvl="0">
      <w:lvlJc w:val="left"/>
      <w:lvlText w:val="*"/>
      <w:numFmt w:val="bullet"/>
      <w:start w:val="1"/>
    </w:lvl>
  </w:abstractNum>
  <w:abstractNum w:abstractNumId="115">
    <w:nsid w:val="779D8544"/>
    <w:multiLevelType w:val="hybridMultilevel"/>
    <w:lvl w:ilvl="0">
      <w:lvlJc w:val="left"/>
      <w:lvlText w:val="**"/>
      <w:numFmt w:val="bullet"/>
      <w:start w:val="1"/>
    </w:lvl>
  </w:abstractNum>
  <w:abstractNum w:abstractNumId="116">
    <w:nsid w:val="4AB26E78"/>
    <w:multiLevelType w:val="hybridMultilevel"/>
    <w:lvl w:ilvl="0">
      <w:lvlJc w:val="left"/>
      <w:lvlText w:val="(%1)"/>
      <w:numFmt w:val="lowerLetter"/>
      <w:start w:val="1"/>
    </w:lvl>
  </w:abstractNum>
  <w:abstractNum w:abstractNumId="117">
    <w:nsid w:val="21FAA2FA"/>
    <w:multiLevelType w:val="hybridMultilevel"/>
    <w:lvl w:ilvl="0">
      <w:lvlJc w:val="left"/>
      <w:lvlText w:val="%1."/>
      <w:numFmt w:val="decimal"/>
      <w:start w:val="1"/>
    </w:lvl>
  </w:abstractNum>
  <w:abstractNum w:abstractNumId="118">
    <w:nsid w:val="5451CF49"/>
    <w:multiLevelType w:val="hybridMultilevel"/>
    <w:lvl w:ilvl="0">
      <w:lvlJc w:val="left"/>
      <w:lvlText w:val="%1."/>
      <w:numFmt w:val="decimal"/>
      <w:start w:val="4"/>
    </w:lvl>
  </w:abstractNum>
  <w:abstractNum w:abstractNumId="119">
    <w:nsid w:val="6181EF69"/>
    <w:multiLevelType w:val="hybridMultilevel"/>
    <w:lvl w:ilvl="0">
      <w:lvlJc w:val="left"/>
      <w:lvlText w:val="%1."/>
      <w:numFmt w:val="decimal"/>
      <w:start w:val="5"/>
    </w:lvl>
  </w:abstractNum>
  <w:abstractNum w:abstractNumId="120">
    <w:nsid w:val="3E6400E6"/>
    <w:multiLevelType w:val="hybridMultilevel"/>
    <w:lvl w:ilvl="0">
      <w:lvlJc w:val="left"/>
      <w:lvlText w:val="%1."/>
      <w:numFmt w:val="decimal"/>
      <w:start w:val="7"/>
    </w:lvl>
  </w:abstractNum>
  <w:abstractNum w:abstractNumId="121">
    <w:nsid w:val="14217E23"/>
    <w:multiLevelType w:val="hybridMultilevel"/>
    <w:lvl w:ilvl="0">
      <w:lvlJc w:val="left"/>
      <w:lvlText w:val="%1."/>
      <w:numFmt w:val="decimal"/>
      <w:start w:val="11"/>
    </w:lvl>
  </w:abstractNum>
  <w:abstractNum w:abstractNumId="122">
    <w:nsid w:val="710757D0"/>
    <w:multiLevelType w:val="hybridMultilevel"/>
    <w:lvl w:ilvl="0">
      <w:lvlJc w:val="left"/>
      <w:lvlText w:val="%1."/>
      <w:numFmt w:val="decimal"/>
      <w:start w:val="13"/>
    </w:lvl>
  </w:abstractNum>
  <w:abstractNum w:abstractNumId="123">
    <w:nsid w:val="5015CD1A"/>
    <w:multiLevelType w:val="hybridMultilevel"/>
    <w:lvl w:ilvl="0">
      <w:lvlJc w:val="left"/>
      <w:lvlText w:val="%1."/>
      <w:numFmt w:val="decimal"/>
      <w:start w:val="17"/>
    </w:lvl>
  </w:abstractNum>
  <w:abstractNum w:abstractNumId="124">
    <w:nsid w:val="424479DA"/>
    <w:multiLevelType w:val="hybridMultilevel"/>
    <w:lvl w:ilvl="0">
      <w:lvlJc w:val="left"/>
      <w:lvlText w:val="%1."/>
      <w:numFmt w:val="decimal"/>
      <w:start w:val="1"/>
    </w:lvl>
  </w:abstractNum>
  <w:abstractNum w:abstractNumId="125">
    <w:nsid w:val="1A9A9E69"/>
    <w:multiLevelType w:val="hybridMultilevel"/>
    <w:lvl w:ilvl="0">
      <w:lvlJc w:val="left"/>
      <w:lvlText w:val="%1."/>
      <w:numFmt w:val="decimal"/>
      <w:start w:val="4"/>
    </w:lvl>
  </w:abstractNum>
  <w:abstractNum w:abstractNumId="126">
    <w:nsid w:val="475E256A"/>
    <w:multiLevelType w:val="hybridMultilevel"/>
    <w:lvl w:ilvl="0">
      <w:lvlJc w:val="left"/>
      <w:lvlText w:val="%1."/>
      <w:numFmt w:val="decimal"/>
      <w:start w:val="5"/>
    </w:lvl>
  </w:abstractNum>
  <w:abstractNum w:abstractNumId="127">
    <w:nsid w:val="368DB37E"/>
    <w:multiLevelType w:val="hybridMultilevel"/>
    <w:lvl w:ilvl="0">
      <w:lvlJc w:val="left"/>
      <w:lvlText w:val="%1."/>
      <w:numFmt w:val="decimal"/>
      <w:start w:val="13"/>
    </w:lvl>
  </w:abstractNum>
  <w:abstractNum w:abstractNumId="128">
    <w:nsid w:val="6A3B714C"/>
    <w:multiLevelType w:val="hybridMultilevel"/>
    <w:lvl w:ilvl="0">
      <w:lvlJc w:val="left"/>
      <w:lvlText w:val="%1."/>
      <w:numFmt w:val="decimal"/>
      <w:start w:val="14"/>
    </w:lvl>
  </w:abstractNum>
  <w:abstractNum w:abstractNumId="129">
    <w:nsid w:val="327B517E"/>
    <w:multiLevelType w:val="hybridMultilevel"/>
    <w:lvl w:ilvl="0">
      <w:lvlJc w:val="left"/>
      <w:lvlText w:val="%1."/>
      <w:numFmt w:val="decimal"/>
      <w:start w:val="15"/>
    </w:lvl>
  </w:abstractNum>
  <w:abstractNum w:abstractNumId="130">
    <w:nsid w:val="1F461B51"/>
    <w:multiLevelType w:val="hybridMultilevel"/>
    <w:lvl w:ilvl="0">
      <w:lvlJc w:val="left"/>
      <w:lvlText w:val="(%1)"/>
      <w:numFmt w:val="lowerLetter"/>
      <w:start w:val="1"/>
    </w:lvl>
  </w:abstractNum>
  <w:abstractNum w:abstractNumId="131">
    <w:nsid w:val="29BACF25"/>
    <w:multiLevelType w:val="hybridMultilevel"/>
    <w:lvl w:ilvl="0">
      <w:lvlJc w:val="left"/>
      <w:lvlText w:val="(%1)"/>
      <w:numFmt w:val="lowerLetter"/>
      <w:start w:val="2"/>
    </w:lvl>
  </w:abstractNum>
  <w:abstractNum w:abstractNumId="132">
    <w:nsid w:val="5D5BABB3"/>
    <w:multiLevelType w:val="hybridMultilevel"/>
    <w:lvl w:ilvl="0">
      <w:lvlJc w:val="left"/>
      <w:lvlText w:val="(%1)"/>
      <w:numFmt w:val="lowerLetter"/>
      <w:start w:val="1"/>
    </w:lvl>
  </w:abstractNum>
  <w:abstractNum w:abstractNumId="133">
    <w:nsid w:val="51BF6B48"/>
    <w:multiLevelType w:val="hybridMultilevel"/>
    <w:lvl w:ilvl="0">
      <w:lvlJc w:val="left"/>
      <w:lvlText w:val="(%1)"/>
      <w:numFmt w:val="lowerLetter"/>
      <w:start w:val="2"/>
    </w:lvl>
  </w:abstractNum>
  <w:abstractNum w:abstractNumId="134">
    <w:nsid w:val="7E0F6384"/>
    <w:multiLevelType w:val="hybridMultilevel"/>
    <w:lvl w:ilvl="0">
      <w:lvlJc w:val="left"/>
      <w:lvlText w:val="(%1)"/>
      <w:numFmt w:val="decimal"/>
      <w:start w:val="1"/>
    </w:lvl>
  </w:abstractNum>
  <w:abstractNum w:abstractNumId="135">
    <w:nsid w:val="2B4B8B53"/>
    <w:multiLevelType w:val="hybridMultilevel"/>
    <w:lvl w:ilvl="0">
      <w:lvlJc w:val="left"/>
      <w:lvlText w:val="(%1)"/>
      <w:numFmt w:val="decimal"/>
      <w:start w:val="4"/>
    </w:lvl>
  </w:abstractNum>
  <w:abstractNum w:abstractNumId="136">
    <w:nsid w:val="72E3413A"/>
    <w:multiLevelType w:val="hybridMultilevel"/>
    <w:lvl w:ilvl="0">
      <w:lvlJc w:val="left"/>
      <w:lvlText w:val="(%1)"/>
      <w:numFmt w:val="lowerRoman"/>
      <w:start w:val="1"/>
    </w:lvl>
  </w:abstractNum>
  <w:abstractNum w:abstractNumId="137">
    <w:nsid w:val="116AE494"/>
    <w:multiLevelType w:val="hybridMultilevel"/>
    <w:lvl w:ilvl="0">
      <w:lvlJc w:val="left"/>
      <w:lvlText w:val="%1."/>
      <w:numFmt w:val="decimal"/>
      <w:start w:val="1"/>
    </w:lvl>
  </w:abstractNum>
  <w:abstractNum w:abstractNumId="138">
    <w:nsid w:val="3494B2FB"/>
    <w:multiLevelType w:val="hybridMultilevel"/>
    <w:lvl w:ilvl="0">
      <w:lvlJc w:val="left"/>
      <w:lvlText w:val="(%1)"/>
      <w:numFmt w:val="lowerRoman"/>
      <w:start w:val="1"/>
    </w:lvl>
  </w:abstractNum>
  <w:abstractNum w:abstractNumId="139">
    <w:nsid w:val="B13A31"/>
    <w:multiLevelType w:val="hybridMultilevel"/>
    <w:lvl w:ilvl="0">
      <w:lvlJc w:val="left"/>
      <w:lvlText w:val="(%1)"/>
      <w:numFmt w:val="lowerLetter"/>
      <w:start w:val="2"/>
    </w:lvl>
  </w:abstractNum>
  <w:abstractNum w:abstractNumId="140">
    <w:nsid w:val="64429599"/>
    <w:multiLevelType w:val="hybridMultilevel"/>
    <w:lvl w:ilvl="0">
      <w:lvlJc w:val="left"/>
      <w:lvlText w:val="%1."/>
      <w:numFmt w:val="decimal"/>
      <w:start w:val="2"/>
    </w:lvl>
  </w:abstractNum>
  <w:abstractNum w:abstractNumId="141">
    <w:nsid w:val="631F1690"/>
    <w:multiLevelType w:val="hybridMultilevel"/>
    <w:lvl w:ilvl="0">
      <w:lvlJc w:val="left"/>
      <w:lvlText w:val="(%1)"/>
      <w:numFmt w:val="lowerLetter"/>
      <w:start w:val="1"/>
    </w:lvl>
  </w:abstractNum>
  <w:abstractNum w:abstractNumId="142">
    <w:nsid w:val="25973E32"/>
    <w:multiLevelType w:val="hybridMultilevel"/>
    <w:lvl w:ilvl="0">
      <w:lvlJc w:val="left"/>
      <w:lvlText w:val="%1."/>
      <w:numFmt w:val="decimal"/>
      <w:start w:val="3"/>
    </w:lvl>
  </w:abstractNum>
  <w:abstractNum w:abstractNumId="143">
    <w:nsid w:val="EAD6F57"/>
    <w:multiLevelType w:val="hybridMultilevel"/>
    <w:lvl w:ilvl="0">
      <w:lvlJc w:val="left"/>
      <w:lvlText w:val="%1"/>
      <w:numFmt w:val="lowerLetter"/>
      <w:start w:val="1"/>
    </w:lvl>
    <w:lvl w:ilvl="1">
      <w:lvlJc w:val="left"/>
      <w:lvlText w:val="(%2)"/>
      <w:numFmt w:val="lowerLetter"/>
      <w:start w:val="1"/>
    </w:lvl>
  </w:abstractNum>
  <w:abstractNum w:abstractNumId="144">
    <w:nsid w:val="6EC9D844"/>
    <w:multiLevelType w:val="hybridMultilevel"/>
    <w:lvl w:ilvl="0">
      <w:lvlJc w:val="left"/>
      <w:lvlText w:val="(%1)"/>
      <w:numFmt w:val="lowerLetter"/>
      <w:start w:val="1"/>
    </w:lvl>
    <w:lvl w:ilvl="1">
      <w:lvlJc w:val="left"/>
      <w:lvlText w:val="(%2)"/>
      <w:numFmt w:val="lowerLetter"/>
      <w:start w:val="2"/>
    </w:lvl>
  </w:abstractNum>
  <w:abstractNum w:abstractNumId="145">
    <w:nsid w:val="5C49EAEE"/>
    <w:multiLevelType w:val="hybridMultilevel"/>
    <w:lvl w:ilvl="0">
      <w:lvlJc w:val="left"/>
      <w:lvlText w:val="(%1)"/>
      <w:numFmt w:val="lowerLetter"/>
      <w:start w:val="3"/>
    </w:lvl>
  </w:abstractNum>
  <w:abstractNum w:abstractNumId="146">
    <w:nsid w:val="64AF49B"/>
    <w:multiLevelType w:val="hybridMultilevel"/>
    <w:lvl w:ilvl="0">
      <w:lvlJc w:val="left"/>
      <w:lvlText w:val="(%1)"/>
      <w:numFmt w:val="lowerLetter"/>
      <w:start w:val="5"/>
    </w:lvl>
    <w:lvl w:ilvl="1">
      <w:lvlJc w:val="left"/>
      <w:lvlText w:val="(%2)"/>
      <w:numFmt w:val="lowerRoman"/>
      <w:start w:val="1"/>
    </w:lvl>
  </w:abstractNum>
  <w:abstractNum w:abstractNumId="147">
    <w:nsid w:val="397C46BC"/>
    <w:multiLevelType w:val="hybridMultilevel"/>
    <w:lvl w:ilvl="0">
      <w:lvlJc w:val="left"/>
      <w:lvlText w:val="%1"/>
      <w:numFmt w:val="lowerRoman"/>
      <w:start w:val="1"/>
    </w:lvl>
    <w:lvl w:ilvl="1">
      <w:lvlJc w:val="left"/>
      <w:lvlText w:val="(%2)"/>
      <w:numFmt w:val="lowerRoman"/>
      <w:start w:val="4"/>
    </w:lvl>
  </w:abstractNum>
  <w:abstractNum w:abstractNumId="148">
    <w:nsid w:val="7E448DE9"/>
    <w:multiLevelType w:val="hybridMultilevel"/>
    <w:lvl w:ilvl="0">
      <w:lvlJc w:val="left"/>
      <w:lvlText w:val="(%1)"/>
      <w:numFmt w:val="lowerRoman"/>
      <w:start w:val="3"/>
    </w:lvl>
    <w:lvl w:ilvl="1">
      <w:lvlJc w:val="left"/>
      <w:lvlText w:val="(%2)"/>
      <w:numFmt w:val="lowerRoman"/>
      <w:start w:val="5"/>
    </w:lvl>
  </w:abstractNum>
  <w:abstractNum w:abstractNumId="149">
    <w:nsid w:val="5A9CC3E5"/>
    <w:multiLevelType w:val="hybridMultilevel"/>
    <w:lvl w:ilvl="0">
      <w:lvlJc w:val="left"/>
      <w:lvlText w:val="(%1)"/>
      <w:numFmt w:val="lowerLetter"/>
      <w:start w:val="6"/>
    </w:lvl>
  </w:abstractNum>
  <w:abstractNum w:abstractNumId="150">
    <w:nsid w:val="1AFE3625"/>
    <w:multiLevelType w:val="hybridMultilevel"/>
    <w:lvl w:ilvl="0">
      <w:lvlJc w:val="left"/>
      <w:lvlText w:val="%1."/>
      <w:numFmt w:val="decimal"/>
      <w:start w:val="5"/>
    </w:lvl>
  </w:abstractNum>
  <w:abstractNum w:abstractNumId="151">
    <w:nsid w:val="3CA88ECF"/>
    <w:multiLevelType w:val="hybridMultilevel"/>
    <w:lvl w:ilvl="0">
      <w:lvlJc w:val="left"/>
      <w:lvlText w:val="(%1)"/>
      <w:numFmt w:val="lowerLetter"/>
      <w:start w:val="1"/>
    </w:lvl>
  </w:abstractNum>
  <w:abstractNum w:abstractNumId="152">
    <w:nsid w:val="6EBE4208"/>
    <w:multiLevelType w:val="hybridMultilevel"/>
    <w:lvl w:ilvl="0">
      <w:lvlJc w:val="left"/>
      <w:lvlText w:val="(%1)"/>
      <w:numFmt w:val="lowerLetter"/>
      <w:start w:val="35"/>
    </w:lvl>
    <w:lvl w:ilvl="1">
      <w:lvlJc w:val="left"/>
      <w:lvlText w:val="%2"/>
      <w:numFmt w:val="lowerLetter"/>
      <w:start w:val="1"/>
    </w:lvl>
  </w:abstractNum>
  <w:abstractNum w:abstractNumId="153">
    <w:nsid w:val="C058DF5"/>
    <w:multiLevelType w:val="hybridMultilevel"/>
    <w:lvl w:ilvl="0">
      <w:lvlJc w:val="left"/>
      <w:lvlText w:val="(%1)"/>
      <w:numFmt w:val="lowerLetter"/>
      <w:start w:val="26"/>
    </w:lvl>
    <w:lvl w:ilvl="1">
      <w:lvlJc w:val="left"/>
      <w:lvlText w:val="(%2)"/>
      <w:numFmt w:val="lowerLetter"/>
      <w:start w:val="2"/>
    </w:lvl>
  </w:abstractNum>
  <w:abstractNum w:abstractNumId="154">
    <w:nsid w:val="CBE5BE9"/>
    <w:multiLevelType w:val="hybridMultilevel"/>
    <w:lvl w:ilvl="0">
      <w:lvlJc w:val="left"/>
      <w:lvlText w:val="%1."/>
      <w:numFmt w:val="decimal"/>
      <w:start w:val="6"/>
    </w:lvl>
  </w:abstractNum>
  <w:abstractNum w:abstractNumId="155">
    <w:nsid w:val="3102BBE2"/>
    <w:multiLevelType w:val="hybridMultilevel"/>
    <w:lvl w:ilvl="0">
      <w:lvlJc w:val="left"/>
      <w:lvlText w:val="%1."/>
      <w:numFmt w:val="decimal"/>
      <w:start w:val="7"/>
    </w:lvl>
  </w:abstractNum>
  <w:abstractNum w:abstractNumId="156">
    <w:nsid w:val="26A02C5E"/>
    <w:multiLevelType w:val="hybridMultilevel"/>
    <w:lvl w:ilvl="0">
      <w:lvlJc w:val="left"/>
      <w:lvlText w:val="%1."/>
      <w:numFmt w:val="decimal"/>
      <w:start w:val="8"/>
    </w:lvl>
  </w:abstractNum>
  <w:abstractNum w:abstractNumId="157">
    <w:nsid w:val="541C8153"/>
    <w:multiLevelType w:val="hybridMultilevel"/>
    <w:lvl w:ilvl="0">
      <w:lvlJc w:val="left"/>
      <w:lvlText w:val="-"/>
      <w:numFmt w:val="bullet"/>
      <w:start w:val="1"/>
    </w:lvl>
  </w:abstractNum>
  <w:abstractNum w:abstractNumId="158">
    <w:nsid w:val="67906F60"/>
    <w:multiLevelType w:val="hybridMultilevel"/>
    <w:lvl w:ilvl="0">
      <w:lvlJc w:val="left"/>
      <w:lvlText w:val="%1."/>
      <w:numFmt w:val="decimal"/>
      <w:start w:val="1"/>
    </w:lvl>
  </w:abstractNum>
  <w:abstractNum w:abstractNumId="159">
    <w:nsid w:val="10DB9DAA"/>
    <w:multiLevelType w:val="hybridMultilevel"/>
    <w:lvl w:ilvl="0">
      <w:lvlJc w:val="left"/>
      <w:lvlText w:val="(%1)"/>
      <w:numFmt w:val="lowerRoman"/>
      <w:start w:val="1"/>
    </w:lvl>
  </w:abstractNum>
  <w:abstractNum w:abstractNumId="160">
    <w:nsid w:val="697D2D2"/>
    <w:multiLevelType w:val="hybridMultilevel"/>
    <w:lvl w:ilvl="0">
      <w:lvlJc w:val="left"/>
      <w:lvlText w:val="(%1)"/>
      <w:numFmt w:val="lowerLetter"/>
      <w:start w:val="2"/>
    </w:lvl>
  </w:abstractNum>
  <w:abstractNum w:abstractNumId="161">
    <w:nsid w:val="6D68AB2"/>
    <w:multiLevelType w:val="hybridMultilevel"/>
    <w:lvl w:ilvl="0">
      <w:lvlJc w:val="left"/>
      <w:lvlText w:val="%1."/>
      <w:numFmt w:val="decimal"/>
      <w:start w:val="2"/>
    </w:lvl>
  </w:abstractNum>
  <w:abstractNum w:abstractNumId="162">
    <w:nsid w:val="3A966CD0"/>
    <w:multiLevelType w:val="hybridMultilevel"/>
    <w:lvl w:ilvl="0">
      <w:lvlJc w:val="left"/>
      <w:lvlText w:val="(%1)"/>
      <w:numFmt w:val="lowerLetter"/>
      <w:start w:val="1"/>
    </w:lvl>
  </w:abstractNum>
  <w:abstractNum w:abstractNumId="163">
    <w:nsid w:val="63F37E85"/>
    <w:multiLevelType w:val="hybridMultilevel"/>
    <w:lvl w:ilvl="0">
      <w:lvlJc w:val="left"/>
      <w:lvlText w:val="%1."/>
      <w:numFmt w:val="decimal"/>
      <w:start w:val="3"/>
    </w:lvl>
  </w:abstractNum>
  <w:abstractNum w:abstractNumId="164">
    <w:nsid w:val="5895F5FA"/>
    <w:multiLevelType w:val="hybridMultilevel"/>
    <w:lvl w:ilvl="0">
      <w:lvlJc w:val="left"/>
      <w:lvlText w:val="%1"/>
      <w:numFmt w:val="lowerLetter"/>
      <w:start w:val="1"/>
    </w:lvl>
    <w:lvl w:ilvl="1">
      <w:lvlJc w:val="left"/>
      <w:lvlText w:val="(%2)"/>
      <w:numFmt w:val="lowerLetter"/>
      <w:start w:val="1"/>
    </w:lvl>
  </w:abstractNum>
  <w:abstractNum w:abstractNumId="165">
    <w:nsid w:val="38A5D054"/>
    <w:multiLevelType w:val="hybridMultilevel"/>
    <w:lvl w:ilvl="0">
      <w:lvlJc w:val="left"/>
      <w:lvlText w:val="(%1)"/>
      <w:numFmt w:val="lowerLetter"/>
      <w:start w:val="1"/>
    </w:lvl>
    <w:lvl w:ilvl="1">
      <w:lvlJc w:val="left"/>
      <w:lvlText w:val="(%2)"/>
      <w:numFmt w:val="lowerLetter"/>
      <w:start w:val="2"/>
    </w:lvl>
  </w:abstractNum>
  <w:abstractNum w:abstractNumId="166">
    <w:nsid w:val="F3F09D8"/>
    <w:multiLevelType w:val="hybridMultilevel"/>
    <w:lvl w:ilvl="0">
      <w:lvlJc w:val="left"/>
      <w:lvlText w:val="(%1)"/>
      <w:numFmt w:val="lowerLetter"/>
      <w:start w:val="3"/>
    </w:lvl>
  </w:abstractNum>
  <w:abstractNum w:abstractNumId="167">
    <w:nsid w:val="4B793735"/>
    <w:multiLevelType w:val="hybridMultilevel"/>
    <w:lvl w:ilvl="0">
      <w:lvlJc w:val="left"/>
      <w:lvlText w:val="(%1)"/>
      <w:numFmt w:val="lowerLetter"/>
      <w:start w:val="5"/>
    </w:lvl>
    <w:lvl w:ilvl="1">
      <w:lvlJc w:val="left"/>
      <w:lvlText w:val="(%2)"/>
      <w:numFmt w:val="lowerRoman"/>
      <w:start w:val="1"/>
    </w:lvl>
  </w:abstractNum>
  <w:abstractNum w:abstractNumId="168">
    <w:nsid w:val="4A10B4E8"/>
    <w:multiLevelType w:val="hybridMultilevel"/>
    <w:lvl w:ilvl="0">
      <w:lvlJc w:val="left"/>
      <w:lvlText w:val="%1"/>
      <w:numFmt w:val="lowerRoman"/>
      <w:start w:val="1"/>
    </w:lvl>
    <w:lvl w:ilvl="1">
      <w:lvlJc w:val="left"/>
      <w:lvlText w:val="(%2)"/>
      <w:numFmt w:val="lowerRoman"/>
      <w:start w:val="4"/>
    </w:lvl>
  </w:abstractNum>
  <w:abstractNum w:abstractNumId="169">
    <w:nsid w:val="43D3BCD4"/>
    <w:multiLevelType w:val="hybridMultilevel"/>
    <w:lvl w:ilvl="0">
      <w:lvlJc w:val="left"/>
      <w:lvlText w:val="(%1)"/>
      <w:numFmt w:val="lowerRoman"/>
      <w:start w:val="3"/>
    </w:lvl>
    <w:lvl w:ilvl="1">
      <w:lvlJc w:val="left"/>
      <w:lvlText w:val="(%2)"/>
      <w:numFmt w:val="lowerRoman"/>
      <w:start w:val="5"/>
    </w:lvl>
  </w:abstractNum>
  <w:abstractNum w:abstractNumId="170">
    <w:nsid w:val="4C2A7166"/>
    <w:multiLevelType w:val="hybridMultilevel"/>
    <w:lvl w:ilvl="0">
      <w:lvlJc w:val="left"/>
      <w:lvlText w:val="(%1)"/>
      <w:numFmt w:val="lowerLetter"/>
      <w:start w:val="6"/>
    </w:lvl>
  </w:abstractNum>
  <w:abstractNum w:abstractNumId="171">
    <w:nsid w:val="2E534A82"/>
    <w:multiLevelType w:val="hybridMultilevel"/>
    <w:lvl w:ilvl="0">
      <w:lvlJc w:val="left"/>
      <w:lvlText w:val="%1."/>
      <w:numFmt w:val="decimal"/>
      <w:start w:val="5"/>
    </w:lvl>
  </w:abstractNum>
  <w:abstractNum w:abstractNumId="172">
    <w:nsid w:val="26F2D364"/>
    <w:multiLevelType w:val="hybridMultilevel"/>
    <w:lvl w:ilvl="0">
      <w:lvlJc w:val="left"/>
      <w:lvlText w:val="(%1)"/>
      <w:numFmt w:val="lowerLetter"/>
      <w:start w:val="1"/>
    </w:lvl>
  </w:abstractNum>
  <w:abstractNum w:abstractNumId="173">
    <w:nsid w:val="71C1AF98"/>
    <w:multiLevelType w:val="hybridMultilevel"/>
    <w:lvl w:ilvl="0">
      <w:lvlJc w:val="left"/>
      <w:lvlText w:val="(%1)"/>
      <w:numFmt w:val="lowerLetter"/>
      <w:start w:val="35"/>
    </w:lvl>
    <w:lvl w:ilvl="1">
      <w:lvlJc w:val="left"/>
      <w:lvlText w:val="%2"/>
      <w:numFmt w:val="lowerLetter"/>
      <w:start w:val="1"/>
    </w:lvl>
  </w:abstractNum>
  <w:abstractNum w:abstractNumId="174">
    <w:nsid w:val="3D00B9D9"/>
    <w:multiLevelType w:val="hybridMultilevel"/>
    <w:lvl w:ilvl="0">
      <w:lvlJc w:val="left"/>
      <w:lvlText w:val="(%1)"/>
      <w:numFmt w:val="lowerLetter"/>
      <w:start w:val="26"/>
    </w:lvl>
    <w:lvl w:ilvl="1">
      <w:lvlJc w:val="left"/>
      <w:lvlText w:val="(%2)"/>
      <w:numFmt w:val="lowerLetter"/>
      <w:start w:val="2"/>
    </w:lvl>
  </w:abstractNum>
  <w:abstractNum w:abstractNumId="175">
    <w:nsid w:val="15BCABA8"/>
    <w:multiLevelType w:val="hybridMultilevel"/>
    <w:lvl w:ilvl="0">
      <w:lvlJc w:val="left"/>
      <w:lvlText w:val="%1."/>
      <w:numFmt w:val="decimal"/>
      <w:start w:val="6"/>
    </w:lvl>
  </w:abstractNum>
  <w:abstractNum w:abstractNumId="176">
    <w:nsid w:val="4E0B9A87"/>
    <w:multiLevelType w:val="hybridMultilevel"/>
    <w:lvl w:ilvl="0">
      <w:lvlJc w:val="left"/>
      <w:lvlText w:val="%1."/>
      <w:numFmt w:val="decimal"/>
      <w:start w:val="7"/>
    </w:lvl>
  </w:abstractNum>
  <w:abstractNum w:abstractNumId="177">
    <w:nsid w:val="434BAE75"/>
    <w:multiLevelType w:val="hybridMultilevel"/>
    <w:lvl w:ilvl="0">
      <w:lvlJc w:val="left"/>
      <w:lvlText w:val="%1."/>
      <w:numFmt w:val="decimal"/>
      <w:start w:val="8"/>
    </w:lvl>
  </w:abstractNum>
  <w:abstractNum w:abstractNumId="178">
    <w:nsid w:val="4F38F265"/>
    <w:multiLevelType w:val="hybridMultilevel"/>
    <w:lvl w:ilvl="0">
      <w:lvlJc w:val="left"/>
      <w:lvlText w:val="-"/>
      <w:numFmt w:val="bullet"/>
      <w:start w:val="1"/>
    </w:lvl>
  </w:abstractNum>
  <w:abstractNum w:abstractNumId="179">
    <w:nsid w:val="4C502870"/>
    <w:multiLevelType w:val="hybridMultilevel"/>
    <w:lvl w:ilvl="0">
      <w:lvlJc w:val="left"/>
      <w:lvlText w:val="(%1)"/>
      <w:numFmt w:val="lowerLetter"/>
      <w:start w:val="2"/>
    </w:lvl>
  </w:abstractNum>
  <w:abstractNum w:abstractNumId="180">
    <w:nsid w:val="1DE8725A"/>
    <w:multiLevelType w:val="hybridMultilevel"/>
    <w:lvl w:ilvl="0">
      <w:lvlJc w:val="left"/>
      <w:lvlText w:val="%1."/>
      <w:numFmt w:val="decimal"/>
      <w:start w:val="1"/>
    </w:lvl>
  </w:abstractNum>
  <w:abstractNum w:abstractNumId="181">
    <w:nsid w:val="6A37288A"/>
    <w:multiLevelType w:val="hybridMultilevel"/>
    <w:lvl w:ilvl="0">
      <w:lvlJc w:val="left"/>
      <w:lvlText w:val="(%1)"/>
      <w:numFmt w:val="lowerRoman"/>
      <w:start w:val="1"/>
    </w:lvl>
  </w:abstractNum>
  <w:abstractNum w:abstractNumId="182">
    <w:nsid w:val="8F8B73F"/>
    <w:multiLevelType w:val="hybridMultilevel"/>
    <w:lvl w:ilvl="0">
      <w:lvlJc w:val="left"/>
      <w:lvlText w:val="(%1)"/>
      <w:numFmt w:val="lowerLetter"/>
      <w:start w:val="2"/>
    </w:lvl>
  </w:abstractNum>
  <w:abstractNum w:abstractNumId="183">
    <w:nsid w:val="CA6B462"/>
    <w:multiLevelType w:val="hybridMultilevel"/>
    <w:lvl w:ilvl="0">
      <w:lvlJc w:val="left"/>
      <w:lvlText w:val="%1."/>
      <w:numFmt w:val="decimal"/>
      <w:start w:val="2"/>
    </w:lvl>
  </w:abstractNum>
  <w:abstractNum w:abstractNumId="184">
    <w:nsid w:val="763CB680"/>
    <w:multiLevelType w:val="hybridMultilevel"/>
    <w:lvl w:ilvl="0">
      <w:lvlJc w:val="left"/>
      <w:lvlText w:val="(%1)"/>
      <w:numFmt w:val="lowerLetter"/>
      <w:start w:val="1"/>
    </w:lvl>
  </w:abstractNum>
  <w:abstractNum w:abstractNumId="185">
    <w:nsid w:val="15B71329"/>
    <w:multiLevelType w:val="hybridMultilevel"/>
    <w:lvl w:ilvl="0">
      <w:lvlJc w:val="left"/>
      <w:lvlText w:val="%1."/>
      <w:numFmt w:val="decimal"/>
      <w:start w:val="3"/>
    </w:lvl>
  </w:abstractNum>
  <w:abstractNum w:abstractNumId="186">
    <w:nsid w:val="3DA97044"/>
    <w:multiLevelType w:val="hybridMultilevel"/>
    <w:lvl w:ilvl="0">
      <w:lvlJc w:val="left"/>
      <w:lvlText w:val="%1."/>
      <w:numFmt w:val="decimal"/>
      <w:start w:val="4"/>
    </w:lvl>
  </w:abstractNum>
  <w:abstractNum w:abstractNumId="187">
    <w:nsid w:val="1CDCE2DE"/>
    <w:multiLevelType w:val="hybridMultilevel"/>
    <w:lvl w:ilvl="0">
      <w:lvlJc w:val="left"/>
      <w:lvlText w:val="%1"/>
      <w:numFmt w:val="lowerLetter"/>
      <w:start w:val="1"/>
    </w:lvl>
    <w:lvl w:ilvl="1">
      <w:lvlJc w:val="left"/>
      <w:lvlText w:val="(%2)"/>
      <w:numFmt w:val="lowerLetter"/>
      <w:start w:val="1"/>
    </w:lvl>
  </w:abstractNum>
  <w:abstractNum w:abstractNumId="188">
    <w:nsid w:val="69D3947C"/>
    <w:multiLevelType w:val="hybridMultilevel"/>
    <w:lvl w:ilvl="0">
      <w:lvlJc w:val="left"/>
      <w:lvlText w:val="(%1)"/>
      <w:numFmt w:val="lowerLetter"/>
      <w:start w:val="1"/>
    </w:lvl>
    <w:lvl w:ilvl="1">
      <w:lvlJc w:val="left"/>
      <w:lvlText w:val="(%2)"/>
      <w:numFmt w:val="lowerLetter"/>
      <w:start w:val="2"/>
    </w:lvl>
  </w:abstractNum>
  <w:abstractNum w:abstractNumId="189">
    <w:nsid w:val="2539DFA5"/>
    <w:multiLevelType w:val="hybridMultilevel"/>
    <w:lvl w:ilvl="0">
      <w:lvlJc w:val="left"/>
      <w:lvlText w:val="(%1)"/>
      <w:numFmt w:val="lowerLetter"/>
      <w:start w:val="3"/>
    </w:lvl>
  </w:abstractNum>
  <w:abstractNum w:abstractNumId="190">
    <w:nsid w:val="2DB88089"/>
    <w:multiLevelType w:val="hybridMultilevel"/>
    <w:lvl w:ilvl="0">
      <w:lvlJc w:val="left"/>
      <w:lvlText w:val="(%1)"/>
      <w:numFmt w:val="lowerLetter"/>
      <w:start w:val="5"/>
    </w:lvl>
    <w:lvl w:ilvl="1">
      <w:lvlJc w:val="left"/>
      <w:lvlText w:val="(%2)"/>
      <w:numFmt w:val="lowerRoman"/>
      <w:start w:val="1"/>
    </w:lvl>
  </w:abstractNum>
  <w:abstractNum w:abstractNumId="191">
    <w:nsid w:val="706B674E"/>
    <w:multiLevelType w:val="hybridMultilevel"/>
    <w:lvl w:ilvl="0">
      <w:lvlJc w:val="left"/>
      <w:lvlText w:val="%1"/>
      <w:numFmt w:val="lowerRoman"/>
      <w:start w:val="1"/>
    </w:lvl>
    <w:lvl w:ilvl="1">
      <w:lvlJc w:val="left"/>
      <w:lvlText w:val="(%2)"/>
      <w:numFmt w:val="lowerRoman"/>
      <w:start w:val="4"/>
    </w:lvl>
  </w:abstractNum>
  <w:abstractNum w:abstractNumId="192">
    <w:nsid w:val="2C106A57"/>
    <w:multiLevelType w:val="hybridMultilevel"/>
    <w:lvl w:ilvl="0">
      <w:lvlJc w:val="left"/>
      <w:lvlText w:val="(%1)"/>
      <w:numFmt w:val="lowerRoman"/>
      <w:start w:val="3"/>
    </w:lvl>
    <w:lvl w:ilvl="1">
      <w:lvlJc w:val="left"/>
      <w:lvlText w:val="(%2)"/>
      <w:numFmt w:val="lowerRoman"/>
      <w:start w:val="5"/>
    </w:lvl>
  </w:abstractNum>
  <w:abstractNum w:abstractNumId="193">
    <w:nsid w:val="684EED59"/>
    <w:multiLevelType w:val="hybridMultilevel"/>
    <w:lvl w:ilvl="0">
      <w:lvlJc w:val="left"/>
      <w:lvlText w:val="(%1)"/>
      <w:numFmt w:val="lowerLetter"/>
      <w:start w:val="6"/>
    </w:lvl>
  </w:abstractNum>
  <w:abstractNum w:abstractNumId="194">
    <w:nsid w:val="545EE5D3"/>
    <w:multiLevelType w:val="hybridMultilevel"/>
    <w:lvl w:ilvl="0">
      <w:lvlJc w:val="left"/>
      <w:lvlText w:val="%1."/>
      <w:numFmt w:val="decimal"/>
      <w:start w:val="5"/>
    </w:lvl>
  </w:abstractNum>
  <w:abstractNum w:abstractNumId="195">
    <w:nsid w:val="4A66051"/>
    <w:multiLevelType w:val="hybridMultilevel"/>
    <w:lvl w:ilvl="0">
      <w:lvlJc w:val="left"/>
      <w:lvlText w:val="(%1)"/>
      <w:numFmt w:val="lowerLetter"/>
      <w:start w:val="1"/>
    </w:lvl>
  </w:abstractNum>
  <w:abstractNum w:abstractNumId="196">
    <w:nsid w:val="20F4BDAD"/>
    <w:multiLevelType w:val="hybridMultilevel"/>
    <w:lvl w:ilvl="0">
      <w:lvlJc w:val="left"/>
      <w:lvlText w:val="(%1)"/>
      <w:numFmt w:val="lowerLetter"/>
      <w:start w:val="35"/>
    </w:lvl>
    <w:lvl w:ilvl="1">
      <w:lvlJc w:val="left"/>
      <w:lvlText w:val="%2"/>
      <w:numFmt w:val="lowerLetter"/>
      <w:start w:val="1"/>
    </w:lvl>
  </w:abstractNum>
  <w:abstractNum w:abstractNumId="197">
    <w:nsid w:val="639DEFAC"/>
    <w:multiLevelType w:val="hybridMultilevel"/>
    <w:lvl w:ilvl="0">
      <w:lvlJc w:val="left"/>
      <w:lvlText w:val="(%1)"/>
      <w:numFmt w:val="lowerLetter"/>
      <w:start w:val="26"/>
    </w:lvl>
    <w:lvl w:ilvl="1">
      <w:lvlJc w:val="left"/>
      <w:lvlText w:val="(%2)"/>
      <w:numFmt w:val="lowerLetter"/>
      <w:start w:val="2"/>
    </w:lvl>
  </w:abstractNum>
  <w:abstractNum w:abstractNumId="198">
    <w:nsid w:val="501F9786"/>
    <w:multiLevelType w:val="hybridMultilevel"/>
    <w:lvl w:ilvl="0">
      <w:lvlJc w:val="left"/>
      <w:lvlText w:val="%1."/>
      <w:numFmt w:val="decimal"/>
      <w:start w:val="6"/>
    </w:lvl>
  </w:abstractNum>
  <w:abstractNum w:abstractNumId="199">
    <w:nsid w:val="6B057295"/>
    <w:multiLevelType w:val="hybridMultilevel"/>
    <w:lvl w:ilvl="0">
      <w:lvlJc w:val="left"/>
      <w:lvlText w:val="%1."/>
      <w:numFmt w:val="decimal"/>
      <w:start w:val="7"/>
    </w:lvl>
  </w:abstractNum>
  <w:abstractNum w:abstractNumId="200">
    <w:nsid w:val="2771AC80"/>
    <w:multiLevelType w:val="hybridMultilevel"/>
    <w:lvl w:ilvl="0">
      <w:lvlJc w:val="left"/>
      <w:lvlText w:val="%1."/>
      <w:numFmt w:val="decimal"/>
      <w:start w:val="8"/>
    </w:lvl>
  </w:abstractNum>
  <w:abstractNum w:abstractNumId="201">
    <w:nsid w:val="1C4A08EC"/>
    <w:multiLevelType w:val="hybridMultilevel"/>
    <w:lvl w:ilvl="0">
      <w:lvlJc w:val="left"/>
      <w:lvlText w:val="-"/>
      <w:numFmt w:val="bullet"/>
      <w:start w:val="1"/>
    </w:lvl>
  </w:abstractNum>
  <w:abstractNum w:abstractNumId="202">
    <w:nsid w:val="1958BD17"/>
    <w:multiLevelType w:val="hybridMultilevel"/>
    <w:lvl w:ilvl="0">
      <w:lvlJc w:val="left"/>
      <w:lvlText w:val="(%1)"/>
      <w:numFmt w:val="lowerLetter"/>
      <w:start w:val="2"/>
    </w:lvl>
  </w:abstractNum>
  <w:abstractNum w:abstractNumId="203">
    <w:nsid w:val="4E647FE4"/>
    <w:multiLevelType w:val="hybridMultilevel"/>
    <w:lvl w:ilvl="0">
      <w:lvlJc w:val="left"/>
      <w:lvlText w:val="%1."/>
      <w:numFmt w:val="decimal"/>
      <w:start w:val="1"/>
    </w:lvl>
  </w:abstractNum>
  <w:abstractNum w:abstractNumId="204">
    <w:nsid w:val="E0BB885"/>
    <w:multiLevelType w:val="hybridMultilevel"/>
    <w:lvl w:ilvl="0">
      <w:lvlJc w:val="left"/>
      <w:lvlText w:val="%1."/>
      <w:numFmt w:val="decimal"/>
      <w:start w:val="3"/>
    </w:lvl>
  </w:abstractNum>
  <w:abstractNum w:abstractNumId="205">
    <w:nsid w:val="565976F1"/>
    <w:multiLevelType w:val="hybridMultilevel"/>
    <w:lvl w:ilvl="0">
      <w:lvlJc w:val="left"/>
      <w:lvlText w:val="(%1)"/>
      <w:numFmt w:val="lowerRoman"/>
      <w:start w:val="1"/>
    </w:lvl>
  </w:abstractNum>
  <w:abstractNum w:abstractNumId="206">
    <w:nsid w:val="64212B8C"/>
    <w:multiLevelType w:val="hybridMultilevel"/>
    <w:lvl w:ilvl="0">
      <w:lvlJc w:val="left"/>
      <w:lvlText w:val="(%1)"/>
      <w:numFmt w:val="lowerRoman"/>
      <w:start w:val="2"/>
    </w:lvl>
  </w:abstractNum>
  <w:abstractNum w:abstractNumId="207">
    <w:nsid w:val="5C17530C"/>
    <w:multiLevelType w:val="hybridMultilevel"/>
    <w:lvl w:ilvl="0">
      <w:lvlJc w:val="left"/>
      <w:lvlText w:val="(%1)"/>
      <w:numFmt w:val="lowerLetter"/>
      <w:start w:val="2"/>
    </w:lvl>
  </w:abstractNum>
  <w:abstractNum w:abstractNumId="208">
    <w:nsid w:val="19A52566"/>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09">
    <w:nsid w:val="335A1DF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10">
    <w:nsid w:val="28677B7C"/>
    <w:multiLevelType w:val="hybridMultilevel"/>
    <w:lvl w:ilvl="0">
      <w:lvlJc w:val="left"/>
      <w:lvlText w:val="(%1)"/>
      <w:numFmt w:val="lowerRoman"/>
      <w:start w:val="1"/>
    </w:lvl>
  </w:abstractNum>
  <w:abstractNum w:abstractNumId="211">
    <w:nsid w:val="378D97C0"/>
    <w:multiLevelType w:val="hybridMultilevel"/>
    <w:lvl w:ilvl="0">
      <w:lvlJc w:val="left"/>
      <w:lvlText w:val="(%1)"/>
      <w:numFmt w:val="lowerRoman"/>
      <w:start w:val="2"/>
    </w:lvl>
  </w:abstractNum>
  <w:abstractNum w:abstractNumId="212">
    <w:nsid w:val="1D91467C"/>
    <w:multiLevelType w:val="hybridMultilevel"/>
    <w:lvl w:ilvl="0">
      <w:lvlJc w:val="left"/>
      <w:lvlText w:val="%1"/>
      <w:numFmt w:val="decimal"/>
      <w:start w:val="1"/>
    </w:lvl>
    <w:lvl w:ilvl="1">
      <w:lvlJc w:val="left"/>
      <w:lvlText w:val="(%2)"/>
      <w:numFmt w:val="lowerLetter"/>
      <w:start w:val="3"/>
    </w:lvl>
  </w:abstractNum>
  <w:abstractNum w:abstractNumId="213">
    <w:nsid w:val="316032BB"/>
    <w:multiLevelType w:val="hybridMultilevel"/>
    <w:lvl w:ilvl="0">
      <w:lvlJc w:val="left"/>
      <w:lvlText w:val="%1."/>
      <w:numFmt w:val="decimal"/>
      <w:start w:val="8"/>
    </w:lvl>
    <w:lvl w:ilvl="1">
      <w:lvlJc w:val="left"/>
      <w:lvlText w:val="(%2)"/>
      <w:numFmt w:val="lowerLetter"/>
      <w:start w:val="2"/>
    </w:lvl>
  </w:abstractNum>
  <w:abstractNum w:abstractNumId="214">
    <w:nsid w:val="44344C22"/>
    <w:multiLevelType w:val="hybridMultilevel"/>
    <w:lvl w:ilvl="0">
      <w:lvlJc w:val="left"/>
      <w:lvlText w:val="(%1)"/>
      <w:numFmt w:val="lowerLetter"/>
      <w:start w:val="3"/>
    </w:lvl>
  </w:abstractNum>
  <w:abstractNum w:abstractNumId="215">
    <w:nsid w:val="13CDFCFC"/>
    <w:multiLevelType w:val="hybridMultilevel"/>
    <w:lvl w:ilvl="0">
      <w:lvlJc w:val="left"/>
      <w:lvlText w:val="(%1)"/>
      <w:numFmt w:val="lowerRoman"/>
      <w:start w:val="1"/>
    </w:lvl>
  </w:abstractNum>
  <w:abstractNum w:abstractNumId="216">
    <w:nsid w:val="471745E4"/>
    <w:multiLevelType w:val="hybridMultilevel"/>
    <w:lvl w:ilvl="0">
      <w:lvlJc w:val="left"/>
      <w:lvlText w:val="%1"/>
      <w:numFmt w:val="decimal"/>
      <w:start w:val="1"/>
    </w:lvl>
    <w:lvl w:ilvl="1">
      <w:lvlJc w:val="left"/>
      <w:lvlText w:val="(%2)"/>
      <w:numFmt w:val="lowerLetter"/>
      <w:start w:val="4"/>
    </w:lvl>
  </w:abstractNum>
  <w:abstractNum w:abstractNumId="217">
    <w:nsid w:val="1DDBC66"/>
    <w:multiLevelType w:val="hybridMultilevel"/>
    <w:lvl w:ilvl="0">
      <w:lvlJc w:val="left"/>
      <w:lvlText w:val="%1."/>
      <w:numFmt w:val="decimal"/>
      <w:start w:val="9"/>
    </w:lvl>
    <w:lvl w:ilvl="1">
      <w:lvlJc w:val="left"/>
      <w:lvlText w:val="%2"/>
      <w:numFmt w:val="lowerLetter"/>
      <w:start w:val="1"/>
    </w:lvl>
  </w:abstractNum>
  <w:abstractNum w:abstractNumId="218">
    <w:nsid w:val="30AADFDA"/>
    <w:multiLevelType w:val="hybridMultilevel"/>
    <w:lvl w:ilvl="0">
      <w:lvlJc w:val="left"/>
      <w:lvlText w:val="%1"/>
      <w:numFmt w:val="decimal"/>
      <w:start w:val="1"/>
    </w:lvl>
    <w:lvl w:ilvl="1">
      <w:lvlJc w:val="left"/>
      <w:lvlText w:val="(%2)"/>
      <w:numFmt w:val="lowerLetter"/>
      <w:start w:val="2"/>
    </w:lvl>
  </w:abstractNum>
  <w:abstractNum w:abstractNumId="219">
    <w:nsid w:val="30EADA61"/>
    <w:multiLevelType w:val="hybridMultilevel"/>
    <w:lvl w:ilvl="0">
      <w:lvlJc w:val="left"/>
      <w:lvlText w:val="%1."/>
      <w:numFmt w:val="decimal"/>
      <w:start w:val="10"/>
    </w:lvl>
    <w:lvl w:ilvl="1">
      <w:lvlJc w:val="left"/>
      <w:lvlText w:val="(%2)"/>
      <w:numFmt w:val="lowerLetter"/>
      <w:start w:val="2"/>
    </w:lvl>
  </w:abstractNum>
  <w:abstractNum w:abstractNumId="220">
    <w:nsid w:val="27179C0B"/>
    <w:multiLevelType w:val="hybridMultilevel"/>
    <w:lvl w:ilvl="0">
      <w:lvlJc w:val="left"/>
      <w:lvlText w:val="(%1)"/>
      <w:numFmt w:val="lowerLetter"/>
      <w:start w:val="6"/>
    </w:lvl>
  </w:abstractNum>
  <w:abstractNum w:abstractNumId="221">
    <w:nsid w:val="5E636063"/>
    <w:multiLevelType w:val="hybridMultilevel"/>
    <w:lvl w:ilvl="0">
      <w:lvlJc w:val="left"/>
      <w:lvlText w:val="-"/>
      <w:numFmt w:val="bullet"/>
      <w:start w:val="1"/>
    </w:lvl>
  </w:abstractNum>
  <w:abstractNum w:abstractNumId="222">
    <w:nsid w:val="215641AF"/>
    <w:multiLevelType w:val="hybridMultilevel"/>
    <w:lvl w:ilvl="0">
      <w:lvlJc w:val="left"/>
      <w:lvlText w:val="-"/>
      <w:numFmt w:val="bullet"/>
      <w:start w:val="1"/>
    </w:lvl>
  </w:abstractNum>
  <w:abstractNum w:abstractNumId="223">
    <w:nsid w:val="53280662"/>
    <w:multiLevelType w:val="hybridMultilevel"/>
    <w:lvl w:ilvl="0">
      <w:lvlJc w:val="left"/>
      <w:lvlText w:val="-"/>
      <w:numFmt w:val="bullet"/>
      <w:start w:val="1"/>
    </w:lvl>
  </w:abstractNum>
  <w:abstractNum w:abstractNumId="224">
    <w:nsid w:val="46B24DBC"/>
    <w:multiLevelType w:val="hybridMultilevel"/>
    <w:lvl w:ilvl="0">
      <w:lvlJc w:val="left"/>
      <w:lvlText w:val="-"/>
      <w:numFmt w:val="bullet"/>
      <w:start w:val="1"/>
    </w:lvl>
  </w:abstractNum>
  <w:abstractNum w:abstractNumId="225">
    <w:nsid w:val="75B52783"/>
    <w:multiLevelType w:val="hybridMultilevel"/>
    <w:lvl w:ilvl="0">
      <w:lvlJc w:val="left"/>
      <w:lvlText w:val="%1."/>
      <w:numFmt w:val="decimal"/>
      <w:start w:val="1"/>
    </w:lvl>
  </w:abstractNum>
  <w:abstractNum w:abstractNumId="226">
    <w:nsid w:val="57CE66B4"/>
    <w:multiLevelType w:val="hybridMultilevel"/>
    <w:lvl w:ilvl="0">
      <w:lvlJc w:val="left"/>
      <w:lvlText w:val="%1."/>
      <w:numFmt w:val="decimal"/>
      <w:start w:val="3"/>
    </w:lvl>
  </w:abstractNum>
  <w:abstractNum w:abstractNumId="227">
    <w:nsid w:val="67A70B69"/>
    <w:multiLevelType w:val="hybridMultilevel"/>
    <w:lvl w:ilvl="0">
      <w:lvlJc w:val="left"/>
      <w:lvlText w:val="%1."/>
      <w:numFmt w:val="decimal"/>
      <w:start w:val="6"/>
    </w:lvl>
  </w:abstractNum>
  <w:abstractNum w:abstractNumId="228">
    <w:nsid w:val="5953172F"/>
    <w:multiLevelType w:val="hybridMultilevel"/>
    <w:lvl w:ilvl="0">
      <w:lvlJc w:val="left"/>
      <w:lvlText w:val="%1."/>
      <w:numFmt w:val="decimal"/>
      <w:start w:val="7"/>
    </w:lvl>
  </w:abstractNum>
  <w:abstractNum w:abstractNumId="229">
    <w:nsid w:val="27EDFE3A"/>
    <w:multiLevelType w:val="hybridMultilevel"/>
    <w:lvl w:ilvl="0">
      <w:lvlJc w:val="left"/>
      <w:lvlText w:val="%1."/>
      <w:numFmt w:val="decimal"/>
      <w:start w:val="1"/>
    </w:lvl>
  </w:abstractNum>
  <w:abstractNum w:abstractNumId="230">
    <w:nsid w:val="52AC7DFF"/>
    <w:multiLevelType w:val="hybridMultilevel"/>
    <w:lvl w:ilvl="0">
      <w:lvlJc w:val="left"/>
      <w:lvlText w:val="%1."/>
      <w:numFmt w:val="decimal"/>
      <w:start w:val="3"/>
    </w:lvl>
  </w:abstractNum>
  <w:abstractNum w:abstractNumId="231">
    <w:nsid w:val="C4C3AF"/>
    <w:multiLevelType w:val="hybridMultilevel"/>
    <w:lvl w:ilvl="0">
      <w:lvlJc w:val="left"/>
      <w:lvlText w:val="%1."/>
      <w:numFmt w:val="decimal"/>
      <w:start w:val="6"/>
    </w:lvl>
  </w:abstractNum>
  <w:abstractNum w:abstractNumId="232">
    <w:nsid w:val="44380727"/>
    <w:multiLevelType w:val="hybridMultilevel"/>
    <w:lvl w:ilvl="0">
      <w:lvlJc w:val="left"/>
      <w:lvlText w:val="%1."/>
      <w:numFmt w:val="decimal"/>
      <w:start w:val="7"/>
    </w:lvl>
  </w:abstractNum>
  <w:abstractNum w:abstractNumId="233">
    <w:nsid w:val="6C053B16"/>
    <w:multiLevelType w:val="hybridMultilevel"/>
    <w:lvl w:ilvl="0">
      <w:lvlJc w:val="left"/>
      <w:lvlText w:val="(%1)"/>
      <w:numFmt w:val="decimal"/>
      <w:start w:val="7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2019-12-20T03:58:23Z</dcterms:created>
  <dcterms:modified xsi:type="dcterms:W3CDTF">2019-12-20T03:58:23Z</dcterms:modified>
</cp:coreProperties>
</file>