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FORM 11-K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hanging="1061"/>
        <w:spacing w:after="0"/>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15(d) OF THE SECURITIES EXCHANGE ACT OF 1934</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2007</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64" w:lineRule="exact"/>
        <w:rPr>
          <w:sz w:val="20"/>
          <w:szCs w:val="20"/>
          <w:color w:val="auto"/>
        </w:rPr>
      </w:pPr>
    </w:p>
    <w:p>
      <w:pPr>
        <w:ind w:left="1380"/>
        <w:spacing w:after="0"/>
        <w:tabs>
          <w:tab w:leader="none" w:pos="4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009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9650" cy="8890"/>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1-12154</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38"/>
          <w:szCs w:val="38"/>
          <w:b w:val="1"/>
          <w:bCs w:val="1"/>
          <w:color w:val="auto"/>
        </w:rPr>
        <w:t>WASTE MANAGEMENT RETIREMENT SAVINGS PLAN</w:t>
      </w: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7"/>
              </w:rPr>
              <w:t>WASTE MANAGEMENT RETIREMENT SAVINGS PLAN</w:t>
            </w:r>
          </w:p>
        </w:tc>
        <w:tc>
          <w:tcPr>
            <w:tcW w:w="1840" w:type="dxa"/>
            <w:vAlign w:val="bottom"/>
            <w:gridSpan w:val="2"/>
          </w:tcPr>
          <w:p>
            <w:pPr>
              <w:spacing w:after="0"/>
              <w:rPr>
                <w:sz w:val="17"/>
                <w:szCs w:val="17"/>
                <w:color w:val="auto"/>
              </w:rPr>
            </w:pPr>
          </w:p>
        </w:tc>
        <w:tc>
          <w:tcPr>
            <w:tcW w:w="1640" w:type="dxa"/>
            <w:vAlign w:val="bottom"/>
          </w:tcPr>
          <w:p>
            <w:pPr>
              <w:spacing w:after="0"/>
              <w:rPr>
                <w:sz w:val="17"/>
                <w:szCs w:val="17"/>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8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97"/>
              </w:rPr>
              <w:t>INDEX TO FINANCIAL STATEMENTS AND SUPPLEMENTAL SCHEDULE</w:t>
            </w: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2"/>
        </w:trPr>
        <w:tc>
          <w:tcPr>
            <w:tcW w:w="978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1</w:t>
            </w:r>
          </w:p>
        </w:tc>
      </w:tr>
      <w:tr>
        <w:trPr>
          <w:trHeight w:val="453"/>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Audited Financial Statements</w:t>
            </w:r>
          </w:p>
        </w:tc>
        <w:tc>
          <w:tcPr>
            <w:tcW w:w="5560" w:type="dxa"/>
            <w:vAlign w:val="bottom"/>
            <w:gridSpan w:val="7"/>
          </w:tcPr>
          <w:p>
            <w:pPr>
              <w:spacing w:after="0"/>
              <w:rPr>
                <w:sz w:val="24"/>
                <w:szCs w:val="24"/>
                <w:color w:val="auto"/>
              </w:rPr>
            </w:pPr>
          </w:p>
        </w:tc>
        <w:tc>
          <w:tcPr>
            <w:tcW w:w="1640" w:type="dxa"/>
            <w:vAlign w:val="bottom"/>
          </w:tcPr>
          <w:p>
            <w:pPr>
              <w:spacing w:after="0"/>
              <w:rPr>
                <w:sz w:val="24"/>
                <w:szCs w:val="24"/>
                <w:color w:val="auto"/>
              </w:rPr>
            </w:pPr>
          </w:p>
        </w:tc>
      </w:tr>
      <w:tr>
        <w:trPr>
          <w:trHeight w:val="39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 as of December 31, 2007 and 2006</w:t>
              </w:r>
            </w:hyperlink>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2</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60" w:type="dxa"/>
            <w:vAlign w:val="bottom"/>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2007</w:t>
              </w:r>
            </w:hyperlink>
          </w:p>
        </w:tc>
        <w:tc>
          <w:tcPr>
            <w:tcW w:w="164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3</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2500" w:type="dxa"/>
            <w:vAlign w:val="bottom"/>
            <w:gridSpan w:val="3"/>
          </w:tcPr>
          <w:p>
            <w:pPr>
              <w:spacing w:after="0"/>
              <w:rPr>
                <w:sz w:val="17"/>
                <w:szCs w:val="17"/>
                <w:color w:val="auto"/>
              </w:rPr>
            </w:pPr>
          </w:p>
        </w:tc>
        <w:tc>
          <w:tcPr>
            <w:tcW w:w="164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4</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9780" w:type="dxa"/>
            <w:vAlign w:val="bottom"/>
            <w:gridSpan w:val="1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Supplemental Schedule</w:t>
              </w:r>
            </w:hyperlink>
          </w:p>
        </w:tc>
        <w:tc>
          <w:tcPr>
            <w:tcW w:w="1640" w:type="dxa"/>
            <w:vAlign w:val="bottom"/>
          </w:tcPr>
          <w:p>
            <w:pPr>
              <w:spacing w:after="0"/>
              <w:rPr>
                <w:sz w:val="24"/>
                <w:szCs w:val="24"/>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Schedule H, Line 4(i) — Schedule of Assets (Held At End of Year)</w:t>
              </w:r>
            </w:hyperlink>
          </w:p>
        </w:tc>
        <w:tc>
          <w:tcPr>
            <w:tcW w:w="4720" w:type="dxa"/>
            <w:vAlign w:val="bottom"/>
            <w:gridSpan w:val="5"/>
          </w:tcPr>
          <w:p>
            <w:pPr>
              <w:spacing w:after="0"/>
              <w:rPr>
                <w:sz w:val="24"/>
                <w:szCs w:val="24"/>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17</w:t>
            </w:r>
          </w:p>
        </w:tc>
      </w:tr>
      <w:tr>
        <w:trPr>
          <w:trHeight w:val="196"/>
        </w:trPr>
        <w:tc>
          <w:tcPr>
            <w:tcW w:w="60" w:type="dxa"/>
            <w:vAlign w:val="bottom"/>
          </w:tcPr>
          <w:p>
            <w:pPr>
              <w:spacing w:after="0"/>
              <w:rPr>
                <w:sz w:val="17"/>
                <w:szCs w:val="17"/>
                <w:color w:val="auto"/>
              </w:rPr>
            </w:pPr>
          </w:p>
        </w:tc>
        <w:tc>
          <w:tcPr>
            <w:tcW w:w="9720" w:type="dxa"/>
            <w:vAlign w:val="bottom"/>
            <w:gridSpan w:val="13"/>
          </w:tcPr>
          <w:p>
            <w:pPr>
              <w:spacing w:after="0" w:line="196" w:lineRule="exact"/>
              <w:rPr>
                <w:sz w:val="20"/>
                <w:szCs w:val="20"/>
                <w:color w:val="auto"/>
              </w:rPr>
            </w:pPr>
            <w:r>
              <w:rPr>
                <w:rFonts w:ascii="Arial" w:cs="Arial" w:eastAsia="Arial" w:hAnsi="Arial"/>
                <w:sz w:val="18"/>
                <w:szCs w:val="18"/>
                <w:color w:val="0000EE"/>
              </w:rPr>
              <w:t>Consent of Independent Registered Public Accounting Firm</w:t>
            </w:r>
          </w:p>
        </w:tc>
        <w:tc>
          <w:tcPr>
            <w:tcW w:w="1640" w:type="dxa"/>
            <w:vAlign w:val="bottom"/>
          </w:tcPr>
          <w:p>
            <w:pPr>
              <w:spacing w:after="0"/>
              <w:rPr>
                <w:sz w:val="17"/>
                <w:szCs w:val="17"/>
                <w:color w:val="auto"/>
              </w:rPr>
            </w:pPr>
          </w:p>
        </w:tc>
      </w:tr>
      <w:tr>
        <w:trPr>
          <w:trHeight w:val="652"/>
        </w:trPr>
        <w:tc>
          <w:tcPr>
            <w:tcW w:w="6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1480" w:type="dxa"/>
            <w:vAlign w:val="bottom"/>
            <w:tcBorders>
              <w:top w:val="single" w:sz="8" w:color="0000EE"/>
              <w:bottom w:val="single" w:sz="8" w:color="808080"/>
            </w:tcBorders>
          </w:tcPr>
          <w:p>
            <w:pPr>
              <w:spacing w:after="0"/>
              <w:rPr>
                <w:sz w:val="24"/>
                <w:szCs w:val="24"/>
                <w:color w:val="auto"/>
              </w:rPr>
            </w:pPr>
          </w:p>
        </w:tc>
        <w:tc>
          <w:tcPr>
            <w:tcW w:w="660" w:type="dxa"/>
            <w:vAlign w:val="bottom"/>
            <w:tcBorders>
              <w:top w:val="single" w:sz="8" w:color="0000EE"/>
              <w:bottom w:val="single" w:sz="8" w:color="808080"/>
            </w:tcBorders>
          </w:tcPr>
          <w:p>
            <w:pPr>
              <w:spacing w:after="0"/>
              <w:rPr>
                <w:sz w:val="24"/>
                <w:szCs w:val="24"/>
                <w:color w:val="auto"/>
              </w:rPr>
            </w:pPr>
          </w:p>
        </w:tc>
        <w:tc>
          <w:tcPr>
            <w:tcW w:w="420" w:type="dxa"/>
            <w:vAlign w:val="bottom"/>
            <w:tcBorders>
              <w:top w:val="single" w:sz="8" w:color="0000EE"/>
              <w:bottom w:val="single" w:sz="8" w:color="808080"/>
            </w:tcBorders>
          </w:tcPr>
          <w:p>
            <w:pPr>
              <w:spacing w:after="0"/>
              <w:rPr>
                <w:sz w:val="24"/>
                <w:szCs w:val="24"/>
                <w:color w:val="auto"/>
              </w:rPr>
            </w:pPr>
          </w:p>
        </w:tc>
        <w:tc>
          <w:tcPr>
            <w:tcW w:w="720" w:type="dxa"/>
            <w:vAlign w:val="bottom"/>
            <w:tcBorders>
              <w:top w:val="single" w:sz="8" w:color="0000EE"/>
              <w:bottom w:val="single" w:sz="8" w:color="808080"/>
            </w:tcBorders>
          </w:tcPr>
          <w:p>
            <w:pPr>
              <w:spacing w:after="0"/>
              <w:rPr>
                <w:sz w:val="24"/>
                <w:szCs w:val="24"/>
                <w:color w:val="auto"/>
              </w:rPr>
            </w:pPr>
          </w:p>
        </w:tc>
        <w:tc>
          <w:tcPr>
            <w:tcW w:w="72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10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Waste Management Retirement Savings Plan as of December 31, 2007 and 2006, and the related statement of changes in net assets available for benefits for the year ended December 31, 2007. These financial statements are the responsibility of the Plan’s management. Our responsibility is to express an opinion on these financial statements based on our audits.</w:t>
      </w:r>
    </w:p>
    <w:p>
      <w:pPr>
        <w:spacing w:after="0" w:line="3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In our opinion, the financial statements referred to above present fairly, in all material respects, the net assets available for benefits of the Plan at</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December 31, 2007 and 2006, and the changes in its net assets available for benefits for the year ended December 31, 2007, in conformity with U.S. generally accepted accounting principles.</w:t>
      </w:r>
    </w:p>
    <w:p>
      <w:pPr>
        <w:spacing w:after="0" w:line="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at end of year) as of December 31, 2007,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our audits of the financial statements and, in our opinion, is fairly stated in all material respects in relation to the financial statements taken as a whole.</w:t>
      </w:r>
    </w:p>
    <w:p>
      <w:pPr>
        <w:spacing w:after="0" w:line="200" w:lineRule="exact"/>
        <w:rPr>
          <w:sz w:val="20"/>
          <w:szCs w:val="20"/>
          <w:color w:val="auto"/>
        </w:rPr>
      </w:pPr>
    </w:p>
    <w:p>
      <w:pPr>
        <w:spacing w:after="0" w:line="20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2008</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 and 2006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2007</w:t>
            </w:r>
          </w:p>
        </w:tc>
        <w:tc>
          <w:tcPr>
            <w:tcW w:w="620" w:type="dxa"/>
            <w:vAlign w:val="bottom"/>
          </w:tcPr>
          <w:p>
            <w:pPr>
              <w:spacing w:after="0"/>
              <w:rPr>
                <w:sz w:val="14"/>
                <w:szCs w:val="14"/>
                <w:color w:val="auto"/>
              </w:rPr>
            </w:pPr>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interest in the Master Trust (Note 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$ 1,344,118,559</w:t>
            </w:r>
          </w:p>
        </w:tc>
        <w:tc>
          <w:tcPr>
            <w:tcW w:w="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$ 1,311,397,465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Participant loans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58,233,698</w:t>
            </w:r>
          </w:p>
        </w:tc>
        <w:tc>
          <w:tcPr>
            <w:tcW w:w="6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56,849,075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investments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1,402,352,257</w:t>
            </w:r>
          </w:p>
        </w:tc>
        <w:tc>
          <w:tcPr>
            <w:tcW w:w="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1,368,246,540</w:t>
            </w:r>
          </w:p>
        </w:tc>
        <w:tc>
          <w:tcPr>
            <w:tcW w:w="0" w:type="dxa"/>
            <w:vAlign w:val="bottom"/>
          </w:tcPr>
          <w:p>
            <w:pPr>
              <w:spacing w:after="0"/>
              <w:rPr>
                <w:sz w:val="1"/>
                <w:szCs w:val="1"/>
                <w:color w:val="auto"/>
              </w:rPr>
            </w:pPr>
          </w:p>
        </w:tc>
      </w:tr>
      <w:tr>
        <w:trPr>
          <w:trHeight w:val="439"/>
        </w:trPr>
        <w:tc>
          <w:tcPr>
            <w:tcW w:w="840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11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contributions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1,577,573</w:t>
            </w:r>
          </w:p>
        </w:tc>
        <w:tc>
          <w:tcPr>
            <w:tcW w:w="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1,537,703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Employer contributions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2,198,290</w:t>
            </w:r>
          </w:p>
        </w:tc>
        <w:tc>
          <w:tcPr>
            <w:tcW w:w="6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receivables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3,775,863</w:t>
            </w:r>
          </w:p>
        </w:tc>
        <w:tc>
          <w:tcPr>
            <w:tcW w:w="6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1,406,128,120</w:t>
            </w:r>
          </w:p>
        </w:tc>
        <w:tc>
          <w:tcPr>
            <w:tcW w:w="62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1,370,761,362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Employee contributions pending transfer to affiliated plan</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27,370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27,370</w:t>
            </w:r>
          </w:p>
        </w:tc>
        <w:tc>
          <w:tcPr>
            <w:tcW w:w="0" w:type="dxa"/>
            <w:vAlign w:val="bottom"/>
          </w:tcPr>
          <w:p>
            <w:pPr>
              <w:spacing w:after="0"/>
              <w:rPr>
                <w:sz w:val="1"/>
                <w:szCs w:val="1"/>
                <w:color w:val="auto"/>
              </w:rPr>
            </w:pPr>
          </w:p>
        </w:tc>
      </w:tr>
      <w:tr>
        <w:trPr>
          <w:trHeight w:val="439"/>
        </w:trPr>
        <w:tc>
          <w:tcPr>
            <w:tcW w:w="840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fair value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1,406,128,120</w:t>
            </w:r>
          </w:p>
        </w:tc>
        <w:tc>
          <w:tcPr>
            <w:tcW w:w="620" w:type="dxa"/>
            <w:vAlign w:val="bottom"/>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1,370,733,992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8,992,362</w:t>
            </w:r>
          </w:p>
        </w:tc>
        <w:tc>
          <w:tcPr>
            <w:tcW w:w="6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40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114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1,415,120,482</w:t>
            </w:r>
          </w:p>
        </w:tc>
        <w:tc>
          <w:tcPr>
            <w:tcW w:w="62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1,373,267,048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1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8800" w:type="dxa"/>
            <w:vAlign w:val="bottom"/>
          </w:tcPr>
          <w:p>
            <w:pPr>
              <w:jc w:val="center"/>
              <w:spacing w:after="0"/>
              <w:rPr>
                <w:sz w:val="20"/>
                <w:szCs w:val="20"/>
                <w:color w:val="auto"/>
              </w:rPr>
            </w:pPr>
            <w:r>
              <w:rPr>
                <w:rFonts w:ascii="Arial" w:cs="Arial" w:eastAsia="Arial" w:hAnsi="Arial"/>
                <w:sz w:val="18"/>
                <w:szCs w:val="18"/>
                <w:color w:val="auto"/>
                <w:w w:val="88"/>
              </w:rPr>
              <w:t>Waste Management Retirement Savings Plan</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0" w:type="dxa"/>
            <w:vAlign w:val="bottom"/>
          </w:tcPr>
          <w:p>
            <w:pPr>
              <w:jc w:val="center"/>
              <w:ind w:right="1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0" w:type="dxa"/>
            <w:vAlign w:val="bottom"/>
          </w:tcPr>
          <w:p>
            <w:pPr>
              <w:jc w:val="center"/>
              <w:ind w:right="10"/>
              <w:spacing w:after="0"/>
              <w:rPr>
                <w:sz w:val="20"/>
                <w:szCs w:val="20"/>
                <w:color w:val="auto"/>
              </w:rPr>
            </w:pPr>
            <w:r>
              <w:rPr>
                <w:rFonts w:ascii="Arial" w:cs="Arial" w:eastAsia="Arial" w:hAnsi="Arial"/>
                <w:sz w:val="18"/>
                <w:szCs w:val="18"/>
                <w:color w:val="auto"/>
                <w:w w:val="89"/>
              </w:rPr>
              <w:t>Year Ended December 31, 2007</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
          </w:tcPr>
          <w:p>
            <w:pPr>
              <w:ind w:left="200"/>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Employee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84,594,078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
          </w:tcPr>
          <w:p>
            <w:pPr>
              <w:ind w:left="400"/>
              <w:spacing w:after="0"/>
              <w:rPr>
                <w:sz w:val="20"/>
                <w:szCs w:val="20"/>
                <w:color w:val="auto"/>
              </w:rPr>
            </w:pPr>
            <w:r>
              <w:rPr>
                <w:rFonts w:ascii="Arial" w:cs="Arial" w:eastAsia="Arial" w:hAnsi="Arial"/>
                <w:sz w:val="18"/>
                <w:szCs w:val="18"/>
                <w:color w:val="auto"/>
              </w:rPr>
              <w:t>Rollover</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5,140,504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Employer</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48,828,072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138,562,654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investment gain from the Master Trust (Note 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36,087,839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gridSpan w:val="2"/>
          </w:tcPr>
          <w:p>
            <w:pPr>
              <w:ind w:left="200"/>
              <w:spacing w:after="0"/>
              <w:rPr>
                <w:sz w:val="20"/>
                <w:szCs w:val="20"/>
                <w:color w:val="auto"/>
              </w:rPr>
            </w:pPr>
            <w:r>
              <w:rPr>
                <w:rFonts w:ascii="Arial" w:cs="Arial" w:eastAsia="Arial" w:hAnsi="Arial"/>
                <w:sz w:val="18"/>
                <w:szCs w:val="18"/>
                <w:color w:val="auto"/>
              </w:rPr>
              <w:t>Participant loan interest</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4,591,868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additions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179,242,361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160" w:type="dxa"/>
            <w:vAlign w:val="bottom"/>
            <w:gridSpan w:val="3"/>
          </w:tcPr>
          <w:p>
            <w:pPr>
              <w:spacing w:after="0"/>
              <w:rPr>
                <w:sz w:val="20"/>
                <w:szCs w:val="20"/>
                <w:color w:val="auto"/>
              </w:rPr>
            </w:pPr>
            <w:r>
              <w:rPr>
                <w:rFonts w:ascii="Arial" w:cs="Arial" w:eastAsia="Arial" w:hAnsi="Arial"/>
                <w:sz w:val="18"/>
                <w:szCs w:val="18"/>
                <w:color w:val="auto"/>
              </w:rPr>
              <w:t>DEDUCTIONS FROM NET ASSETS AVAILABLE FOR BENEFITS:</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Benefits paid to participants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137,388,927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gridSpan w:val="2"/>
          </w:tcPr>
          <w:p>
            <w:pPr>
              <w:ind w:left="600"/>
              <w:spacing w:after="0"/>
              <w:rPr>
                <w:sz w:val="20"/>
                <w:szCs w:val="20"/>
                <w:color w:val="auto"/>
              </w:rPr>
            </w:pPr>
            <w:r>
              <w:rPr>
                <w:rFonts w:ascii="Arial" w:cs="Arial" w:eastAsia="Arial" w:hAnsi="Arial"/>
                <w:sz w:val="18"/>
                <w:szCs w:val="18"/>
                <w:color w:val="auto"/>
              </w:rPr>
              <w:t>Total deductions</w:t>
            </w: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137,388,927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34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41,853,434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160" w:type="dxa"/>
            <w:vAlign w:val="bottom"/>
            <w:gridSpan w:val="3"/>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Beginning of year</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1,373,267,048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gridSpan w:val="2"/>
          </w:tcPr>
          <w:p>
            <w:pPr>
              <w:ind w:left="200"/>
              <w:spacing w:after="0"/>
              <w:rPr>
                <w:sz w:val="20"/>
                <w:szCs w:val="20"/>
                <w:color w:val="auto"/>
              </w:rPr>
            </w:pPr>
            <w:r>
              <w:rPr>
                <w:rFonts w:ascii="Arial" w:cs="Arial" w:eastAsia="Arial" w:hAnsi="Arial"/>
                <w:sz w:val="18"/>
                <w:szCs w:val="18"/>
                <w:color w:val="auto"/>
              </w:rPr>
              <w:t>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1,415,120,482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December 31,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description of the Waste Management Retirement Savings Plan (the “Plan”) provides only general information. Participants should refer to the Summary Plan Description and the plan document for a more complete description of the Plan’s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Plan is a defined contribution plan available to all eligible employees, and their beneficiaries, of Waste Management, Inc., and subsidiaries (“Waste Management” or the “Company”). The Plan is subject to the provisions of the Employee Retirement Income Security Act of 1974, as amended (“ERISA”).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of the Company has named the Administrative Committee of the Waste Management Employee Benefit Plans (the “Administrative Committee”) to serve as administrator and fiduciary of the Plan. Waste Management has entered into a Defined Contribution Plans Master Trust Agreement (the “Master Trust”) with State Street Bank and Trust Company (“State Street”) whereby State Street serves as trustee of the Plan. CitiStreet LLC, an affiliate of State Street and Citigroup, serves as recordkeeper.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Employees (as defined by the Plan) are eligible to participate in the Plan following completion of a 90-day period of service (as defined by the Plan).</w:t>
      </w:r>
    </w:p>
    <w:p>
      <w:pPr>
        <w:spacing w:after="0" w:line="1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Individuals who are ineligible to participate in the Plan consist of (a) leased employees; (b) employees whose employment is governed by a collective bargaining agreement under which retirement benefits are the subject of good faith bargaining, unless such agreement expressly provides for participation in the Plan; (c) individuals providing services to the Company as independent contractors; (d) employees performing services on a seasonal or temporary basis;</w:t>
      </w:r>
    </w:p>
    <w:p>
      <w:pPr>
        <w:ind w:right="120" w:firstLine="8"/>
        <w:spacing w:after="0" w:line="295" w:lineRule="auto"/>
        <w:tabs>
          <w:tab w:leader="none" w:pos="245" w:val="left"/>
        </w:tabs>
        <w:numPr>
          <w:ilvl w:val="0"/>
          <w:numId w:val="3"/>
        </w:numPr>
        <w:rPr>
          <w:rFonts w:ascii="Arial" w:cs="Arial" w:eastAsia="Arial" w:hAnsi="Arial"/>
          <w:sz w:val="16"/>
          <w:szCs w:val="16"/>
          <w:color w:val="auto"/>
        </w:rPr>
      </w:pPr>
      <w:r>
        <w:rPr>
          <w:rFonts w:ascii="Arial" w:cs="Arial" w:eastAsia="Arial" w:hAnsi="Arial"/>
          <w:sz w:val="16"/>
          <w:szCs w:val="16"/>
          <w:color w:val="auto"/>
        </w:rPr>
        <w:t>certain nonresident aliens who have no earned income from sources within the United States of America; and (f) individuals who are participants in certain other pension, retirement, profit-sharing, stock bonus, thrift or savings plans maintained by the Company other than the Waste Management Pension Plan for Collectively Bargained Employees or such other plans as may from time to time be determined by the Administrative Committee. Certain United States citizens employed by foreign affiliates of the Company may participate in the Plan under certain provisions specified by the Plan.</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right="880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Plan (continued) Contributions</w:t>
      </w:r>
    </w:p>
    <w:p>
      <w:pPr>
        <w:ind w:right="120"/>
        <w:spacing w:after="0" w:line="273" w:lineRule="auto"/>
        <w:rPr>
          <w:sz w:val="20"/>
          <w:szCs w:val="20"/>
          <w:color w:val="auto"/>
        </w:rPr>
      </w:pPr>
      <w:r>
        <w:rPr>
          <w:rFonts w:ascii="Arial" w:cs="Arial" w:eastAsia="Arial" w:hAnsi="Arial"/>
          <w:sz w:val="17"/>
          <w:szCs w:val="17"/>
          <w:color w:val="auto"/>
        </w:rPr>
        <w:t>Participants may contribute from one percent to 25 percent of their pre-tax compensation, as defined by the Plan, not to exceed certain limits as described in the plan document (“Employee Contribution”). In addition, participants that are age 50 or older were eligible to make catch-up contributions of up to $5,000 of pre-tax compensation in 2007. After-tax contributions are not permitted by the Plan. Participants may also contribute amounts representing distributions from other qualified plans (“Rollover Contribution”). The Company matches 100 percent of each participant’s Employee Contribution up to three percent of the participant’s compensation, as defined by the Plan, plus 50 percent of the participant’s Employee Contribution in excess of three percent of the participant’s compensation up to six percent of the participant’s compensation (“Employer Contribution”).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Plan, through its investments in the Master Trust, currently offers participants (a) six common collective trust funds; (b) a Company common stock fund;</w:t>
      </w:r>
    </w:p>
    <w:p>
      <w:pPr>
        <w:spacing w:after="0" w:line="46" w:lineRule="exact"/>
        <w:rPr>
          <w:sz w:val="20"/>
          <w:szCs w:val="20"/>
          <w:color w:val="auto"/>
        </w:rPr>
      </w:pPr>
    </w:p>
    <w:p>
      <w:pPr>
        <w:jc w:val="both"/>
        <w:ind w:firstLine="8"/>
        <w:spacing w:after="0" w:line="254"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self-managed account, which allows participants to select various securities sold on the New York Stock Exchange, American Stock Exchange and NASDAQ; and (d) five target retirement-date funds, which are also common collective trust funds. Several restrictions apply, and a minimum balance is required to participate in the self-managed account. The Plan utilizes cash equivalents to temporarily hold monies pending settlement for transactions initiated by participants.</w:t>
      </w:r>
    </w:p>
    <w:p>
      <w:pPr>
        <w:spacing w:after="0" w:line="8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Each participant who has invested in the Company common stock fund has the right to vote the shares of stock in his or her account regarding any matter that comes before the shareholders for a vote. Additionally, if a participant invests in the self-managed account, the participant has the right to vote the shares of any common stock held in the participant’s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Participants are immediately vested in their Employee Contribution, Rollover Contribution and Employer Contribution accounts, plus earnings thereon.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right="8800" w:firstLine="8"/>
        <w:spacing w:after="0" w:line="425" w:lineRule="auto"/>
        <w:tabs>
          <w:tab w:leader="none" w:pos="1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Description of Plan (continued) Participant Accounts</w:t>
      </w:r>
    </w:p>
    <w:p>
      <w:pPr>
        <w:spacing w:after="0" w:line="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Rollover Contribution and Employer Contribution and an allocation of investment income and loss and expenses. Investment income and loss is allocated to the participant’s account based upon the participant’s proportionate share of the funds within the Master Trust.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 vested portion of their accounts. Distributions are made by a single lump-sum payment or direct rollover. Distribution of accounts invested in Company common stock may be taken in whole shares of common stock or cash.</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Participants may also make withdrawals from the pre-tax portion of their accounts, excluding certain earnings, in the event of proven financial hardship of the participant. Not more than one hardship withdrawal is permitted in any 12-month period, and the participant is not permitted to contribute to the Plan or any other plans maintained by the Company for six months after receiving the hardship distribution.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Participants who are active employees may obtain loans of not less than $1,000 and a maximum of 50 percent of the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w:t>
      </w:r>
    </w:p>
    <w:p>
      <w:pPr>
        <w:spacing w:after="0" w:line="2" w:lineRule="exact"/>
        <w:rPr>
          <w:sz w:val="20"/>
          <w:szCs w:val="20"/>
          <w:color w:val="auto"/>
        </w:rPr>
      </w:pPr>
    </w:p>
    <w:p>
      <w:pPr>
        <w:ind w:right="180" w:firstLine="8"/>
        <w:spacing w:after="0" w:line="271" w:lineRule="auto"/>
        <w:tabs>
          <w:tab w:leader="none" w:pos="245"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result from a merger of another plan into this Plan, or (b) result from a participant’s loan becoming taxable under Section 72(p) of the Internal Revenue Code of 1986, as amended (the “Code”). Interest rates and repayment terms are established by the Administrative Committee. Such loans shall be repaid by payroll deduction or any other method approved by the Administrative Committee. The Administrative Committee requires that (a) repayments be made no less frequently than quarterly; (b) loans be repaid over a period not to exceed 54 months; and (c) repayments be made in equal periodic payments over the term of the loan and applied to principal using a level amortization over the repayment period.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right="8700" w:firstLine="8"/>
        <w:spacing w:after="0" w:line="425" w:lineRule="auto"/>
        <w:tabs>
          <w:tab w:leader="none" w:pos="1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Description of Plan (continued) Administrative Expenses</w:t>
      </w:r>
    </w:p>
    <w:p>
      <w:pPr>
        <w:spacing w:after="0" w:line="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Master Trust administrative expenses, including trustee, recordkeeping and investment management fees, are allocated in proportion to the investment balances of the underlying plans and are netted against investment income. Loan administration fees are charged directly to the account balance of the participant requesting the loan. Administrative expenses are reflected as a reduction of Master Trust investment income and are included in “Net investment gain from the Master Trust” in the accompanying Statement of Changes in Net Assets Available for Benefits. In 2007, the Company elected to pay certain audit and legal fees of the Plan.</w:t>
      </w:r>
    </w:p>
    <w:p>
      <w:pPr>
        <w:spacing w:after="0" w:line="184" w:lineRule="exact"/>
        <w:rPr>
          <w:sz w:val="20"/>
          <w:szCs w:val="20"/>
          <w:color w:val="auto"/>
        </w:rPr>
      </w:pPr>
    </w:p>
    <w:p>
      <w:pPr>
        <w:ind w:right="8600" w:firstLine="8"/>
        <w:spacing w:after="0" w:line="378"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48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Benefits are recorded when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preparation of the financial statements, and accompanying notes and schedule, requires management to make estimates that affect accounting for and recognition of plan assets and liabilities and additions and deductions to/from net assets available for benefits. These estimates must be made because certain of the information used is dependent on future events, cannot be calculated with a high degree of precision from available data or simply cannot be readily calculated based on generally accepted methodologies. In some cases, these estimates are particularly difficult to determine and management must exercise significant judgment. Actual results could differ materially from the estimates and assumptions used in the preparation of the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purpose of the Master Trust is the collective investment of the assets of participating employee benefit plans of the Company and its subsidiaries. The Master Trust’s assets are allocated among participating plans by assigning to each plan those transactions (primarily contributions, benefit payments and certain administrative expenses) that can be specifically identified, and by allocating among all plans, in proportion to the fair value of the assets assigned to each plan, income and expenses resulting from the collective investment of the assets of the Master Trust.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Accounting Policies (continued)</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Corporate stocks and mutual funds held by the Master Trust are stated at fair value based on quoted market prices as of the financial statement date. The fair values of the common collective trust funds held by the Master Trust are generally based on net asset values established by State Street (the issuer of the common collective trust funds) based on fair values of the underlying assets. The common collective trust funds held by the Master Trust include a Stable Value Fund that invests in fully benefit-responsive guaranteed investment contracts (“GICs”) and synthetic investment contracts (“Synthetic GICs”). In accordance with Financial Accounting Standards Board (“FASB”) Staff Position AAG INV-1 and SOP 94-4-1, </w:t>
      </w:r>
      <w:r>
        <w:rPr>
          <w:rFonts w:ascii="Arial" w:cs="Arial" w:eastAsia="Arial" w:hAnsi="Arial"/>
          <w:sz w:val="17"/>
          <w:szCs w:val="17"/>
          <w:i w:val="1"/>
          <w:iCs w:val="1"/>
          <w:color w:val="auto"/>
        </w:rPr>
        <w:t>Reporting of Fully Benefit-Responsive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 Contracts Held by Certain Investment Companies Subject to the AICPA Investment Company Guide and Defined-Contribution Health and Welfare and Pension Plans </w:t>
      </w:r>
      <w:r>
        <w:rPr>
          <w:rFonts w:ascii="Arial" w:cs="Arial" w:eastAsia="Arial" w:hAnsi="Arial"/>
          <w:sz w:val="17"/>
          <w:szCs w:val="17"/>
          <w:color w:val="auto"/>
        </w:rPr>
        <w:t>(the “FSP”), the fully-benefit responsive investment contracts held by the Stable Value Fund are reported at fair value. However,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value is the relevant measurement attribute for fully benefit-responsive investment contracts because contract value is the amount participants would receive if they were to initiate permitted transactions under the terms of the Plan. Accordingly, the Statements of Net Assets Available for Benefits present both the fair value of the fully-benefit responsive investment contracts and an adjustment from fair value to contract value to arrive at Net Assets Available for Benefits. The fair value measurement of these investments is discussed further in Note 3. Short-term investments and loans to participants are stated at cost, which approximates fair value.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Master Trust records purchases and sales of securities on a trade-date basis and dividends on the ex-dividend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Contracts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common collective trust funds held by the Master Trust include a Stable Value Fund that invests in fully benefit-responsive GICs and Synthetic GICs.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disclosures provide information about the nature of these investments and how fair values of these investments are measured.</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Guaranteed Investment Contracts </w:t>
      </w:r>
      <w:r>
        <w:rPr>
          <w:rFonts w:ascii="Arial" w:cs="Arial" w:eastAsia="Arial" w:hAnsi="Arial"/>
          <w:sz w:val="17"/>
          <w:szCs w:val="17"/>
          <w:color w:val="auto"/>
        </w:rPr>
        <w:t>— GICs are contracts that provide a specified rate of return for a specific period of time. The fair values of the GICs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the Plan’s Stable Value Fund are measured by State Street using a discounted cash flow methodology. Under this approach, the cash flows of each individual contract are discounted at the prevailing interpolated swap rate as of the appropriate measurement date.</w:t>
      </w:r>
    </w:p>
    <w:p>
      <w:pPr>
        <w:spacing w:after="0" w:line="5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Synthetic Guaranteed Investment Contracts </w:t>
      </w:r>
      <w:r>
        <w:rPr>
          <w:rFonts w:ascii="Arial" w:cs="Arial" w:eastAsia="Arial" w:hAnsi="Arial"/>
          <w:sz w:val="18"/>
          <w:szCs w:val="18"/>
          <w:color w:val="auto"/>
        </w:rPr>
        <w:t>— Synthetic GICs are comprised of (a) individual assets or investments placed in a trust and (b) wrapper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that guarantee that participant transactions will be executed at contract value. The investment portfolio of a Synthetic GIC when coupled with a wrapper contract attempts to replicate the investment characteristics of traditional GICs.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State Street measures the fair value of the Synthetic GICs included in the Plan’s Stable Value Fund as follows:</w:t>
      </w:r>
    </w:p>
    <w:p>
      <w:pPr>
        <w:spacing w:after="0" w:line="117" w:lineRule="exact"/>
        <w:rPr>
          <w:sz w:val="20"/>
          <w:szCs w:val="20"/>
          <w:color w:val="auto"/>
        </w:rPr>
      </w:pPr>
    </w:p>
    <w:p>
      <w:pPr>
        <w:ind w:left="220" w:right="180" w:hanging="212"/>
        <w:spacing w:after="0" w:line="276" w:lineRule="auto"/>
        <w:tabs>
          <w:tab w:leader="none" w:pos="220" w:val="left"/>
        </w:tabs>
        <w:numPr>
          <w:ilvl w:val="0"/>
          <w:numId w:val="10"/>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Fair value of individual assets and investments </w:t>
      </w:r>
      <w:r>
        <w:rPr>
          <w:rFonts w:ascii="Arial" w:cs="Arial" w:eastAsia="Arial" w:hAnsi="Arial"/>
          <w:sz w:val="17"/>
          <w:szCs w:val="17"/>
          <w:color w:val="auto"/>
        </w:rPr>
        <w:t>— Individual assets and investments are valued at representative quoted market prices when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Short-term securities, if any, are stated at amortized cost, which approximates fair value. Debt securities are valued by a pricing service based on market transactions for comparable securities and various relationships between securities that are generally recognized by institutional traders. Investments in regulated investment companies or collective investment funds are valued at the net asset value per share or unit on the valuation date. Any accrued interest on the underlying investments is also included as a component of the fair value of those investments.</w:t>
      </w:r>
    </w:p>
    <w:p>
      <w:pPr>
        <w:spacing w:after="0" w:line="77" w:lineRule="exact"/>
        <w:rPr>
          <w:rFonts w:ascii="Arial" w:cs="Arial" w:eastAsia="Arial" w:hAnsi="Arial"/>
          <w:sz w:val="17"/>
          <w:szCs w:val="17"/>
          <w:b w:val="1"/>
          <w:bCs w:val="1"/>
          <w:color w:val="auto"/>
        </w:rPr>
      </w:pPr>
    </w:p>
    <w:p>
      <w:pPr>
        <w:ind w:left="220" w:right="60" w:hanging="212"/>
        <w:spacing w:after="0" w:line="286" w:lineRule="auto"/>
        <w:tabs>
          <w:tab w:leader="none" w:pos="220" w:val="left"/>
        </w:tabs>
        <w:numPr>
          <w:ilvl w:val="0"/>
          <w:numId w:val="10"/>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Fair value of wrapper contracts </w:t>
      </w:r>
      <w:r>
        <w:rPr>
          <w:rFonts w:ascii="Arial" w:cs="Arial" w:eastAsia="Arial" w:hAnsi="Arial"/>
          <w:sz w:val="17"/>
          <w:szCs w:val="17"/>
          <w:color w:val="auto"/>
        </w:rPr>
        <w:t>— The fair value of wrapper contracts is determined using a market approach discounting methodology that incorporates</w:t>
      </w:r>
      <w:r>
        <w:rPr>
          <w:rFonts w:ascii="Arial" w:cs="Arial" w:eastAsia="Arial" w:hAnsi="Arial"/>
          <w:sz w:val="17"/>
          <w:szCs w:val="17"/>
          <w:i w:val="1"/>
          <w:iCs w:val="1"/>
          <w:color w:val="auto"/>
        </w:rPr>
        <w:t xml:space="preserve"> </w:t>
      </w:r>
      <w:r>
        <w:rPr>
          <w:rFonts w:ascii="Arial" w:cs="Arial" w:eastAsia="Arial" w:hAnsi="Arial"/>
          <w:sz w:val="17"/>
          <w:szCs w:val="17"/>
          <w:color w:val="auto"/>
        </w:rPr>
        <w:t>the difference between current market level rates for contract level wrap fees and the wrap fee being charged for the Synthetic GIC. This difference is calculated as a dollar value and discounted by the prevailing interpolated swap rate as of the appropriate measurement date.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Plan Interest in the Master Trust</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Plan investments are held in the Master Trust along with the Waste Management Retirement Savings Plan for Bargaining Unit Employees (the “Union Plan”). As of December 31, 2007 and 2006, the Plan’s beneficial interest in the net assets of the Master Trust was 99.70% and 99.72%, respectively.</w:t>
      </w:r>
    </w:p>
    <w:p>
      <w:pPr>
        <w:spacing w:after="0" w:line="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Neither the Plan nor the Union Plan has an undivided interest in the investments held in the Master Trust since each plan’s interest in the investments of the Master Trust is based on the account balances of the participants and their elected investment fund options. However, the Plan’s beneficial interest in each of the underlying investment fund options does not vary significantly from the Plan’s beneficial interest in the total net assets of the Master Trust.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Plan Interest in the Master Trust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3020" w:type="dxa"/>
            <w:vAlign w:val="bottom"/>
            <w:gridSpan w:val="4"/>
          </w:tcPr>
          <w:p>
            <w:pPr>
              <w:ind w:left="10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color w:val="auto"/>
              </w:rPr>
              <w:t>2007</w:t>
            </w:r>
          </w:p>
        </w:tc>
        <w:tc>
          <w:tcPr>
            <w:tcW w:w="62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Investments, at fair value:</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 collective trust funds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$ 1,215,825,939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$ 1,171,802,378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Short-term investments</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1,810,329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2,798,959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stocks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12,793,377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9,968,353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Waste Management, Inc. common stock</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100,297,031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117,083,348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Mutual funds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17,447,414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13,384,021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Other</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109,526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106,425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investments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1,348,283,616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1,315,143,484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1,009,642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1,009,442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non-interest bearing</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10,337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1,349,303,595</w:t>
            </w:r>
          </w:p>
        </w:tc>
        <w:tc>
          <w:tcPr>
            <w:tcW w:w="6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1,316,170,992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Administrative fees payable</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1,016,097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953,256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purchased payable</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42,469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1,058,566</w:t>
            </w:r>
          </w:p>
        </w:tc>
        <w:tc>
          <w:tcPr>
            <w:tcW w:w="6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1,039,842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assets, fair value</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1,348,245,029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1,315,131,150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Adjustment from fair value to contract value for fully benefit-responsive contracts</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9,000,025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2,535,060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assets, fully benefit-responsive contracts at contract value</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1,357,245,054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1,317,666,210</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jc w:val="right"/>
              <w:ind w:right="2510"/>
              <w:spacing w:after="0"/>
              <w:rPr>
                <w:sz w:val="20"/>
                <w:szCs w:val="20"/>
                <w:color w:val="auto"/>
              </w:rPr>
            </w:pPr>
            <w:r>
              <w:rPr>
                <w:rFonts w:ascii="Arial" w:cs="Arial" w:eastAsia="Arial" w:hAnsi="Arial"/>
                <w:sz w:val="18"/>
                <w:szCs w:val="18"/>
                <w:color w:val="auto"/>
              </w:rPr>
              <w:t>11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40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Plan Interest in the Master Trust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Respective interests in the net assets of the Master Trust by the Plan and the Union Plan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December 31,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color w:val="auto"/>
              </w:rPr>
              <w:t>2007</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assets, fair value: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Plan interest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1,344,118,559</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1,311,397,465</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Union Plan interest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4,126,470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3,733,685</w:t>
            </w:r>
          </w:p>
        </w:tc>
        <w:tc>
          <w:tcPr>
            <w:tcW w:w="0" w:type="dxa"/>
            <w:vAlign w:val="bottom"/>
          </w:tcPr>
          <w:p>
            <w:pPr>
              <w:spacing w:after="0"/>
              <w:rPr>
                <w:sz w:val="1"/>
                <w:szCs w:val="1"/>
                <w:color w:val="auto"/>
              </w:rPr>
            </w:pPr>
          </w:p>
        </w:tc>
      </w:tr>
      <w:tr>
        <w:trPr>
          <w:trHeight w:val="223"/>
        </w:trPr>
        <w:tc>
          <w:tcPr>
            <w:tcW w:w="7180" w:type="dxa"/>
            <w:vAlign w:val="bottom"/>
          </w:tcPr>
          <w:p>
            <w:pPr>
              <w:ind w:left="42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1,348,245,029</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1,315,131,150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fair value to contract value for fully benefit-responsive contracts: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20"/>
              <w:spacing w:after="0"/>
              <w:rPr>
                <w:sz w:val="20"/>
                <w:szCs w:val="20"/>
                <w:color w:val="auto"/>
              </w:rPr>
            </w:pPr>
            <w:r>
              <w:rPr>
                <w:rFonts w:ascii="Arial" w:cs="Arial" w:eastAsia="Arial" w:hAnsi="Arial"/>
                <w:sz w:val="18"/>
                <w:szCs w:val="18"/>
                <w:color w:val="auto"/>
              </w:rPr>
              <w:t>Plan interest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8,992,362</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2,533,056</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Union Plan interest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23"/>
        </w:trPr>
        <w:tc>
          <w:tcPr>
            <w:tcW w:w="7180" w:type="dxa"/>
            <w:vAlign w:val="bottom"/>
          </w:tcPr>
          <w:p>
            <w:pPr>
              <w:ind w:left="62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9,000,025</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assets, fully benefit-responsive contracts at contract value: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Plan interest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1,353,110,921</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1,313,930,521</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Union Plan interest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4,134,133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3,735,689</w:t>
            </w:r>
          </w:p>
        </w:tc>
        <w:tc>
          <w:tcPr>
            <w:tcW w:w="0" w:type="dxa"/>
            <w:vAlign w:val="bottom"/>
          </w:tcPr>
          <w:p>
            <w:pPr>
              <w:spacing w:after="0"/>
              <w:rPr>
                <w:sz w:val="1"/>
                <w:szCs w:val="1"/>
                <w:color w:val="auto"/>
              </w:rPr>
            </w:pPr>
          </w:p>
        </w:tc>
      </w:tr>
      <w:tr>
        <w:trPr>
          <w:trHeight w:val="223"/>
        </w:trPr>
        <w:tc>
          <w:tcPr>
            <w:tcW w:w="7180" w:type="dxa"/>
            <w:vAlign w:val="bottom"/>
          </w:tcPr>
          <w:p>
            <w:pPr>
              <w:ind w:left="42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1,357,245,054</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1,317,666,210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ind w:left="5620"/>
              <w:spacing w:after="0"/>
              <w:rPr>
                <w:sz w:val="20"/>
                <w:szCs w:val="20"/>
                <w:color w:val="auto"/>
              </w:rPr>
            </w:pPr>
            <w:r>
              <w:rPr>
                <w:rFonts w:ascii="Arial" w:cs="Arial" w:eastAsia="Arial" w:hAnsi="Arial"/>
                <w:sz w:val="18"/>
                <w:szCs w:val="18"/>
                <w:color w:val="auto"/>
              </w:rPr>
              <w:t>12</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1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1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87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7420" w:type="dxa"/>
            <w:vAlign w:val="bottom"/>
          </w:tcPr>
          <w:p>
            <w:pPr>
              <w:jc w:val="center"/>
              <w:ind w:left="1210"/>
              <w:spacing w:after="0"/>
              <w:rPr>
                <w:sz w:val="20"/>
                <w:szCs w:val="20"/>
                <w:color w:val="auto"/>
              </w:rPr>
            </w:pPr>
            <w:r>
              <w:rPr>
                <w:rFonts w:ascii="Arial" w:cs="Arial" w:eastAsia="Arial" w:hAnsi="Arial"/>
                <w:sz w:val="18"/>
                <w:szCs w:val="18"/>
                <w:color w:val="auto"/>
                <w:w w:val="88"/>
              </w:rPr>
              <w:t>Waste Management Retirement Savings Plan</w:t>
            </w: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20" w:type="dxa"/>
            <w:vAlign w:val="bottom"/>
          </w:tcPr>
          <w:p>
            <w:pPr>
              <w:jc w:val="center"/>
              <w:ind w:left="1190"/>
              <w:spacing w:after="0"/>
              <w:rPr>
                <w:sz w:val="20"/>
                <w:szCs w:val="20"/>
                <w:color w:val="auto"/>
              </w:rPr>
            </w:pPr>
            <w:r>
              <w:rPr>
                <w:rFonts w:ascii="Arial" w:cs="Arial" w:eastAsia="Arial" w:hAnsi="Arial"/>
                <w:sz w:val="18"/>
                <w:szCs w:val="18"/>
                <w:color w:val="auto"/>
                <w:w w:val="90"/>
              </w:rPr>
              <w:t>Notes to Financial Statements (continued)</w:t>
            </w: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80" w:type="dxa"/>
            <w:vAlign w:val="bottom"/>
            <w:gridSpan w:val="3"/>
          </w:tcPr>
          <w:p>
            <w:pPr>
              <w:spacing w:after="0"/>
              <w:rPr>
                <w:sz w:val="20"/>
                <w:szCs w:val="20"/>
                <w:color w:val="auto"/>
              </w:rPr>
            </w:pPr>
            <w:r>
              <w:rPr>
                <w:rFonts w:ascii="Arial" w:cs="Arial" w:eastAsia="Arial" w:hAnsi="Arial"/>
                <w:sz w:val="18"/>
                <w:szCs w:val="18"/>
                <w:b w:val="1"/>
                <w:bCs w:val="1"/>
                <w:color w:val="auto"/>
              </w:rPr>
              <w:t>4. Plan Interest in the Master Trust (continued)</w:t>
            </w: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780" w:type="dxa"/>
            <w:vAlign w:val="bottom"/>
            <w:gridSpan w:val="3"/>
          </w:tcPr>
          <w:p>
            <w:pPr>
              <w:spacing w:after="0"/>
              <w:rPr>
                <w:sz w:val="20"/>
                <w:szCs w:val="20"/>
                <w:color w:val="auto"/>
              </w:rPr>
            </w:pPr>
            <w:r>
              <w:rPr>
                <w:rFonts w:ascii="Arial" w:cs="Arial" w:eastAsia="Arial" w:hAnsi="Arial"/>
                <w:sz w:val="18"/>
                <w:szCs w:val="18"/>
                <w:color w:val="auto"/>
                <w:w w:val="97"/>
              </w:rPr>
              <w:t>Income or loss from investments held in the Master Trust for the year ended December 31, 2007, was as follows:</w:t>
            </w: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appreciation (depreciation) in fair value of:</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Common collective trust funds</w:t>
            </w:r>
          </w:p>
        </w:tc>
        <w:tc>
          <w:tcPr>
            <w:tcW w:w="1620" w:type="dxa"/>
            <w:vAlign w:val="bottom"/>
            <w:gridSpan w:val="2"/>
          </w:tcPr>
          <w:p>
            <w:pPr>
              <w:jc w:val="right"/>
              <w:ind w:right="570"/>
              <w:spacing w:after="0"/>
              <w:rPr>
                <w:sz w:val="20"/>
                <w:szCs w:val="20"/>
                <w:color w:val="auto"/>
              </w:rPr>
            </w:pPr>
            <w:r>
              <w:rPr>
                <w:rFonts w:ascii="Arial" w:cs="Arial" w:eastAsia="Arial" w:hAnsi="Arial"/>
                <w:sz w:val="18"/>
                <w:szCs w:val="18"/>
                <w:color w:val="auto"/>
                <w:w w:val="89"/>
              </w:rPr>
              <w:t>$ 33,640,605</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Corporate stocks</w:t>
            </w:r>
          </w:p>
        </w:tc>
        <w:tc>
          <w:tcPr>
            <w:tcW w:w="16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1,028,473</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Waste Management, Inc. common stock</w:t>
            </w:r>
          </w:p>
        </w:tc>
        <w:tc>
          <w:tcPr>
            <w:tcW w:w="1620" w:type="dxa"/>
            <w:vAlign w:val="bottom"/>
            <w:gridSpan w:val="2"/>
          </w:tcPr>
          <w:p>
            <w:pPr>
              <w:jc w:val="right"/>
              <w:ind w:right="510"/>
              <w:spacing w:after="0"/>
              <w:rPr>
                <w:sz w:val="20"/>
                <w:szCs w:val="20"/>
                <w:color w:val="auto"/>
              </w:rPr>
            </w:pPr>
            <w:r>
              <w:rPr>
                <w:rFonts w:ascii="Arial" w:cs="Arial" w:eastAsia="Arial" w:hAnsi="Arial"/>
                <w:sz w:val="18"/>
                <w:szCs w:val="18"/>
                <w:color w:val="auto"/>
                <w:w w:val="97"/>
              </w:rPr>
              <w:t>(11,729,501)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16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484,065</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620" w:type="dxa"/>
            <w:vAlign w:val="bottom"/>
            <w:gridSpan w:val="2"/>
          </w:tcPr>
          <w:p>
            <w:pPr>
              <w:jc w:val="right"/>
              <w:ind w:right="570"/>
              <w:spacing w:after="0"/>
              <w:rPr>
                <w:sz w:val="20"/>
                <w:szCs w:val="20"/>
                <w:color w:val="auto"/>
              </w:rPr>
            </w:pPr>
            <w:r>
              <w:rPr>
                <w:rFonts w:ascii="Arial" w:cs="Arial" w:eastAsia="Arial" w:hAnsi="Arial"/>
                <w:sz w:val="18"/>
                <w:szCs w:val="18"/>
                <w:color w:val="auto"/>
              </w:rPr>
              <w:t>1,928</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net appreciation in fair value of investments</w:t>
            </w:r>
          </w:p>
        </w:tc>
        <w:tc>
          <w:tcPr>
            <w:tcW w:w="960" w:type="dxa"/>
            <w:vAlign w:val="bottom"/>
            <w:tcBorders>
              <w:top w:val="single" w:sz="8" w:color="auto"/>
            </w:tcBorders>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$23,425,570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2640" w:type="dxa"/>
            <w:vAlign w:val="bottom"/>
            <w:gridSpan w:val="4"/>
          </w:tcPr>
          <w:p>
            <w:pPr>
              <w:jc w:val="right"/>
              <w:ind w:right="100"/>
              <w:spacing w:after="0"/>
              <w:rPr>
                <w:sz w:val="20"/>
                <w:szCs w:val="20"/>
                <w:color w:val="auto"/>
              </w:rPr>
            </w:pPr>
            <w:r>
              <w:rPr>
                <w:rFonts w:ascii="Arial" w:cs="Arial" w:eastAsia="Arial" w:hAnsi="Arial"/>
                <w:sz w:val="18"/>
                <w:szCs w:val="18"/>
                <w:color w:val="auto"/>
              </w:rPr>
              <w:t>12,165,815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w:t>
            </w:r>
          </w:p>
        </w:tc>
        <w:tc>
          <w:tcPr>
            <w:tcW w:w="2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1,285,808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Dividends — Waste Management, Inc. common stock</w:t>
            </w:r>
          </w:p>
        </w:tc>
        <w:tc>
          <w:tcPr>
            <w:tcW w:w="2640" w:type="dxa"/>
            <w:vAlign w:val="bottom"/>
            <w:gridSpan w:val="4"/>
          </w:tcPr>
          <w:p>
            <w:pPr>
              <w:jc w:val="right"/>
              <w:ind w:right="100"/>
              <w:spacing w:after="0"/>
              <w:rPr>
                <w:sz w:val="20"/>
                <w:szCs w:val="20"/>
                <w:color w:val="auto"/>
              </w:rPr>
            </w:pPr>
            <w:r>
              <w:rPr>
                <w:rFonts w:ascii="Arial" w:cs="Arial" w:eastAsia="Arial" w:hAnsi="Arial"/>
                <w:sz w:val="18"/>
                <w:szCs w:val="18"/>
                <w:color w:val="auto"/>
              </w:rPr>
              <w:t>2,968,930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182,092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ind w:left="600"/>
              <w:spacing w:after="0"/>
              <w:rPr>
                <w:sz w:val="20"/>
                <w:szCs w:val="20"/>
                <w:color w:val="auto"/>
              </w:rPr>
            </w:pPr>
            <w:r>
              <w:rPr>
                <w:rFonts w:ascii="Arial" w:cs="Arial" w:eastAsia="Arial" w:hAnsi="Arial"/>
                <w:sz w:val="18"/>
                <w:szCs w:val="18"/>
                <w:color w:val="auto"/>
              </w:rPr>
              <w:t>Total investment gain</w:t>
            </w:r>
          </w:p>
        </w:tc>
        <w:tc>
          <w:tcPr>
            <w:tcW w:w="1620" w:type="dxa"/>
            <w:vAlign w:val="bottom"/>
            <w:gridSpan w:val="2"/>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40,028,215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fees</w:t>
            </w:r>
          </w:p>
        </w:tc>
        <w:tc>
          <w:tcPr>
            <w:tcW w:w="2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3,809,430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ind w:left="600"/>
              <w:spacing w:after="0"/>
              <w:rPr>
                <w:sz w:val="20"/>
                <w:szCs w:val="20"/>
                <w:color w:val="auto"/>
              </w:rPr>
            </w:pPr>
            <w:r>
              <w:rPr>
                <w:rFonts w:ascii="Arial" w:cs="Arial" w:eastAsia="Arial" w:hAnsi="Arial"/>
                <w:sz w:val="18"/>
                <w:szCs w:val="18"/>
                <w:color w:val="auto"/>
              </w:rPr>
              <w:t>Net gain</w:t>
            </w:r>
          </w:p>
        </w:tc>
        <w:tc>
          <w:tcPr>
            <w:tcW w:w="1620" w:type="dxa"/>
            <w:vAlign w:val="bottom"/>
            <w:gridSpan w:val="2"/>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36,218,785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 interest in net investment gain from the Master Trust</w:t>
            </w:r>
          </w:p>
        </w:tc>
        <w:tc>
          <w:tcPr>
            <w:tcW w:w="2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$36,087,839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Union Plan interest in net investment gain from the Master Trust</w:t>
            </w:r>
          </w:p>
        </w:tc>
        <w:tc>
          <w:tcPr>
            <w:tcW w:w="2640" w:type="dxa"/>
            <w:vAlign w:val="bottom"/>
            <w:gridSpan w:val="4"/>
          </w:tcPr>
          <w:p>
            <w:pPr>
              <w:jc w:val="right"/>
              <w:ind w:right="100"/>
              <w:spacing w:after="0"/>
              <w:rPr>
                <w:sz w:val="20"/>
                <w:szCs w:val="20"/>
                <w:color w:val="auto"/>
              </w:rPr>
            </w:pPr>
            <w:r>
              <w:rPr>
                <w:rFonts w:ascii="Arial" w:cs="Arial" w:eastAsia="Arial" w:hAnsi="Arial"/>
                <w:sz w:val="18"/>
                <w:szCs w:val="18"/>
                <w:color w:val="auto"/>
              </w:rPr>
              <w:t>130,946</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Federal Income Taxes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Plan has received a determination letter from the Internal Revenue Service (“the IRS”) dated June 20, 2002, stating that the Plan is qualified under Section 401(a) of the Code and, therefore, the related trust is exempt from taxation. Subsequent to this determination by the IRS, the Plan was amended. Once qualified, the Plan is required to operate in conformity with the Code to maintain its qualification. The Plan Sponsor has indicated that it will take the necessary steps, if any, to bring the Plan’s operations into compliance with the Code.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Reconciliation of Financial Statements to Form 5500</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 December 31, 2007 and 2006: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400" w:type="dxa"/>
            <w:vAlign w:val="bottom"/>
          </w:tcPr>
          <w:p>
            <w:pPr>
              <w:spacing w:after="0"/>
              <w:rPr>
                <w:sz w:val="14"/>
                <w:szCs w:val="14"/>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$ 1,415,120,482</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$ 1,373,267,048</w:t>
            </w: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Less: amounts pending distribution to participants</w:t>
            </w:r>
          </w:p>
        </w:tc>
        <w:tc>
          <w:tcPr>
            <w:tcW w:w="1760" w:type="dxa"/>
            <w:vAlign w:val="bottom"/>
            <w:gridSpan w:val="3"/>
          </w:tcPr>
          <w:p>
            <w:pPr>
              <w:jc w:val="right"/>
              <w:ind w:right="560"/>
              <w:spacing w:after="0"/>
              <w:rPr>
                <w:sz w:val="20"/>
                <w:szCs w:val="20"/>
                <w:color w:val="auto"/>
              </w:rPr>
            </w:pPr>
            <w:r>
              <w:rPr>
                <w:rFonts w:ascii="Arial" w:cs="Arial" w:eastAsia="Arial" w:hAnsi="Arial"/>
                <w:sz w:val="18"/>
                <w:szCs w:val="18"/>
                <w:color w:val="auto"/>
              </w:rPr>
              <w:t>(1,163,573)</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(906,280)</w:t>
            </w: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adjustment from fair value to contract value for fully benefit-responsive investment contracts</w:t>
            </w:r>
          </w:p>
        </w:tc>
        <w:tc>
          <w:tcPr>
            <w:tcW w:w="17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(8,992,362)</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(2,533,056)</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Net assets available for benefits per the Form 5500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1,404,964,547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1,369,827,712</w:t>
            </w:r>
          </w:p>
        </w:tc>
        <w:tc>
          <w:tcPr>
            <w:tcW w:w="10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net increase in net assets available for benefits per the financial statements to the Form 5500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per the financial statements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$41,853,434</w:t>
            </w:r>
          </w:p>
        </w:tc>
        <w:tc>
          <w:tcPr>
            <w:tcW w:w="80" w:type="dxa"/>
            <w:vAlign w:val="bottom"/>
            <w:shd w:val="clear" w:color="auto" w:fill="CCEEFF"/>
          </w:tcPr>
          <w:p>
            <w:pPr>
              <w:spacing w:after="0"/>
              <w:rPr>
                <w:sz w:val="18"/>
                <w:szCs w:val="18"/>
                <w:color w:val="auto"/>
              </w:rPr>
            </w:pPr>
          </w:p>
        </w:tc>
      </w:tr>
      <w:tr>
        <w:trPr>
          <w:trHeight w:val="216"/>
        </w:trPr>
        <w:tc>
          <w:tcPr>
            <w:tcW w:w="10400" w:type="dxa"/>
            <w:vAlign w:val="bottom"/>
          </w:tcPr>
          <w:p>
            <w:pPr>
              <w:ind w:left="220"/>
              <w:spacing w:after="0"/>
              <w:rPr>
                <w:sz w:val="20"/>
                <w:szCs w:val="20"/>
                <w:color w:val="auto"/>
              </w:rPr>
            </w:pPr>
            <w:r>
              <w:rPr>
                <w:rFonts w:ascii="Arial" w:cs="Arial" w:eastAsia="Arial" w:hAnsi="Arial"/>
                <w:sz w:val="18"/>
                <w:szCs w:val="18"/>
                <w:color w:val="auto"/>
              </w:rPr>
              <w:t>Add: amounts pending distribution to participants at December 31, 2006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906,280</w:t>
            </w:r>
          </w:p>
        </w:tc>
        <w:tc>
          <w:tcPr>
            <w:tcW w:w="80" w:type="dxa"/>
            <w:vAlign w:val="bottom"/>
          </w:tcPr>
          <w:p>
            <w:pPr>
              <w:spacing w:after="0"/>
              <w:rPr>
                <w:sz w:val="18"/>
                <w:szCs w:val="18"/>
                <w:color w:val="auto"/>
              </w:rPr>
            </w:pPr>
          </w:p>
        </w:tc>
      </w:tr>
      <w:tr>
        <w:trPr>
          <w:trHeight w:val="216"/>
        </w:trPr>
        <w:tc>
          <w:tcPr>
            <w:tcW w:w="10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amounts pending distribution to participants at December 31, 2007</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(1,163,573)</w:t>
            </w:r>
          </w:p>
        </w:tc>
      </w:tr>
      <w:tr>
        <w:trPr>
          <w:trHeight w:val="216"/>
        </w:trPr>
        <w:tc>
          <w:tcPr>
            <w:tcW w:w="10400" w:type="dxa"/>
            <w:vAlign w:val="bottom"/>
          </w:tcPr>
          <w:p>
            <w:pPr>
              <w:ind w:left="220"/>
              <w:spacing w:after="0"/>
              <w:rPr>
                <w:sz w:val="20"/>
                <w:szCs w:val="20"/>
                <w:color w:val="auto"/>
              </w:rPr>
            </w:pPr>
            <w:r>
              <w:rPr>
                <w:rFonts w:ascii="Arial" w:cs="Arial" w:eastAsia="Arial" w:hAnsi="Arial"/>
                <w:sz w:val="18"/>
                <w:szCs w:val="18"/>
                <w:color w:val="auto"/>
              </w:rPr>
              <w:t>Add: adjustment from fair value to contract value for fully benefit-responsive investment contracts at December 31, 2006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2,533,056</w:t>
            </w:r>
          </w:p>
        </w:tc>
        <w:tc>
          <w:tcPr>
            <w:tcW w:w="80" w:type="dxa"/>
            <w:vAlign w:val="bottom"/>
          </w:tcPr>
          <w:p>
            <w:pPr>
              <w:spacing w:after="0"/>
              <w:rPr>
                <w:sz w:val="18"/>
                <w:szCs w:val="18"/>
                <w:color w:val="auto"/>
              </w:rPr>
            </w:pPr>
          </w:p>
        </w:tc>
      </w:tr>
      <w:tr>
        <w:trPr>
          <w:trHeight w:val="216"/>
        </w:trPr>
        <w:tc>
          <w:tcPr>
            <w:tcW w:w="10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adjustment from fair value to contract value for fully benefit- responsive investment contracts at December 31, 2007</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(8,992,362)</w:t>
            </w:r>
          </w:p>
        </w:tc>
      </w:tr>
      <w:tr>
        <w:trPr>
          <w:trHeight w:val="223"/>
        </w:trPr>
        <w:tc>
          <w:tcPr>
            <w:tcW w:w="10400" w:type="dxa"/>
            <w:vAlign w:val="bottom"/>
          </w:tcPr>
          <w:p>
            <w:pPr>
              <w:spacing w:after="0"/>
              <w:rPr>
                <w:sz w:val="20"/>
                <w:szCs w:val="20"/>
                <w:color w:val="auto"/>
              </w:rPr>
            </w:pPr>
            <w:r>
              <w:rPr>
                <w:rFonts w:ascii="Arial" w:cs="Arial" w:eastAsia="Arial" w:hAnsi="Arial"/>
                <w:sz w:val="18"/>
                <w:szCs w:val="18"/>
                <w:color w:val="auto"/>
              </w:rPr>
              <w:t>Net increase in assets available for benefits per the Form 5500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35,136,835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Amounts pending distribution are recorded as benefits paid to participants on the Form 5500 for benefit claims that have been processed and approved for payment prior to December 31, but which have not yet been paid as of that date.</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accompanying financial statements present fully benefit-responsive investment contracts at contract value. The Form 5500 requires fully benefit-responsive investment contracts to be reported at fair value. Therefore, the adjustment from fair value to contract value for fully benefit-responsive investment contracts represents a reconciling item.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Plan Termination</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Although it has not expressed any intention to do so, the Company has the right to discontinue its Plan contribution at any time and to terminate the Plan subject to the provisions of ERISA.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Class Action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April 2002, a lawsuit was filed against the Plan (as successor to the savings plan sponsored by Waste Management Holdings), Waste Management Holdings, and certain fiduciaries of the savings plan sponsored by Waste Management Holdings and of the Plan (“Plan Defendants”) in the United States District Court for the District of Columbia (the “D.C. Case”). After first asserting broader claims as to the Plan, the plaintiffs in the D.C. Case now purport to file their complaint against Plan Defendants on behalf of those Plan participants for whose account the Plan’s fiduciaries acquired Waste Management Holdings common stock between January 1990 and February 24, 1998, the date of the restatement of previously issued financial statements by Waste Management Holdings. The plaintiffs in the D.C. Case allege that the prices at which the Plan purchased the stock were artificially inflated by omissions of a material nature about Waste Management Holdings’ financial condition and that the stock of Waste Management Holdings should not have been an investment option. The plaintiffs in the D.C. Case also allege that certain of the defendants breached a variety of ERISA requirements by, among other things, electing to participate in the Illinois securities class action settlement related to a time frame ending February 24, 1998, rather than opting out of the settlements to assert distinct ERISA claims that did not apply to other members of the settlement class.</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Illinois securities class action arose from Waste Management Holdings’ February 1998 restatement of prior period earnings and charge to fourth quarter 1997 earnings. The parties to the Illinois securities class action agreed to a settlement that became final in 1999 (the “Illinois Settlement”). The Plan participated in the settlement class and, in 2000, a share of the settlement proceeds was placed into the trust of the Plan and allocated to the appropriate participants’ account balances.</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defendants in the D.C. Case assert that most, if not all, of the plaintiffs’ causes of action have been released as a result of the Illinois Settlement or are time-barred. The defendants have filed a motion to dismiss the plaintiffs’ amended complaint. The outcome of this lawsuit cannot be predicted with certainty, and these matters could impact the Plan’s net assets available for benefits. The Plan and the other defendants intend to defend themselves vigorously in this litigation.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Bond Fund Performance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One of the common collective trust fund investment options available to participants of the Plan is a bond market fund. During 2007, there was a significant decline in the market value of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 (continued)</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bond market fund, and effective October 1, 2007, State Street changed the investment strategy of the bond market fund to a passively managed strategy designed to mirror the performance of the index. A portion of the bond market fund's decline in market value can be attributed to changes in general market conditions for this type of investment. However, given the magnitude of the divergence of the value of the bond market fund from its established benchmark, the Plan’s Investment Committee has determined that it is also appropriate to consider whether the investments held by the bond market fund were consistent with the risk profile defined for this investment option and whether the bond market fund was managed in accordance with the Plan’s investment policy. As a result, the Plan has engaged an independent fiduciary to act on behalf of the Plan and its participants with respect to these considerations and related assessments of any potential remedies, including, but not limited to, litigation or settlement of potential litigation to recover Plan assets.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investments of the Plan are managed by State Street. State Street is the trustee of the Plan and, therefore, these transactions qualify as party-in-interest transactions. Additionally, a portion of the Plan’s assets are invested in the Company’s common stock. Because the Company is the Plan Sponsor, transactions involving the Company’s common stock qualify as party-in-interest transactions. All of these transactions are exempt from the prohibited transactions rules.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New Accounting Pronouncement</w:t>
      </w:r>
    </w:p>
    <w:p>
      <w:pPr>
        <w:spacing w:after="0" w:line="12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In September 2006, the FASB issued Statement of Financial Accounting Standards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which defines fair value, establishes a framework for measuring fair value and expands disclosures about fair value measurements. SFAS No. 157 will be effective for the Plan beginning January 1, 2008. Management is currently evaluating the impact, if any, that the adoption of SFAS No. 157 will have on the financial statements of the Plan.</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4" w:lineRule="exact"/>
        <w:rPr>
          <w:sz w:val="20"/>
          <w:szCs w:val="20"/>
          <w:color w:val="auto"/>
        </w:rPr>
      </w:pPr>
    </w:p>
    <w:p>
      <w:pPr>
        <w:jc w:val="right"/>
        <w:ind w:right="3319"/>
        <w:spacing w:after="0"/>
        <w:rPr>
          <w:sz w:val="20"/>
          <w:szCs w:val="20"/>
          <w:color w:val="auto"/>
        </w:rPr>
      </w:pPr>
      <w:r>
        <w:rPr>
          <w:rFonts w:ascii="Arial" w:cs="Arial" w:eastAsia="Arial" w:hAnsi="Arial"/>
          <w:sz w:val="25"/>
          <w:szCs w:val="25"/>
          <w:color w:val="auto"/>
        </w:rPr>
        <w:t>Supplemental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80" w:type="dxa"/>
            <w:vAlign w:val="bottom"/>
            <w:gridSpan w:val="4"/>
          </w:tcPr>
          <w:p>
            <w:pPr>
              <w:jc w:val="center"/>
              <w:ind w:right="1280"/>
              <w:spacing w:after="0"/>
              <w:rPr>
                <w:sz w:val="20"/>
                <w:szCs w:val="20"/>
                <w:color w:val="auto"/>
              </w:rPr>
            </w:pPr>
            <w:r>
              <w:rPr>
                <w:rFonts w:ascii="Arial" w:cs="Arial" w:eastAsia="Arial" w:hAnsi="Arial"/>
                <w:sz w:val="18"/>
                <w:szCs w:val="18"/>
                <w:color w:val="auto"/>
                <w:w w:val="88"/>
              </w:rPr>
              <w:t>Waste Management Retirement Savings Plan</w:t>
            </w:r>
          </w:p>
        </w:tc>
        <w:tc>
          <w:tcPr>
            <w:tcW w:w="27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940" w:type="dxa"/>
            <w:vAlign w:val="bottom"/>
            <w:gridSpan w:val="6"/>
          </w:tcPr>
          <w:p>
            <w:pPr>
              <w:jc w:val="center"/>
              <w:ind w:right="20"/>
              <w:spacing w:after="0"/>
              <w:rPr>
                <w:sz w:val="20"/>
                <w:szCs w:val="20"/>
                <w:color w:val="auto"/>
              </w:rPr>
            </w:pPr>
            <w:r>
              <w:rPr>
                <w:rFonts w:ascii="Arial" w:cs="Arial" w:eastAsia="Arial" w:hAnsi="Arial"/>
                <w:sz w:val="18"/>
                <w:szCs w:val="18"/>
                <w:color w:val="auto"/>
                <w:w w:val="91"/>
              </w:rPr>
              <w:t>Schedule H, Line 4(i) — Schedule of Assets (Held At End of Year)</w:t>
            </w:r>
          </w:p>
        </w:tc>
        <w:tc>
          <w:tcPr>
            <w:tcW w:w="27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00" w:type="dxa"/>
            <w:vAlign w:val="bottom"/>
          </w:tcPr>
          <w:p>
            <w:pPr>
              <w:ind w:left="360"/>
              <w:spacing w:after="0"/>
              <w:rPr>
                <w:sz w:val="20"/>
                <w:szCs w:val="20"/>
                <w:color w:val="auto"/>
              </w:rPr>
            </w:pPr>
            <w:r>
              <w:rPr>
                <w:rFonts w:ascii="Arial" w:cs="Arial" w:eastAsia="Arial" w:hAnsi="Arial"/>
                <w:sz w:val="18"/>
                <w:szCs w:val="18"/>
                <w:color w:val="auto"/>
              </w:rPr>
              <w:t>EIN: 73-1309529</w:t>
            </w:r>
          </w:p>
        </w:tc>
        <w:tc>
          <w:tcPr>
            <w:tcW w:w="2380" w:type="dxa"/>
            <w:vAlign w:val="bottom"/>
            <w:gridSpan w:val="3"/>
          </w:tcPr>
          <w:p>
            <w:pPr>
              <w:ind w:left="40"/>
              <w:spacing w:after="0"/>
              <w:rPr>
                <w:sz w:val="20"/>
                <w:szCs w:val="20"/>
                <w:color w:val="auto"/>
              </w:rPr>
            </w:pPr>
            <w:r>
              <w:rPr>
                <w:rFonts w:ascii="Arial" w:cs="Arial" w:eastAsia="Arial" w:hAnsi="Arial"/>
                <w:sz w:val="18"/>
                <w:szCs w:val="18"/>
                <w:color w:val="auto"/>
              </w:rPr>
              <w:t>Plan: 001</w:t>
            </w:r>
          </w:p>
        </w:tc>
        <w:tc>
          <w:tcPr>
            <w:tcW w:w="27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80" w:type="dxa"/>
            <w:vAlign w:val="bottom"/>
            <w:gridSpan w:val="4"/>
          </w:tcPr>
          <w:p>
            <w:pPr>
              <w:jc w:val="center"/>
              <w:ind w:right="1300"/>
              <w:spacing w:after="0"/>
              <w:rPr>
                <w:sz w:val="20"/>
                <w:szCs w:val="20"/>
                <w:color w:val="auto"/>
              </w:rPr>
            </w:pPr>
            <w:r>
              <w:rPr>
                <w:rFonts w:ascii="Arial" w:cs="Arial" w:eastAsia="Arial" w:hAnsi="Arial"/>
                <w:sz w:val="18"/>
                <w:szCs w:val="18"/>
                <w:color w:val="auto"/>
                <w:w w:val="89"/>
              </w:rPr>
              <w:t>December 31, 2007</w:t>
            </w:r>
          </w:p>
        </w:tc>
        <w:tc>
          <w:tcPr>
            <w:tcW w:w="27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2"/>
          </w:tcPr>
          <w:p>
            <w:pPr>
              <w:ind w:left="940"/>
              <w:spacing w:after="0"/>
              <w:rPr>
                <w:sz w:val="20"/>
                <w:szCs w:val="20"/>
                <w:color w:val="auto"/>
              </w:rPr>
            </w:pPr>
            <w:r>
              <w:rPr>
                <w:rFonts w:ascii="Arial" w:cs="Arial" w:eastAsia="Arial" w:hAnsi="Arial"/>
                <w:sz w:val="14"/>
                <w:szCs w:val="14"/>
                <w:b w:val="1"/>
                <w:bCs w:val="1"/>
                <w:color w:val="auto"/>
              </w:rPr>
              <w:t>Identity of Issue</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80" w:type="dxa"/>
            <w:vAlign w:val="bottom"/>
            <w:gridSpan w:val="4"/>
          </w:tcPr>
          <w:p>
            <w:pPr>
              <w:jc w:val="center"/>
              <w:ind w:right="1260"/>
              <w:spacing w:after="0"/>
              <w:rPr>
                <w:sz w:val="20"/>
                <w:szCs w:val="20"/>
                <w:color w:val="auto"/>
              </w:rPr>
            </w:pPr>
            <w:r>
              <w:rPr>
                <w:rFonts w:ascii="Arial" w:cs="Arial" w:eastAsia="Arial" w:hAnsi="Arial"/>
                <w:sz w:val="14"/>
                <w:szCs w:val="14"/>
                <w:b w:val="1"/>
                <w:bCs w:val="1"/>
                <w:color w:val="auto"/>
                <w:w w:val="91"/>
              </w:rPr>
              <w:t>Description of Investment</w:t>
            </w:r>
          </w:p>
        </w:tc>
        <w:tc>
          <w:tcPr>
            <w:tcW w:w="2720" w:type="dxa"/>
            <w:vAlign w:val="bottom"/>
          </w:tcPr>
          <w:p>
            <w:pPr>
              <w:ind w:left="560"/>
              <w:spacing w:after="0"/>
              <w:rPr>
                <w:sz w:val="20"/>
                <w:szCs w:val="20"/>
                <w:color w:val="auto"/>
              </w:rPr>
            </w:pPr>
            <w:r>
              <w:rPr>
                <w:rFonts w:ascii="Arial" w:cs="Arial" w:eastAsia="Arial" w:hAnsi="Arial"/>
                <w:sz w:val="14"/>
                <w:szCs w:val="14"/>
                <w:b w:val="1"/>
                <w:bCs w:val="1"/>
                <w:color w:val="auto"/>
              </w:rPr>
              <w:t>Current Value</w:t>
            </w:r>
          </w:p>
        </w:tc>
      </w:tr>
      <w:tr>
        <w:trPr>
          <w:trHeight w:val="195"/>
        </w:trPr>
        <w:tc>
          <w:tcPr>
            <w:tcW w:w="20" w:type="dxa"/>
            <w:vAlign w:val="bottom"/>
          </w:tcPr>
          <w:p>
            <w:pPr>
              <w:spacing w:after="0"/>
              <w:rPr>
                <w:sz w:val="16"/>
                <w:szCs w:val="16"/>
                <w:color w:val="auto"/>
              </w:rPr>
            </w:pPr>
          </w:p>
        </w:tc>
        <w:tc>
          <w:tcPr>
            <w:tcW w:w="27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*Participant Loans</w:t>
            </w:r>
          </w:p>
        </w:tc>
        <w:tc>
          <w:tcPr>
            <w:tcW w:w="68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4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1"/>
              </w:rPr>
              <w:t>Various maturity dates with</w:t>
            </w:r>
          </w:p>
        </w:tc>
        <w:tc>
          <w:tcPr>
            <w:tcW w:w="5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rPr>
              <w:t>$58,233,698</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80" w:type="dxa"/>
            <w:vAlign w:val="bottom"/>
            <w:gridSpan w:val="4"/>
          </w:tcPr>
          <w:p>
            <w:pPr>
              <w:jc w:val="center"/>
              <w:ind w:right="1260"/>
              <w:spacing w:after="0"/>
              <w:rPr>
                <w:sz w:val="20"/>
                <w:szCs w:val="20"/>
                <w:color w:val="auto"/>
              </w:rPr>
            </w:pPr>
            <w:r>
              <w:rPr>
                <w:rFonts w:ascii="Arial" w:cs="Arial" w:eastAsia="Arial" w:hAnsi="Arial"/>
                <w:sz w:val="18"/>
                <w:szCs w:val="18"/>
                <w:color w:val="auto"/>
                <w:w w:val="90"/>
              </w:rPr>
              <w:t>interest rates ranging from</w:t>
            </w:r>
          </w:p>
        </w:tc>
        <w:tc>
          <w:tcPr>
            <w:tcW w:w="27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00" w:type="dxa"/>
            <w:vAlign w:val="bottom"/>
          </w:tcPr>
          <w:p>
            <w:pPr>
              <w:jc w:val="center"/>
              <w:ind w:left="1033"/>
              <w:spacing w:after="0"/>
              <w:rPr>
                <w:sz w:val="20"/>
                <w:szCs w:val="20"/>
                <w:color w:val="auto"/>
              </w:rPr>
            </w:pPr>
            <w:r>
              <w:rPr>
                <w:rFonts w:ascii="Arial" w:cs="Arial" w:eastAsia="Arial" w:hAnsi="Arial"/>
                <w:sz w:val="18"/>
                <w:szCs w:val="18"/>
                <w:color w:val="auto"/>
                <w:w w:val="90"/>
              </w:rPr>
              <w:t>5.0% to 11.0%</w:t>
            </w: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77"/>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2480" w:type="dxa"/>
            <w:vAlign w:val="bottom"/>
            <w:gridSpan w:val="2"/>
          </w:tcPr>
          <w:p>
            <w:pPr>
              <w:ind w:left="180"/>
              <w:spacing w:after="0"/>
              <w:rPr>
                <w:sz w:val="20"/>
                <w:szCs w:val="20"/>
                <w:color w:val="auto"/>
              </w:rPr>
            </w:pPr>
            <w:r>
              <w:rPr>
                <w:rFonts w:ascii="Arial" w:cs="Arial" w:eastAsia="Arial" w:hAnsi="Arial"/>
                <w:sz w:val="18"/>
                <w:szCs w:val="18"/>
                <w:color w:val="auto"/>
              </w:rPr>
              <w:t>Party-in-interest</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60" w:type="dxa"/>
            <w:vAlign w:val="bottom"/>
            <w:gridSpan w:val="3"/>
          </w:tcPr>
          <w:p>
            <w:pPr>
              <w:jc w:val="center"/>
              <w:ind w:left="2250"/>
              <w:spacing w:after="0"/>
              <w:rPr>
                <w:sz w:val="20"/>
                <w:szCs w:val="20"/>
                <w:color w:val="auto"/>
              </w:rPr>
            </w:pPr>
            <w:r>
              <w:rPr>
                <w:rFonts w:ascii="Arial" w:cs="Arial" w:eastAsia="Arial" w:hAnsi="Arial"/>
                <w:sz w:val="18"/>
                <w:szCs w:val="18"/>
                <w:color w:val="auto"/>
                <w:w w:val="89"/>
              </w:rPr>
              <w:t>17</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 caused this annual report to be signed</w:t>
      </w:r>
      <w:r>
        <w:rPr>
          <w:rFonts w:ascii="Arial" w:cs="Arial" w:eastAsia="Arial" w:hAnsi="Arial"/>
          <w:sz w:val="18"/>
          <w:szCs w:val="18"/>
          <w:i w:val="1"/>
          <w:iCs w:val="1"/>
          <w:color w:val="auto"/>
        </w:rPr>
        <w:t xml:space="preserve"> </w:t>
      </w:r>
      <w:r>
        <w:rPr>
          <w:rFonts w:ascii="Arial" w:cs="Arial" w:eastAsia="Arial" w:hAnsi="Arial"/>
          <w:sz w:val="18"/>
          <w:szCs w:val="18"/>
          <w:color w:val="auto"/>
        </w:rPr>
        <w:t>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WASTE MANAGEMENT RETIREMENT SAVINGS</w:t>
            </w:r>
          </w:p>
        </w:tc>
        <w:tc>
          <w:tcPr>
            <w:tcW w:w="16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PLAN</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June 30, 2008</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Krista DelSota</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Krista DelSota</w:t>
            </w:r>
          </w:p>
        </w:tc>
        <w:tc>
          <w:tcPr>
            <w:tcW w:w="1680" w:type="dxa"/>
            <w:vAlign w:val="bottom"/>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Vice President, Compensation and Benefits Waste</w:t>
            </w:r>
          </w:p>
        </w:tc>
        <w:tc>
          <w:tcPr>
            <w:tcW w:w="16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Management, Inc.</w:t>
            </w:r>
          </w:p>
        </w:tc>
        <w:tc>
          <w:tcPr>
            <w:tcW w:w="1680" w:type="dxa"/>
            <w:vAlign w:val="bottom"/>
          </w:tcPr>
          <w:p>
            <w:pPr>
              <w:spacing w:after="0"/>
              <w:rPr>
                <w:sz w:val="20"/>
                <w:szCs w:val="20"/>
                <w:color w:val="auto"/>
              </w:rPr>
            </w:pPr>
          </w:p>
        </w:tc>
      </w:tr>
      <w:tr>
        <w:trPr>
          <w:trHeight w:val="418"/>
        </w:trPr>
        <w:tc>
          <w:tcPr>
            <w:tcW w:w="3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Member, Administrative Committee of the Waste</w:t>
            </w:r>
          </w:p>
        </w:tc>
        <w:tc>
          <w:tcPr>
            <w:tcW w:w="1680" w:type="dxa"/>
            <w:vAlign w:val="bottom"/>
          </w:tcPr>
          <w:p>
            <w:pPr>
              <w:spacing w:after="0"/>
              <w:rPr>
                <w:sz w:val="24"/>
                <w:szCs w:val="24"/>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Management Employee Benefit Plans</w:t>
            </w:r>
          </w:p>
        </w:tc>
        <w:tc>
          <w:tcPr>
            <w:tcW w:w="1680" w:type="dxa"/>
            <w:vAlign w:val="bottom"/>
          </w:tcPr>
          <w:p>
            <w:pPr>
              <w:spacing w:after="0"/>
              <w:rPr>
                <w:sz w:val="20"/>
                <w:szCs w:val="20"/>
                <w:color w:val="auto"/>
              </w:rPr>
            </w:pPr>
          </w:p>
        </w:tc>
      </w:tr>
      <w:tr>
        <w:trPr>
          <w:trHeight w:val="405"/>
        </w:trPr>
        <w:tc>
          <w:tcPr>
            <w:tcW w:w="3400" w:type="dxa"/>
            <w:vAlign w:val="bottom"/>
          </w:tcPr>
          <w:p>
            <w:pPr>
              <w:spacing w:after="0"/>
              <w:rPr>
                <w:sz w:val="24"/>
                <w:szCs w:val="24"/>
                <w:color w:val="auto"/>
              </w:rPr>
            </w:pPr>
          </w:p>
        </w:tc>
        <w:tc>
          <w:tcPr>
            <w:tcW w:w="6340" w:type="dxa"/>
            <w:vAlign w:val="bottom"/>
            <w:gridSpan w:val="2"/>
          </w:tcPr>
          <w:p>
            <w:pPr>
              <w:jc w:val="right"/>
              <w:ind w:right="3850"/>
              <w:spacing w:after="0"/>
              <w:rPr>
                <w:sz w:val="20"/>
                <w:szCs w:val="20"/>
                <w:color w:val="auto"/>
              </w:rPr>
            </w:pPr>
            <w:r>
              <w:rPr>
                <w:rFonts w:ascii="Arial" w:cs="Arial" w:eastAsia="Arial" w:hAnsi="Arial"/>
                <w:sz w:val="18"/>
                <w:szCs w:val="18"/>
                <w:color w:val="auto"/>
              </w:rPr>
              <w:t>18</w:t>
            </w:r>
          </w:p>
        </w:tc>
        <w:tc>
          <w:tcPr>
            <w:tcW w:w="1680" w:type="dxa"/>
            <w:vAlign w:val="bottom"/>
          </w:tcPr>
          <w:p>
            <w:pPr>
              <w:spacing w:after="0"/>
              <w:rPr>
                <w:sz w:val="24"/>
                <w:szCs w:val="24"/>
                <w:color w:val="auto"/>
              </w:rPr>
            </w:pPr>
          </w:p>
        </w:tc>
      </w:tr>
      <w:tr>
        <w:trPr>
          <w:trHeight w:val="226"/>
        </w:trPr>
        <w:tc>
          <w:tcPr>
            <w:tcW w:w="34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3599"/>
        <w:spacing w:after="0"/>
        <w:rPr>
          <w:sz w:val="20"/>
          <w:szCs w:val="20"/>
          <w:color w:val="auto"/>
        </w:rPr>
      </w:pPr>
      <w:r>
        <w:rPr>
          <w:rFonts w:ascii="Arial" w:cs="Arial" w:eastAsia="Arial" w:hAnsi="Arial"/>
          <w:sz w:val="18"/>
          <w:szCs w:val="18"/>
          <w:b w:val="1"/>
          <w:bCs w:val="1"/>
          <w:color w:val="auto"/>
        </w:rPr>
        <w:t>INDEX TO EXHIBITS</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00"/>
        <w:spacing w:after="0"/>
        <w:tabs>
          <w:tab w:leader="none" w:pos="13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19"/>
          </w:cols>
          <w:pgMar w:left="240" w:top="419" w:right="1440"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S-8 No. 333-45062) pertaining to the Waste Management Retirement Savings Plan of our report dated June 30, 2008, with respect to the financial statements and schedule of the Waste Management Retirement Savings Plan included in this Annual Report (Form 11-K) for the year ended December 31, 2007.</w:t>
      </w:r>
    </w:p>
    <w:p>
      <w:pPr>
        <w:spacing w:after="0" w:line="39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2008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lowerLetter"/>
      <w:start w:val="5"/>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Letter"/>
      <w:start w:val="3"/>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2"/>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2019-12-20T03:53:50Z</dcterms:created>
  <dcterms:modified xsi:type="dcterms:W3CDTF">2019-12-20T03:53:50Z</dcterms:modified>
</cp:coreProperties>
</file>