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333-184157</w:t>
      </w:r>
    </w:p>
    <w:p>
      <w:pPr>
        <w:spacing w:after="0" w:line="120" w:lineRule="exact"/>
        <w:rPr>
          <w:sz w:val="24"/>
          <w:szCs w:val="24"/>
          <w:color w:val="auto"/>
        </w:rPr>
      </w:pPr>
    </w:p>
    <w:p>
      <w:pPr>
        <w:ind w:right="340"/>
        <w:spacing w:after="0" w:line="258"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MAY 5, 2014</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28, 2012)</w:t>
      </w:r>
    </w:p>
    <w:p>
      <w:pPr>
        <w:spacing w:after="0" w:line="31" w:lineRule="exact"/>
        <w:rPr>
          <w:sz w:val="24"/>
          <w:szCs w:val="24"/>
          <w:color w:val="auto"/>
        </w:rPr>
      </w:pPr>
    </w:p>
    <w:p>
      <w:pPr>
        <w:ind w:left="508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161925</wp:posOffset>
            </wp:positionV>
            <wp:extent cx="14147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left="360"/>
        <w:spacing w:after="0"/>
        <w:rPr>
          <w:sz w:val="20"/>
          <w:szCs w:val="20"/>
          <w:color w:val="auto"/>
        </w:rPr>
      </w:pPr>
      <w:r>
        <w:rPr>
          <w:rFonts w:ascii="Arial" w:cs="Arial" w:eastAsia="Arial" w:hAnsi="Arial"/>
          <w:sz w:val="32"/>
          <w:szCs w:val="32"/>
          <w:b w:val="1"/>
          <w:bCs w:val="1"/>
          <w:color w:val="auto"/>
        </w:rPr>
        <w:t>% Senior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on</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ind w:right="320" w:hanging="372"/>
        <w:spacing w:after="0" w:line="269" w:lineRule="auto"/>
        <w:rPr>
          <w:sz w:val="20"/>
          <w:szCs w:val="20"/>
          <w:color w:val="auto"/>
        </w:rPr>
      </w:pPr>
      <w:r>
        <w:rPr>
          <w:rFonts w:ascii="Arial" w:cs="Arial" w:eastAsia="Arial" w:hAnsi="Arial"/>
          <w:sz w:val="18"/>
          <w:szCs w:val="18"/>
          <w:color w:val="auto"/>
        </w:rPr>
        <w:t>We are offering $</w:t>
      </w:r>
      <w:r>
        <w:rPr>
          <w:sz w:val="20"/>
          <w:szCs w:val="20"/>
          <w:color w:val="auto"/>
        </w:rPr>
        <w:t xml:space="preserve"> </w:t>
      </w:r>
      <w:r>
        <w:rPr>
          <w:rFonts w:ascii="Arial" w:cs="Arial" w:eastAsia="Arial" w:hAnsi="Arial"/>
          <w:sz w:val="18"/>
          <w:szCs w:val="18"/>
          <w:color w:val="auto"/>
        </w:rPr>
        <w:t>of our % senior notes due 2024. Interest on the notes will accrue from and of each year, beginning , 2014.</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 2014 and will be payable</w:t>
      </w:r>
    </w:p>
    <w:p>
      <w:pPr>
        <w:spacing w:after="0" w:line="383" w:lineRule="exact"/>
        <w:rPr>
          <w:sz w:val="24"/>
          <w:szCs w:val="24"/>
          <w:color w:val="auto"/>
        </w:rPr>
      </w:pPr>
    </w:p>
    <w:p>
      <w:pPr>
        <w:sectPr>
          <w:pgSz w:w="11900" w:h="16838" w:orient="portrait"/>
          <w:cols w:equalWidth="0" w:num="3">
            <w:col w:w="200" w:space="640"/>
            <w:col w:w="7320" w:space="720"/>
            <w:col w:w="2540"/>
          </w:cols>
          <w:pgMar w:left="240" w:top="226" w:right="239" w:bottom="1440" w:gutter="0" w:footer="0" w:header="0"/>
          <w:type w:val="continuous"/>
        </w:sectPr>
      </w:pPr>
    </w:p>
    <w:p>
      <w:pPr>
        <w:ind w:right="140" w:firstLine="456"/>
        <w:spacing w:after="0" w:line="252"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18" w:lineRule="exact"/>
        <w:rPr>
          <w:sz w:val="24"/>
          <w:szCs w:val="24"/>
          <w:color w:val="auto"/>
        </w:rPr>
      </w:pPr>
    </w:p>
    <w:p>
      <w:pPr>
        <w:ind w:right="60" w:firstLine="456"/>
        <w:spacing w:after="0" w:line="269" w:lineRule="auto"/>
        <w:rPr>
          <w:sz w:val="20"/>
          <w:szCs w:val="20"/>
          <w:color w:val="auto"/>
        </w:rPr>
      </w:pPr>
      <w:r>
        <w:rPr>
          <w:rFonts w:ascii="Arial" w:cs="Arial" w:eastAsia="Arial" w:hAnsi="Arial"/>
          <w:sz w:val="18"/>
          <w:szCs w:val="18"/>
          <w:color w:val="auto"/>
        </w:rPr>
        <w:t>We may redeem the notes, in whole or in part, at any time at the redemption prices described beginning on page S-13. If a change of control triggering event as described beginning on page S-16 occurs, we may be required to offer to purchase the notes from holders.</w:t>
      </w:r>
    </w:p>
    <w:p>
      <w:pPr>
        <w:spacing w:after="0" w:line="10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notes involves risks. See “Risk Factors” beginning on page S-6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4"/>
          <w:szCs w:val="24"/>
          <w:color w:val="auto"/>
        </w:rPr>
      </w:pPr>
    </w:p>
    <w:p>
      <w:pPr>
        <w:ind w:right="500" w:firstLine="456"/>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93"/>
              </w:rPr>
              <w:t>Per Note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96"/>
        </w:trPr>
        <w:tc>
          <w:tcPr>
            <w:tcW w:w="24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Price(1)</w:t>
            </w:r>
          </w:p>
        </w:tc>
        <w:tc>
          <w:tcPr>
            <w:tcW w:w="69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420" w:type="dxa"/>
            <w:vAlign w:val="bottom"/>
            <w:gridSpan w:val="3"/>
          </w:tcPr>
          <w:p>
            <w:pPr>
              <w:spacing w:after="0" w:line="202" w:lineRule="exact"/>
              <w:rPr>
                <w:sz w:val="20"/>
                <w:szCs w:val="20"/>
                <w:color w:val="auto"/>
              </w:rPr>
            </w:pPr>
            <w:r>
              <w:rPr>
                <w:rFonts w:ascii="Arial" w:cs="Arial" w:eastAsia="Arial" w:hAnsi="Arial"/>
                <w:sz w:val="18"/>
                <w:szCs w:val="18"/>
                <w:color w:val="auto"/>
              </w:rPr>
              <w:t>Underwriting Discount</w:t>
            </w:r>
          </w:p>
        </w:tc>
        <w:tc>
          <w:tcPr>
            <w:tcW w:w="6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87"/>
              </w:rPr>
              <w:t>%</w:t>
            </w:r>
          </w:p>
        </w:tc>
        <w:tc>
          <w:tcPr>
            <w:tcW w:w="98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99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Proceeds to Us (excluding expenses)</w:t>
            </w:r>
          </w:p>
        </w:tc>
        <w:tc>
          <w:tcPr>
            <w:tcW w:w="4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87"/>
              </w:rPr>
              <w:t>%</w:t>
            </w:r>
          </w:p>
        </w:tc>
        <w:tc>
          <w:tcPr>
            <w:tcW w:w="98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95"/>
        </w:trPr>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74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4"/>
        </w:trPr>
        <w:tc>
          <w:tcPr>
            <w:tcW w:w="320" w:type="dxa"/>
            <w:vAlign w:val="bottom"/>
          </w:tcPr>
          <w:p>
            <w:pPr>
              <w:spacing w:after="0"/>
              <w:rPr>
                <w:sz w:val="20"/>
                <w:szCs w:val="20"/>
                <w:color w:val="auto"/>
              </w:rPr>
            </w:pPr>
            <w:r>
              <w:rPr>
                <w:rFonts w:ascii="Arial" w:cs="Arial" w:eastAsia="Arial" w:hAnsi="Arial"/>
                <w:sz w:val="14"/>
                <w:szCs w:val="14"/>
                <w:color w:val="auto"/>
              </w:rPr>
              <w:t>(1)</w:t>
            </w:r>
          </w:p>
        </w:tc>
        <w:tc>
          <w:tcPr>
            <w:tcW w:w="2100" w:type="dxa"/>
            <w:vAlign w:val="bottom"/>
            <w:gridSpan w:val="2"/>
          </w:tcPr>
          <w:p>
            <w:pPr>
              <w:ind w:left="140"/>
              <w:spacing w:after="0"/>
              <w:rPr>
                <w:sz w:val="20"/>
                <w:szCs w:val="20"/>
                <w:color w:val="auto"/>
              </w:rPr>
            </w:pPr>
            <w:r>
              <w:rPr>
                <w:rFonts w:ascii="Arial" w:cs="Arial" w:eastAsia="Arial" w:hAnsi="Arial"/>
                <w:sz w:val="14"/>
                <w:szCs w:val="14"/>
                <w:color w:val="auto"/>
              </w:rPr>
              <w:t>Plus accrued interest from</w:t>
            </w:r>
          </w:p>
        </w:tc>
        <w:tc>
          <w:tcPr>
            <w:tcW w:w="7480" w:type="dxa"/>
            <w:vAlign w:val="bottom"/>
            <w:gridSpan w:val="2"/>
          </w:tcPr>
          <w:p>
            <w:pPr>
              <w:ind w:left="400"/>
              <w:spacing w:after="0"/>
              <w:rPr>
                <w:sz w:val="20"/>
                <w:szCs w:val="20"/>
                <w:color w:val="auto"/>
              </w:rPr>
            </w:pPr>
            <w:r>
              <w:rPr>
                <w:rFonts w:ascii="Arial" w:cs="Arial" w:eastAsia="Arial" w:hAnsi="Arial"/>
                <w:sz w:val="14"/>
                <w:szCs w:val="14"/>
                <w:color w:val="auto"/>
              </w:rPr>
              <w:t>, 2014 if delivery occurs after that date.</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2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58" w:lineRule="exact"/>
        <w:rPr>
          <w:sz w:val="24"/>
          <w:szCs w:val="24"/>
          <w:color w:val="auto"/>
        </w:rPr>
      </w:pPr>
    </w:p>
    <w:p>
      <w:pPr>
        <w:ind w:right="40" w:firstLine="456"/>
        <w:spacing w:after="0" w:line="252" w:lineRule="auto"/>
        <w:rPr>
          <w:sz w:val="20"/>
          <w:szCs w:val="20"/>
          <w:color w:val="auto"/>
        </w:rPr>
      </w:pPr>
      <w:r>
        <w:rPr>
          <w:rFonts w:ascii="Arial" w:cs="Arial" w:eastAsia="Arial" w:hAnsi="Arial"/>
          <w:sz w:val="18"/>
          <w:szCs w:val="18"/>
          <w:color w:val="auto"/>
        </w:rPr>
        <w:t>The underwriters expect to deliver the notes to investors on or about , 2014 only in book-entry form through the facilities of The Depository Trust Company and its participants, including Clearstream Banking, société anonyme, and Euroclear Bank S.A./N.V., as operator of the Euroclear System.</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and Joint Lead Managers</w:t>
      </w:r>
    </w:p>
    <w:p>
      <w:pPr>
        <w:sectPr>
          <w:pgSz w:w="11900" w:h="16838" w:orient="portrait"/>
          <w:cols w:equalWidth="0" w:num="1">
            <w:col w:w="11420"/>
          </w:cols>
          <w:pgMar w:left="240" w:top="226" w:right="239" w:bottom="1440" w:gutter="0" w:footer="0" w:header="0"/>
          <w:type w:val="continuous"/>
        </w:sectPr>
      </w:pPr>
    </w:p>
    <w:p>
      <w:pPr>
        <w:spacing w:after="0" w:line="17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168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RBS</w:t>
      </w:r>
    </w:p>
    <w:p>
      <w:pPr>
        <w:spacing w:after="0" w:line="196" w:lineRule="exact"/>
        <w:rPr>
          <w:sz w:val="24"/>
          <w:szCs w:val="24"/>
          <w:color w:val="auto"/>
        </w:rPr>
      </w:pPr>
    </w:p>
    <w:p>
      <w:pPr>
        <w:sectPr>
          <w:pgSz w:w="11900" w:h="16838" w:orient="portrait"/>
          <w:cols w:equalWidth="0" w:num="3">
            <w:col w:w="5820" w:space="720"/>
            <w:col w:w="3480" w:space="720"/>
            <w:col w:w="680"/>
          </w:cols>
          <w:pgMar w:left="240" w:top="226" w:right="239" w:bottom="1440" w:gutter="0" w:footer="0" w:header="0"/>
          <w:type w:val="continuous"/>
        </w:sectPr>
      </w:pPr>
    </w:p>
    <w:p>
      <w:pPr>
        <w:ind w:left="5960"/>
        <w:spacing w:after="0"/>
        <w:rPr>
          <w:sz w:val="20"/>
          <w:szCs w:val="20"/>
          <w:color w:val="auto"/>
        </w:rPr>
      </w:pPr>
      <w:r>
        <w:rPr>
          <w:rFonts w:ascii="Arial" w:cs="Arial" w:eastAsia="Arial" w:hAnsi="Arial"/>
          <w:sz w:val="16"/>
          <w:szCs w:val="16"/>
          <w:color w:val="auto"/>
        </w:rPr>
        <w:t>, 2014</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firstLine="456"/>
        <w:spacing w:after="0"/>
        <w:rPr>
          <w:sz w:val="20"/>
          <w:szCs w:val="20"/>
          <w:color w:val="auto"/>
        </w:rPr>
      </w:pPr>
      <w:r>
        <w:rPr>
          <w:rFonts w:ascii="Arial" w:cs="Arial" w:eastAsia="Arial" w:hAnsi="Arial"/>
          <w:sz w:val="18"/>
          <w:szCs w:val="18"/>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40" w:type="dxa"/>
            <w:vAlign w:val="bottom"/>
            <w:gridSpan w:val="2"/>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2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0" w:type="dxa"/>
            <w:vAlign w:val="bottom"/>
            <w:vMerge w:val="restart"/>
          </w:tcPr>
          <w:p>
            <w:pPr>
              <w:jc w:val="right"/>
              <w:ind w:right="4132"/>
              <w:spacing w:after="0"/>
              <w:rPr>
                <w:sz w:val="20"/>
                <w:szCs w:val="20"/>
                <w:color w:val="auto"/>
              </w:rPr>
            </w:pPr>
            <w:r>
              <w:rPr>
                <w:rFonts w:ascii="Arial" w:cs="Arial" w:eastAsia="Arial" w:hAnsi="Arial"/>
                <w:sz w:val="18"/>
                <w:szCs w:val="18"/>
                <w:b w:val="1"/>
                <w:bCs w:val="1"/>
                <w:color w:val="auto"/>
              </w:rPr>
              <w:t>Prospectus supplement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760" w:type="dxa"/>
            <w:vAlign w:val="bottom"/>
            <w:gridSpan w:val="2"/>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Summary</w:t>
              </w:r>
            </w:hyperlink>
          </w:p>
        </w:tc>
        <w:tc>
          <w:tcPr>
            <w:tcW w:w="3120" w:type="dxa"/>
            <w:vAlign w:val="bottom"/>
            <w:gridSpan w:val="18"/>
            <w:vMerge w:val="restart"/>
          </w:tcPr>
          <w:p>
            <w:pPr>
              <w:spacing w:after="0"/>
              <w:rPr>
                <w:sz w:val="17"/>
                <w:szCs w:val="17"/>
                <w:color w:val="auto"/>
              </w:rPr>
            </w:pPr>
          </w:p>
        </w:tc>
        <w:tc>
          <w:tcPr>
            <w:tcW w:w="7000" w:type="dxa"/>
            <w:vAlign w:val="bottom"/>
            <w:vMerge w:val="continue"/>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57"/>
        </w:trPr>
        <w:tc>
          <w:tcPr>
            <w:tcW w:w="760" w:type="dxa"/>
            <w:vAlign w:val="bottom"/>
            <w:tcBorders>
              <w:bottom w:val="single" w:sz="8" w:color="0000EE"/>
            </w:tcBorders>
            <w:gridSpan w:val="2"/>
            <w:vMerge w:val="continue"/>
          </w:tcPr>
          <w:p>
            <w:pPr>
              <w:spacing w:after="0"/>
              <w:rPr>
                <w:sz w:val="13"/>
                <w:szCs w:val="13"/>
                <w:color w:val="auto"/>
              </w:rPr>
            </w:pPr>
          </w:p>
        </w:tc>
        <w:tc>
          <w:tcPr>
            <w:tcW w:w="3120" w:type="dxa"/>
            <w:vAlign w:val="bottom"/>
            <w:gridSpan w:val="18"/>
            <w:vMerge w:val="continue"/>
          </w:tcPr>
          <w:p>
            <w:pPr>
              <w:spacing w:after="0"/>
              <w:rPr>
                <w:sz w:val="13"/>
                <w:szCs w:val="13"/>
                <w:color w:val="auto"/>
              </w:rPr>
            </w:pPr>
          </w:p>
        </w:tc>
        <w:tc>
          <w:tcPr>
            <w:tcW w:w="70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1">
              <w:r>
                <w:rPr>
                  <w:rFonts w:ascii="Arial" w:cs="Arial" w:eastAsia="Arial" w:hAnsi="Arial"/>
                  <w:sz w:val="18"/>
                  <w:szCs w:val="18"/>
                  <w:color w:val="0000EE"/>
                </w:rPr>
                <w:t>Risk Factors</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S-9</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70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Capitalization</w:t>
              </w:r>
            </w:hyperlink>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83"/>
        </w:trPr>
        <w:tc>
          <w:tcPr>
            <w:tcW w:w="1060" w:type="dxa"/>
            <w:vAlign w:val="bottom"/>
            <w:tcBorders>
              <w:top w:val="single" w:sz="8" w:color="0000EE"/>
            </w:tcBorders>
            <w:gridSpan w:val="4"/>
          </w:tcPr>
          <w:p>
            <w:pPr>
              <w:spacing w:after="0" w:line="182"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Description of</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60" w:type="dxa"/>
            <w:vAlign w:val="bottom"/>
            <w:gridSpan w:val="14"/>
          </w:tcPr>
          <w:p>
            <w:pPr>
              <w:ind w:left="20"/>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Notes</w:t>
              </w:r>
            </w:hyperlink>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S-25</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Underwriting (Conflicts of Interest)</w:t>
              </w:r>
            </w:hyperlink>
          </w:p>
        </w:tc>
        <w:tc>
          <w:tcPr>
            <w:tcW w:w="70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S-29</w:t>
            </w:r>
          </w:p>
        </w:tc>
        <w:tc>
          <w:tcPr>
            <w:tcW w:w="0" w:type="dxa"/>
            <w:vAlign w:val="bottom"/>
          </w:tcPr>
          <w:p>
            <w:pPr>
              <w:spacing w:after="0" w:line="20" w:lineRule="exact"/>
              <w:rPr>
                <w:sz w:val="1"/>
                <w:szCs w:val="1"/>
                <w:color w:val="auto"/>
              </w:rPr>
            </w:pPr>
          </w:p>
        </w:tc>
      </w:tr>
      <w:tr>
        <w:trPr>
          <w:trHeight w:val="183"/>
        </w:trPr>
        <w:tc>
          <w:tcPr>
            <w:tcW w:w="388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Incorporation of Certain Documents by Reference</w:t>
              </w:r>
            </w:hyperlink>
          </w:p>
        </w:tc>
        <w:tc>
          <w:tcPr>
            <w:tcW w:w="70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gridSpan w:val="2"/>
          </w:tcPr>
          <w:p>
            <w:pPr>
              <w:jc w:val="right"/>
              <w:ind w:right="509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94"/>
        </w:trPr>
        <w:tc>
          <w:tcPr>
            <w:tcW w:w="3880" w:type="dxa"/>
            <w:vAlign w:val="bottom"/>
            <w:gridSpan w:val="20"/>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Forward-Looking Statements</w:t>
              </w:r>
            </w:hyperlink>
          </w:p>
        </w:tc>
        <w:tc>
          <w:tcPr>
            <w:tcW w:w="74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2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7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Incorporation of Certain</w:t>
              </w:r>
            </w:hyperlink>
          </w:p>
        </w:tc>
        <w:tc>
          <w:tcPr>
            <w:tcW w:w="20" w:type="dxa"/>
            <w:vAlign w:val="bottom"/>
            <w:tcBorders>
              <w:bottom w:val="single" w:sz="8" w:color="0000EE"/>
            </w:tcBorders>
          </w:tcPr>
          <w:p>
            <w:pPr>
              <w:spacing w:after="0"/>
              <w:rPr>
                <w:sz w:val="15"/>
                <w:szCs w:val="15"/>
                <w:color w:val="auto"/>
              </w:rPr>
            </w:pPr>
          </w:p>
        </w:tc>
        <w:tc>
          <w:tcPr>
            <w:tcW w:w="2080" w:type="dxa"/>
            <w:vAlign w:val="bottom"/>
            <w:tcBorders>
              <w:bottom w:val="single" w:sz="8" w:color="0000EE"/>
            </w:tcBorders>
            <w:gridSpan w:val="9"/>
          </w:tcPr>
          <w:p>
            <w:pPr>
              <w:ind w:left="100"/>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Documents by Reference</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The Company</w:t>
              </w:r>
            </w:hyperlink>
          </w:p>
        </w:tc>
        <w:tc>
          <w:tcPr>
            <w:tcW w:w="880" w:type="dxa"/>
            <w:vAlign w:val="bottom"/>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2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360" w:type="dxa"/>
            <w:vAlign w:val="bottom"/>
            <w:gridSpan w:val="2"/>
          </w:tcPr>
          <w:p>
            <w:pPr>
              <w:spacing w:after="0"/>
              <w:rPr>
                <w:sz w:val="15"/>
                <w:szCs w:val="15"/>
                <w:color w:val="auto"/>
              </w:rPr>
            </w:pPr>
          </w:p>
        </w:tc>
        <w:tc>
          <w:tcPr>
            <w:tcW w:w="32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7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1140" w:type="dxa"/>
            <w:vAlign w:val="bottom"/>
            <w:gridSpan w:val="2"/>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4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the Debt Securities</w:t>
              </w:r>
            </w:hyperlink>
          </w:p>
        </w:tc>
        <w:tc>
          <w:tcPr>
            <w:tcW w:w="7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Guarantees</w:t>
              </w:r>
            </w:hyperlink>
          </w:p>
        </w:tc>
        <w:tc>
          <w:tcPr>
            <w:tcW w:w="1260" w:type="dxa"/>
            <w:vAlign w:val="bottom"/>
            <w:gridSpan w:val="4"/>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74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Capital Stock</w:t>
              </w:r>
            </w:hyperlink>
          </w:p>
        </w:tc>
        <w:tc>
          <w:tcPr>
            <w:tcW w:w="7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74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Other Securities</w:t>
              </w:r>
            </w:hyperlink>
          </w:p>
        </w:tc>
        <w:tc>
          <w:tcPr>
            <w:tcW w:w="7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1500" w:type="dxa"/>
            <w:vAlign w:val="bottom"/>
            <w:gridSpan w:val="5"/>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480" w:type="dxa"/>
            <w:vAlign w:val="bottom"/>
            <w:gridSpan w:val="8"/>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44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3880" w:type="dxa"/>
            <w:vAlign w:val="bottom"/>
            <w:gridSpan w:val="20"/>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Selling Securityholders</w:t>
              </w:r>
            </w:hyperlink>
          </w:p>
        </w:tc>
        <w:tc>
          <w:tcPr>
            <w:tcW w:w="7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2080" w:type="dxa"/>
            <w:vAlign w:val="bottom"/>
            <w:gridSpan w:val="9"/>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2800" w:type="dxa"/>
            <w:vAlign w:val="bottom"/>
            <w:gridSpan w:val="15"/>
          </w:tcPr>
          <w:p>
            <w:pPr>
              <w:spacing w:after="0"/>
              <w:rPr>
                <w:sz w:val="15"/>
                <w:szCs w:val="15"/>
                <w:color w:val="auto"/>
              </w:rPr>
            </w:pPr>
          </w:p>
        </w:tc>
        <w:tc>
          <w:tcPr>
            <w:tcW w:w="7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017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0176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200" w:right="80" w:firstLine="443"/>
        <w:spacing w:after="0" w:line="286" w:lineRule="auto"/>
        <w:rPr>
          <w:sz w:val="20"/>
          <w:szCs w:val="20"/>
          <w:color w:val="auto"/>
        </w:rPr>
      </w:pPr>
      <w:r>
        <w:rPr>
          <w:rFonts w:ascii="Arial" w:cs="Arial" w:eastAsia="Arial" w:hAnsi="Arial"/>
          <w:sz w:val="16"/>
          <w:szCs w:val="16"/>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5" w:lineRule="exact"/>
        <w:rPr>
          <w:sz w:val="20"/>
          <w:szCs w:val="20"/>
          <w:color w:val="auto"/>
        </w:rPr>
      </w:pPr>
    </w:p>
    <w:p>
      <w:pPr>
        <w:ind w:left="200" w:right="380" w:firstLine="443"/>
        <w:spacing w:after="0" w:line="330"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160" w:lineRule="exact"/>
        <w:rPr>
          <w:sz w:val="20"/>
          <w:szCs w:val="20"/>
          <w:color w:val="auto"/>
        </w:rPr>
      </w:pPr>
    </w:p>
    <w:p>
      <w:pPr>
        <w:ind w:left="200" w:right="40" w:firstLine="443"/>
        <w:spacing w:after="0" w:line="241" w:lineRule="auto"/>
        <w:rPr>
          <w:sz w:val="20"/>
          <w:szCs w:val="20"/>
          <w:color w:val="auto"/>
        </w:rPr>
      </w:pPr>
      <w:r>
        <w:rPr>
          <w:rFonts w:ascii="Arial" w:cs="Arial" w:eastAsia="Arial" w:hAnsi="Arial"/>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offices are located at 1001 Fannin Street, Suite 4000, Houston, Texas 77002. Our telephone number at that address is</w:t>
      </w:r>
    </w:p>
    <w:p>
      <w:pPr>
        <w:spacing w:after="0" w:line="18" w:lineRule="exact"/>
        <w:rPr>
          <w:sz w:val="20"/>
          <w:szCs w:val="20"/>
          <w:color w:val="auto"/>
        </w:rPr>
      </w:pPr>
    </w:p>
    <w:p>
      <w:pPr>
        <w:ind w:left="200" w:hanging="3"/>
        <w:spacing w:after="0" w:line="238" w:lineRule="auto"/>
        <w:tabs>
          <w:tab w:leader="none" w:pos="658" w:val="left"/>
        </w:tabs>
        <w:numPr>
          <w:ilvl w:val="0"/>
          <w:numId w:val="1"/>
        </w:numPr>
        <w:rPr>
          <w:rFonts w:ascii="Arial" w:cs="Arial" w:eastAsia="Arial" w:hAnsi="Arial"/>
          <w:sz w:val="18"/>
          <w:szCs w:val="18"/>
          <w:color w:val="auto"/>
        </w:rPr>
      </w:pPr>
      <w:r>
        <w:rPr>
          <w:rFonts w:ascii="Arial" w:cs="Arial" w:eastAsia="Arial" w:hAnsi="Arial"/>
          <w:sz w:val="18"/>
          <w:szCs w:val="18"/>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Holdings, Inc.</w:t>
      </w:r>
    </w:p>
    <w:p>
      <w:pPr>
        <w:spacing w:after="0" w:line="160" w:lineRule="exact"/>
        <w:rPr>
          <w:sz w:val="20"/>
          <w:szCs w:val="20"/>
          <w:color w:val="auto"/>
        </w:rPr>
      </w:pPr>
    </w:p>
    <w:p>
      <w:pPr>
        <w:ind w:left="200" w:right="540" w:firstLine="443"/>
        <w:spacing w:after="0" w:line="252"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398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200" w:right="320" w:firstLine="443"/>
        <w:spacing w:after="0" w:line="251"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20" w:type="dxa"/>
            <w:vAlign w:val="bottom"/>
          </w:tcPr>
          <w:p>
            <w:pPr>
              <w:ind w:left="200"/>
              <w:spacing w:after="0"/>
              <w:rPr>
                <w:sz w:val="20"/>
                <w:szCs w:val="20"/>
                <w:color w:val="auto"/>
              </w:rPr>
            </w:pPr>
            <w:r>
              <w:rPr>
                <w:rFonts w:ascii="Arial" w:cs="Arial" w:eastAsia="Arial" w:hAnsi="Arial"/>
                <w:sz w:val="18"/>
                <w:szCs w:val="18"/>
                <w:color w:val="auto"/>
              </w:rPr>
              <w:t>Issuer</w:t>
            </w:r>
          </w:p>
        </w:tc>
        <w:tc>
          <w:tcPr>
            <w:tcW w:w="4720" w:type="dxa"/>
            <w:vAlign w:val="bottom"/>
            <w:gridSpan w:val="3"/>
          </w:tcPr>
          <w:p>
            <w:pPr>
              <w:ind w:left="1180"/>
              <w:spacing w:after="0"/>
              <w:rPr>
                <w:sz w:val="20"/>
                <w:szCs w:val="20"/>
                <w:color w:val="auto"/>
              </w:rPr>
            </w:pPr>
            <w:r>
              <w:rPr>
                <w:rFonts w:ascii="Arial" w:cs="Arial" w:eastAsia="Arial" w:hAnsi="Arial"/>
                <w:sz w:val="18"/>
                <w:szCs w:val="18"/>
                <w:color w:val="auto"/>
              </w:rPr>
              <w:t>Waste Management, Inc.</w:t>
            </w:r>
          </w:p>
        </w:tc>
        <w:tc>
          <w:tcPr>
            <w:tcW w:w="3520" w:type="dxa"/>
            <w:vAlign w:val="bottom"/>
          </w:tcPr>
          <w:p>
            <w:pPr>
              <w:spacing w:after="0"/>
              <w:rPr>
                <w:sz w:val="20"/>
                <w:szCs w:val="20"/>
                <w:color w:val="auto"/>
              </w:rPr>
            </w:pP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3400" w:type="dxa"/>
            <w:vAlign w:val="bottom"/>
            <w:gridSpan w:val="2"/>
          </w:tcPr>
          <w:p>
            <w:pPr>
              <w:ind w:left="400"/>
              <w:spacing w:after="0"/>
              <w:rPr>
                <w:sz w:val="20"/>
                <w:szCs w:val="20"/>
                <w:color w:val="auto"/>
              </w:rPr>
            </w:pPr>
            <w:r>
              <w:rPr>
                <w:rFonts w:ascii="Arial" w:cs="Arial" w:eastAsia="Arial" w:hAnsi="Arial"/>
                <w:sz w:val="18"/>
                <w:szCs w:val="18"/>
                <w:color w:val="auto"/>
              </w:rPr>
              <w:t>million aggregate principal amount of</w:t>
            </w:r>
          </w:p>
        </w:tc>
        <w:tc>
          <w:tcPr>
            <w:tcW w:w="3520" w:type="dxa"/>
            <w:vAlign w:val="bottom"/>
          </w:tcPr>
          <w:p>
            <w:pPr>
              <w:jc w:val="right"/>
              <w:ind w:right="1332"/>
              <w:spacing w:after="0"/>
              <w:rPr>
                <w:sz w:val="20"/>
                <w:szCs w:val="20"/>
                <w:color w:val="auto"/>
              </w:rPr>
            </w:pPr>
            <w:r>
              <w:rPr>
                <w:rFonts w:ascii="Arial" w:cs="Arial" w:eastAsia="Arial" w:hAnsi="Arial"/>
                <w:sz w:val="18"/>
                <w:szCs w:val="18"/>
                <w:color w:val="auto"/>
              </w:rPr>
              <w:t>% Senior Notes due 2024</w:t>
            </w:r>
          </w:p>
        </w:tc>
      </w:tr>
      <w:tr>
        <w:trPr>
          <w:trHeight w:val="384"/>
        </w:trPr>
        <w:tc>
          <w:tcPr>
            <w:tcW w:w="3220" w:type="dxa"/>
            <w:vAlign w:val="bottom"/>
          </w:tcPr>
          <w:p>
            <w:pPr>
              <w:ind w:left="200"/>
              <w:spacing w:after="0"/>
              <w:rPr>
                <w:sz w:val="20"/>
                <w:szCs w:val="20"/>
                <w:color w:val="auto"/>
              </w:rPr>
            </w:pPr>
            <w:r>
              <w:rPr>
                <w:rFonts w:ascii="Arial" w:cs="Arial" w:eastAsia="Arial" w:hAnsi="Arial"/>
                <w:sz w:val="18"/>
                <w:szCs w:val="18"/>
                <w:color w:val="auto"/>
              </w:rPr>
              <w:t>Subsidiary Guarantee</w:t>
            </w: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WM Holdings will fully and unconditionally guarantee, on a senior unsecured basis, the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full and prompt payment of the principal and any premium and interest on the notes,</w:t>
            </w:r>
          </w:p>
        </w:tc>
      </w:tr>
      <w:tr>
        <w:trPr>
          <w:trHeight w:val="237"/>
        </w:trPr>
        <w:tc>
          <w:tcPr>
            <w:tcW w:w="3220" w:type="dxa"/>
            <w:vAlign w:val="bottom"/>
          </w:tcPr>
          <w:p>
            <w:pPr>
              <w:spacing w:after="0"/>
              <w:rPr>
                <w:sz w:val="20"/>
                <w:szCs w:val="20"/>
                <w:color w:val="auto"/>
              </w:rPr>
            </w:pP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when and as they become due and payable, whether at maturity or otherwise.</w:t>
            </w:r>
          </w:p>
        </w:tc>
      </w:tr>
      <w:tr>
        <w:trPr>
          <w:trHeight w:val="405"/>
        </w:trPr>
        <w:tc>
          <w:tcPr>
            <w:tcW w:w="322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1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 2024</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1320" w:type="dxa"/>
            <w:vAlign w:val="bottom"/>
          </w:tcPr>
          <w:p>
            <w:pPr>
              <w:spacing w:after="0"/>
              <w:rPr>
                <w:sz w:val="24"/>
                <w:szCs w:val="24"/>
                <w:color w:val="auto"/>
              </w:rPr>
            </w:pPr>
          </w:p>
        </w:tc>
        <w:tc>
          <w:tcPr>
            <w:tcW w:w="1400" w:type="dxa"/>
            <w:vAlign w:val="bottom"/>
          </w:tcPr>
          <w:p>
            <w:pPr>
              <w:jc w:val="right"/>
              <w:ind w:right="412"/>
              <w:spacing w:after="0"/>
              <w:rPr>
                <w:sz w:val="20"/>
                <w:szCs w:val="20"/>
                <w:color w:val="auto"/>
              </w:rPr>
            </w:pPr>
            <w:r>
              <w:rPr>
                <w:rFonts w:ascii="Arial" w:cs="Arial" w:eastAsia="Arial" w:hAnsi="Arial"/>
                <w:sz w:val="18"/>
                <w:szCs w:val="18"/>
                <w:color w:val="auto"/>
              </w:rPr>
              <w:t>% per year</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19"/>
        </w:trPr>
        <w:tc>
          <w:tcPr>
            <w:tcW w:w="32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1320" w:type="dxa"/>
            <w:vAlign w:val="bottom"/>
          </w:tcPr>
          <w:p>
            <w:pPr>
              <w:spacing w:after="0"/>
              <w:rPr>
                <w:sz w:val="24"/>
                <w:szCs w:val="24"/>
                <w:color w:val="auto"/>
              </w:rPr>
            </w:pPr>
          </w:p>
        </w:tc>
        <w:tc>
          <w:tcPr>
            <w:tcW w:w="1400" w:type="dxa"/>
            <w:vAlign w:val="bottom"/>
          </w:tcPr>
          <w:p>
            <w:pPr>
              <w:jc w:val="right"/>
              <w:ind w:right="532"/>
              <w:spacing w:after="0"/>
              <w:rPr>
                <w:sz w:val="20"/>
                <w:szCs w:val="20"/>
                <w:color w:val="auto"/>
              </w:rPr>
            </w:pPr>
            <w:r>
              <w:rPr>
                <w:rFonts w:ascii="Arial" w:cs="Arial" w:eastAsia="Arial" w:hAnsi="Arial"/>
                <w:sz w:val="18"/>
                <w:szCs w:val="18"/>
                <w:color w:val="auto"/>
              </w:rPr>
              <w:t>and</w:t>
            </w:r>
          </w:p>
        </w:tc>
        <w:tc>
          <w:tcPr>
            <w:tcW w:w="2000" w:type="dxa"/>
            <w:vAlign w:val="bottom"/>
          </w:tcPr>
          <w:p>
            <w:pPr>
              <w:ind w:left="60"/>
              <w:spacing w:after="0"/>
              <w:rPr>
                <w:sz w:val="20"/>
                <w:szCs w:val="20"/>
                <w:color w:val="auto"/>
              </w:rPr>
            </w:pPr>
            <w:r>
              <w:rPr>
                <w:rFonts w:ascii="Arial" w:cs="Arial" w:eastAsia="Arial" w:hAnsi="Arial"/>
                <w:sz w:val="18"/>
                <w:szCs w:val="18"/>
                <w:color w:val="auto"/>
              </w:rPr>
              <w:t>of each year, beginning</w:t>
            </w:r>
          </w:p>
        </w:tc>
        <w:tc>
          <w:tcPr>
            <w:tcW w:w="3520" w:type="dxa"/>
            <w:vAlign w:val="bottom"/>
          </w:tcPr>
          <w:p>
            <w:pPr>
              <w:jc w:val="right"/>
              <w:ind w:right="1992"/>
              <w:spacing w:after="0"/>
              <w:rPr>
                <w:sz w:val="20"/>
                <w:szCs w:val="20"/>
                <w:color w:val="auto"/>
              </w:rPr>
            </w:pPr>
            <w:r>
              <w:rPr>
                <w:rFonts w:ascii="Arial" w:cs="Arial" w:eastAsia="Arial" w:hAnsi="Arial"/>
                <w:sz w:val="18"/>
                <w:szCs w:val="18"/>
                <w:color w:val="auto"/>
              </w:rPr>
              <w:t>, 2014.</w:t>
            </w:r>
          </w:p>
        </w:tc>
      </w:tr>
      <w:tr>
        <w:trPr>
          <w:trHeight w:val="384"/>
        </w:trPr>
        <w:tc>
          <w:tcPr>
            <w:tcW w:w="32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We may elect to redeem and repay any or all of the notes at any time in minimum</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principal amounts of $2,000 or any integral multiple of $1,000 in excess thereof. If we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elect to redeem and repay the notes before the date that is three months prior to the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maturity date, we will pay an amount equal to the greater of 100% of the principal</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amount of the notes redeemed and repaid, or the sum of the present values of the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remaining scheduled payments of principal and interest on the notes. If we elect to</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redeem and repay the notes on or after the date that is three months prior to the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maturity date, we will pay an amount equal to 100% of the principal amount of the notes</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redeemed and repaid. We will pay accrued interest on the notes redeemed to the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redemption date. See “Description of Notes—Optional redemption” in this prospectus</w:t>
            </w:r>
          </w:p>
        </w:tc>
      </w:tr>
      <w:tr>
        <w:trPr>
          <w:trHeight w:val="237"/>
        </w:trPr>
        <w:tc>
          <w:tcPr>
            <w:tcW w:w="3220" w:type="dxa"/>
            <w:vAlign w:val="bottom"/>
          </w:tcPr>
          <w:p>
            <w:pPr>
              <w:spacing w:after="0"/>
              <w:rPr>
                <w:sz w:val="20"/>
                <w:szCs w:val="20"/>
                <w:color w:val="auto"/>
              </w:rPr>
            </w:pPr>
          </w:p>
        </w:tc>
        <w:tc>
          <w:tcPr>
            <w:tcW w:w="2720" w:type="dxa"/>
            <w:vAlign w:val="bottom"/>
            <w:gridSpan w:val="2"/>
          </w:tcPr>
          <w:p>
            <w:pPr>
              <w:ind w:left="1180"/>
              <w:spacing w:after="0"/>
              <w:rPr>
                <w:sz w:val="20"/>
                <w:szCs w:val="20"/>
                <w:color w:val="auto"/>
              </w:rPr>
            </w:pPr>
            <w:r>
              <w:rPr>
                <w:rFonts w:ascii="Arial" w:cs="Arial" w:eastAsia="Arial" w:hAnsi="Arial"/>
                <w:sz w:val="18"/>
                <w:szCs w:val="18"/>
                <w:color w:val="auto"/>
              </w:rPr>
              <w:t>supplement.</w:t>
            </w:r>
          </w:p>
        </w:tc>
        <w:tc>
          <w:tcPr>
            <w:tcW w:w="200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371"/>
        </w:trPr>
        <w:tc>
          <w:tcPr>
            <w:tcW w:w="32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If a change of control triggering event occurs, holders of the notes may require us to</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purchase all or a portion of such holders’ notes at a price equal to 101% of the principal</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amount, plus accrued interest, if any, to the date of purchase. See “Description of Notes</w:t>
            </w:r>
          </w:p>
        </w:tc>
      </w:tr>
      <w:tr>
        <w:trPr>
          <w:trHeight w:val="237"/>
        </w:trPr>
        <w:tc>
          <w:tcPr>
            <w:tcW w:w="3220" w:type="dxa"/>
            <w:vAlign w:val="bottom"/>
          </w:tcPr>
          <w:p>
            <w:pPr>
              <w:spacing w:after="0"/>
              <w:rPr>
                <w:sz w:val="20"/>
                <w:szCs w:val="20"/>
                <w:color w:val="auto"/>
              </w:rPr>
            </w:pP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—Change of control offer” in this prospectus supplement.</w:t>
            </w:r>
          </w:p>
        </w:tc>
      </w:tr>
      <w:tr>
        <w:trPr>
          <w:trHeight w:val="371"/>
        </w:trPr>
        <w:tc>
          <w:tcPr>
            <w:tcW w:w="32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The notes and the guarantees will constitute the senior unsecured debt of Waste</w:t>
            </w:r>
          </w:p>
        </w:tc>
      </w:tr>
      <w:tr>
        <w:trPr>
          <w:trHeight w:val="203"/>
        </w:trPr>
        <w:tc>
          <w:tcPr>
            <w:tcW w:w="3220" w:type="dxa"/>
            <w:vAlign w:val="bottom"/>
          </w:tcPr>
          <w:p>
            <w:pPr>
              <w:spacing w:after="0"/>
              <w:rPr>
                <w:sz w:val="17"/>
                <w:szCs w:val="17"/>
                <w:color w:val="auto"/>
              </w:rPr>
            </w:pPr>
          </w:p>
        </w:tc>
        <w:tc>
          <w:tcPr>
            <w:tcW w:w="8240" w:type="dxa"/>
            <w:vAlign w:val="bottom"/>
            <w:gridSpan w:val="4"/>
          </w:tcPr>
          <w:p>
            <w:pPr>
              <w:ind w:left="1180"/>
              <w:spacing w:after="0" w:line="202" w:lineRule="exact"/>
              <w:rPr>
                <w:sz w:val="20"/>
                <w:szCs w:val="20"/>
                <w:color w:val="auto"/>
              </w:rPr>
            </w:pPr>
            <w:r>
              <w:rPr>
                <w:rFonts w:ascii="Arial" w:cs="Arial" w:eastAsia="Arial" w:hAnsi="Arial"/>
                <w:sz w:val="18"/>
                <w:szCs w:val="18"/>
                <w:color w:val="auto"/>
              </w:rPr>
              <w:t>Management, Inc. and WM Holdings, respectively, and will rank equally with all of our</w:t>
            </w:r>
          </w:p>
        </w:tc>
      </w:tr>
      <w:tr>
        <w:trPr>
          <w:trHeight w:val="237"/>
        </w:trPr>
        <w:tc>
          <w:tcPr>
            <w:tcW w:w="3220" w:type="dxa"/>
            <w:vAlign w:val="bottom"/>
          </w:tcPr>
          <w:p>
            <w:pPr>
              <w:spacing w:after="0"/>
              <w:rPr>
                <w:sz w:val="20"/>
                <w:szCs w:val="20"/>
                <w:color w:val="auto"/>
              </w:rPr>
            </w:pPr>
          </w:p>
        </w:tc>
        <w:tc>
          <w:tcPr>
            <w:tcW w:w="8240" w:type="dxa"/>
            <w:vAlign w:val="bottom"/>
            <w:gridSpan w:val="4"/>
          </w:tcPr>
          <w:p>
            <w:pPr>
              <w:ind w:left="1180"/>
              <w:spacing w:after="0"/>
              <w:rPr>
                <w:sz w:val="20"/>
                <w:szCs w:val="20"/>
                <w:color w:val="auto"/>
              </w:rPr>
            </w:pPr>
            <w:r>
              <w:rPr>
                <w:rFonts w:ascii="Arial" w:cs="Arial" w:eastAsia="Arial" w:hAnsi="Arial"/>
                <w:sz w:val="18"/>
                <w:szCs w:val="18"/>
                <w:color w:val="auto"/>
              </w:rPr>
              <w:t>and its other existing and future senior indebtedness from time to time outstanding.</w:t>
            </w:r>
          </w:p>
        </w:tc>
      </w:tr>
      <w:tr>
        <w:trPr>
          <w:trHeight w:val="143"/>
        </w:trPr>
        <w:tc>
          <w:tcPr>
            <w:tcW w:w="3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r>
      <w:tr>
        <w:trPr>
          <w:trHeight w:val="363"/>
        </w:trPr>
        <w:tc>
          <w:tcPr>
            <w:tcW w:w="3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S-2</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60"/>
          </w:cols>
          <w:pgMar w:left="240" w:top="455" w:right="1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129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129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Arial" w:cs="Arial" w:eastAsia="Arial" w:hAnsi="Arial"/>
                <w:sz w:val="18"/>
                <w:szCs w:val="18"/>
                <w:color w:val="auto"/>
              </w:rPr>
              <w:t>Covenants</w:t>
            </w:r>
          </w:p>
        </w:tc>
        <w:tc>
          <w:tcPr>
            <w:tcW w:w="8240" w:type="dxa"/>
            <w:vAlign w:val="bottom"/>
            <w:gridSpan w:val="3"/>
          </w:tcPr>
          <w:p>
            <w:pPr>
              <w:ind w:left="1440"/>
              <w:spacing w:after="0"/>
              <w:rPr>
                <w:sz w:val="20"/>
                <w:szCs w:val="20"/>
                <w:color w:val="auto"/>
              </w:rPr>
            </w:pPr>
            <w:r>
              <w:rPr>
                <w:rFonts w:ascii="Arial" w:cs="Arial" w:eastAsia="Arial" w:hAnsi="Arial"/>
                <w:sz w:val="18"/>
                <w:szCs w:val="18"/>
                <w:color w:val="auto"/>
                <w:w w:val="97"/>
              </w:rPr>
              <w:t>We will issue the notes under an indenture containing covenants for your benefit. These</w:t>
            </w:r>
          </w:p>
        </w:tc>
      </w:tr>
      <w:tr>
        <w:trPr>
          <w:trHeight w:val="237"/>
        </w:trPr>
        <w:tc>
          <w:tcPr>
            <w:tcW w:w="2760" w:type="dxa"/>
            <w:vAlign w:val="bottom"/>
          </w:tcPr>
          <w:p>
            <w:pPr>
              <w:spacing w:after="0"/>
              <w:rPr>
                <w:sz w:val="20"/>
                <w:szCs w:val="20"/>
                <w:color w:val="auto"/>
              </w:rPr>
            </w:pP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covenants restrict our ability, with certain exceptions, to:</w:t>
            </w:r>
          </w:p>
        </w:tc>
        <w:tc>
          <w:tcPr>
            <w:tcW w:w="1420" w:type="dxa"/>
            <w:vAlign w:val="bottom"/>
          </w:tcPr>
          <w:p>
            <w:pPr>
              <w:spacing w:after="0"/>
              <w:rPr>
                <w:sz w:val="20"/>
                <w:szCs w:val="20"/>
                <w:color w:val="auto"/>
              </w:rPr>
            </w:pPr>
          </w:p>
        </w:tc>
      </w:tr>
      <w:tr>
        <w:trPr>
          <w:trHeight w:val="284"/>
        </w:trPr>
        <w:tc>
          <w:tcPr>
            <w:tcW w:w="2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Arial" w:cs="Arial" w:eastAsia="Arial" w:hAnsi="Arial"/>
                <w:sz w:val="18"/>
                <w:szCs w:val="18"/>
                <w:color w:val="auto"/>
              </w:rPr>
              <w:t>•</w:t>
            </w:r>
          </w:p>
        </w:tc>
        <w:tc>
          <w:tcPr>
            <w:tcW w:w="5220" w:type="dxa"/>
            <w:vAlign w:val="bottom"/>
          </w:tcPr>
          <w:p>
            <w:pPr>
              <w:ind w:left="60"/>
              <w:spacing w:after="0"/>
              <w:rPr>
                <w:sz w:val="20"/>
                <w:szCs w:val="20"/>
                <w:color w:val="auto"/>
              </w:rPr>
            </w:pPr>
            <w:r>
              <w:rPr>
                <w:rFonts w:ascii="Arial" w:cs="Arial" w:eastAsia="Arial" w:hAnsi="Arial"/>
                <w:sz w:val="18"/>
                <w:szCs w:val="18"/>
                <w:color w:val="auto"/>
              </w:rPr>
              <w:t>create, incur or assume debt secured by liens;</w:t>
            </w:r>
          </w:p>
        </w:tc>
        <w:tc>
          <w:tcPr>
            <w:tcW w:w="1420" w:type="dxa"/>
            <w:vAlign w:val="bottom"/>
          </w:tcPr>
          <w:p>
            <w:pPr>
              <w:spacing w:after="0"/>
              <w:rPr>
                <w:sz w:val="24"/>
                <w:szCs w:val="24"/>
                <w:color w:val="auto"/>
              </w:rPr>
            </w:pPr>
          </w:p>
        </w:tc>
      </w:tr>
      <w:tr>
        <w:trPr>
          <w:trHeight w:val="284"/>
        </w:trPr>
        <w:tc>
          <w:tcPr>
            <w:tcW w:w="2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Arial" w:cs="Arial" w:eastAsia="Arial" w:hAnsi="Arial"/>
                <w:sz w:val="18"/>
                <w:szCs w:val="18"/>
                <w:color w:val="auto"/>
              </w:rPr>
              <w:t>•</w:t>
            </w:r>
          </w:p>
        </w:tc>
        <w:tc>
          <w:tcPr>
            <w:tcW w:w="5220" w:type="dxa"/>
            <w:vAlign w:val="bottom"/>
          </w:tcPr>
          <w:p>
            <w:pPr>
              <w:ind w:left="60"/>
              <w:spacing w:after="0"/>
              <w:rPr>
                <w:sz w:val="20"/>
                <w:szCs w:val="20"/>
                <w:color w:val="auto"/>
              </w:rPr>
            </w:pPr>
            <w:r>
              <w:rPr>
                <w:rFonts w:ascii="Arial" w:cs="Arial" w:eastAsia="Arial" w:hAnsi="Arial"/>
                <w:sz w:val="18"/>
                <w:szCs w:val="18"/>
                <w:color w:val="auto"/>
              </w:rPr>
              <w:t>engage in sale and leaseback transactions; and</w:t>
            </w:r>
          </w:p>
        </w:tc>
        <w:tc>
          <w:tcPr>
            <w:tcW w:w="1420" w:type="dxa"/>
            <w:vAlign w:val="bottom"/>
          </w:tcPr>
          <w:p>
            <w:pPr>
              <w:spacing w:after="0"/>
              <w:rPr>
                <w:sz w:val="24"/>
                <w:szCs w:val="24"/>
                <w:color w:val="auto"/>
              </w:rPr>
            </w:pPr>
          </w:p>
        </w:tc>
      </w:tr>
      <w:tr>
        <w:trPr>
          <w:trHeight w:val="284"/>
        </w:trPr>
        <w:tc>
          <w:tcPr>
            <w:tcW w:w="2760" w:type="dxa"/>
            <w:vAlign w:val="bottom"/>
          </w:tcPr>
          <w:p>
            <w:pPr>
              <w:spacing w:after="0"/>
              <w:rPr>
                <w:sz w:val="24"/>
                <w:szCs w:val="24"/>
                <w:color w:val="auto"/>
              </w:rPr>
            </w:pPr>
          </w:p>
        </w:tc>
        <w:tc>
          <w:tcPr>
            <w:tcW w:w="1600" w:type="dxa"/>
            <w:vAlign w:val="bottom"/>
          </w:tcPr>
          <w:p>
            <w:pPr>
              <w:ind w:left="1480"/>
              <w:spacing w:after="0"/>
              <w:rPr>
                <w:sz w:val="20"/>
                <w:szCs w:val="20"/>
                <w:color w:val="auto"/>
              </w:rPr>
            </w:pPr>
            <w:r>
              <w:rPr>
                <w:rFonts w:ascii="Arial" w:cs="Arial" w:eastAsia="Arial" w:hAnsi="Arial"/>
                <w:sz w:val="18"/>
                <w:szCs w:val="18"/>
                <w:color w:val="auto"/>
              </w:rPr>
              <w:t>•</w:t>
            </w:r>
          </w:p>
        </w:tc>
        <w:tc>
          <w:tcPr>
            <w:tcW w:w="5220" w:type="dxa"/>
            <w:vAlign w:val="bottom"/>
          </w:tcPr>
          <w:p>
            <w:pPr>
              <w:ind w:left="60"/>
              <w:spacing w:after="0"/>
              <w:rPr>
                <w:sz w:val="20"/>
                <w:szCs w:val="20"/>
                <w:color w:val="auto"/>
              </w:rPr>
            </w:pPr>
            <w:r>
              <w:rPr>
                <w:rFonts w:ascii="Arial" w:cs="Arial" w:eastAsia="Arial" w:hAnsi="Arial"/>
                <w:sz w:val="18"/>
                <w:szCs w:val="18"/>
                <w:color w:val="auto"/>
                <w:w w:val="99"/>
              </w:rPr>
              <w:t>merge, consolidate or transfer all or substantially all of our assets</w:t>
            </w:r>
          </w:p>
        </w:tc>
        <w:tc>
          <w:tcPr>
            <w:tcW w:w="1420" w:type="dxa"/>
            <w:vAlign w:val="bottom"/>
          </w:tcPr>
          <w:p>
            <w:pPr>
              <w:spacing w:after="0"/>
              <w:rPr>
                <w:sz w:val="24"/>
                <w:szCs w:val="24"/>
                <w:color w:val="auto"/>
              </w:rPr>
            </w:pPr>
          </w:p>
        </w:tc>
      </w:tr>
      <w:tr>
        <w:trPr>
          <w:trHeight w:val="371"/>
        </w:trPr>
        <w:tc>
          <w:tcPr>
            <w:tcW w:w="2760" w:type="dxa"/>
            <w:vAlign w:val="bottom"/>
          </w:tcPr>
          <w:p>
            <w:pPr>
              <w:spacing w:after="0"/>
              <w:rPr>
                <w:sz w:val="20"/>
                <w:szCs w:val="20"/>
                <w:color w:val="auto"/>
              </w:rPr>
            </w:pPr>
            <w:r>
              <w:rPr>
                <w:rFonts w:ascii="Arial" w:cs="Arial" w:eastAsia="Arial" w:hAnsi="Arial"/>
                <w:sz w:val="18"/>
                <w:szCs w:val="18"/>
                <w:color w:val="auto"/>
              </w:rPr>
              <w:t>Use of Proceeds</w:t>
            </w: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We expect the net proceeds from the offering of the notes to be $</w:t>
            </w:r>
          </w:p>
        </w:tc>
        <w:tc>
          <w:tcPr>
            <w:tcW w:w="1420" w:type="dxa"/>
            <w:vAlign w:val="bottom"/>
          </w:tcPr>
          <w:p>
            <w:pPr>
              <w:ind w:left="120"/>
              <w:spacing w:after="0"/>
              <w:rPr>
                <w:sz w:val="20"/>
                <w:szCs w:val="20"/>
                <w:color w:val="auto"/>
              </w:rPr>
            </w:pPr>
            <w:r>
              <w:rPr>
                <w:rFonts w:ascii="Arial" w:cs="Arial" w:eastAsia="Arial" w:hAnsi="Arial"/>
                <w:sz w:val="18"/>
                <w:szCs w:val="18"/>
                <w:color w:val="auto"/>
              </w:rPr>
              <w:t>million, after</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w w:val="98"/>
              </w:rPr>
              <w:t>deducting the underwriting discount and estimated expenses of the offering that we will</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w w:val="97"/>
              </w:rPr>
              <w:t>pay. We intend to use all of the net proceeds from the offering of the notes to pay down</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w w:val="98"/>
              </w:rPr>
              <w:t>borrowings under our revolving credit facility. See “Use of Proceeds” in this prospectus</w:t>
            </w:r>
          </w:p>
        </w:tc>
      </w:tr>
      <w:tr>
        <w:trPr>
          <w:trHeight w:val="237"/>
        </w:trPr>
        <w:tc>
          <w:tcPr>
            <w:tcW w:w="2760" w:type="dxa"/>
            <w:vAlign w:val="bottom"/>
          </w:tcPr>
          <w:p>
            <w:pPr>
              <w:spacing w:after="0"/>
              <w:rPr>
                <w:sz w:val="20"/>
                <w:szCs w:val="20"/>
                <w:color w:val="auto"/>
              </w:rPr>
            </w:pP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supplement.</w:t>
            </w:r>
          </w:p>
        </w:tc>
        <w:tc>
          <w:tcPr>
            <w:tcW w:w="1420" w:type="dxa"/>
            <w:vAlign w:val="bottom"/>
          </w:tcPr>
          <w:p>
            <w:pPr>
              <w:spacing w:after="0"/>
              <w:rPr>
                <w:sz w:val="20"/>
                <w:szCs w:val="20"/>
                <w:color w:val="auto"/>
              </w:rPr>
            </w:pPr>
          </w:p>
        </w:tc>
      </w:tr>
      <w:tr>
        <w:trPr>
          <w:trHeight w:val="371"/>
        </w:trPr>
        <w:tc>
          <w:tcPr>
            <w:tcW w:w="2760" w:type="dxa"/>
            <w:vAlign w:val="bottom"/>
          </w:tcPr>
          <w:p>
            <w:pPr>
              <w:spacing w:after="0"/>
              <w:rPr>
                <w:sz w:val="24"/>
                <w:szCs w:val="24"/>
                <w:color w:val="auto"/>
              </w:rPr>
            </w:pPr>
          </w:p>
        </w:tc>
        <w:tc>
          <w:tcPr>
            <w:tcW w:w="8240" w:type="dxa"/>
            <w:vAlign w:val="bottom"/>
            <w:gridSpan w:val="3"/>
          </w:tcPr>
          <w:p>
            <w:pPr>
              <w:ind w:left="1440"/>
              <w:spacing w:after="0"/>
              <w:rPr>
                <w:sz w:val="20"/>
                <w:szCs w:val="20"/>
                <w:color w:val="auto"/>
              </w:rPr>
            </w:pPr>
            <w:r>
              <w:rPr>
                <w:rFonts w:ascii="Arial" w:cs="Arial" w:eastAsia="Arial" w:hAnsi="Arial"/>
                <w:sz w:val="18"/>
                <w:szCs w:val="18"/>
                <w:color w:val="auto"/>
                <w:w w:val="96"/>
              </w:rPr>
              <w:t>Certain affiliates of Deutsche Bank Securities Inc., J.P. Morgan Securities LLC and RBS</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w w:val="99"/>
              </w:rPr>
              <w:t>Securities Inc. are lenders to us under our revolving credit facility and may receive 5%</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rPr>
              <w:t>or more of the net proceeds of this offering by reason of the repayment of amounts</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w w:val="99"/>
              </w:rPr>
              <w:t>outstanding under such credit facilities. Accordingly, such underwriters are deemed to</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rPr>
              <w:t>have a “conflict of interest” within the meaning of Rule 5121, and this offering will be</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w w:val="98"/>
              </w:rPr>
              <w:t>conducted in accordance with Rule 5121. No underwriter with a “conflict of interest” will</w:t>
            </w:r>
          </w:p>
        </w:tc>
      </w:tr>
      <w:tr>
        <w:trPr>
          <w:trHeight w:val="203"/>
        </w:trPr>
        <w:tc>
          <w:tcPr>
            <w:tcW w:w="2760" w:type="dxa"/>
            <w:vAlign w:val="bottom"/>
          </w:tcPr>
          <w:p>
            <w:pPr>
              <w:spacing w:after="0"/>
              <w:rPr>
                <w:sz w:val="17"/>
                <w:szCs w:val="17"/>
                <w:color w:val="auto"/>
              </w:rPr>
            </w:pPr>
          </w:p>
        </w:tc>
        <w:tc>
          <w:tcPr>
            <w:tcW w:w="8240" w:type="dxa"/>
            <w:vAlign w:val="bottom"/>
            <w:gridSpan w:val="3"/>
          </w:tcPr>
          <w:p>
            <w:pPr>
              <w:ind w:left="1440"/>
              <w:spacing w:after="0" w:line="202" w:lineRule="exact"/>
              <w:rPr>
                <w:sz w:val="20"/>
                <w:szCs w:val="20"/>
                <w:color w:val="auto"/>
              </w:rPr>
            </w:pPr>
            <w:r>
              <w:rPr>
                <w:rFonts w:ascii="Arial" w:cs="Arial" w:eastAsia="Arial" w:hAnsi="Arial"/>
                <w:sz w:val="18"/>
                <w:szCs w:val="18"/>
                <w:color w:val="auto"/>
              </w:rPr>
              <w:t>confirm sales to any account over which it exercises discretion without the specific</w:t>
            </w:r>
          </w:p>
        </w:tc>
      </w:tr>
      <w:tr>
        <w:trPr>
          <w:trHeight w:val="237"/>
        </w:trPr>
        <w:tc>
          <w:tcPr>
            <w:tcW w:w="2760" w:type="dxa"/>
            <w:vAlign w:val="bottom"/>
          </w:tcPr>
          <w:p>
            <w:pPr>
              <w:spacing w:after="0"/>
              <w:rPr>
                <w:sz w:val="20"/>
                <w:szCs w:val="20"/>
                <w:color w:val="auto"/>
              </w:rPr>
            </w:pP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written approval of the account holder.</w:t>
            </w:r>
          </w:p>
        </w:tc>
        <w:tc>
          <w:tcPr>
            <w:tcW w:w="1420" w:type="dxa"/>
            <w:vAlign w:val="bottom"/>
          </w:tcPr>
          <w:p>
            <w:pPr>
              <w:spacing w:after="0"/>
              <w:rPr>
                <w:sz w:val="20"/>
                <w:szCs w:val="20"/>
                <w:color w:val="auto"/>
              </w:rPr>
            </w:pPr>
          </w:p>
        </w:tc>
      </w:tr>
      <w:tr>
        <w:trPr>
          <w:trHeight w:val="405"/>
        </w:trPr>
        <w:tc>
          <w:tcPr>
            <w:tcW w:w="2760" w:type="dxa"/>
            <w:vAlign w:val="bottom"/>
          </w:tcPr>
          <w:p>
            <w:pPr>
              <w:spacing w:after="0"/>
              <w:rPr>
                <w:sz w:val="20"/>
                <w:szCs w:val="20"/>
                <w:color w:val="auto"/>
              </w:rPr>
            </w:pPr>
            <w:r>
              <w:rPr>
                <w:rFonts w:ascii="Arial" w:cs="Arial" w:eastAsia="Arial" w:hAnsi="Arial"/>
                <w:sz w:val="18"/>
                <w:szCs w:val="18"/>
                <w:color w:val="auto"/>
              </w:rPr>
              <w:t>Trustee</w:t>
            </w: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The Bank of New York Mellon Trust Company, N.A.</w:t>
            </w:r>
          </w:p>
        </w:tc>
        <w:tc>
          <w:tcPr>
            <w:tcW w:w="1420" w:type="dxa"/>
            <w:vAlign w:val="bottom"/>
          </w:tcPr>
          <w:p>
            <w:pPr>
              <w:spacing w:after="0"/>
              <w:rPr>
                <w:sz w:val="24"/>
                <w:szCs w:val="24"/>
                <w:color w:val="auto"/>
              </w:rPr>
            </w:pPr>
          </w:p>
        </w:tc>
      </w:tr>
      <w:tr>
        <w:trPr>
          <w:trHeight w:val="384"/>
        </w:trPr>
        <w:tc>
          <w:tcPr>
            <w:tcW w:w="2760" w:type="dxa"/>
            <w:vAlign w:val="bottom"/>
          </w:tcPr>
          <w:p>
            <w:pPr>
              <w:spacing w:after="0"/>
              <w:rPr>
                <w:sz w:val="20"/>
                <w:szCs w:val="20"/>
                <w:color w:val="auto"/>
              </w:rPr>
            </w:pPr>
            <w:r>
              <w:rPr>
                <w:rFonts w:ascii="Arial" w:cs="Arial" w:eastAsia="Arial" w:hAnsi="Arial"/>
                <w:sz w:val="18"/>
                <w:szCs w:val="18"/>
                <w:color w:val="auto"/>
              </w:rPr>
              <w:t>Additional Issues</w:t>
            </w:r>
          </w:p>
        </w:tc>
        <w:tc>
          <w:tcPr>
            <w:tcW w:w="8240" w:type="dxa"/>
            <w:vAlign w:val="bottom"/>
            <w:gridSpan w:val="3"/>
          </w:tcPr>
          <w:p>
            <w:pPr>
              <w:ind w:left="1440"/>
              <w:spacing w:after="0"/>
              <w:rPr>
                <w:sz w:val="20"/>
                <w:szCs w:val="20"/>
                <w:color w:val="auto"/>
              </w:rPr>
            </w:pPr>
            <w:r>
              <w:rPr>
                <w:rFonts w:ascii="Arial" w:cs="Arial" w:eastAsia="Arial" w:hAnsi="Arial"/>
                <w:sz w:val="18"/>
                <w:szCs w:val="18"/>
                <w:color w:val="auto"/>
              </w:rPr>
              <w:t>We may create and issue additional notes ranking equally and ratably with the notes</w:t>
            </w:r>
          </w:p>
        </w:tc>
      </w:tr>
      <w:tr>
        <w:trPr>
          <w:trHeight w:val="225"/>
        </w:trPr>
        <w:tc>
          <w:tcPr>
            <w:tcW w:w="2760" w:type="dxa"/>
            <w:vAlign w:val="bottom"/>
          </w:tcPr>
          <w:p>
            <w:pPr>
              <w:spacing w:after="0"/>
              <w:rPr>
                <w:sz w:val="19"/>
                <w:szCs w:val="19"/>
                <w:color w:val="auto"/>
              </w:rPr>
            </w:pPr>
          </w:p>
        </w:tc>
        <w:tc>
          <w:tcPr>
            <w:tcW w:w="8240" w:type="dxa"/>
            <w:vAlign w:val="bottom"/>
            <w:gridSpan w:val="3"/>
          </w:tcPr>
          <w:p>
            <w:pPr>
              <w:ind w:left="1440"/>
              <w:spacing w:after="0"/>
              <w:rPr>
                <w:sz w:val="20"/>
                <w:szCs w:val="20"/>
                <w:color w:val="auto"/>
              </w:rPr>
            </w:pPr>
            <w:r>
              <w:rPr>
                <w:rFonts w:ascii="Arial" w:cs="Arial" w:eastAsia="Arial" w:hAnsi="Arial"/>
                <w:sz w:val="18"/>
                <w:szCs w:val="18"/>
                <w:color w:val="auto"/>
                <w:w w:val="98"/>
              </w:rPr>
              <w:t>offered by this prospectus supplement in all respects, so that such additional notes will</w:t>
            </w:r>
          </w:p>
        </w:tc>
      </w:tr>
    </w:tbl>
    <w:p>
      <w:pPr>
        <w:ind w:left="4400" w:right="40"/>
        <w:spacing w:after="0" w:line="238" w:lineRule="auto"/>
        <w:rPr>
          <w:sz w:val="20"/>
          <w:szCs w:val="20"/>
          <w:color w:val="auto"/>
        </w:rPr>
      </w:pPr>
      <w:r>
        <w:rPr>
          <w:rFonts w:ascii="Arial" w:cs="Arial" w:eastAsia="Arial" w:hAnsi="Arial"/>
          <w:sz w:val="18"/>
          <w:szCs w:val="18"/>
          <w:color w:val="auto"/>
        </w:rPr>
        <w:t>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83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0" w:lineRule="exact"/>
        <w:rPr>
          <w:sz w:val="20"/>
          <w:szCs w:val="20"/>
          <w:color w:val="auto"/>
        </w:rPr>
      </w:pPr>
    </w:p>
    <w:p>
      <w:pPr>
        <w:jc w:val="both"/>
        <w:ind w:left="200" w:right="120" w:firstLine="443"/>
        <w:spacing w:after="0" w:line="273" w:lineRule="auto"/>
        <w:rPr>
          <w:sz w:val="20"/>
          <w:szCs w:val="20"/>
          <w:color w:val="auto"/>
        </w:rPr>
      </w:pPr>
      <w:r>
        <w:rPr>
          <w:rFonts w:ascii="Arial" w:cs="Arial" w:eastAsia="Arial" w:hAnsi="Arial"/>
          <w:sz w:val="16"/>
          <w:szCs w:val="16"/>
          <w:color w:val="auto"/>
        </w:rPr>
        <w:t>The following table sets forth our ratio of earnings to fixed charges for each of the periods indicated (dollars in millions). For purposes of computing these ratios, we have divided earnings available for fixed charges by fixed charges. Earnings available for fixed charges consist of consolidated earnings before taxes, cumulative effects of changes in accounting principles, losses in equity investments and fixed charges.</w:t>
      </w:r>
    </w:p>
    <w:p>
      <w:pPr>
        <w:spacing w:after="0" w:line="2" w:lineRule="exact"/>
        <w:rPr>
          <w:sz w:val="20"/>
          <w:szCs w:val="20"/>
          <w:color w:val="auto"/>
        </w:rPr>
      </w:pPr>
    </w:p>
    <w:p>
      <w:pPr>
        <w:ind w:left="200" w:right="600"/>
        <w:spacing w:after="0" w:line="244" w:lineRule="auto"/>
        <w:rPr>
          <w:sz w:val="20"/>
          <w:szCs w:val="20"/>
          <w:color w:val="auto"/>
        </w:rPr>
      </w:pPr>
      <w:r>
        <w:rPr>
          <w:rFonts w:ascii="Arial" w:cs="Arial" w:eastAsia="Arial" w:hAnsi="Arial"/>
          <w:sz w:val="18"/>
          <w:szCs w:val="18"/>
          <w:color w:val="auto"/>
        </w:rPr>
        <w:t>Fixed charges consist of interest expense, capitalized interest, and the portion of our operating lease rental expense that represents an interest factor, which we refer to as implicit interest in rents.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9"/>
            <w:vMerge w:val="restart"/>
          </w:tcPr>
          <w:p>
            <w:pPr>
              <w:jc w:val="center"/>
              <w:ind w:right="42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420"/>
              <w:spacing w:after="0" w:line="154" w:lineRule="exact"/>
              <w:rPr>
                <w:sz w:val="20"/>
                <w:szCs w:val="20"/>
                <w:color w:val="auto"/>
              </w:rPr>
            </w:pPr>
            <w:r>
              <w:rPr>
                <w:rFonts w:ascii="Arial" w:cs="Arial" w:eastAsia="Arial" w:hAnsi="Arial"/>
                <w:sz w:val="14"/>
                <w:szCs w:val="14"/>
                <w:b w:val="1"/>
                <w:bCs w:val="1"/>
                <w:color w:val="auto"/>
                <w:w w:val="98"/>
              </w:rPr>
              <w:t>Ended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9"/>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right="420"/>
              <w:spacing w:after="0" w:line="12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0"/>
                <w:szCs w:val="10"/>
                <w:color w:val="auto"/>
              </w:rPr>
            </w:pPr>
          </w:p>
        </w:tc>
        <w:tc>
          <w:tcPr>
            <w:tcW w:w="4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and losses in equity investments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3"/>
              </w:rPr>
              <w:t>1,350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1,557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1,656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1,475</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5740" w:type="dxa"/>
            <w:vAlign w:val="bottom"/>
          </w:tcPr>
          <w:p>
            <w:pPr>
              <w:ind w:left="440"/>
              <w:spacing w:after="0" w:line="202" w:lineRule="exact"/>
              <w:rPr>
                <w:sz w:val="20"/>
                <w:szCs w:val="20"/>
                <w:color w:val="auto"/>
              </w:rPr>
            </w:pPr>
            <w:r>
              <w:rPr>
                <w:rFonts w:ascii="Arial" w:cs="Arial" w:eastAsia="Arial" w:hAnsi="Arial"/>
                <w:sz w:val="18"/>
                <w:szCs w:val="18"/>
                <w:color w:val="auto"/>
              </w:rPr>
              <w:t>Implicit interest in rents</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0"/>
        </w:trPr>
        <w:tc>
          <w:tcPr>
            <w:tcW w:w="5740" w:type="dxa"/>
            <w:vAlign w:val="bottom"/>
          </w:tcPr>
          <w:p>
            <w:pPr>
              <w:ind w:left="860"/>
              <w:spacing w:after="0"/>
              <w:rPr>
                <w:sz w:val="20"/>
                <w:szCs w:val="20"/>
                <w:color w:val="auto"/>
              </w:rPr>
            </w:pPr>
            <w:r>
              <w:rPr>
                <w:rFonts w:ascii="Arial" w:cs="Arial" w:eastAsia="Arial" w:hAnsi="Arial"/>
                <w:sz w:val="18"/>
                <w:szCs w:val="18"/>
                <w:color w:val="auto"/>
              </w:rPr>
              <w:t>Earnings available for fixed charges(a)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1,072</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2,083</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2,169</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488</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Implicit interest in rents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5740" w:type="dxa"/>
            <w:vAlign w:val="bottom"/>
          </w:tcPr>
          <w:p>
            <w:pPr>
              <w:ind w:left="860"/>
              <w:spacing w:after="0"/>
              <w:rPr>
                <w:sz w:val="20"/>
                <w:szCs w:val="20"/>
                <w:color w:val="auto"/>
              </w:rPr>
            </w:pPr>
            <w:r>
              <w:rPr>
                <w:rFonts w:ascii="Arial" w:cs="Arial" w:eastAsia="Arial" w:hAnsi="Arial"/>
                <w:sz w:val="18"/>
                <w:szCs w:val="18"/>
                <w:color w:val="auto"/>
              </w:rPr>
              <w:t>Total fixed charges(a)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860"/>
              <w:spacing w:after="0" w:line="196" w:lineRule="exact"/>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3.5x</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1.9x</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3.3x</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3.8x</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3.5x</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3.7x</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3.6x</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3.9x</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4.1x</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4.3x</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20" w:right="220" w:hanging="423"/>
        <w:spacing w:after="0" w:line="237" w:lineRule="auto"/>
        <w:tabs>
          <w:tab w:leader="none" w:pos="6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5" w:right="3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336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3368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20" w:right="40" w:hanging="423"/>
        <w:spacing w:after="0" w:line="250" w:lineRule="auto"/>
        <w:tabs>
          <w:tab w:leader="none" w:pos="6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adjusted ratio of earnings to fixed charges (“Adjusted Ratio”) excludes the impact of restructuring charges and asset impairments. A reconciliation showing the effect of these items on our “Income before income taxes and losses in equity investments” used to calculate our earnings available for fixed charges is as follows (in millions):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Three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99"/>
              </w:rPr>
              <w:t>Years Ended December 31,</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rPr>
              <w:t>Ended</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6"/>
              </w:rPr>
              <w:t>March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31,</w:t>
            </w:r>
          </w:p>
        </w:tc>
        <w:tc>
          <w:tcPr>
            <w:tcW w:w="72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58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2014</w:t>
            </w:r>
          </w:p>
        </w:tc>
        <w:tc>
          <w:tcPr>
            <w:tcW w:w="7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 reported Income before income taxes and losses in equity investments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w:t>
            </w: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$ 1,350</w:t>
            </w:r>
          </w:p>
        </w:tc>
        <w:tc>
          <w:tcPr>
            <w:tcW w:w="3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$ 1,557</w:t>
            </w: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$ 1,656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$ 1,475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Arial" w:cs="Arial" w:eastAsia="Arial" w:hAnsi="Arial"/>
                <w:sz w:val="14"/>
                <w:szCs w:val="14"/>
                <w:color w:val="auto"/>
              </w:rPr>
              <w:t>Adjustments to Income before income taxes and losses in equity investments: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Plus: Restructuring costs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420"/>
              <w:spacing w:after="0" w:line="149" w:lineRule="exact"/>
              <w:rPr>
                <w:sz w:val="20"/>
                <w:szCs w:val="20"/>
                <w:color w:val="auto"/>
              </w:rPr>
            </w:pPr>
            <w:r>
              <w:rPr>
                <w:rFonts w:ascii="Arial" w:cs="Arial" w:eastAsia="Arial" w:hAnsi="Arial"/>
                <w:sz w:val="14"/>
                <w:szCs w:val="14"/>
                <w:color w:val="auto"/>
              </w:rPr>
              <w:t>Plus: Goodwill impairments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Plus: Asset impairments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line="155" w:lineRule="exact"/>
              <w:rPr>
                <w:sz w:val="20"/>
                <w:szCs w:val="20"/>
                <w:color w:val="auto"/>
              </w:rPr>
            </w:pPr>
            <w:r>
              <w:rPr>
                <w:rFonts w:ascii="Arial" w:cs="Arial" w:eastAsia="Arial" w:hAnsi="Arial"/>
                <w:sz w:val="14"/>
                <w:szCs w:val="14"/>
                <w:b w:val="1"/>
                <w:bCs w:val="1"/>
                <w:color w:val="auto"/>
              </w:rPr>
              <w:t>Adjusted income before income taxes and losses in equity investments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1,534</w:t>
            </w:r>
          </w:p>
        </w:tc>
        <w:tc>
          <w:tcPr>
            <w:tcW w:w="2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$ 1,500</w:t>
            </w:r>
          </w:p>
        </w:tc>
        <w:tc>
          <w:tcPr>
            <w:tcW w:w="3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$ 1,585</w:t>
            </w:r>
          </w:p>
        </w:tc>
        <w:tc>
          <w:tcPr>
            <w:tcW w:w="2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$ 1,654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$ 1,608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640" w:right="180"/>
        <w:spacing w:after="0" w:line="233" w:lineRule="auto"/>
        <w:rPr>
          <w:sz w:val="20"/>
          <w:szCs w:val="20"/>
          <w:color w:val="auto"/>
        </w:rPr>
      </w:pPr>
      <w:r>
        <w:rPr>
          <w:rFonts w:ascii="Arial" w:cs="Arial" w:eastAsia="Arial" w:hAnsi="Arial"/>
          <w:sz w:val="14"/>
          <w:szCs w:val="14"/>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80"/>
          </w:cols>
          <w:pgMar w:left="240" w:top="455" w:right="3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2013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the notes</w:t>
      </w:r>
    </w:p>
    <w:p>
      <w:pPr>
        <w:spacing w:after="0" w:line="158"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Our substantial indebtedness could impair our financial condition and our ability to fulfill our debt obligations, including our obligations under the notes.</w:t>
      </w:r>
    </w:p>
    <w:p>
      <w:pPr>
        <w:spacing w:after="0" w:line="85"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We have substantial indebtedness. At March 31, 2014, our ratio of total debt to total capitalization was 62.8% and we had $10.2 billion of long-term debt. In addition, as of March 31, 2014, we had approximately $1.3 billion of letters of credit outstanding under our $2.25 billion revolving credit facility and letter of credit facilities. Our indebtedness makes us vulnerable to changes in interest rates, with the effective interest rates of approximately $2.6 billion of our outstanding debt obligations subject to change during 2014. Our level of indebtedness and the covenants contained in the agreements governing our debt could have important consequences, including:</w:t>
      </w:r>
    </w:p>
    <w:p>
      <w:pPr>
        <w:spacing w:after="0" w:line="46" w:lineRule="exact"/>
        <w:rPr>
          <w:sz w:val="20"/>
          <w:szCs w:val="20"/>
          <w:color w:val="auto"/>
        </w:rPr>
      </w:pPr>
    </w:p>
    <w:p>
      <w:pPr>
        <w:ind w:left="780" w:right="80" w:hanging="326"/>
        <w:spacing w:after="0" w:line="26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2" w:lineRule="exact"/>
        <w:rPr>
          <w:rFonts w:ascii="Arial" w:cs="Arial" w:eastAsia="Arial" w:hAnsi="Arial"/>
          <w:sz w:val="18"/>
          <w:szCs w:val="18"/>
          <w:color w:val="auto"/>
        </w:rPr>
      </w:pPr>
    </w:p>
    <w:p>
      <w:pPr>
        <w:ind w:left="780" w:right="220" w:hanging="326"/>
        <w:spacing w:after="0" w:line="26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22" w:lineRule="exact"/>
        <w:rPr>
          <w:rFonts w:ascii="Arial" w:cs="Arial" w:eastAsia="Arial" w:hAnsi="Arial"/>
          <w:sz w:val="18"/>
          <w:szCs w:val="18"/>
          <w:color w:val="auto"/>
        </w:rPr>
      </w:pPr>
    </w:p>
    <w:p>
      <w:pPr>
        <w:ind w:left="780" w:right="60" w:hanging="326"/>
        <w:spacing w:after="0" w:line="26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22"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158"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revolving credit facility), as of March 31, 2014 and after giving effect to the offering of the notes,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depend upon cash distributions from our subsidiaries to service our debt.</w:t>
      </w:r>
    </w:p>
    <w:p>
      <w:pPr>
        <w:spacing w:after="0" w:line="79"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effectively subordinated to certain of our subsidiaries’ debt and our secured debt.</w:t>
      </w:r>
    </w:p>
    <w:p>
      <w:pPr>
        <w:spacing w:after="0" w:line="7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March 31, 2014 was $122 million. As of March 31, 2014, our operating subsidiaries had $3.37 billion of indebtedness and WM Holdings had $449 million of indebtedness (excluding guarantees of $5.43 billion of our senior debt), in each case excluding intercompany loans. For a description of the ranking of the notes, see “Description of Notes—Ranking” in this prospectus supplement.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the guarantee of the notes.</w:t>
      </w:r>
    </w:p>
    <w:p>
      <w:pPr>
        <w:spacing w:after="0" w:line="79"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209"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b w:val="1"/>
          <w:bCs w:val="1"/>
          <w:color w:val="auto"/>
        </w:rPr>
        <w:t>We may not have sufficient funds to purchase the notes upon a change of control triggering event, and this covenant provides limited protection to investors.</w:t>
      </w:r>
    </w:p>
    <w:p>
      <w:pPr>
        <w:spacing w:after="0" w:line="4" w:lineRule="exact"/>
        <w:rPr>
          <w:sz w:val="20"/>
          <w:szCs w:val="20"/>
          <w:color w:val="auto"/>
        </w:rPr>
      </w:pPr>
    </w:p>
    <w:p>
      <w:pPr>
        <w:ind w:right="420" w:firstLine="456"/>
        <w:spacing w:after="0" w:line="333" w:lineRule="auto"/>
        <w:rPr>
          <w:sz w:val="20"/>
          <w:szCs w:val="20"/>
          <w:color w:val="auto"/>
        </w:rPr>
      </w:pPr>
      <w:r>
        <w:rPr>
          <w:rFonts w:ascii="Arial" w:cs="Arial" w:eastAsia="Arial" w:hAnsi="Arial"/>
          <w:sz w:val="16"/>
          <w:szCs w:val="16"/>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or will be able to arrange sufficient financing, to pay the purchase price of the notes, particularly if a change of control event triggers a similar repurchase requirement for, or results in the acceleration of, our other then existing debt.</w:t>
      </w:r>
    </w:p>
    <w:p>
      <w:pPr>
        <w:spacing w:after="0" w:line="103" w:lineRule="exact"/>
        <w:rPr>
          <w:sz w:val="20"/>
          <w:szCs w:val="20"/>
          <w:color w:val="auto"/>
        </w:rPr>
      </w:pPr>
    </w:p>
    <w:p>
      <w:pPr>
        <w:ind w:right="180" w:firstLine="456"/>
        <w:spacing w:after="0" w:line="243"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notes.</w:t>
      </w:r>
    </w:p>
    <w:p>
      <w:pPr>
        <w:spacing w:after="0" w:line="79" w:lineRule="exact"/>
        <w:rPr>
          <w:sz w:val="20"/>
          <w:szCs w:val="20"/>
          <w:color w:val="auto"/>
        </w:rPr>
      </w:pPr>
    </w:p>
    <w:p>
      <w:pPr>
        <w:jc w:val="both"/>
        <w:ind w:firstLine="456"/>
        <w:spacing w:after="0" w:line="246"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4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60"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We expect the net proceeds from the offering of the notes to be $ million, after deducting the underwriting discount and estimated expenses of the offering that we will pay. We intend to use all of the net proceeds from the offering of the notes to pay down borrowings under our revolving credit facility. In March 2014, we incurred approximately $359 million under our revolving credit facility to repay the principal and accrued and unpaid interest on our 5.00% Senior Notes. As of May 1, 2014, the outstanding balance on our revolving credit facility was $540 million and bore an interest rate of 1.15%. The maturity date of the revolving credit facility is July 26, 2018. Amounts repaid under our revolving credit facility may be reborrowed at any time.</w:t>
      </w:r>
    </w:p>
    <w:p>
      <w:pPr>
        <w:spacing w:after="0" w:line="130" w:lineRule="exact"/>
        <w:rPr>
          <w:sz w:val="20"/>
          <w:szCs w:val="20"/>
          <w:color w:val="auto"/>
        </w:rPr>
      </w:pPr>
    </w:p>
    <w:p>
      <w:pPr>
        <w:ind w:firstLine="456"/>
        <w:spacing w:after="0" w:line="281" w:lineRule="auto"/>
        <w:rPr>
          <w:sz w:val="20"/>
          <w:szCs w:val="20"/>
          <w:color w:val="auto"/>
        </w:rPr>
      </w:pPr>
      <w:r>
        <w:rPr>
          <w:rFonts w:ascii="Arial" w:cs="Arial" w:eastAsia="Arial" w:hAnsi="Arial"/>
          <w:sz w:val="16"/>
          <w:szCs w:val="16"/>
          <w:color w:val="auto"/>
        </w:rPr>
        <w:t>Certain affiliates of Deutsche Bank Securities Inc., J.P. Morgan Securities LLC and RBS Securities Inc. are lenders to us under our revolving credit facility and may receive 5% or more of the net proceeds of this offering by reason of the repayment of amounts outstanding under such credit facilities.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 See “Underwriting (Conflicts of Interest)” in this prospectus supplement.</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20"/>
          </w:cols>
          <w:pgMar w:left="240" w:top="455"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0" w:lineRule="exact"/>
        <w:rPr>
          <w:sz w:val="20"/>
          <w:szCs w:val="20"/>
          <w:color w:val="auto"/>
        </w:rPr>
      </w:pPr>
    </w:p>
    <w:p>
      <w:pPr>
        <w:ind w:right="120" w:firstLine="456"/>
        <w:spacing w:after="0" w:line="252"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2014 on an actual basis and as adjusted to give effect to the offering of the notes and the application of the estimated net proceeds as described under “Use of Proceeds” in this prospectus supplement.</w:t>
      </w:r>
    </w:p>
    <w:p>
      <w:pPr>
        <w:spacing w:after="0" w:line="118" w:lineRule="exact"/>
        <w:rPr>
          <w:sz w:val="20"/>
          <w:szCs w:val="20"/>
          <w:color w:val="auto"/>
        </w:rPr>
      </w:pPr>
    </w:p>
    <w:p>
      <w:pPr>
        <w:ind w:right="440" w:firstLine="456"/>
        <w:spacing w:after="0" w:line="252"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March 31, 2014</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Actual</w:t>
            </w: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7"/>
                <w:szCs w:val="17"/>
                <w:color w:val="auto"/>
              </w:rPr>
            </w:pPr>
          </w:p>
        </w:tc>
      </w:tr>
      <w:tr>
        <w:trPr>
          <w:trHeight w:val="210"/>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Revolving credit facility(a)</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420"/>
              <w:spacing w:after="0" w:line="202" w:lineRule="exact"/>
              <w:rPr>
                <w:sz w:val="20"/>
                <w:szCs w:val="20"/>
                <w:color w:val="auto"/>
              </w:rPr>
            </w:pPr>
            <w:r>
              <w:rPr>
                <w:rFonts w:ascii="Arial" w:cs="Arial" w:eastAsia="Arial" w:hAnsi="Arial"/>
                <w:sz w:val="18"/>
                <w:szCs w:val="18"/>
                <w:color w:val="auto"/>
              </w:rPr>
              <w:t>Letter of credit facilities(a)</w:t>
            </w:r>
          </w:p>
        </w:tc>
        <w:tc>
          <w:tcPr>
            <w:tcW w:w="100" w:type="dxa"/>
            <w:vAlign w:val="bottom"/>
          </w:tcPr>
          <w:p>
            <w:pPr>
              <w:spacing w:after="0"/>
              <w:rPr>
                <w:sz w:val="17"/>
                <w:szCs w:val="17"/>
                <w:color w:val="auto"/>
              </w:rPr>
            </w:pP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84"/>
        </w:trPr>
        <w:tc>
          <w:tcPr>
            <w:tcW w:w="20" w:type="dxa"/>
            <w:vAlign w:val="bottom"/>
          </w:tcPr>
          <w:p>
            <w:pPr>
              <w:spacing w:after="0"/>
              <w:rPr>
                <w:sz w:val="15"/>
                <w:szCs w:val="15"/>
                <w:color w:val="auto"/>
              </w:rPr>
            </w:pPr>
          </w:p>
        </w:tc>
        <w:tc>
          <w:tcPr>
            <w:tcW w:w="9120" w:type="dxa"/>
            <w:vAlign w:val="bottom"/>
            <w:shd w:val="clear" w:color="auto" w:fill="CCEEFF"/>
          </w:tcPr>
          <w:p>
            <w:pPr>
              <w:ind w:left="420"/>
              <w:spacing w:after="0" w:line="184" w:lineRule="exact"/>
              <w:rPr>
                <w:sz w:val="20"/>
                <w:szCs w:val="20"/>
                <w:color w:val="auto"/>
              </w:rPr>
            </w:pPr>
            <w:r>
              <w:rPr>
                <w:rFonts w:ascii="Arial" w:cs="Arial" w:eastAsia="Arial" w:hAnsi="Arial"/>
                <w:sz w:val="18"/>
                <w:szCs w:val="18"/>
                <w:color w:val="auto"/>
              </w:rPr>
              <w:t>Canadian credit facility and term loan (weighted average effective interest rate of 2.5% at March 31,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9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2014)(b)</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r>
      <w:tr>
        <w:trPr>
          <w:trHeight w:val="184"/>
        </w:trPr>
        <w:tc>
          <w:tcPr>
            <w:tcW w:w="20" w:type="dxa"/>
            <w:vAlign w:val="bottom"/>
          </w:tcPr>
          <w:p>
            <w:pPr>
              <w:spacing w:after="0"/>
              <w:rPr>
                <w:sz w:val="15"/>
                <w:szCs w:val="15"/>
                <w:color w:val="auto"/>
              </w:rPr>
            </w:pPr>
          </w:p>
        </w:tc>
        <w:tc>
          <w:tcPr>
            <w:tcW w:w="9120" w:type="dxa"/>
            <w:vAlign w:val="bottom"/>
          </w:tcPr>
          <w:p>
            <w:pPr>
              <w:ind w:left="420"/>
              <w:spacing w:after="0" w:line="184" w:lineRule="exact"/>
              <w:rPr>
                <w:sz w:val="20"/>
                <w:szCs w:val="20"/>
                <w:color w:val="auto"/>
              </w:rPr>
            </w:pPr>
            <w:r>
              <w:rPr>
                <w:rFonts w:ascii="Arial" w:cs="Arial" w:eastAsia="Arial" w:hAnsi="Arial"/>
                <w:sz w:val="18"/>
                <w:szCs w:val="18"/>
                <w:color w:val="auto"/>
              </w:rPr>
              <w:t>Senior notes maturing through 2039, interest rates ranging from 2.60% to 7.75% (weighted average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interest rate of 5.8% at March 31, 2014)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 Senior Notes offered hereby (including unamortized discount)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9120" w:type="dxa"/>
            <w:vAlign w:val="bottom"/>
          </w:tcPr>
          <w:p>
            <w:pPr>
              <w:ind w:left="420"/>
              <w:spacing w:after="0" w:line="184" w:lineRule="exact"/>
              <w:rPr>
                <w:sz w:val="20"/>
                <w:szCs w:val="20"/>
                <w:color w:val="auto"/>
              </w:rPr>
            </w:pPr>
            <w:r>
              <w:rPr>
                <w:rFonts w:ascii="Arial" w:cs="Arial" w:eastAsia="Arial" w:hAnsi="Arial"/>
                <w:sz w:val="18"/>
                <w:szCs w:val="18"/>
                <w:color w:val="auto"/>
              </w:rPr>
              <w:t>Tax-exempt bonds maturing through 2045, fixed and variable interest rates ranging from 0.06% to 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(weighted average interest rate of 2.3% at March 31, 2014)(c)</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Capital leases and other, maturing through 2055, interest rates up to 12%</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10,194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20" w:type="dxa"/>
            <w:vAlign w:val="bottom"/>
          </w:tcPr>
          <w:p>
            <w:pPr>
              <w:spacing w:after="0" w:line="202" w:lineRule="exact"/>
              <w:rPr>
                <w:sz w:val="20"/>
                <w:szCs w:val="20"/>
                <w:color w:val="auto"/>
              </w:rPr>
            </w:pPr>
            <w:r>
              <w:rPr>
                <w:rFonts w:ascii="Arial" w:cs="Arial" w:eastAsia="Arial" w:hAnsi="Arial"/>
                <w:sz w:val="18"/>
                <w:szCs w:val="18"/>
                <w:color w:val="auto"/>
              </w:rPr>
              <w:t>Waste Management, Inc. Stockholders’ Equity:</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5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w:t>
            </w:r>
          </w:p>
        </w:tc>
      </w:tr>
      <w:tr>
        <w:trPr>
          <w:trHeight w:val="203"/>
        </w:trPr>
        <w:tc>
          <w:tcPr>
            <w:tcW w:w="20" w:type="dxa"/>
            <w:vAlign w:val="bottom"/>
          </w:tcPr>
          <w:p>
            <w:pPr>
              <w:spacing w:after="0"/>
              <w:rPr>
                <w:sz w:val="17"/>
                <w:szCs w:val="17"/>
                <w:color w:val="auto"/>
              </w:rPr>
            </w:pPr>
          </w:p>
        </w:tc>
        <w:tc>
          <w:tcPr>
            <w:tcW w:w="9120" w:type="dxa"/>
            <w:vAlign w:val="bottom"/>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4,607</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4,607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120" w:type="dxa"/>
            <w:vAlign w:val="bottom"/>
          </w:tcPr>
          <w:p>
            <w:pPr>
              <w:ind w:left="420"/>
              <w:spacing w:after="0" w:line="202" w:lineRule="exact"/>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89</w:t>
            </w: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Treasury stock at cost, 164,985,633 shares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(5,307)</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(5,307)</w:t>
            </w:r>
          </w:p>
        </w:tc>
      </w:tr>
      <w:tr>
        <w:trPr>
          <w:trHeight w:val="210"/>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1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debt and equity</w:t>
            </w: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16,233</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5" w:lineRule="exact"/>
        <w:rPr>
          <w:sz w:val="20"/>
          <w:szCs w:val="20"/>
          <w:color w:val="auto"/>
        </w:rPr>
      </w:pPr>
    </w:p>
    <w:p>
      <w:pPr>
        <w:ind w:left="460" w:right="360" w:hanging="452"/>
        <w:spacing w:after="0" w:line="282" w:lineRule="auto"/>
        <w:tabs>
          <w:tab w:leader="none" w:pos="4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$2.25 billion revolving credit facility matures in July 2018. This facility provides us with credit capacity to be used for either cash borrowings or to support letters of credit. At March 31, 2014, in addition to $790 million of outstanding borrowings, we had $884 million of letters of credit issued and supported by the facility and $576 million of unused and available credit capacity. As of March 31, 2014, we also had fully utilized an aggregate committed capacity of $400 million under letter of credit facilities with terms ending through December 2016. We supplement the letter of credit capacity we have through these committed facilities with stand-alone letters of credit with various banking partners.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60" w:right="180" w:hanging="452"/>
        <w:spacing w:after="0" w:line="22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Waste Management of Canada Corporation and WM Quebec Inc., our wholly owned subsidiaries, are borrowers under a credit agreement that provides C$150 million of revolving credit capacity and C$500 million of term credit and matures in November 2017. Waste Management, Inc. and WM Holdings guaranty subsidiary obligations under the credit agreement. We have the ability to issue up to C$50 million of letters of credit under the Canadian revolving credit facility, which if utilized, reduces the amount of credit capacity available for borrowings. As of March 31, 2014, we had no letters of credit or borrowings outstanding under the facility.</w:t>
      </w:r>
    </w:p>
    <w:p>
      <w:pPr>
        <w:spacing w:after="0" w:line="1" w:lineRule="exact"/>
        <w:rPr>
          <w:rFonts w:ascii="Arial" w:cs="Arial" w:eastAsia="Arial" w:hAnsi="Arial"/>
          <w:sz w:val="14"/>
          <w:szCs w:val="14"/>
          <w:color w:val="auto"/>
        </w:rPr>
      </w:pPr>
    </w:p>
    <w:p>
      <w:pPr>
        <w:ind w:left="460" w:hanging="452"/>
        <w:spacing w:after="0" w:line="229"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0"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9" w:lineRule="exact"/>
        <w:rPr>
          <w:sz w:val="20"/>
          <w:szCs w:val="20"/>
          <w:color w:val="auto"/>
        </w:rPr>
      </w:pPr>
    </w:p>
    <w:p>
      <w:pPr>
        <w:ind w:left="460"/>
        <w:spacing w:after="0"/>
        <w:tabs>
          <w:tab w:leader="none" w:pos="2220" w:val="left"/>
          <w:tab w:leader="none" w:pos="2860" w:val="left"/>
          <w:tab w:leader="none" w:pos="540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of our</w:t>
        <w:tab/>
        <w:t>% senior notes due</w:t>
      </w:r>
      <w:r>
        <w:rPr>
          <w:sz w:val="20"/>
          <w:szCs w:val="20"/>
          <w:color w:val="auto"/>
        </w:rPr>
        <w:tab/>
      </w:r>
      <w:r>
        <w:rPr>
          <w:rFonts w:ascii="Arial" w:cs="Arial" w:eastAsia="Arial" w:hAnsi="Arial"/>
          <w:sz w:val="16"/>
          <w:szCs w:val="16"/>
          <w:color w:val="auto"/>
        </w:rPr>
        <w:t>, 2024. The notes will be issued under and pursuant to an Indenture dated as</w:t>
      </w:r>
    </w:p>
    <w:p>
      <w:pPr>
        <w:spacing w:after="0" w:line="1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129"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6"/>
          <w:szCs w:val="16"/>
          <w:color w:val="auto"/>
        </w:rPr>
        <w:t>The notes will:</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w:t>
      </w:r>
    </w:p>
    <w:p>
      <w:pPr>
        <w:spacing w:after="0" w:line="18" w:lineRule="exact"/>
        <w:rPr>
          <w:sz w:val="20"/>
          <w:szCs w:val="20"/>
          <w:color w:val="auto"/>
        </w:rPr>
      </w:pPr>
    </w:p>
    <w:p>
      <w:pPr>
        <w:ind w:left="1320" w:hanging="542"/>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million;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   mature on</w:t>
            </w:r>
          </w:p>
        </w:tc>
        <w:tc>
          <w:tcPr>
            <w:tcW w:w="1060" w:type="dxa"/>
            <w:vAlign w:val="bottom"/>
          </w:tcPr>
          <w:p>
            <w:pPr>
              <w:jc w:val="right"/>
              <w:spacing w:after="0"/>
              <w:rPr>
                <w:sz w:val="20"/>
                <w:szCs w:val="20"/>
                <w:color w:val="auto"/>
              </w:rPr>
            </w:pPr>
            <w:r>
              <w:rPr>
                <w:rFonts w:ascii="Arial" w:cs="Arial" w:eastAsia="Arial" w:hAnsi="Arial"/>
                <w:sz w:val="18"/>
                <w:szCs w:val="18"/>
                <w:color w:val="auto"/>
              </w:rPr>
              <w:t>, 2024;</w:t>
            </w:r>
          </w:p>
        </w:tc>
      </w:tr>
    </w:tbl>
    <w:p>
      <w:pPr>
        <w:spacing w:after="0" w:line="4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76" w:lineRule="exact"/>
        <w:rPr>
          <w:rFonts w:ascii="Arial" w:cs="Arial" w:eastAsia="Arial" w:hAnsi="Arial"/>
          <w:sz w:val="18"/>
          <w:szCs w:val="18"/>
          <w:color w:val="auto"/>
        </w:rPr>
      </w:pPr>
    </w:p>
    <w:p>
      <w:pPr>
        <w:ind w:left="780" w:right="280" w:hanging="326"/>
        <w:spacing w:after="0" w:line="252"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ectPr>
          <w:pgSz w:w="11900" w:h="16838" w:orient="portrait"/>
          <w:cols w:equalWidth="0" w:num="1">
            <w:col w:w="11400"/>
          </w:cols>
          <w:pgMar w:left="240" w:top="455" w:right="259" w:bottom="1440" w:gutter="0" w:footer="0" w:header="0"/>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Interest will:</w:t>
      </w:r>
    </w:p>
    <w:p>
      <w:pPr>
        <w:spacing w:after="0" w:line="100" w:lineRule="exact"/>
        <w:rPr>
          <w:sz w:val="20"/>
          <w:szCs w:val="20"/>
          <w:color w:val="auto"/>
        </w:rPr>
      </w:pPr>
    </w:p>
    <w:p>
      <w:pPr>
        <w:sectPr>
          <w:pgSz w:w="11900" w:h="16838" w:orient="portrait"/>
          <w:cols w:equalWidth="0" w:num="2">
            <w:col w:w="1100" w:space="200"/>
            <w:col w:w="10100"/>
          </w:cols>
          <w:pgMar w:left="240" w:top="455"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accrue on the notes at the rate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per annum;</w:t>
      </w:r>
    </w:p>
    <w:p>
      <w:pPr>
        <w:spacing w:after="0" w:line="100" w:lineRule="exact"/>
        <w:rPr>
          <w:sz w:val="20"/>
          <w:szCs w:val="20"/>
          <w:color w:val="auto"/>
        </w:rPr>
      </w:pPr>
    </w:p>
    <w:p>
      <w:pPr>
        <w:sectPr>
          <w:pgSz w:w="11900" w:h="16838" w:orient="portrait"/>
          <w:cols w:equalWidth="0" w:num="3">
            <w:col w:w="520" w:space="260"/>
            <w:col w:w="2580" w:space="240"/>
            <w:col w:w="7800"/>
          </w:cols>
          <w:pgMar w:left="240" w:top="455"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accrue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2014 or the most recent interest payment date;</w:t>
      </w:r>
    </w:p>
    <w:p>
      <w:pPr>
        <w:spacing w:after="0" w:line="100" w:lineRule="exact"/>
        <w:rPr>
          <w:sz w:val="20"/>
          <w:szCs w:val="20"/>
          <w:color w:val="auto"/>
        </w:rPr>
      </w:pPr>
    </w:p>
    <w:p>
      <w:pPr>
        <w:sectPr>
          <w:pgSz w:w="11900" w:h="16838" w:orient="portrait"/>
          <w:cols w:equalWidth="0" w:num="3">
            <w:col w:w="520" w:space="260"/>
            <w:col w:w="1220" w:space="720"/>
            <w:col w:w="8680"/>
          </w:cols>
          <w:pgMar w:left="240" w:top="455"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jc w:val="center"/>
        <w:ind w:right="1020"/>
        <w:spacing w:after="0"/>
        <w:rPr>
          <w:sz w:val="20"/>
          <w:szCs w:val="20"/>
          <w:color w:val="auto"/>
        </w:rPr>
      </w:pPr>
      <w:r>
        <w:rPr>
          <w:rFonts w:ascii="Arial" w:cs="Arial" w:eastAsia="Arial" w:hAnsi="Arial"/>
          <w:sz w:val="16"/>
          <w:szCs w:val="16"/>
          <w:color w:val="auto"/>
        </w:rPr>
        <w:t>, 2014;</w:t>
      </w:r>
    </w:p>
    <w:p>
      <w:pPr>
        <w:spacing w:after="0" w:line="100" w:lineRule="exact"/>
        <w:rPr>
          <w:sz w:val="20"/>
          <w:szCs w:val="20"/>
          <w:color w:val="auto"/>
        </w:rPr>
      </w:pPr>
    </w:p>
    <w:p>
      <w:pPr>
        <w:sectPr>
          <w:pgSz w:w="11900" w:h="16838" w:orient="portrait"/>
          <w:cols w:equalWidth="0" w:num="5">
            <w:col w:w="520" w:space="260"/>
            <w:col w:w="3940" w:space="720"/>
            <w:col w:w="600" w:space="720"/>
            <w:col w:w="2360" w:space="720"/>
            <w:col w:w="1560"/>
          </w:cols>
          <w:pgMar w:left="240" w:top="455"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100" w:lineRule="exact"/>
        <w:rPr>
          <w:sz w:val="20"/>
          <w:szCs w:val="20"/>
          <w:color w:val="auto"/>
        </w:rPr>
      </w:pPr>
    </w:p>
    <w:p>
      <w:pPr>
        <w:sectPr>
          <w:pgSz w:w="11900" w:h="16838" w:orient="portrait"/>
          <w:cols w:equalWidth="0" w:num="4">
            <w:col w:w="520" w:space="260"/>
            <w:col w:w="3260" w:space="720"/>
            <w:col w:w="600" w:space="720"/>
            <w:col w:w="5320"/>
          </w:cols>
          <w:pgMar w:left="240" w:top="455" w:right="259" w:bottom="1440" w:gutter="0" w:footer="0" w:header="0"/>
          <w:type w:val="continuous"/>
        </w:sect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79" w:lineRule="exact"/>
        <w:rPr>
          <w:sz w:val="20"/>
          <w:szCs w:val="20"/>
          <w:color w:val="auto"/>
        </w:rPr>
      </w:pPr>
    </w:p>
    <w:p>
      <w:pPr>
        <w:ind w:right="480" w:firstLine="456"/>
        <w:spacing w:after="0" w:line="269"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5" w:right="2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18"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79" w:lineRule="exact"/>
        <w:rPr>
          <w:sz w:val="20"/>
          <w:szCs w:val="20"/>
          <w:color w:val="auto"/>
        </w:rPr>
      </w:pPr>
    </w:p>
    <w:p>
      <w:pPr>
        <w:ind w:right="500" w:firstLine="456"/>
        <w:spacing w:after="0" w:line="269" w:lineRule="auto"/>
        <w:rPr>
          <w:sz w:val="20"/>
          <w:szCs w:val="20"/>
          <w:color w:val="auto"/>
        </w:rPr>
      </w:pPr>
      <w:r>
        <w:rPr>
          <w:rFonts w:ascii="Arial" w:cs="Arial" w:eastAsia="Arial" w:hAnsi="Arial"/>
          <w:sz w:val="18"/>
          <w:szCs w:val="18"/>
          <w:color w:val="auto"/>
        </w:rPr>
        <w:t>Before the date that is three months prior to the maturity date, the notes will be redeemable and repayable, at our option, at any time in whole, or from time to time in part, at a price equal to the greater of:</w:t>
      </w:r>
    </w:p>
    <w:p>
      <w:pPr>
        <w:spacing w:after="0" w:line="22"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76" w:lineRule="exact"/>
        <w:rPr>
          <w:rFonts w:ascii="Arial" w:cs="Arial" w:eastAsia="Arial" w:hAnsi="Arial"/>
          <w:sz w:val="18"/>
          <w:szCs w:val="18"/>
          <w:color w:val="auto"/>
        </w:rPr>
      </w:pPr>
    </w:p>
    <w:p>
      <w:pPr>
        <w:ind w:left="780" w:right="60" w:hanging="326"/>
        <w:spacing w:after="0" w:line="273"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 the applicable Treasury</w:t>
      </w:r>
    </w:p>
    <w:p>
      <w:pPr>
        <w:spacing w:after="0" w:line="2" w:lineRule="exact"/>
        <w:rPr>
          <w:sz w:val="20"/>
          <w:szCs w:val="20"/>
          <w:color w:val="auto"/>
        </w:rPr>
      </w:pPr>
    </w:p>
    <w:p>
      <w:pPr>
        <w:ind w:left="780"/>
        <w:spacing w:after="0"/>
        <w:tabs>
          <w:tab w:leader="none" w:pos="2140" w:val="left"/>
        </w:tabs>
        <w:rPr>
          <w:sz w:val="20"/>
          <w:szCs w:val="20"/>
          <w:color w:val="auto"/>
        </w:rPr>
      </w:pPr>
      <w:r>
        <w:rPr>
          <w:rFonts w:ascii="Arial" w:cs="Arial" w:eastAsia="Arial" w:hAnsi="Arial"/>
          <w:sz w:val="18"/>
          <w:szCs w:val="18"/>
          <w:color w:val="auto"/>
        </w:rPr>
        <w:t>Yield plus</w:t>
      </w:r>
      <w:r>
        <w:rPr>
          <w:sz w:val="20"/>
          <w:szCs w:val="20"/>
          <w:color w:val="auto"/>
        </w:rPr>
        <w:tab/>
      </w:r>
      <w:r>
        <w:rPr>
          <w:rFonts w:ascii="Arial" w:cs="Arial" w:eastAsia="Arial" w:hAnsi="Arial"/>
          <w:sz w:val="16"/>
          <w:szCs w:val="16"/>
          <w:color w:val="auto"/>
        </w:rPr>
        <w:t>basis points;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58" w:lineRule="exact"/>
        <w:rPr>
          <w:sz w:val="20"/>
          <w:szCs w:val="20"/>
          <w:color w:val="auto"/>
        </w:rPr>
      </w:pPr>
    </w:p>
    <w:p>
      <w:pPr>
        <w:ind w:right="60" w:firstLine="456"/>
        <w:spacing w:after="0" w:line="252" w:lineRule="auto"/>
        <w:rPr>
          <w:sz w:val="20"/>
          <w:szCs w:val="20"/>
          <w:color w:val="auto"/>
        </w:rPr>
      </w:pPr>
      <w:r>
        <w:rPr>
          <w:rFonts w:ascii="Arial" w:cs="Arial" w:eastAsia="Arial" w:hAnsi="Arial"/>
          <w:sz w:val="18"/>
          <w:szCs w:val="18"/>
          <w:color w:val="auto"/>
        </w:rPr>
        <w:t>On or after the date that is three months prior to the maturity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18"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The factors that we generally consider in determining whether to redeem the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three months prior to the maturity date. We are currently unaware of any circumstances under which we would redeem the notes.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77" w:lineRule="exact"/>
        <w:rPr>
          <w:sz w:val="20"/>
          <w:szCs w:val="20"/>
          <w:color w:val="auto"/>
        </w:rPr>
      </w:pPr>
    </w:p>
    <w:p>
      <w:pPr>
        <w:ind w:left="460" w:right="100" w:firstLine="438"/>
        <w:spacing w:after="0" w:line="246"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43"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i w:val="1"/>
          <w:iCs w:val="1"/>
          <w:color w:val="auto"/>
        </w:rPr>
        <w:t xml:space="preserve">“Comparable Treasury Issue” </w:t>
      </w:r>
      <w:r>
        <w:rPr>
          <w:rFonts w:ascii="Arial" w:cs="Arial" w:eastAsia="Arial" w:hAnsi="Arial"/>
          <w:sz w:val="16"/>
          <w:szCs w:val="16"/>
          <w:color w:val="auto"/>
        </w:rPr>
        <w:t>means the United States Treasury security selected by an Independent Investment Banker as having a</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3" w:lineRule="exact"/>
        <w:rPr>
          <w:sz w:val="20"/>
          <w:szCs w:val="20"/>
          <w:color w:val="auto"/>
        </w:rPr>
      </w:pPr>
    </w:p>
    <w:p>
      <w:pPr>
        <w:ind w:left="460" w:right="280" w:firstLine="438"/>
        <w:spacing w:after="0" w:line="252"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Deutsche Bank Securities Inc., J.P. Morgan Securities LLC and RBS Securities Inc.</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37" w:lineRule="exact"/>
        <w:rPr>
          <w:sz w:val="20"/>
          <w:szCs w:val="20"/>
          <w:color w:val="auto"/>
        </w:rPr>
      </w:pPr>
    </w:p>
    <w:p>
      <w:pPr>
        <w:ind w:left="460" w:right="20" w:firstLine="438"/>
        <w:spacing w:after="0" w:line="246"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(i) the average of the Reference Treasury Dealer Quotations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43" w:lineRule="exact"/>
        <w:rPr>
          <w:sz w:val="20"/>
          <w:szCs w:val="20"/>
          <w:color w:val="auto"/>
        </w:rPr>
      </w:pPr>
    </w:p>
    <w:p>
      <w:pPr>
        <w:ind w:left="460" w:right="20" w:firstLine="438"/>
        <w:spacing w:after="0" w:line="246" w:lineRule="auto"/>
        <w:rPr>
          <w:sz w:val="20"/>
          <w:szCs w:val="20"/>
          <w:color w:val="auto"/>
        </w:rPr>
      </w:pPr>
      <w:r>
        <w:rPr>
          <w:rFonts w:ascii="Arial" w:cs="Arial" w:eastAsia="Arial" w:hAnsi="Arial"/>
          <w:sz w:val="18"/>
          <w:szCs w:val="18"/>
          <w:i w:val="1"/>
          <w:iCs w:val="1"/>
          <w:color w:val="auto"/>
        </w:rPr>
        <w:t xml:space="preserve">“Reference Treasury Dealer” </w:t>
      </w:r>
      <w:r>
        <w:rPr>
          <w:rFonts w:ascii="Arial" w:cs="Arial" w:eastAsia="Arial" w:hAnsi="Arial"/>
          <w:sz w:val="18"/>
          <w:szCs w:val="18"/>
          <w:color w:val="auto"/>
        </w:rPr>
        <w:t>means (i) each of Deutsche Bank Securities Inc., J.P. Morgan Securities LLC and RBS Securities Inc.</w:t>
      </w:r>
      <w:r>
        <w:rPr>
          <w:rFonts w:ascii="Arial" w:cs="Arial" w:eastAsia="Arial" w:hAnsi="Arial"/>
          <w:sz w:val="18"/>
          <w:szCs w:val="18"/>
          <w:i w:val="1"/>
          <w:iCs w:val="1"/>
          <w:color w:val="auto"/>
        </w:rPr>
        <w:t xml:space="preserve"> </w:t>
      </w:r>
      <w:r>
        <w:rPr>
          <w:rFonts w:ascii="Arial" w:cs="Arial" w:eastAsia="Arial" w:hAnsi="Arial"/>
          <w:sz w:val="18"/>
          <w:szCs w:val="18"/>
          <w:color w:val="auto"/>
        </w:rPr>
        <w:t>(and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43" w:lineRule="exact"/>
        <w:rPr>
          <w:sz w:val="20"/>
          <w:szCs w:val="20"/>
          <w:color w:val="auto"/>
        </w:rPr>
      </w:pPr>
    </w:p>
    <w:p>
      <w:pPr>
        <w:ind w:left="460" w:right="140" w:firstLine="438"/>
        <w:spacing w:after="0" w:line="246" w:lineRule="auto"/>
        <w:rPr>
          <w:sz w:val="20"/>
          <w:szCs w:val="20"/>
          <w:color w:val="auto"/>
        </w:rPr>
      </w:pPr>
      <w:r>
        <w:rPr>
          <w:rFonts w:ascii="Arial" w:cs="Arial" w:eastAsia="Arial" w:hAnsi="Arial"/>
          <w:sz w:val="18"/>
          <w:szCs w:val="18"/>
          <w:i w:val="1"/>
          <w:iCs w:val="1"/>
          <w:color w:val="auto"/>
        </w:rPr>
        <w:t xml:space="preserve">“Reference Treasury Dealer Quotations” </w:t>
      </w:r>
      <w:r>
        <w:rPr>
          <w:rFonts w:ascii="Arial" w:cs="Arial" w:eastAsia="Arial" w:hAnsi="Arial"/>
          <w:sz w:val="18"/>
          <w:szCs w:val="18"/>
          <w:color w:val="auto"/>
        </w:rPr>
        <w:t>means, with respect to each Reference Treasury Dealer and any redemption date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24" w:lineRule="exact"/>
        <w:rPr>
          <w:sz w:val="20"/>
          <w:szCs w:val="20"/>
          <w:color w:val="auto"/>
        </w:rPr>
      </w:pPr>
    </w:p>
    <w:p>
      <w:pPr>
        <w:jc w:val="center"/>
        <w:ind w:left="520" w:right="180"/>
        <w:spacing w:after="0" w:line="441"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 S-14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79" w:lineRule="exact"/>
        <w:rPr>
          <w:sz w:val="20"/>
          <w:szCs w:val="20"/>
          <w:color w:val="auto"/>
        </w:rPr>
      </w:pPr>
    </w:p>
    <w:p>
      <w:pPr>
        <w:ind w:right="300" w:firstLine="456"/>
        <w:spacing w:after="0" w:line="269"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Securities—Provisions Applicable to Each Indenture—Defeasance” in the accompanying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79" w:lineRule="exact"/>
        <w:rPr>
          <w:sz w:val="20"/>
          <w:szCs w:val="20"/>
          <w:color w:val="auto"/>
        </w:rPr>
      </w:pPr>
    </w:p>
    <w:p>
      <w:pPr>
        <w:ind w:right="20" w:firstLine="456"/>
        <w:spacing w:after="0" w:line="269"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22" w:lineRule="exact"/>
        <w:rPr>
          <w:sz w:val="20"/>
          <w:szCs w:val="20"/>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jc w:val="both"/>
        <w:ind w:left="460" w:right="120" w:firstLine="443"/>
        <w:spacing w:after="0" w:line="252" w:lineRule="auto"/>
        <w:tabs>
          <w:tab w:leader="none" w:pos="11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36" w:lineRule="exact"/>
        <w:rPr>
          <w:rFonts w:ascii="Arial" w:cs="Arial" w:eastAsia="Arial" w:hAnsi="Arial"/>
          <w:sz w:val="18"/>
          <w:szCs w:val="18"/>
          <w:color w:val="auto"/>
        </w:rPr>
      </w:pPr>
    </w:p>
    <w:p>
      <w:pPr>
        <w:ind w:left="460" w:firstLine="443"/>
        <w:spacing w:after="0" w:line="241" w:lineRule="auto"/>
        <w:tabs>
          <w:tab w:leader="none" w:pos="11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49" w:lineRule="exact"/>
        <w:rPr>
          <w:sz w:val="20"/>
          <w:szCs w:val="20"/>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76" w:lineRule="exact"/>
        <w:rPr>
          <w:rFonts w:ascii="Arial" w:cs="Arial" w:eastAsia="Arial" w:hAnsi="Arial"/>
          <w:sz w:val="18"/>
          <w:szCs w:val="18"/>
          <w:color w:val="auto"/>
        </w:rPr>
      </w:pPr>
    </w:p>
    <w:p>
      <w:pPr>
        <w:ind w:left="460" w:right="340" w:firstLine="443"/>
        <w:spacing w:after="0" w:line="269" w:lineRule="auto"/>
        <w:tabs>
          <w:tab w:leader="none" w:pos="11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79" w:lineRule="exact"/>
        <w:rPr>
          <w:sz w:val="20"/>
          <w:szCs w:val="20"/>
          <w:color w:val="auto"/>
        </w:rPr>
      </w:pPr>
    </w:p>
    <w:p>
      <w:pPr>
        <w:ind w:right="320" w:firstLine="456"/>
        <w:spacing w:after="0" w:line="269"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03" w:lineRule="exact"/>
        <w:rPr>
          <w:sz w:val="20"/>
          <w:szCs w:val="20"/>
          <w:color w:val="auto"/>
        </w:rPr>
      </w:pPr>
    </w:p>
    <w:p>
      <w:pPr>
        <w:ind w:right="240" w:firstLine="456"/>
        <w:spacing w:after="0" w:line="24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24"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Securities—Provisions Applicable Solely to Senior Debt Securities” in the accompanying prospectus.</w:t>
      </w:r>
    </w:p>
    <w:p>
      <w:pPr>
        <w:spacing w:after="0" w:line="99" w:lineRule="exact"/>
        <w:rPr>
          <w:sz w:val="20"/>
          <w:szCs w:val="20"/>
          <w:color w:val="auto"/>
        </w:rPr>
      </w:pPr>
    </w:p>
    <w:p>
      <w:pPr>
        <w:ind w:right="520" w:firstLine="456"/>
        <w:spacing w:after="0" w:line="269" w:lineRule="auto"/>
        <w:rPr>
          <w:sz w:val="20"/>
          <w:szCs w:val="20"/>
          <w:color w:val="auto"/>
        </w:rPr>
      </w:pPr>
      <w:r>
        <w:rPr>
          <w:rFonts w:ascii="Arial" w:cs="Arial" w:eastAsia="Arial" w:hAnsi="Arial"/>
          <w:sz w:val="18"/>
          <w:szCs w:val="18"/>
          <w:color w:val="auto"/>
        </w:rPr>
        <w:t>As of March 31, 2014, our operating subsidiaries had $3.37 billion of indebtedness and WM Holdings had $449 million of indebtedness (excluding guarantees of $5.43 billion of our senior debt), in each case excluding intercompany loans.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79"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24" w:lineRule="exact"/>
        <w:rPr>
          <w:sz w:val="20"/>
          <w:szCs w:val="20"/>
          <w:color w:val="auto"/>
        </w:rPr>
      </w:pPr>
    </w:p>
    <w:p>
      <w:pPr>
        <w:ind w:right="280" w:firstLine="456"/>
        <w:spacing w:after="0" w:line="269"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2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76" w:lineRule="exact"/>
        <w:rPr>
          <w:rFonts w:ascii="Arial" w:cs="Arial" w:eastAsia="Arial" w:hAnsi="Arial"/>
          <w:sz w:val="18"/>
          <w:szCs w:val="18"/>
          <w:color w:val="auto"/>
        </w:rPr>
      </w:pPr>
    </w:p>
    <w:p>
      <w:pPr>
        <w:jc w:val="both"/>
        <w:ind w:left="780" w:right="40" w:hanging="326"/>
        <w:spacing w:after="0" w:line="252"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offer</w:t>
      </w:r>
    </w:p>
    <w:p>
      <w:pPr>
        <w:spacing w:after="0" w:line="79" w:lineRule="exact"/>
        <w:rPr>
          <w:sz w:val="20"/>
          <w:szCs w:val="20"/>
          <w:color w:val="auto"/>
        </w:rPr>
      </w:pPr>
    </w:p>
    <w:p>
      <w:pPr>
        <w:ind w:right="60" w:firstLine="456"/>
        <w:spacing w:after="0" w:line="241"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30"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76" w:lineRule="exact"/>
        <w:rPr>
          <w:rFonts w:ascii="Arial" w:cs="Arial" w:eastAsia="Arial" w:hAnsi="Arial"/>
          <w:sz w:val="18"/>
          <w:szCs w:val="18"/>
          <w:color w:val="auto"/>
        </w:rPr>
      </w:pPr>
    </w:p>
    <w:p>
      <w:pPr>
        <w:ind w:left="780" w:right="460" w:hanging="326"/>
        <w:spacing w:after="0" w:line="26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22" w:lineRule="exact"/>
        <w:rPr>
          <w:rFonts w:ascii="Arial" w:cs="Arial" w:eastAsia="Arial" w:hAnsi="Arial"/>
          <w:sz w:val="18"/>
          <w:szCs w:val="18"/>
          <w:color w:val="auto"/>
        </w:rPr>
      </w:pPr>
    </w:p>
    <w:p>
      <w:pPr>
        <w:ind w:left="780" w:right="420" w:hanging="326"/>
        <w:spacing w:after="0" w:line="26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03"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27" w:lineRule="exact"/>
        <w:rPr>
          <w:sz w:val="20"/>
          <w:szCs w:val="20"/>
          <w:color w:val="auto"/>
        </w:rPr>
      </w:pPr>
    </w:p>
    <w:p>
      <w:pPr>
        <w:ind w:right="60" w:firstLine="456"/>
        <w:spacing w:after="0" w:line="243"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77" w:lineRule="exact"/>
        <w:rPr>
          <w:sz w:val="20"/>
          <w:szCs w:val="20"/>
          <w:color w:val="auto"/>
        </w:rPr>
      </w:pPr>
    </w:p>
    <w:p>
      <w:pPr>
        <w:ind w:left="460" w:firstLine="438"/>
        <w:spacing w:after="0" w:line="271"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69" w:lineRule="auto"/>
        <w:rPr>
          <w:sz w:val="20"/>
          <w:szCs w:val="20"/>
          <w:color w:val="auto"/>
        </w:rPr>
      </w:pPr>
      <w:r>
        <w:rPr>
          <w:rFonts w:ascii="Arial" w:cs="Arial" w:eastAsia="Arial" w:hAnsi="Arial"/>
          <w:sz w:val="18"/>
          <w:szCs w:val="18"/>
          <w:color w:val="auto"/>
        </w:rPr>
        <w:t>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22" w:lineRule="exact"/>
        <w:rPr>
          <w:sz w:val="20"/>
          <w:szCs w:val="20"/>
          <w:color w:val="auto"/>
        </w:rPr>
      </w:pPr>
    </w:p>
    <w:p>
      <w:pPr>
        <w:ind w:left="460" w:right="40" w:firstLine="438"/>
        <w:spacing w:after="0" w:line="241"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49" w:lineRule="exact"/>
        <w:rPr>
          <w:sz w:val="20"/>
          <w:szCs w:val="20"/>
          <w:color w:val="auto"/>
        </w:rPr>
      </w:pPr>
    </w:p>
    <w:p>
      <w:pPr>
        <w:ind w:left="460" w:firstLine="438"/>
        <w:spacing w:after="0" w:line="243"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77" w:lineRule="exact"/>
        <w:rPr>
          <w:sz w:val="20"/>
          <w:szCs w:val="20"/>
          <w:color w:val="auto"/>
        </w:rPr>
      </w:pPr>
    </w:p>
    <w:p>
      <w:pPr>
        <w:ind w:left="460" w:right="80" w:firstLine="438"/>
        <w:spacing w:after="0" w:line="243" w:lineRule="auto"/>
        <w:rPr>
          <w:sz w:val="20"/>
          <w:szCs w:val="20"/>
          <w:color w:val="auto"/>
        </w:rPr>
      </w:pPr>
      <w:r>
        <w:rPr>
          <w:rFonts w:ascii="Arial" w:cs="Arial" w:eastAsia="Arial" w:hAnsi="Arial"/>
          <w:sz w:val="18"/>
          <w:szCs w:val="18"/>
          <w:i w:val="1"/>
          <w:iCs w:val="1"/>
          <w:color w:val="auto"/>
        </w:rPr>
        <w:t xml:space="preserve">“continuing directors” </w:t>
      </w:r>
      <w:r>
        <w:rPr>
          <w:rFonts w:ascii="Arial" w:cs="Arial" w:eastAsia="Arial" w:hAnsi="Arial"/>
          <w:sz w:val="18"/>
          <w:szCs w:val="18"/>
          <w:color w:val="auto"/>
        </w:rPr>
        <w:t>means, as of any date of determination, any member of our Board of Directors who (1) was a member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77" w:lineRule="exact"/>
        <w:rPr>
          <w:sz w:val="20"/>
          <w:szCs w:val="20"/>
          <w:color w:val="auto"/>
        </w:rPr>
      </w:pPr>
    </w:p>
    <w:p>
      <w:pPr>
        <w:ind w:left="460" w:right="20" w:firstLine="438"/>
        <w:spacing w:after="0" w:line="252"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 by Moody’s</w:t>
      </w:r>
      <w:r>
        <w:rPr>
          <w:rFonts w:ascii="Arial" w:cs="Arial" w:eastAsia="Arial" w:hAnsi="Arial"/>
          <w:sz w:val="18"/>
          <w:szCs w:val="18"/>
          <w:i w:val="1"/>
          <w:iCs w:val="1"/>
          <w:color w:val="auto"/>
        </w:rPr>
        <w:t xml:space="preserve"> </w:t>
      </w:r>
      <w:r>
        <w:rPr>
          <w:rFonts w:ascii="Arial" w:cs="Arial" w:eastAsia="Arial" w:hAnsi="Arial"/>
          <w:sz w:val="18"/>
          <w:szCs w:val="18"/>
          <w:color w:val="auto"/>
        </w:rPr>
        <w:t>and BBB- (or the equivalent) by S&amp;P, and the equivalent investment grade credit rating from any replacement rating agency or rating agencies selected by us.</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77" w:lineRule="exact"/>
        <w:rPr>
          <w:sz w:val="20"/>
          <w:szCs w:val="20"/>
          <w:color w:val="auto"/>
        </w:rPr>
      </w:pPr>
    </w:p>
    <w:p>
      <w:pPr>
        <w:jc w:val="both"/>
        <w:ind w:left="460" w:right="60" w:firstLine="438"/>
        <w:spacing w:after="0" w:line="246" w:lineRule="auto"/>
        <w:rPr>
          <w:sz w:val="20"/>
          <w:szCs w:val="20"/>
          <w:color w:val="auto"/>
        </w:rPr>
      </w:pPr>
      <w:r>
        <w:rPr>
          <w:rFonts w:ascii="Arial" w:cs="Arial" w:eastAsia="Arial" w:hAnsi="Arial"/>
          <w:sz w:val="18"/>
          <w:szCs w:val="18"/>
          <w:i w:val="1"/>
          <w:iCs w:val="1"/>
          <w:color w:val="auto"/>
        </w:rPr>
        <w:t xml:space="preserve">“rating agencies” </w:t>
      </w:r>
      <w:r>
        <w:rPr>
          <w:rFonts w:ascii="Arial" w:cs="Arial" w:eastAsia="Arial" w:hAnsi="Arial"/>
          <w:sz w:val="18"/>
          <w:szCs w:val="18"/>
          <w:color w:val="auto"/>
        </w:rPr>
        <w:t>means (1) each of Fitch, Moody’s and S&amp;P and (2) if any of Fitch, Moody’s or S&amp;P ceases to rate the notes or fails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43" w:lineRule="exact"/>
        <w:rPr>
          <w:sz w:val="20"/>
          <w:szCs w:val="20"/>
          <w:color w:val="auto"/>
        </w:rPr>
      </w:pPr>
    </w:p>
    <w:p>
      <w:pPr>
        <w:ind w:left="460" w:right="80" w:firstLine="438"/>
        <w:spacing w:after="0" w:line="243" w:lineRule="auto"/>
        <w:rPr>
          <w:sz w:val="20"/>
          <w:szCs w:val="20"/>
          <w:color w:val="auto"/>
        </w:rPr>
      </w:pPr>
      <w:r>
        <w:rPr>
          <w:rFonts w:ascii="Arial" w:cs="Arial" w:eastAsia="Arial" w:hAnsi="Arial"/>
          <w:sz w:val="18"/>
          <w:szCs w:val="18"/>
          <w:i w:val="1"/>
          <w:iCs w:val="1"/>
          <w:color w:val="auto"/>
        </w:rPr>
        <w:t xml:space="preserve">“rating event” </w:t>
      </w:r>
      <w:r>
        <w:rPr>
          <w:rFonts w:ascii="Arial" w:cs="Arial" w:eastAsia="Arial" w:hAnsi="Arial"/>
          <w:sz w:val="18"/>
          <w:szCs w:val="18"/>
          <w:color w:val="auto"/>
        </w:rPr>
        <w:t>means the rating on the notes is lowered by at least two of the three rating agencies and the notes are rated below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McGraw-Hill Companies, Inc., and its successors.</w:t>
      </w:r>
    </w:p>
    <w:p>
      <w:pPr>
        <w:spacing w:after="0" w:line="77" w:lineRule="exact"/>
        <w:rPr>
          <w:sz w:val="20"/>
          <w:szCs w:val="20"/>
          <w:color w:val="auto"/>
        </w:rPr>
      </w:pPr>
    </w:p>
    <w:p>
      <w:pPr>
        <w:ind w:left="460" w:right="280" w:firstLine="438"/>
        <w:spacing w:after="0" w:line="333" w:lineRule="auto"/>
        <w:rPr>
          <w:sz w:val="20"/>
          <w:szCs w:val="20"/>
          <w:color w:val="auto"/>
        </w:rPr>
      </w:pPr>
      <w:r>
        <w:rPr>
          <w:rFonts w:ascii="Arial" w:cs="Arial" w:eastAsia="Arial" w:hAnsi="Arial"/>
          <w:sz w:val="16"/>
          <w:szCs w:val="16"/>
          <w:i w:val="1"/>
          <w:iCs w:val="1"/>
          <w:color w:val="auto"/>
        </w:rPr>
        <w:t xml:space="preserve">“voting stock” </w:t>
      </w:r>
      <w:r>
        <w:rPr>
          <w:rFonts w:ascii="Arial" w:cs="Arial" w:eastAsia="Arial" w:hAnsi="Arial"/>
          <w:sz w:val="16"/>
          <w:szCs w:val="16"/>
          <w:color w:val="auto"/>
        </w:rPr>
        <w:t>means, with respect to any specified “person” (as that term is used in Section 13(d)(3) of the Exchange Act) as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date, the capital stock of such person that is at the time entitled to vote generally in the election of the board of directors of such person.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7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58" w:lineRule="exact"/>
        <w:rPr>
          <w:sz w:val="20"/>
          <w:szCs w:val="20"/>
          <w:color w:val="auto"/>
        </w:rPr>
      </w:pPr>
    </w:p>
    <w:p>
      <w:pPr>
        <w:ind w:right="120" w:firstLine="456"/>
        <w:spacing w:after="0" w:line="333" w:lineRule="auto"/>
        <w:rPr>
          <w:sz w:val="20"/>
          <w:szCs w:val="20"/>
          <w:color w:val="auto"/>
        </w:rPr>
      </w:pPr>
      <w:r>
        <w:rPr>
          <w:rFonts w:ascii="Arial" w:cs="Arial" w:eastAsia="Arial" w:hAnsi="Arial"/>
          <w:sz w:val="16"/>
          <w:szCs w:val="16"/>
          <w:color w:val="auto"/>
        </w:rPr>
        <w:t>For a description of these covenants, see “Description of Debt Securities—Provisions Applicable to Each Indenture—Consolidation, Merger and Sale of Assets” and “—Provisions Applicable Solely to Senior Debt Securities—Restrictive Covenants” in the accompanying prospectus.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79"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systems</w:t>
      </w:r>
    </w:p>
    <w:p>
      <w:pPr>
        <w:spacing w:after="0" w:line="79" w:lineRule="exact"/>
        <w:rPr>
          <w:sz w:val="20"/>
          <w:szCs w:val="20"/>
          <w:color w:val="auto"/>
        </w:rPr>
      </w:pPr>
    </w:p>
    <w:p>
      <w:pPr>
        <w:jc w:val="both"/>
        <w:ind w:firstLine="456"/>
        <w:spacing w:after="0" w:line="243" w:lineRule="auto"/>
        <w:rPr>
          <w:sz w:val="20"/>
          <w:szCs w:val="20"/>
          <w:color w:val="auto"/>
        </w:rPr>
      </w:pPr>
      <w:r>
        <w:rPr>
          <w:rFonts w:ascii="Arial" w:cs="Arial" w:eastAsia="Arial" w:hAnsi="Arial"/>
          <w:sz w:val="18"/>
          <w:szCs w:val="18"/>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127" w:lineRule="exact"/>
        <w:rPr>
          <w:sz w:val="20"/>
          <w:szCs w:val="20"/>
          <w:color w:val="auto"/>
        </w:rPr>
      </w:pPr>
    </w:p>
    <w:p>
      <w:pPr>
        <w:ind w:right="320" w:firstLine="456"/>
        <w:spacing w:after="0" w:line="252"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18" w:lineRule="exact"/>
        <w:rPr>
          <w:sz w:val="20"/>
          <w:szCs w:val="20"/>
          <w:color w:val="auto"/>
        </w:rPr>
      </w:pPr>
    </w:p>
    <w:p>
      <w:pPr>
        <w:ind w:right="180" w:firstLine="456"/>
        <w:spacing w:after="0" w:line="281" w:lineRule="auto"/>
        <w:rPr>
          <w:sz w:val="20"/>
          <w:szCs w:val="20"/>
          <w:color w:val="auto"/>
        </w:rPr>
      </w:pPr>
      <w:r>
        <w:rPr>
          <w:rFonts w:ascii="Arial" w:cs="Arial" w:eastAsia="Arial" w:hAnsi="Arial"/>
          <w:sz w:val="16"/>
          <w:szCs w:val="16"/>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56"/>
        <w:spacing w:after="0" w:line="269"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and the underwriters as follows:</w:t>
      </w:r>
    </w:p>
    <w:p>
      <w:pPr>
        <w:spacing w:after="0" w:line="77" w:lineRule="exact"/>
        <w:rPr>
          <w:sz w:val="20"/>
          <w:szCs w:val="20"/>
          <w:color w:val="auto"/>
        </w:rPr>
      </w:pPr>
    </w:p>
    <w:p>
      <w:pPr>
        <w:jc w:val="both"/>
        <w:ind w:left="780" w:right="80" w:hanging="326"/>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42" w:lineRule="exact"/>
        <w:rPr>
          <w:rFonts w:ascii="Arial" w:cs="Arial" w:eastAsia="Arial" w:hAnsi="Arial"/>
          <w:sz w:val="18"/>
          <w:szCs w:val="18"/>
          <w:color w:val="auto"/>
        </w:rPr>
      </w:pPr>
    </w:p>
    <w:p>
      <w:pPr>
        <w:ind w:left="780" w:right="80" w:hanging="326"/>
        <w:spacing w:after="0" w:line="252"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36" w:lineRule="exact"/>
        <w:rPr>
          <w:rFonts w:ascii="Arial" w:cs="Arial" w:eastAsia="Arial" w:hAnsi="Arial"/>
          <w:sz w:val="18"/>
          <w:szCs w:val="18"/>
          <w:color w:val="auto"/>
        </w:rPr>
      </w:pPr>
    </w:p>
    <w:p>
      <w:pPr>
        <w:ind w:left="780" w:right="80" w:hanging="326"/>
        <w:spacing w:after="0" w:line="24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42"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04"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30"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those persons may be prohibited from purchasing beneficial interests in the global notes from any beneficial owner or otherwise.</w:t>
      </w:r>
    </w:p>
    <w:p>
      <w:pPr>
        <w:spacing w:after="0" w:line="136"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24"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24"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30"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24"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We will make all applicable payments on the notes issued as global notes in immediately available funds.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w:t>
      </w:r>
    </w:p>
    <w:p>
      <w:pPr>
        <w:spacing w:after="0" w:line="79" w:lineRule="exact"/>
        <w:rPr>
          <w:sz w:val="20"/>
          <w:szCs w:val="20"/>
          <w:color w:val="auto"/>
        </w:rPr>
      </w:pPr>
    </w:p>
    <w:p>
      <w:pPr>
        <w:ind w:right="180" w:firstLine="456"/>
        <w:spacing w:after="0" w:line="252"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60"/>
        <w:spacing w:after="0" w:line="269" w:lineRule="auto"/>
        <w:rPr>
          <w:sz w:val="20"/>
          <w:szCs w:val="20"/>
          <w:color w:val="auto"/>
        </w:rPr>
      </w:pPr>
      <w:r>
        <w:rPr>
          <w:rFonts w:ascii="Arial" w:cs="Arial" w:eastAsia="Arial" w:hAnsi="Arial"/>
          <w:sz w:val="18"/>
          <w:szCs w:val="18"/>
          <w:color w:val="auto"/>
        </w:rPr>
        <w:t>other services, including securities lending and borrowing and interfaces with domestic markets in several countries generally similar to the arrangements for cross-market transfers with DTC.</w:t>
      </w:r>
    </w:p>
    <w:p>
      <w:pPr>
        <w:spacing w:after="0" w:line="103" w:lineRule="exact"/>
        <w:rPr>
          <w:sz w:val="20"/>
          <w:szCs w:val="20"/>
          <w:color w:val="auto"/>
        </w:rPr>
      </w:pPr>
    </w:p>
    <w:p>
      <w:pPr>
        <w:ind w:right="140" w:firstLine="456"/>
        <w:spacing w:after="0"/>
        <w:rPr>
          <w:sz w:val="20"/>
          <w:szCs w:val="20"/>
          <w:color w:val="auto"/>
        </w:rPr>
      </w:pPr>
      <w:r>
        <w:rPr>
          <w:rFonts w:ascii="Arial" w:cs="Arial" w:eastAsia="Arial" w:hAnsi="Arial"/>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31" w:lineRule="exact"/>
        <w:rPr>
          <w:sz w:val="20"/>
          <w:szCs w:val="20"/>
          <w:color w:val="auto"/>
        </w:rPr>
      </w:pPr>
    </w:p>
    <w:p>
      <w:pPr>
        <w:ind w:right="240" w:firstLine="456"/>
        <w:spacing w:after="0" w:line="269"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103"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24" w:lineRule="exact"/>
        <w:rPr>
          <w:sz w:val="20"/>
          <w:szCs w:val="20"/>
          <w:color w:val="auto"/>
        </w:rPr>
      </w:pPr>
    </w:p>
    <w:p>
      <w:pPr>
        <w:jc w:val="both"/>
        <w:ind w:right="60" w:firstLine="456"/>
        <w:spacing w:after="0" w:line="252"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8" w:lineRule="exact"/>
        <w:rPr>
          <w:sz w:val="20"/>
          <w:szCs w:val="20"/>
          <w:color w:val="auto"/>
        </w:rPr>
      </w:pPr>
    </w:p>
    <w:p>
      <w:pPr>
        <w:ind w:right="300" w:firstLine="456"/>
        <w:spacing w:after="0" w:line="269"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3"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30"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24" w:lineRule="exact"/>
        <w:rPr>
          <w:sz w:val="20"/>
          <w:szCs w:val="20"/>
          <w:color w:val="auto"/>
        </w:rPr>
      </w:pPr>
    </w:p>
    <w:p>
      <w:pPr>
        <w:ind w:right="440" w:firstLine="456"/>
        <w:spacing w:after="0" w:line="252" w:lineRule="auto"/>
        <w:rPr>
          <w:sz w:val="20"/>
          <w:szCs w:val="20"/>
          <w:color w:val="auto"/>
        </w:rPr>
      </w:pPr>
      <w:r>
        <w:rPr>
          <w:rFonts w:ascii="Arial" w:cs="Arial" w:eastAsia="Arial" w:hAnsi="Arial"/>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8"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Clearstream</w:t>
      </w:r>
    </w:p>
    <w:p>
      <w:pPr>
        <w:spacing w:after="0" w:line="79"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31" w:lineRule="exact"/>
        <w:rPr>
          <w:sz w:val="20"/>
          <w:szCs w:val="20"/>
          <w:color w:val="auto"/>
        </w:rPr>
      </w:pPr>
    </w:p>
    <w:p>
      <w:pPr>
        <w:ind w:right="340" w:firstLine="456"/>
        <w:spacing w:after="0" w:line="241"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30" w:lineRule="exact"/>
        <w:rPr>
          <w:sz w:val="20"/>
          <w:szCs w:val="20"/>
          <w:color w:val="auto"/>
        </w:rPr>
      </w:pPr>
    </w:p>
    <w:p>
      <w:pPr>
        <w:ind w:right="120" w:firstLine="456"/>
        <w:spacing w:after="0" w:line="269"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3"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30" w:lineRule="exact"/>
        <w:rPr>
          <w:sz w:val="20"/>
          <w:szCs w:val="20"/>
          <w:color w:val="auto"/>
        </w:rPr>
      </w:pPr>
    </w:p>
    <w:p>
      <w:pPr>
        <w:jc w:val="both"/>
        <w:ind w:right="380" w:firstLine="456"/>
        <w:spacing w:after="0" w:line="252"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result, as to the direct DTC participant, a cross-market transaction will settle no differently than a trade between two direct DTC participants.</w:t>
      </w:r>
    </w:p>
    <w:p>
      <w:pPr>
        <w:spacing w:after="0" w:line="158"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30"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UNDERWRITING (CONFLICTS OF INTEREST)</w:t>
      </w:r>
    </w:p>
    <w:p>
      <w:pPr>
        <w:spacing w:after="0" w:line="160" w:lineRule="exact"/>
        <w:rPr>
          <w:sz w:val="20"/>
          <w:szCs w:val="20"/>
          <w:color w:val="auto"/>
        </w:rPr>
      </w:pPr>
    </w:p>
    <w:p>
      <w:pPr>
        <w:ind w:firstLine="456"/>
        <w:spacing w:after="0" w:line="269" w:lineRule="auto"/>
        <w:rPr>
          <w:sz w:val="20"/>
          <w:szCs w:val="20"/>
          <w:color w:val="auto"/>
        </w:rPr>
      </w:pPr>
      <w:r>
        <w:rPr>
          <w:rFonts w:ascii="Arial" w:cs="Arial" w:eastAsia="Arial" w:hAnsi="Arial"/>
          <w:sz w:val="18"/>
          <w:szCs w:val="18"/>
          <w:color w:val="auto"/>
        </w:rPr>
        <w:t>Deutsche Bank Securities Inc., J.P. Morgan Securities LLC and RBS Securities Inc. are acting as joint book-running and joint lead managers of the offering and as representatives of the underwriters named below.</w:t>
      </w:r>
    </w:p>
    <w:p>
      <w:pPr>
        <w:spacing w:after="0" w:line="103" w:lineRule="exact"/>
        <w:rPr>
          <w:sz w:val="20"/>
          <w:szCs w:val="20"/>
          <w:color w:val="auto"/>
        </w:rPr>
      </w:pPr>
    </w:p>
    <w:p>
      <w:pPr>
        <w:ind w:right="100" w:firstLine="456"/>
        <w:spacing w:after="0" w:line="252"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510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4"/>
        </w:trPr>
        <w:tc>
          <w:tcPr>
            <w:tcW w:w="92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800" w:type="dxa"/>
            <w:vAlign w:val="bottom"/>
            <w:gridSpan w:val="2"/>
          </w:tcPr>
          <w:p>
            <w:pPr>
              <w:jc w:val="center"/>
              <w:ind w:right="120"/>
              <w:spacing w:after="0" w:line="154" w:lineRule="exact"/>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190"/>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Deutsche Bank Securities Inc.</w:t>
            </w:r>
          </w:p>
        </w:tc>
        <w:tc>
          <w:tcPr>
            <w:tcW w:w="36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3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RBS Securities Inc.</w:t>
            </w:r>
          </w:p>
        </w:tc>
        <w:tc>
          <w:tcPr>
            <w:tcW w:w="36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40" w:firstLine="456"/>
        <w:spacing w:after="0" w:line="252"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18" w:lineRule="exact"/>
        <w:rPr>
          <w:sz w:val="20"/>
          <w:szCs w:val="20"/>
          <w:color w:val="auto"/>
        </w:rPr>
      </w:pPr>
    </w:p>
    <w:p>
      <w:pPr>
        <w:ind w:right="220" w:firstLine="456"/>
        <w:spacing w:after="0" w:line="243"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w:t>
      </w:r>
    </w:p>
    <w:p>
      <w:pPr>
        <w:spacing w:after="0" w:line="127" w:lineRule="exact"/>
        <w:rPr>
          <w:sz w:val="20"/>
          <w:szCs w:val="20"/>
          <w:color w:val="auto"/>
        </w:rPr>
      </w:pPr>
    </w:p>
    <w:p>
      <w:pPr>
        <w:jc w:val="both"/>
        <w:ind w:right="160" w:firstLine="456"/>
        <w:spacing w:after="0" w:line="27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29" w:lineRule="exact"/>
        <w:rPr>
          <w:sz w:val="20"/>
          <w:szCs w:val="20"/>
          <w:color w:val="auto"/>
        </w:rPr>
      </w:pPr>
    </w:p>
    <w:p>
      <w:pPr>
        <w:ind w:right="120" w:firstLine="456"/>
        <w:spacing w:after="0" w:line="252"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18" w:lineRule="exact"/>
        <w:rPr>
          <w:sz w:val="20"/>
          <w:szCs w:val="20"/>
          <w:color w:val="auto"/>
        </w:rPr>
      </w:pPr>
    </w:p>
    <w:p>
      <w:pPr>
        <w:ind w:right="60" w:firstLine="456"/>
        <w:spacing w:after="0" w:line="246"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40"/>
          </w:cols>
          <w:pgMar w:left="240" w:top="455" w:right="31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158" w:lineRule="exact"/>
        <w:rPr>
          <w:sz w:val="20"/>
          <w:szCs w:val="20"/>
          <w:color w:val="auto"/>
        </w:rPr>
      </w:pPr>
    </w:p>
    <w:p>
      <w:pPr>
        <w:ind w:right="240" w:firstLine="456"/>
        <w:spacing w:after="0" w:line="269"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03" w:lineRule="exact"/>
        <w:rPr>
          <w:sz w:val="20"/>
          <w:szCs w:val="20"/>
          <w:color w:val="auto"/>
        </w:rPr>
      </w:pPr>
    </w:p>
    <w:p>
      <w:pPr>
        <w:ind w:right="80" w:firstLine="456"/>
        <w:spacing w:after="0" w:line="26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79" w:lineRule="exact"/>
        <w:rPr>
          <w:sz w:val="20"/>
          <w:szCs w:val="20"/>
          <w:color w:val="auto"/>
        </w:rPr>
      </w:pPr>
    </w:p>
    <w:p>
      <w:pPr>
        <w:ind w:right="100" w:firstLine="456"/>
        <w:spacing w:after="0" w:line="252"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18" w:lineRule="exact"/>
        <w:rPr>
          <w:sz w:val="20"/>
          <w:szCs w:val="20"/>
          <w:color w:val="auto"/>
        </w:rPr>
      </w:pPr>
    </w:p>
    <w:p>
      <w:pPr>
        <w:ind w:firstLine="456"/>
        <w:spacing w:after="0" w:line="271"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60"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Certain affiliates of Deutsche Bank Securities Inc., J.P. Morgan Securities LLC and RBS Securities Inc. are lenders to us under our revolving credit facility and may receive 5% or more of the net proceeds of this offering by reason of the repayment of amounts outstanding under such credit facilities.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79" w:lineRule="exact"/>
        <w:rPr>
          <w:sz w:val="20"/>
          <w:szCs w:val="20"/>
          <w:color w:val="auto"/>
        </w:rPr>
      </w:pPr>
    </w:p>
    <w:p>
      <w:pPr>
        <w:ind w:right="220" w:firstLine="456"/>
        <w:spacing w:after="0" w:line="287"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11" w:lineRule="exact"/>
        <w:rPr>
          <w:sz w:val="20"/>
          <w:szCs w:val="20"/>
          <w:color w:val="auto"/>
        </w:rPr>
      </w:pPr>
    </w:p>
    <w:p>
      <w:pPr>
        <w:ind w:left="5520" w:right="3700" w:hanging="4617"/>
        <w:spacing w:after="0" w:line="441" w:lineRule="auto"/>
        <w:tabs>
          <w:tab w:leader="none" w:pos="10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S-26</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60" w:firstLine="443"/>
        <w:spacing w:after="0" w:line="252" w:lineRule="auto"/>
        <w:tabs>
          <w:tab w:leader="none" w:pos="11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36" w:lineRule="exact"/>
        <w:rPr>
          <w:rFonts w:ascii="Arial" w:cs="Arial" w:eastAsia="Arial" w:hAnsi="Arial"/>
          <w:sz w:val="18"/>
          <w:szCs w:val="18"/>
          <w:color w:val="auto"/>
        </w:rPr>
      </w:pPr>
    </w:p>
    <w:p>
      <w:pPr>
        <w:ind w:left="1100" w:hanging="197"/>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158" w:lineRule="exact"/>
        <w:rPr>
          <w:sz w:val="20"/>
          <w:szCs w:val="20"/>
          <w:color w:val="auto"/>
        </w:rPr>
      </w:pPr>
    </w:p>
    <w:p>
      <w:pPr>
        <w:ind w:right="180" w:firstLine="456"/>
        <w:spacing w:after="0" w:line="278" w:lineRule="auto"/>
        <w:rPr>
          <w:sz w:val="20"/>
          <w:szCs w:val="20"/>
          <w:color w:val="auto"/>
        </w:rPr>
      </w:pPr>
      <w:r>
        <w:rPr>
          <w:rFonts w:ascii="Arial" w:cs="Arial" w:eastAsia="Arial" w:hAnsi="Arial"/>
          <w:sz w:val="16"/>
          <w:szCs w:val="16"/>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99" w:lineRule="exact"/>
        <w:rPr>
          <w:sz w:val="20"/>
          <w:szCs w:val="20"/>
          <w:color w:val="auto"/>
        </w:rPr>
      </w:pPr>
    </w:p>
    <w:p>
      <w:pPr>
        <w:ind w:firstLine="456"/>
        <w:spacing w:after="0" w:line="278"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w:t>
      </w:r>
    </w:p>
    <w:p>
      <w:pPr>
        <w:spacing w:after="0" w:line="1" w:lineRule="exact"/>
        <w:rPr>
          <w:sz w:val="20"/>
          <w:szCs w:val="20"/>
          <w:color w:val="auto"/>
        </w:rPr>
      </w:pPr>
    </w:p>
    <w:p>
      <w:pPr>
        <w:ind w:right="220" w:firstLine="8"/>
        <w:spacing w:after="0" w:line="239" w:lineRule="auto"/>
        <w:tabs>
          <w:tab w:leader="none" w:pos="2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160" w:lineRule="exact"/>
        <w:rPr>
          <w:sz w:val="20"/>
          <w:szCs w:val="20"/>
          <w:color w:val="auto"/>
        </w:rPr>
      </w:pPr>
    </w:p>
    <w:p>
      <w:pPr>
        <w:ind w:right="120" w:firstLine="456"/>
        <w:spacing w:after="0" w:line="252"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60"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2013, including the schedule appearing therein, and the effectiveness of Waste Management, Inc.’s internal control over financial reporting as of December 31, 2013,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00"/>
          </w:cols>
          <w:pgMar w:left="240" w:top="455"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58"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04" w:lineRule="exact"/>
        <w:rPr>
          <w:sz w:val="20"/>
          <w:szCs w:val="20"/>
          <w:color w:val="auto"/>
        </w:rPr>
      </w:pPr>
    </w:p>
    <w:p>
      <w:pPr>
        <w:ind w:right="40" w:firstLine="456"/>
        <w:spacing w:after="0" w:line="281"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636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171"/>
        </w:trPr>
        <w:tc>
          <w:tcPr>
            <w:tcW w:w="9360" w:type="dxa"/>
            <w:vAlign w:val="bottom"/>
            <w:gridSpan w:val="2"/>
          </w:tcPr>
          <w:p>
            <w:pPr>
              <w:spacing w:after="0" w:line="171" w:lineRule="exact"/>
              <w:rPr>
                <w:sz w:val="20"/>
                <w:szCs w:val="20"/>
                <w:color w:val="auto"/>
              </w:rPr>
            </w:pPr>
            <w:r>
              <w:rPr>
                <w:rFonts w:ascii="Arial" w:cs="Arial" w:eastAsia="Arial" w:hAnsi="Arial"/>
                <w:sz w:val="18"/>
                <w:szCs w:val="18"/>
                <w:color w:val="auto"/>
              </w:rPr>
              <w:t>Annual Report on Form 10-K for the year ended December 31, 2013</w:t>
            </w:r>
          </w:p>
        </w:tc>
        <w:tc>
          <w:tcPr>
            <w:tcW w:w="2060" w:type="dxa"/>
            <w:vAlign w:val="bottom"/>
          </w:tcPr>
          <w:p>
            <w:pPr>
              <w:jc w:val="center"/>
              <w:spacing w:after="0" w:line="171" w:lineRule="exact"/>
              <w:rPr>
                <w:sz w:val="20"/>
                <w:szCs w:val="20"/>
                <w:color w:val="auto"/>
              </w:rPr>
            </w:pPr>
            <w:r>
              <w:rPr>
                <w:rFonts w:ascii="Arial" w:cs="Arial" w:eastAsia="Arial" w:hAnsi="Arial"/>
                <w:sz w:val="18"/>
                <w:szCs w:val="18"/>
                <w:color w:val="auto"/>
                <w:w w:val="97"/>
              </w:rPr>
              <w:t>February 18, 2014</w:t>
            </w:r>
          </w:p>
        </w:tc>
      </w:tr>
      <w:tr>
        <w:trPr>
          <w:trHeight w:val="203"/>
        </w:trPr>
        <w:tc>
          <w:tcPr>
            <w:tcW w:w="9360" w:type="dxa"/>
            <w:vAlign w:val="bottom"/>
            <w:gridSpan w:val="2"/>
          </w:tcPr>
          <w:p>
            <w:pPr>
              <w:spacing w:after="0" w:line="202" w:lineRule="exact"/>
              <w:rPr>
                <w:sz w:val="20"/>
                <w:szCs w:val="20"/>
                <w:color w:val="auto"/>
              </w:rPr>
            </w:pPr>
            <w:r>
              <w:rPr>
                <w:rFonts w:ascii="Arial" w:cs="Arial" w:eastAsia="Arial" w:hAnsi="Arial"/>
                <w:sz w:val="18"/>
                <w:szCs w:val="18"/>
                <w:color w:val="auto"/>
              </w:rPr>
              <w:t>Current Report on Form 8-K</w:t>
            </w: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7"/>
              </w:rPr>
              <w:t>March 12, 2014</w:t>
            </w:r>
          </w:p>
        </w:tc>
      </w:tr>
      <w:tr>
        <w:trPr>
          <w:trHeight w:val="237"/>
        </w:trPr>
        <w:tc>
          <w:tcPr>
            <w:tcW w:w="93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quarterly period ended March 31, 2014</w:t>
            </w:r>
          </w:p>
        </w:tc>
        <w:tc>
          <w:tcPr>
            <w:tcW w:w="2060" w:type="dxa"/>
            <w:vAlign w:val="bottom"/>
          </w:tcPr>
          <w:p>
            <w:pPr>
              <w:jc w:val="center"/>
              <w:spacing w:after="0"/>
              <w:rPr>
                <w:sz w:val="20"/>
                <w:szCs w:val="20"/>
                <w:color w:val="auto"/>
              </w:rPr>
            </w:pPr>
            <w:r>
              <w:rPr>
                <w:rFonts w:ascii="Arial" w:cs="Arial" w:eastAsia="Arial" w:hAnsi="Arial"/>
                <w:sz w:val="18"/>
                <w:szCs w:val="18"/>
                <w:color w:val="auto"/>
                <w:w w:val="97"/>
              </w:rPr>
              <w:t>April 24, 2014</w:t>
            </w:r>
          </w:p>
        </w:tc>
      </w:tr>
    </w:tbl>
    <w:p>
      <w:pPr>
        <w:spacing w:after="0" w:line="128" w:lineRule="exact"/>
        <w:rPr>
          <w:sz w:val="20"/>
          <w:szCs w:val="20"/>
          <w:color w:val="auto"/>
        </w:rPr>
      </w:pPr>
    </w:p>
    <w:p>
      <w:pPr>
        <w:ind w:right="80" w:firstLine="456"/>
        <w:spacing w:after="0" w:line="243"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2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jc w:val="center"/>
        <w:spacing w:after="0" w:line="234" w:lineRule="auto"/>
        <w:rPr>
          <w:sz w:val="20"/>
          <w:szCs w:val="20"/>
          <w:color w:val="auto"/>
        </w:rPr>
      </w:pPr>
      <w:r>
        <w:rPr>
          <w:rFonts w:ascii="Arial" w:cs="Arial" w:eastAsia="Arial" w:hAnsi="Arial"/>
          <w:sz w:val="18"/>
          <w:szCs w:val="18"/>
          <w:color w:val="auto"/>
        </w:rPr>
        <w:t>Houston, Texas 77002</w:t>
      </w:r>
    </w:p>
    <w:p>
      <w:pPr>
        <w:jc w:val="center"/>
        <w:spacing w:after="0" w:line="235" w:lineRule="auto"/>
        <w:rPr>
          <w:sz w:val="20"/>
          <w:szCs w:val="20"/>
          <w:color w:val="auto"/>
        </w:rPr>
      </w:pPr>
      <w:r>
        <w:rPr>
          <w:rFonts w:ascii="Arial" w:cs="Arial" w:eastAsia="Arial" w:hAnsi="Arial"/>
          <w:sz w:val="18"/>
          <w:szCs w:val="18"/>
          <w:color w:val="auto"/>
        </w:rPr>
        <w:t>Attn: Corporate Secretary</w:t>
      </w:r>
    </w:p>
    <w:p>
      <w:pPr>
        <w:ind w:left="5160"/>
        <w:spacing w:after="0" w:line="235" w:lineRule="auto"/>
        <w:rPr>
          <w:sz w:val="20"/>
          <w:szCs w:val="20"/>
          <w:color w:val="auto"/>
        </w:rPr>
      </w:pPr>
      <w:r>
        <w:rPr>
          <w:rFonts w:ascii="Arial" w:cs="Arial" w:eastAsia="Arial" w:hAnsi="Arial"/>
          <w:sz w:val="18"/>
          <w:szCs w:val="18"/>
          <w:color w:val="auto"/>
        </w:rPr>
        <w:t>713-512-6200</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www.wm.com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285750</wp:posOffset>
            </wp:positionV>
            <wp:extent cx="1329055"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90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337185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297"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351790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180" w:firstLine="456"/>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“Risk Factors” on page 5 of this prospectus, the risk factors included in our periodic reports that we file with the Securities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323850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310515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This prospectus is dated September 28, 2012</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9"/>
        </w:trPr>
        <w:tc>
          <w:tcPr>
            <w:tcW w:w="4180" w:type="dxa"/>
            <w:vAlign w:val="bottom"/>
            <w:gridSpan w:val="1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Forward-Looking Statements</w:t>
              </w:r>
            </w:hyperlink>
          </w:p>
        </w:tc>
        <w:tc>
          <w:tcPr>
            <w:tcW w:w="7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4180" w:type="dxa"/>
            <w:vAlign w:val="bottom"/>
            <w:gridSpan w:val="17"/>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Description of Debt Securities</w:t>
              </w:r>
            </w:hyperlink>
          </w:p>
        </w:tc>
        <w:tc>
          <w:tcPr>
            <w:tcW w:w="198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9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180" w:type="dxa"/>
            <w:vAlign w:val="bottom"/>
            <w:gridSpan w:val="17"/>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Description of Other Securities</w:t>
              </w:r>
            </w:hyperlink>
          </w:p>
        </w:tc>
        <w:tc>
          <w:tcPr>
            <w:tcW w:w="19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7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18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2011.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3" w:lineRule="exact"/>
        <w:rPr>
          <w:sz w:val="20"/>
          <w:szCs w:val="20"/>
          <w:color w:val="auto"/>
        </w:rPr>
      </w:pPr>
    </w:p>
    <w:p>
      <w:pPr>
        <w:ind w:left="900" w:right="160" w:hanging="446"/>
        <w:spacing w:after="0" w:line="313"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3" w:lineRule="exact"/>
        <w:rPr>
          <w:rFonts w:ascii="Times New Roman" w:cs="Times New Roman" w:eastAsia="Times New Roman" w:hAnsi="Times New Roman"/>
          <w:sz w:val="17"/>
          <w:szCs w:val="17"/>
          <w:color w:val="auto"/>
        </w:rPr>
      </w:pPr>
    </w:p>
    <w:p>
      <w:pPr>
        <w:ind w:left="900" w:right="26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our optimization and growth initiatives and overall business strategy, which could adversely impact our financial performance and growth;</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initiatives may not achieve the goals and cost savings intended, implementing the restructuring may result in business disruption and employee distraction, and changes in our organizational structure and workforce could result in significant restructuring charges;</w:t>
      </w:r>
    </w:p>
    <w:p>
      <w:pPr>
        <w:spacing w:after="0" w:line="67"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may negatively impact our business by, among other things, restricting our operations, increasing costs of operations or requiring additional capital expenditures;</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w:t>
      </w:r>
    </w:p>
    <w:p>
      <w:pPr>
        <w:spacing w:after="0" w:line="67"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81" w:lineRule="exact"/>
        <w:rPr>
          <w:rFonts w:ascii="Times New Roman" w:cs="Times New Roman" w:eastAsia="Times New Roman" w:hAnsi="Times New Roman"/>
          <w:sz w:val="18"/>
          <w:szCs w:val="18"/>
          <w:color w:val="auto"/>
        </w:rPr>
      </w:pPr>
    </w:p>
    <w:p>
      <w:pPr>
        <w:ind w:left="900" w:right="200" w:hanging="446"/>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waste to energy facilities and our profitability;</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could tarnish our reputation and reduce the value of our brand;</w:t>
      </w:r>
    </w:p>
    <w:p>
      <w:pPr>
        <w:spacing w:after="0" w:line="67" w:lineRule="exact"/>
        <w:rPr>
          <w:rFonts w:ascii="Times New Roman" w:cs="Times New Roman" w:eastAsia="Times New Roman" w:hAnsi="Times New Roman"/>
          <w:sz w:val="18"/>
          <w:szCs w:val="18"/>
          <w:color w:val="auto"/>
        </w:rPr>
      </w:pPr>
    </w:p>
    <w:p>
      <w:pPr>
        <w:ind w:left="900" w:right="62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negatively affect the volumes of waste generated;</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permits needed to open, operate, and/or expand our facilities, our results of operations will be negatively impacted;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price increases or fuel supply shortages may increase our expenses and restrict our ability to operate;</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current information technology or the development and deployment of new information systems could decrease our efficiencies and increase our costs;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could negatively impact our business and our relationships with customers;</w:t>
      </w:r>
    </w:p>
    <w:p>
      <w:pPr>
        <w:spacing w:after="0" w:line="130"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liability for withdrawal from multiemployer pension plans;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including the risk of personal injury to employees and others;</w:t>
      </w:r>
    </w:p>
    <w:p>
      <w:pPr>
        <w:spacing w:after="0" w:line="130" w:lineRule="exact"/>
        <w:rPr>
          <w:rFonts w:ascii="Times New Roman" w:cs="Times New Roman" w:eastAsia="Times New Roman" w:hAnsi="Times New Roman"/>
          <w:sz w:val="18"/>
          <w:szCs w:val="18"/>
          <w:color w:val="auto"/>
        </w:rPr>
      </w:pPr>
    </w:p>
    <w:p>
      <w:pPr>
        <w:ind w:left="900" w:right="56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67"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as a result of shut-down operations, uncompleted development or expansion projects or other events may negatively affect earnings;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70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acquisition activity, dividend declarations or share repurchases if we suffer a significant reduction in cash flows;</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on terms we deem acceptable or to refinance our debt obligations, including near-term maturities, on acceptable terms and higher interest rates and market conditions may increase our expense;</w:t>
      </w:r>
    </w:p>
    <w:p>
      <w:pPr>
        <w:spacing w:after="0" w:line="67" w:lineRule="exact"/>
        <w:rPr>
          <w:rFonts w:ascii="Times New Roman" w:cs="Times New Roman" w:eastAsia="Times New Roman" w:hAnsi="Times New Roman"/>
          <w:sz w:val="18"/>
          <w:szCs w:val="18"/>
          <w:color w:val="auto"/>
        </w:rPr>
      </w:pPr>
    </w:p>
    <w:p>
      <w:pPr>
        <w:ind w:left="900" w:right="72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legislation, including possible limits on carbon emissions, may negatively impact our results of operations by increasing expenses;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67"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accounting standards or interpretations may cause fluctuations in reported quarterly results of operations or adversely impact our reported results of operations.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or developments after the date of this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2"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80"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right="380" w:firstLine="456"/>
        <w:spacing w:after="0" w:line="289" w:lineRule="auto"/>
        <w:rPr>
          <w:sz w:val="20"/>
          <w:szCs w:val="20"/>
          <w:color w:val="auto"/>
        </w:rPr>
      </w:pPr>
      <w:r>
        <w:rPr>
          <w:rFonts w:ascii="Times New Roman" w:cs="Times New Roman" w:eastAsia="Times New Roman" w:hAnsi="Times New Roman"/>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5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 Filing (Our SEC File Number is 1-12154)</w:t>
            </w:r>
          </w:p>
        </w:tc>
        <w:tc>
          <w:tcPr>
            <w:tcW w:w="584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r>
      <w:tr>
        <w:trPr>
          <w:trHeight w:val="191"/>
        </w:trPr>
        <w:tc>
          <w:tcPr>
            <w:tcW w:w="8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Annual Report on Form 10-K for the year ended December 31, 2011</w:t>
            </w: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16,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March 31, 2012</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26,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June 30, 2012</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26,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22,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5, 2012</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(except for the information furnished pursuant to Item 2.02)</w:t>
            </w:r>
          </w:p>
        </w:tc>
        <w:tc>
          <w:tcPr>
            <w:tcW w:w="272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26, 2012</w:t>
            </w:r>
          </w:p>
        </w:tc>
      </w:tr>
      <w:tr>
        <w:trPr>
          <w:trHeight w:val="243"/>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2012</w:t>
            </w:r>
          </w:p>
        </w:tc>
      </w:tr>
      <w:tr>
        <w:trPr>
          <w:trHeight w:val="230"/>
        </w:trPr>
        <w:tc>
          <w:tcPr>
            <w:tcW w:w="28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11, 2012</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our Common Stock on Form 8-B, as we may update that description from time to time</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1995</w:t>
            </w:r>
          </w:p>
        </w:tc>
      </w:tr>
    </w:tbl>
    <w:p>
      <w:pPr>
        <w:spacing w:after="0" w:line="19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as described below, or through the SEC or through the SEC’s Internet website as described below. Documents incorporated by reference are available without charge by requesting them in writing, by telephone or via the Internet at: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www.wm.com</w:t>
      </w:r>
    </w:p>
    <w:p>
      <w:pPr>
        <w:spacing w:after="0" w:line="203" w:lineRule="exact"/>
        <w:rPr>
          <w:sz w:val="20"/>
          <w:szCs w:val="20"/>
          <w:color w:val="auto"/>
        </w:rPr>
      </w:pPr>
    </w:p>
    <w:p>
      <w:pPr>
        <w:jc w:val="center"/>
        <w:spacing w:after="0" w:line="459" w:lineRule="auto"/>
        <w:rPr>
          <w:sz w:val="20"/>
          <w:szCs w:val="20"/>
          <w:color w:val="auto"/>
        </w:rPr>
      </w:pPr>
      <w:r>
        <w:rPr>
          <w:rFonts w:ascii="Times New Roman" w:cs="Times New Roman" w:eastAsia="Times New Roman" w:hAnsi="Times New Roman"/>
          <w:sz w:val="18"/>
          <w:szCs w:val="18"/>
          <w:b w:val="1"/>
          <w:bCs w:val="1"/>
          <w:color w:val="auto"/>
        </w:rPr>
        <w:t xml:space="preserve">THE INFORMATION CONTAINED ON OUR WEBSITE DOES NOT CONSTITUTE A PART OF THIS PROSPECTUS. </w:t>
      </w: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84"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executive offices are located at 1001 Fannin Street, Suite 4000, Houston, Texas 77002 and our telephone number is (713) 512-6200.</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39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ratio of earnings to fixed charges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0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000" w:type="dxa"/>
            <w:vAlign w:val="bottom"/>
          </w:tcPr>
          <w:p>
            <w:pPr>
              <w:spacing w:after="0"/>
              <w:rPr>
                <w:sz w:val="10"/>
                <w:szCs w:val="10"/>
                <w:color w:val="auto"/>
              </w:rPr>
            </w:pPr>
          </w:p>
        </w:tc>
        <w:tc>
          <w:tcPr>
            <w:tcW w:w="11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Ended</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2008</w:t>
            </w:r>
          </w:p>
        </w:tc>
        <w:tc>
          <w:tcPr>
            <w:tcW w:w="300" w:type="dxa"/>
            <w:vAlign w:val="bottom"/>
          </w:tcPr>
          <w:p>
            <w:pPr>
              <w:spacing w:after="0"/>
              <w:rPr>
                <w:sz w:val="10"/>
                <w:szCs w:val="10"/>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2012</w:t>
            </w:r>
          </w:p>
        </w:tc>
        <w:tc>
          <w:tcPr>
            <w:tcW w:w="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000" w:type="dxa"/>
            <w:vAlign w:val="bottom"/>
            <w:vMerge w:val="continue"/>
          </w:tcPr>
          <w:p>
            <w:pPr>
              <w:spacing w:after="0"/>
              <w:rPr>
                <w:sz w:val="19"/>
                <w:szCs w:val="19"/>
                <w:color w:val="auto"/>
              </w:rPr>
            </w:pPr>
          </w:p>
        </w:tc>
        <w:tc>
          <w:tcPr>
            <w:tcW w:w="8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5"/>
              </w:rPr>
              <w:t>3.2x</w:t>
            </w:r>
          </w:p>
        </w:tc>
        <w:tc>
          <w:tcPr>
            <w:tcW w:w="320" w:type="dxa"/>
            <w:vAlign w:val="bottom"/>
          </w:tcPr>
          <w:p>
            <w:pPr>
              <w:spacing w:after="0"/>
              <w:rPr>
                <w:sz w:val="19"/>
                <w:szCs w:val="19"/>
                <w:color w:val="auto"/>
              </w:rPr>
            </w:pPr>
          </w:p>
        </w:tc>
        <w:tc>
          <w:tcPr>
            <w:tcW w:w="3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3.8x</w:t>
            </w:r>
          </w:p>
        </w:tc>
        <w:tc>
          <w:tcPr>
            <w:tcW w:w="320" w:type="dxa"/>
            <w:vAlign w:val="bottom"/>
          </w:tcPr>
          <w:p>
            <w:pPr>
              <w:spacing w:after="0"/>
              <w:rPr>
                <w:sz w:val="19"/>
                <w:szCs w:val="19"/>
                <w:color w:val="auto"/>
              </w:rPr>
            </w:pPr>
          </w:p>
        </w:tc>
        <w:tc>
          <w:tcPr>
            <w:tcW w:w="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4"/>
              </w:rPr>
              <w:t>4.1 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4.0x</w:t>
            </w:r>
          </w:p>
        </w:tc>
        <w:tc>
          <w:tcPr>
            <w:tcW w:w="320" w:type="dxa"/>
            <w:vAlign w:val="bottom"/>
          </w:tcPr>
          <w:p>
            <w:pPr>
              <w:spacing w:after="0"/>
              <w:rPr>
                <w:sz w:val="19"/>
                <w:szCs w:val="19"/>
                <w:color w:val="auto"/>
              </w:rPr>
            </w:pPr>
          </w:p>
        </w:tc>
        <w:tc>
          <w:tcPr>
            <w:tcW w:w="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4.5x</w:t>
            </w:r>
          </w:p>
        </w:tc>
        <w:tc>
          <w:tcPr>
            <w:tcW w:w="30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4.0x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180"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No shares of our preference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229"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the initial trustee, Texas Commerce Bank National Association ), as trustee. We will issue subordinated debt securities under an indenture dated as of February 1, 1997, among Waste Management, as issuer, and The Bank of New York Mellon Trust Company, N.A., as trustee. The indentures are substantially identical, except for provisions relating to subordination and covenants.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19" w:lineRule="exact"/>
        <w:rPr>
          <w:sz w:val="20"/>
          <w:szCs w:val="20"/>
          <w:color w:val="auto"/>
        </w:rPr>
      </w:pPr>
    </w:p>
    <w:p>
      <w:pPr>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 indenture, and neither limits the amount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debt or securities that we may issue. We may issue debt securities under the indentures from time to time in one or more series, each in an amount authorized prior to issuance.</w:t>
      </w:r>
    </w:p>
    <w:p>
      <w:pPr>
        <w:spacing w:after="0" w:line="174"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 terms relating to the offering. These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include some or all of the following:</w:t>
      </w:r>
    </w:p>
    <w:p>
      <w:pPr>
        <w:spacing w:after="0" w:line="66"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the date from which interest will accrue, interest payment dates and record dates for interest payments;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130"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or any other entity;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74"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 of Waste Management into another person,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conveyance, transfer or lease of our properties and assets substantially as an entirety to another person unless:</w:t>
      </w:r>
    </w:p>
    <w:p>
      <w:pPr>
        <w:spacing w:after="0" w:line="66" w:lineRule="exact"/>
        <w:rPr>
          <w:sz w:val="20"/>
          <w:szCs w:val="20"/>
          <w:color w:val="auto"/>
        </w:rPr>
      </w:pPr>
    </w:p>
    <w:p>
      <w:pPr>
        <w:ind w:left="900" w:right="20" w:hanging="446"/>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81" w:lineRule="exact"/>
        <w:rPr>
          <w:rFonts w:ascii="Times New Roman" w:cs="Times New Roman" w:eastAsia="Times New Roman" w:hAnsi="Times New Roman"/>
          <w:sz w:val="18"/>
          <w:szCs w:val="18"/>
          <w:color w:val="auto"/>
        </w:rPr>
      </w:pPr>
    </w:p>
    <w:p>
      <w:pPr>
        <w:ind w:left="900" w:right="76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16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60" w:lineRule="exact"/>
        <w:rPr>
          <w:sz w:val="20"/>
          <w:szCs w:val="20"/>
          <w:color w:val="auto"/>
        </w:rPr>
      </w:pPr>
    </w:p>
    <w:p>
      <w:pPr>
        <w:ind w:right="1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 events of default with respect to a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debt securities:</w:t>
      </w:r>
    </w:p>
    <w:p>
      <w:pPr>
        <w:spacing w:after="0" w:line="66"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1"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2"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160" w:lineRule="exact"/>
        <w:rPr>
          <w:sz w:val="20"/>
          <w:szCs w:val="20"/>
          <w:color w:val="auto"/>
        </w:rPr>
      </w:pPr>
    </w:p>
    <w:p>
      <w:pPr>
        <w:jc w:val="both"/>
        <w:ind w:right="120"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Modification and Waiver. </w:t>
      </w:r>
      <w:r>
        <w:rPr>
          <w:rFonts w:ascii="Times New Roman" w:cs="Times New Roman" w:eastAsia="Times New Roman" w:hAnsi="Times New Roman"/>
          <w:sz w:val="17"/>
          <w:szCs w:val="17"/>
          <w:color w:val="auto"/>
        </w:rPr>
        <w:t>Each indenture may be amended or supplemented if the majority in principal amount of the outstanding debt securities of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9"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2"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223" w:lineRule="exact"/>
        <w:rPr>
          <w:sz w:val="20"/>
          <w:szCs w:val="20"/>
          <w:color w:val="auto"/>
        </w:rPr>
      </w:pPr>
    </w:p>
    <w:p>
      <w:pPr>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 the indentures. If any combination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81" w:lineRule="exact"/>
        <w:rPr>
          <w:sz w:val="20"/>
          <w:szCs w:val="20"/>
          <w:color w:val="auto"/>
        </w:rPr>
      </w:pPr>
    </w:p>
    <w:p>
      <w:pPr>
        <w:ind w:left="900" w:right="42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67"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New York law will govern the indentures and the debt securities.</w:t>
      </w:r>
    </w:p>
    <w:p>
      <w:pPr>
        <w:spacing w:after="0" w:line="225" w:lineRule="exact"/>
        <w:rPr>
          <w:sz w:val="20"/>
          <w:szCs w:val="20"/>
          <w:color w:val="auto"/>
        </w:rPr>
      </w:pPr>
    </w:p>
    <w:p>
      <w:pPr>
        <w:ind w:right="2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 and the subordinated indenture. The Bank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Mellon Trust Company, N.A. serves as trustee or custodian</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20"/>
          </w:cols>
          <w:pgMar w:left="24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relating to a number of series of debt obligations of Waste Management. Certain of The Bank of New York Mellon Trust Company, N.A.’s affiliates perform certain commercial banking services for us for which they receive customary fees and act as a lender under our current credit facility.</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74"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 without interest coupons, or in bearer form,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76"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20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16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 on the debt securities will be made in U.S. dollars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8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0"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7"/>
          <w:szCs w:val="17"/>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5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 global debt securities that would be deposited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19"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 and will rank equally with all of the other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83"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 holders of the senior debt securities.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68" w:lineRule="exact"/>
        <w:rPr>
          <w:sz w:val="20"/>
          <w:szCs w:val="20"/>
          <w:color w:val="auto"/>
        </w:rPr>
      </w:pPr>
    </w:p>
    <w:p>
      <w:pPr>
        <w:ind w:left="1140" w:hanging="237"/>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sales agreements with respect to any property or assets acquired by us or a Restricted Subsidiary;</w:t>
      </w:r>
    </w:p>
    <w:p>
      <w:pPr>
        <w:spacing w:after="0" w:line="117" w:lineRule="exact"/>
        <w:rPr>
          <w:rFonts w:ascii="Times New Roman" w:cs="Times New Roman" w:eastAsia="Times New Roman" w:hAnsi="Times New Roman"/>
          <w:sz w:val="18"/>
          <w:szCs w:val="18"/>
          <w:color w:val="auto"/>
        </w:rPr>
      </w:pPr>
    </w:p>
    <w:p>
      <w:pPr>
        <w:ind w:left="460" w:right="200" w:firstLine="443"/>
        <w:spacing w:after="0" w:line="282" w:lineRule="auto"/>
        <w:tabs>
          <w:tab w:leader="none" w:pos="11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51" w:lineRule="exact"/>
        <w:rPr>
          <w:rFonts w:ascii="Times New Roman" w:cs="Times New Roman" w:eastAsia="Times New Roman" w:hAnsi="Times New Roman"/>
          <w:sz w:val="18"/>
          <w:szCs w:val="18"/>
          <w:color w:val="auto"/>
        </w:rPr>
      </w:pPr>
    </w:p>
    <w:p>
      <w:pPr>
        <w:ind w:left="460" w:right="260" w:firstLine="443"/>
        <w:spacing w:after="0" w:line="284" w:lineRule="auto"/>
        <w:tabs>
          <w:tab w:leader="none" w:pos="11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property, assets or stock of any successor entity that becomes the Company in accordance with </w:t>
      </w:r>
      <w:r>
        <w:rPr>
          <w:rFonts w:ascii="Times New Roman" w:cs="Times New Roman" w:eastAsia="Times New Roman" w:hAnsi="Times New Roman"/>
          <w:sz w:val="18"/>
          <w:szCs w:val="18"/>
          <w:i w:val="1"/>
          <w:iCs w:val="1"/>
          <w:color w:val="auto"/>
        </w:rPr>
        <w:t>“Provisions Applicable to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 Consolidation, Merger and Sale of Assets,” </w:t>
      </w:r>
      <w:r>
        <w:rPr>
          <w:rFonts w:ascii="Times New Roman" w:cs="Times New Roman" w:eastAsia="Times New Roman" w:hAnsi="Times New Roman"/>
          <w:sz w:val="18"/>
          <w:szCs w:val="18"/>
          <w:color w:val="auto"/>
        </w:rPr>
        <w:t>above;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 liens on assets either:</w:t>
      </w:r>
    </w:p>
    <w:p>
      <w:pPr>
        <w:spacing w:after="0" w:line="131" w:lineRule="exact"/>
        <w:rPr>
          <w:sz w:val="20"/>
          <w:szCs w:val="20"/>
          <w:color w:val="auto"/>
        </w:rPr>
      </w:pPr>
    </w:p>
    <w:p>
      <w:pPr>
        <w:ind w:left="1480" w:hanging="446"/>
        <w:spacing w:after="0"/>
        <w:tabs>
          <w:tab w:leader="none" w:pos="1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30" w:lineRule="exact"/>
        <w:rPr>
          <w:rFonts w:ascii="Times New Roman" w:cs="Times New Roman" w:eastAsia="Times New Roman" w:hAnsi="Times New Roman"/>
          <w:sz w:val="18"/>
          <w:szCs w:val="18"/>
          <w:color w:val="auto"/>
        </w:rPr>
      </w:pPr>
    </w:p>
    <w:p>
      <w:pPr>
        <w:ind w:left="1480" w:right="20" w:hanging="446"/>
        <w:spacing w:after="0" w:line="266" w:lineRule="auto"/>
        <w:tabs>
          <w:tab w:leader="none" w:pos="1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68"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materialmen’s and like liens incurred in the ordinary course of business;</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deposits or security given to governmental agencies required in order to do business with the government;</w:t>
      </w:r>
    </w:p>
    <w:p>
      <w:pPr>
        <w:spacing w:after="0" w:line="117"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not yet delinquent or being contested in good faith;</w:t>
      </w:r>
    </w:p>
    <w:p>
      <w:pPr>
        <w:spacing w:after="0" w:line="117"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legal proceedings so long as the proceeding is being contested in good faith or execution thereon is stayed;</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liens on fixtures located on property leased by us or Restricted Subsidiaries in the ordinary course of business;</w:t>
      </w:r>
    </w:p>
    <w:p>
      <w:pPr>
        <w:spacing w:after="0" w:line="117" w:lineRule="exact"/>
        <w:rPr>
          <w:rFonts w:ascii="Times New Roman" w:cs="Times New Roman" w:eastAsia="Times New Roman" w:hAnsi="Times New Roman"/>
          <w:sz w:val="18"/>
          <w:szCs w:val="18"/>
          <w:color w:val="auto"/>
        </w:rPr>
      </w:pPr>
    </w:p>
    <w:p>
      <w:pPr>
        <w:ind w:left="1120" w:hanging="217"/>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117" w:lineRule="exact"/>
        <w:rPr>
          <w:rFonts w:ascii="Times New Roman" w:cs="Times New Roman" w:eastAsia="Times New Roman" w:hAnsi="Times New Roman"/>
          <w:sz w:val="18"/>
          <w:szCs w:val="18"/>
          <w:color w:val="auto"/>
        </w:rPr>
      </w:pPr>
    </w:p>
    <w:p>
      <w:pPr>
        <w:ind w:left="460" w:firstLine="443"/>
        <w:spacing w:after="0" w:line="282" w:lineRule="auto"/>
        <w:tabs>
          <w:tab w:leader="none" w:pos="12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due to deposits to qualify us or a Restricted Subsidiary to do business, maintain self-insurance or obtain the benefit of or comply with laws;</w:t>
      </w:r>
    </w:p>
    <w:p>
      <w:pPr>
        <w:spacing w:after="0" w:line="53"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17" w:lineRule="exact"/>
        <w:rPr>
          <w:rFonts w:ascii="Times New Roman" w:cs="Times New Roman" w:eastAsia="Times New Roman" w:hAnsi="Times New Roman"/>
          <w:sz w:val="18"/>
          <w:szCs w:val="18"/>
          <w:color w:val="auto"/>
        </w:rPr>
      </w:pPr>
    </w:p>
    <w:p>
      <w:pPr>
        <w:ind w:left="460" w:right="160" w:firstLine="443"/>
        <w:spacing w:after="0" w:line="282" w:lineRule="auto"/>
        <w:tabs>
          <w:tab w:leader="none" w:pos="11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6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54" w:lineRule="exact"/>
        <w:rPr>
          <w:sz w:val="20"/>
          <w:szCs w:val="20"/>
          <w:color w:val="auto"/>
        </w:rPr>
      </w:pPr>
    </w:p>
    <w:p>
      <w:pPr>
        <w:ind w:left="460" w:right="280" w:firstLine="443"/>
        <w:spacing w:after="0" w:line="266" w:lineRule="auto"/>
        <w:tabs>
          <w:tab w:leader="none" w:pos="11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68"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1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the effective date of any Sale/Leaseback Transaction, we will apply an amount equal to the fair value (as determined by our Board of Directors) of the property to be leased to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82" w:lineRule="auto"/>
        <w:rPr>
          <w:sz w:val="20"/>
          <w:szCs w:val="20"/>
          <w:color w:val="auto"/>
        </w:rPr>
      </w:pPr>
      <w:r>
        <w:rPr>
          <w:rFonts w:ascii="Times New Roman" w:cs="Times New Roman" w:eastAsia="Times New Roman" w:hAnsi="Times New Roman"/>
          <w:sz w:val="18"/>
          <w:szCs w:val="18"/>
          <w:color w:val="auto"/>
        </w:rPr>
        <w:t xml:space="preserve">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54" w:lineRule="exact"/>
        <w:rPr>
          <w:sz w:val="20"/>
          <w:szCs w:val="20"/>
          <w:color w:val="auto"/>
        </w:rPr>
      </w:pPr>
    </w:p>
    <w:p>
      <w:pPr>
        <w:ind w:left="460" w:right="220" w:firstLine="443"/>
        <w:spacing w:after="0" w:line="282" w:lineRule="auto"/>
        <w:tabs>
          <w:tab w:leader="none" w:pos="11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54" w:lineRule="exact"/>
        <w:rPr>
          <w:sz w:val="20"/>
          <w:szCs w:val="20"/>
          <w:color w:val="auto"/>
        </w:rPr>
      </w:pPr>
    </w:p>
    <w:p>
      <w:pPr>
        <w:jc w:val="both"/>
        <w:ind w:left="460" w:right="160"/>
        <w:spacing w:after="0" w:line="266"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 lease included in the Sale/Leaseback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 its consolidated subsidiaries less:</w:t>
      </w:r>
    </w:p>
    <w:p>
      <w:pPr>
        <w:spacing w:after="0" w:line="133" w:lineRule="exact"/>
        <w:rPr>
          <w:sz w:val="20"/>
          <w:szCs w:val="20"/>
          <w:color w:val="auto"/>
        </w:rPr>
      </w:pPr>
    </w:p>
    <w:p>
      <w:pPr>
        <w:ind w:left="900" w:right="76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223"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 customarily paid, all as shown on the balance sheet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0"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 facility located within the United States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 less than all of the outstanding voting stock)</w:t>
      </w:r>
    </w:p>
    <w:p>
      <w:pPr>
        <w:spacing w:after="0" w:line="29"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principally engaged in, or whose principal assets consist of property used by us or any Restricted Subsidiary in the storage, collection, transfer, interim</w:t>
      </w:r>
    </w:p>
    <w:p>
      <w:pPr>
        <w:spacing w:after="0" w:line="9" w:lineRule="exact"/>
        <w:rPr>
          <w:rFonts w:ascii="Times New Roman" w:cs="Times New Roman" w:eastAsia="Times New Roman" w:hAnsi="Times New Roman"/>
          <w:sz w:val="18"/>
          <w:szCs w:val="18"/>
          <w:color w:val="auto"/>
        </w:rPr>
      </w:pPr>
    </w:p>
    <w:p>
      <w:pPr>
        <w:ind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or disposal of waste within the United States or Canada or (b) which we designate as a Restricted Subsidiary in an officer’s certificate delivered to the trustee.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 Subsidiaries lease any Principal Property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such Restricted Subsidiary has sold or transferred or will sell or transfer to that person. This term excludes the following:</w:t>
      </w:r>
    </w:p>
    <w:p>
      <w:pPr>
        <w:spacing w:after="0" w:line="66" w:lineRule="exact"/>
        <w:rPr>
          <w:sz w:val="20"/>
          <w:szCs w:val="20"/>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223"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 directly or indirectly, by us or by one or more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by us and one or more other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19" w:lineRule="exact"/>
        <w:rPr>
          <w:sz w:val="20"/>
          <w:szCs w:val="20"/>
          <w:color w:val="auto"/>
        </w:rPr>
      </w:pPr>
    </w:p>
    <w:p>
      <w:pPr>
        <w:ind w:right="1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 equally with or senior to our other subordinated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outstanding from time to time.</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 interest on the subordinated debt securities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2" w:lineRule="exact"/>
        <w:rPr>
          <w:sz w:val="20"/>
          <w:szCs w:val="20"/>
          <w:color w:val="auto"/>
        </w:rPr>
      </w:pPr>
    </w:p>
    <w:p>
      <w:pPr>
        <w:ind w:right="320" w:firstLine="456"/>
        <w:spacing w:after="0" w:line="313" w:lineRule="auto"/>
        <w:rPr>
          <w:sz w:val="20"/>
          <w:szCs w:val="20"/>
          <w:color w:val="auto"/>
        </w:rPr>
      </w:pPr>
      <w:r>
        <w:rPr>
          <w:rFonts w:ascii="Times New Roman" w:cs="Times New Roman" w:eastAsia="Times New Roman" w:hAnsi="Times New Roman"/>
          <w:sz w:val="17"/>
          <w:szCs w:val="17"/>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229"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76"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13" w:lineRule="auto"/>
        <w:rPr>
          <w:sz w:val="20"/>
          <w:szCs w:val="20"/>
          <w:color w:val="auto"/>
        </w:rPr>
      </w:pPr>
      <w:r>
        <w:rPr>
          <w:rFonts w:ascii="Times New Roman" w:cs="Times New Roman" w:eastAsia="Times New Roman" w:hAnsi="Times New Roman"/>
          <w:sz w:val="17"/>
          <w:szCs w:val="17"/>
          <w:color w:val="auto"/>
        </w:rPr>
        <w:t>We are authorized to issue 1,500,000,000 shares of common stock, of which 463,859,445 shares were outstanding at September 21, 2012 (excluding treasury shares of 166,423,015). We are also authorized to issue 10,000,000 shares of preferred stock, none of which were outstanding on that date.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right="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are entitled to receive dividends when declared by our Board of Directors. In certain cases, common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receive dividends until we satisfy our obligations to any preferred stockholders.</w:t>
      </w:r>
    </w:p>
    <w:p>
      <w:pPr>
        <w:spacing w:after="0" w:line="15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share of common stock is entitled to one vote in the election of directors and in each other matter we may ask stockholders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83"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issuance and sale, validly issued, fully paid and non-assessable.</w:t>
      </w:r>
    </w:p>
    <w:p>
      <w:pPr>
        <w:spacing w:after="0" w:line="158" w:lineRule="exact"/>
        <w:rPr>
          <w:sz w:val="20"/>
          <w:szCs w:val="20"/>
          <w:color w:val="auto"/>
        </w:rPr>
      </w:pPr>
    </w:p>
    <w:p>
      <w:pPr>
        <w:ind w:right="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 voluntarily, common stockholders will share ratably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remaining after we pay our creditors and any preferred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 in Jersey City, New Jersey.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are a Delaware corporation and are governed by the Delaware General Corporation Law. Section 203 of the Delaware General Corporation law, subject to specific exceptions, prohibits a publicly held Delaware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corporation from engaging in a “business combination” with an “interested stockholder” for a period of three years after the time the person became an interested stockholder, unless:</w:t>
      </w:r>
    </w:p>
    <w:p>
      <w:pPr>
        <w:spacing w:after="0" w:line="67" w:lineRule="exact"/>
        <w:rPr>
          <w:sz w:val="20"/>
          <w:szCs w:val="20"/>
          <w:color w:val="auto"/>
        </w:rPr>
      </w:pPr>
    </w:p>
    <w:p>
      <w:pPr>
        <w:ind w:left="900" w:right="320" w:hanging="446"/>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8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76" w:lineRule="exact"/>
        <w:rPr>
          <w:sz w:val="20"/>
          <w:szCs w:val="20"/>
          <w:color w:val="auto"/>
        </w:rPr>
      </w:pPr>
    </w:p>
    <w:p>
      <w:pPr>
        <w:jc w:val="both"/>
        <w:ind w:right="380" w:firstLine="456"/>
        <w:spacing w:after="0" w:line="261"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0"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50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624840</wp:posOffset>
            </wp:positionV>
            <wp:extent cx="1414780" cy="480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Arial" w:cs="Arial" w:eastAsia="Arial" w:hAnsi="Arial"/>
          <w:sz w:val="24"/>
          <w:szCs w:val="24"/>
          <w:b w:val="1"/>
          <w:bCs w:val="1"/>
          <w:color w:val="auto"/>
        </w:rPr>
        <w:t>% Senior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106045</wp:posOffset>
            </wp:positionV>
            <wp:extent cx="2975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Joint Book-Running and Joint Lead Managers</w:t>
      </w:r>
    </w:p>
    <w:p>
      <w:pPr>
        <w:spacing w:after="0" w:line="7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Deutsche Bank Securities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J.P. Morgan</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RBS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713"/>
    </w:lvl>
  </w:abstractNum>
  <w:abstractNum w:abstractNumId="1">
    <w:nsid w:val="8EDBDAB"/>
    <w:multiLevelType w:val="hybridMultilevel"/>
    <w:lvl w:ilvl="0">
      <w:lvlJc w:val="left"/>
      <w:lvlText w:val="(%1)"/>
      <w:numFmt w:val="lowerLetter"/>
      <w:start w:val="1"/>
    </w:lvl>
  </w:abstractNum>
  <w:abstractNum w:abstractNumId="2">
    <w:nsid w:val="79838CB2"/>
    <w:multiLevelType w:val="hybridMultilevel"/>
    <w:lvl w:ilvl="0">
      <w:lvlJc w:val="left"/>
      <w:lvlText w:val="(%1)"/>
      <w:numFmt w:val="lowerLetter"/>
      <w:start w:val="2"/>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lvl w:ilvl="1">
      <w:lvlJc w:val="left"/>
      <w:lvlText w:val="(%2)"/>
      <w:numFmt w:val="lowerLetter"/>
      <w:start w:val="1"/>
    </w:lvl>
  </w:abstractNum>
  <w:abstractNum w:abstractNumId="13">
    <w:nsid w:val="1E7FF521"/>
    <w:multiLevelType w:val="hybridMultilevel"/>
    <w:lvl w:ilvl="0">
      <w:lvlJc w:val="left"/>
      <w:lvlText w:val="(%1)"/>
      <w:numFmt w:val="decimal"/>
      <w:start w:val="2"/>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2"/>
    </w:lvl>
  </w:abstractNum>
  <w:abstractNum w:abstractNumId="20">
    <w:nsid w:val="614FD4A1"/>
    <w:multiLevelType w:val="hybridMultilevel"/>
    <w:lvl w:ilvl="0">
      <w:lvlJc w:val="left"/>
      <w:lvlText w:val="(%1)"/>
      <w:numFmt w:val="lowerRoman"/>
      <w:start w:val="2"/>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5"/>
    </w:lvl>
    <w:lvl w:ilvl="1">
      <w:lvlJc w:val="left"/>
      <w:lvlText w:val="•"/>
      <w:numFmt w:val="bullet"/>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3"/>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2019-12-06T01:47:24Z</dcterms:created>
  <dcterms:modified xsi:type="dcterms:W3CDTF">2019-12-06T01:47:24Z</dcterms:modified>
</cp:coreProperties>
</file>